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8F436" w14:textId="77777777" w:rsidR="00E42A0F" w:rsidRDefault="00E42A0F" w:rsidP="00E42A0F">
      <w:pPr>
        <w:rPr>
          <w:rFonts w:ascii="Cambria" w:hAnsi="Cambria"/>
          <w:b/>
          <w:bCs/>
          <w:sz w:val="24"/>
          <w:szCs w:val="24"/>
        </w:rPr>
      </w:pPr>
      <w:r>
        <w:rPr>
          <w:rFonts w:ascii="Cambria" w:hAnsi="Cambria"/>
          <w:b/>
          <w:bCs/>
          <w:sz w:val="24"/>
          <w:szCs w:val="24"/>
        </w:rPr>
        <w:t>Introduction:</w:t>
      </w:r>
    </w:p>
    <w:p w14:paraId="404D8712" w14:textId="77777777" w:rsidR="00E42A0F" w:rsidRDefault="00E42A0F" w:rsidP="00E42A0F">
      <w:pPr>
        <w:rPr>
          <w:rFonts w:ascii="Cambria" w:hAnsi="Cambria"/>
        </w:rPr>
      </w:pPr>
      <w:r>
        <w:rPr>
          <w:rFonts w:ascii="Cambria" w:hAnsi="Cambria"/>
        </w:rPr>
        <w:t>One sad example of a domestic violence occurrence that ended in one partner's death is the case of Polly and Mohammed. After Mohammed confessed to having an affair with Roxanne, Polly, who suffers from schizophrenia, killed him with a glass ashtray. This essay will review and analyse the crimes committed by all parties, any potential counterarguments, pertinent legal precedent, and pertinent legislation.</w:t>
      </w:r>
    </w:p>
    <w:p w14:paraId="79439401" w14:textId="77777777" w:rsidR="00E42A0F" w:rsidRDefault="00E42A0F" w:rsidP="00E42A0F">
      <w:pPr>
        <w:rPr>
          <w:rFonts w:ascii="Cambria" w:hAnsi="Cambria"/>
        </w:rPr>
      </w:pPr>
    </w:p>
    <w:p w14:paraId="3091DBBB" w14:textId="77777777" w:rsidR="00E42A0F" w:rsidRDefault="00E42A0F" w:rsidP="00E42A0F">
      <w:pPr>
        <w:jc w:val="center"/>
        <w:rPr>
          <w:rFonts w:ascii="Cambria" w:hAnsi="Cambria"/>
          <w:b/>
          <w:bCs/>
          <w:sz w:val="24"/>
          <w:szCs w:val="24"/>
        </w:rPr>
      </w:pPr>
      <w:r>
        <w:rPr>
          <w:rFonts w:ascii="Cambria" w:hAnsi="Cambria"/>
          <w:b/>
          <w:bCs/>
          <w:sz w:val="24"/>
          <w:szCs w:val="24"/>
        </w:rPr>
        <w:t>Potential Offences Committed</w:t>
      </w:r>
    </w:p>
    <w:p w14:paraId="66A76807" w14:textId="77777777" w:rsidR="00E42A0F" w:rsidRDefault="00E42A0F" w:rsidP="00E42A0F">
      <w:pPr>
        <w:rPr>
          <w:rFonts w:ascii="Cambria" w:hAnsi="Cambria"/>
        </w:rPr>
      </w:pPr>
    </w:p>
    <w:p w14:paraId="3F4EBF3E" w14:textId="77777777" w:rsidR="00E42A0F" w:rsidRDefault="00E42A0F" w:rsidP="00E42A0F">
      <w:pPr>
        <w:rPr>
          <w:rFonts w:ascii="Cambria" w:hAnsi="Cambria"/>
          <w:b/>
          <w:bCs/>
        </w:rPr>
      </w:pPr>
      <w:r>
        <w:rPr>
          <w:rFonts w:ascii="Cambria" w:hAnsi="Cambria"/>
          <w:b/>
          <w:bCs/>
        </w:rPr>
        <w:t>Potential Offences erroneous act by Polly</w:t>
      </w:r>
    </w:p>
    <w:p w14:paraId="4B0B7A2D" w14:textId="77777777" w:rsidR="00E42A0F" w:rsidRDefault="00E42A0F" w:rsidP="00E42A0F">
      <w:pPr>
        <w:rPr>
          <w:rFonts w:ascii="Cambria" w:hAnsi="Cambria"/>
          <w:b/>
          <w:bCs/>
        </w:rPr>
      </w:pPr>
      <w:r>
        <w:rPr>
          <w:rFonts w:ascii="Cambria" w:hAnsi="Cambria"/>
          <w:b/>
          <w:bCs/>
        </w:rPr>
        <w:t>Assault</w:t>
      </w:r>
    </w:p>
    <w:p w14:paraId="125AE339" w14:textId="77777777" w:rsidR="00E42A0F" w:rsidRDefault="00E42A0F" w:rsidP="00E42A0F">
      <w:r>
        <w:t>The actions of Polly, which included calling Roxanne an insulting word and waving with her middle finger, have the potential to be seen as threatening behaviour. Assault is defined as "knowingly or recklessly causing another person to believe that they are about to experience unlawful violence," as is outlined in Section 39 of the Criminal Justice Act of 1988. In the case known as "R v. Ireland and Burstow" (1997), the House of Lords acknowledged the possibility that psychological trauma, such as the fear of being physically harmed, may be regarded to be an act of assault. Because of this, Polly may be charged with assault since Roxanne may have perceived an immediate threat as a direct result of Polly's words and actions. This violation carries a potential sentence of up to six months in jail, a fine, or both depending on the circumstances.</w:t>
      </w:r>
    </w:p>
    <w:p w14:paraId="54FFE690" w14:textId="77777777" w:rsidR="00DB4303" w:rsidRDefault="00DB4303" w:rsidP="00DB4303">
      <w:pPr>
        <w:rPr>
          <w:rFonts w:ascii="Cambria" w:hAnsi="Cambria"/>
          <w:b/>
          <w:bCs/>
        </w:rPr>
      </w:pPr>
      <w:r>
        <w:rPr>
          <w:rFonts w:ascii="Cambria" w:hAnsi="Cambria"/>
          <w:b/>
          <w:bCs/>
        </w:rPr>
        <w:t xml:space="preserve">Criminal Injury </w:t>
      </w:r>
    </w:p>
    <w:p w14:paraId="783D139A" w14:textId="77777777" w:rsidR="00DB4303" w:rsidRDefault="00DB4303" w:rsidP="00DB4303">
      <w:pPr>
        <w:rPr>
          <w:rFonts w:ascii="Cambria" w:hAnsi="Cambria"/>
        </w:rPr>
      </w:pPr>
      <w:r>
        <w:rPr>
          <w:rFonts w:ascii="Cambria" w:hAnsi="Cambria"/>
        </w:rPr>
        <w:t xml:space="preserve">By using shattered glass from the parking lot to cut Roxanne's moped's brake lines, Polly may have committed a second offence: criminal damage. Section 1 of the Criminal Damage Act of 1971 states that criminal damage occurs when a person </w:t>
      </w:r>
      <w:proofErr w:type="spellStart"/>
      <w:r>
        <w:rPr>
          <w:rFonts w:ascii="Cambria" w:hAnsi="Cambria"/>
        </w:rPr>
        <w:t>willfully</w:t>
      </w:r>
      <w:proofErr w:type="spellEnd"/>
      <w:r>
        <w:rPr>
          <w:rFonts w:ascii="Cambria" w:hAnsi="Cambria"/>
        </w:rPr>
        <w:t xml:space="preserve"> damages or destroys another person's property. Ten years in jail is the maximum punishment for this crime. </w:t>
      </w:r>
      <w:r>
        <w:t>After throwing a brick at a police car, the defendant in the case known as "R v. Denton" in 1981 was charged with committing the crime of criminal damage.</w:t>
      </w:r>
      <w:r>
        <w:rPr>
          <w:rFonts w:ascii="Cambria" w:hAnsi="Cambria"/>
        </w:rPr>
        <w:t xml:space="preserve"> The defendant was found guilty of criminal damage because the court determined that he lacked a valid justification for his acts. </w:t>
      </w:r>
      <w:proofErr w:type="gramStart"/>
      <w:r>
        <w:rPr>
          <w:rFonts w:ascii="Cambria" w:hAnsi="Cambria"/>
        </w:rPr>
        <w:t>Similar to</w:t>
      </w:r>
      <w:proofErr w:type="gramEnd"/>
      <w:r>
        <w:rPr>
          <w:rFonts w:ascii="Cambria" w:hAnsi="Cambria"/>
        </w:rPr>
        <w:t xml:space="preserve"> Polly, who might be prosecuted with criminal damage since she had no legitimate reason for harming Roxanne's moped.</w:t>
      </w:r>
    </w:p>
    <w:p w14:paraId="77DA3DB0" w14:textId="77777777" w:rsidR="009D5C58" w:rsidRDefault="009D5C58" w:rsidP="00DB4303"/>
    <w:p w14:paraId="2785F6A8" w14:textId="77777777" w:rsidR="00DB4303" w:rsidRDefault="00DB4303" w:rsidP="00DB4303">
      <w:pPr>
        <w:rPr>
          <w:rFonts w:ascii="Cambria" w:hAnsi="Cambria"/>
          <w:b/>
          <w:bCs/>
        </w:rPr>
      </w:pPr>
      <w:r>
        <w:rPr>
          <w:rFonts w:ascii="Cambria" w:hAnsi="Cambria"/>
          <w:b/>
          <w:bCs/>
        </w:rPr>
        <w:t>Murder/Manslaughter</w:t>
      </w:r>
    </w:p>
    <w:p w14:paraId="59545403" w14:textId="4AE40028" w:rsidR="00DB4303" w:rsidRDefault="00DB4303" w:rsidP="00DB4303">
      <w:pPr>
        <w:rPr>
          <w:rFonts w:ascii="Cambria" w:hAnsi="Cambria"/>
        </w:rPr>
      </w:pPr>
      <w:r>
        <w:rPr>
          <w:rFonts w:ascii="Cambria" w:hAnsi="Cambria"/>
        </w:rPr>
        <w:t xml:space="preserve">Polly may have killed Mohammed by hitting him over the head with a glass ashtray when she picked it up, which would be the third and most heinous crime she could have done. According to Section 1 of the Homicide Act of 1957, murder is defined as the </w:t>
      </w:r>
      <w:r w:rsidR="009D5C58">
        <w:rPr>
          <w:rFonts w:ascii="Cambria" w:hAnsi="Cambria"/>
        </w:rPr>
        <w:t>wilful</w:t>
      </w:r>
      <w:r>
        <w:rPr>
          <w:rFonts w:ascii="Cambria" w:hAnsi="Cambria"/>
        </w:rPr>
        <w:t xml:space="preserve"> killing of another person with the purpose to kill that person or inflict grave bodily damage. Life in prison is the obligatory penalty for this crime. In the case of "R v. </w:t>
      </w:r>
      <w:proofErr w:type="spellStart"/>
      <w:r>
        <w:rPr>
          <w:rFonts w:ascii="Cambria" w:hAnsi="Cambria"/>
        </w:rPr>
        <w:t>Woollin</w:t>
      </w:r>
      <w:proofErr w:type="spellEnd"/>
      <w:r>
        <w:rPr>
          <w:rFonts w:ascii="Cambria" w:hAnsi="Cambria"/>
        </w:rPr>
        <w:t xml:space="preserve">," which was resolved in 1999, the court </w:t>
      </w:r>
      <w:proofErr w:type="gramStart"/>
      <w:r>
        <w:rPr>
          <w:rFonts w:ascii="Cambria" w:hAnsi="Cambria"/>
        </w:rPr>
        <w:t>came to the conclusion</w:t>
      </w:r>
      <w:proofErr w:type="gramEnd"/>
      <w:r>
        <w:rPr>
          <w:rFonts w:ascii="Cambria" w:hAnsi="Cambria"/>
        </w:rPr>
        <w:t xml:space="preserve"> that it is permissible to infer that the defendant meant to cause death or grave injury, regardless of whether the defendant intended the precise consequence, provided it is a practically probable effect of the defendant's conduct. In the hypothetical situation, Mohammed was killed when Polly picked up the glass ashtray and struck him with it. It is thus possible that she will be charged with murder since it may be seen that she intended to cause serious injury, if not death, to the victim. If Polly's acts were excessively negligent but she </w:t>
      </w:r>
      <w:r>
        <w:rPr>
          <w:rFonts w:ascii="Cambria" w:hAnsi="Cambria"/>
        </w:rPr>
        <w:lastRenderedPageBreak/>
        <w:t xml:space="preserve">didn't intend to murder or inflict serious injury, she can instead be charged with manslaughter. Manslaughter occurs under Section 6 of the Criminal Law Act of 1967 when a person illegally kills another person </w:t>
      </w:r>
      <w:proofErr w:type="gramStart"/>
      <w:r>
        <w:rPr>
          <w:rFonts w:ascii="Cambria" w:hAnsi="Cambria"/>
        </w:rPr>
        <w:t>as a result of</w:t>
      </w:r>
      <w:proofErr w:type="gramEnd"/>
      <w:r>
        <w:rPr>
          <w:rFonts w:ascii="Cambria" w:hAnsi="Cambria"/>
        </w:rPr>
        <w:t xml:space="preserve"> their egregious carelessness. The maximum punishment for this crime is life in prison.</w:t>
      </w:r>
    </w:p>
    <w:p w14:paraId="1327CDC9" w14:textId="77777777" w:rsidR="00DB4303" w:rsidRDefault="00DB4303" w:rsidP="00DB4303">
      <w:pPr>
        <w:rPr>
          <w:rFonts w:ascii="Cambria" w:hAnsi="Cambria"/>
        </w:rPr>
      </w:pPr>
    </w:p>
    <w:p w14:paraId="790E5190" w14:textId="77777777" w:rsidR="00DB4303" w:rsidRDefault="00DB4303" w:rsidP="00DB4303">
      <w:pPr>
        <w:rPr>
          <w:rFonts w:ascii="Cambria" w:hAnsi="Cambria"/>
          <w:b/>
          <w:bCs/>
        </w:rPr>
      </w:pPr>
      <w:r>
        <w:rPr>
          <w:rFonts w:ascii="Cambria" w:hAnsi="Cambria"/>
          <w:b/>
          <w:bCs/>
        </w:rPr>
        <w:t>Offences Roxanne Committed</w:t>
      </w:r>
    </w:p>
    <w:p w14:paraId="355BEE56" w14:textId="77777777" w:rsidR="00DB4303" w:rsidRDefault="00DB4303" w:rsidP="00DB4303">
      <w:pPr>
        <w:rPr>
          <w:rFonts w:ascii="Cambria" w:hAnsi="Cambria"/>
        </w:rPr>
      </w:pPr>
      <w:r>
        <w:rPr>
          <w:rFonts w:ascii="Cambria" w:hAnsi="Cambria"/>
        </w:rPr>
        <w:t>There is no proof Roxanne did anything wrong. As a result, Roxanne is not accused of any crimes, and she has no available defence.</w:t>
      </w:r>
    </w:p>
    <w:p w14:paraId="22D317CF" w14:textId="77777777" w:rsidR="00DB4303" w:rsidRDefault="00DB4303" w:rsidP="00DB4303">
      <w:pPr>
        <w:rPr>
          <w:rFonts w:ascii="Cambria" w:hAnsi="Cambria"/>
        </w:rPr>
      </w:pPr>
    </w:p>
    <w:p w14:paraId="17452D61" w14:textId="77777777" w:rsidR="00DB4303" w:rsidRDefault="00DB4303" w:rsidP="00DB4303">
      <w:pPr>
        <w:rPr>
          <w:rFonts w:ascii="Cambria" w:hAnsi="Cambria"/>
          <w:b/>
          <w:bCs/>
        </w:rPr>
      </w:pPr>
      <w:r>
        <w:rPr>
          <w:rFonts w:ascii="Cambria" w:hAnsi="Cambria"/>
          <w:b/>
          <w:bCs/>
        </w:rPr>
        <w:t>Offences Mohammed Committed</w:t>
      </w:r>
    </w:p>
    <w:p w14:paraId="53EA9929" w14:textId="77777777" w:rsidR="00DB4303" w:rsidRDefault="00DB4303" w:rsidP="00DB4303">
      <w:pPr>
        <w:rPr>
          <w:rFonts w:ascii="Cambria" w:hAnsi="Cambria"/>
        </w:rPr>
      </w:pPr>
      <w:r>
        <w:rPr>
          <w:rFonts w:ascii="Cambria" w:hAnsi="Cambria"/>
        </w:rPr>
        <w:t xml:space="preserve">No conceivable crimes or defences will be </w:t>
      </w:r>
      <w:proofErr w:type="gramStart"/>
      <w:r>
        <w:rPr>
          <w:rFonts w:ascii="Cambria" w:hAnsi="Cambria"/>
        </w:rPr>
        <w:t>taken into account</w:t>
      </w:r>
      <w:proofErr w:type="gramEnd"/>
      <w:r>
        <w:rPr>
          <w:rFonts w:ascii="Cambria" w:hAnsi="Cambria"/>
        </w:rPr>
        <w:t xml:space="preserve"> for Mohammed in the scenario since he is dead and cannot be charged.</w:t>
      </w:r>
    </w:p>
    <w:p w14:paraId="6A029933" w14:textId="77777777" w:rsidR="00DB4303" w:rsidRDefault="00DB4303" w:rsidP="00DB4303">
      <w:pPr>
        <w:rPr>
          <w:rFonts w:ascii="Cambria" w:hAnsi="Cambria"/>
        </w:rPr>
      </w:pPr>
    </w:p>
    <w:p w14:paraId="00BC3B88" w14:textId="77777777" w:rsidR="00DB4303" w:rsidRDefault="00DB4303" w:rsidP="00DB4303">
      <w:pPr>
        <w:jc w:val="center"/>
        <w:rPr>
          <w:rFonts w:ascii="Cambria" w:hAnsi="Cambria"/>
          <w:b/>
          <w:bCs/>
          <w:sz w:val="28"/>
          <w:szCs w:val="28"/>
        </w:rPr>
      </w:pPr>
      <w:r>
        <w:rPr>
          <w:rFonts w:ascii="Cambria" w:hAnsi="Cambria"/>
          <w:b/>
          <w:bCs/>
          <w:sz w:val="28"/>
          <w:szCs w:val="28"/>
        </w:rPr>
        <w:t>Defences</w:t>
      </w:r>
    </w:p>
    <w:p w14:paraId="0F3D0496" w14:textId="77777777" w:rsidR="00DB4303" w:rsidRDefault="00DB4303" w:rsidP="00DB4303">
      <w:pPr>
        <w:rPr>
          <w:rFonts w:ascii="Cambria" w:hAnsi="Cambria"/>
          <w:b/>
          <w:bCs/>
        </w:rPr>
      </w:pPr>
      <w:r>
        <w:rPr>
          <w:rFonts w:ascii="Cambria" w:hAnsi="Cambria"/>
          <w:b/>
          <w:bCs/>
        </w:rPr>
        <w:t>Defences Polly May Think About</w:t>
      </w:r>
    </w:p>
    <w:p w14:paraId="32E5AA83" w14:textId="77777777" w:rsidR="00DB4303" w:rsidRDefault="00DB4303" w:rsidP="00DB4303">
      <w:pPr>
        <w:rPr>
          <w:rFonts w:ascii="Cambria" w:hAnsi="Cambria"/>
        </w:rPr>
      </w:pPr>
      <w:r>
        <w:rPr>
          <w:rFonts w:ascii="Cambria" w:hAnsi="Cambria"/>
        </w:rPr>
        <w:t xml:space="preserve">Polly may </w:t>
      </w:r>
      <w:proofErr w:type="gramStart"/>
      <w:r>
        <w:rPr>
          <w:rFonts w:ascii="Cambria" w:hAnsi="Cambria"/>
        </w:rPr>
        <w:t>take into account</w:t>
      </w:r>
      <w:proofErr w:type="gramEnd"/>
      <w:r>
        <w:rPr>
          <w:rFonts w:ascii="Cambria" w:hAnsi="Cambria"/>
        </w:rPr>
        <w:t xml:space="preserve"> a number of defences in the instance of her and Mohammed. These defences may be used to demonstrate that she wasn't to blame for the circumstances that happened or to lessen the punishment of the acts that were committed. The following is a discussion of several potential defences she could think of.</w:t>
      </w:r>
    </w:p>
    <w:p w14:paraId="00B7CF8B" w14:textId="77777777" w:rsidR="00DB4303" w:rsidRDefault="00DB4303" w:rsidP="00DB4303">
      <w:pPr>
        <w:rPr>
          <w:rFonts w:ascii="Cambria" w:hAnsi="Cambria"/>
        </w:rPr>
      </w:pPr>
    </w:p>
    <w:p w14:paraId="796A01D6" w14:textId="77777777" w:rsidR="00DB4303" w:rsidRDefault="00DB4303" w:rsidP="00DB4303">
      <w:pPr>
        <w:rPr>
          <w:rFonts w:ascii="Cambria" w:hAnsi="Cambria"/>
          <w:b/>
          <w:bCs/>
        </w:rPr>
      </w:pPr>
      <w:r>
        <w:rPr>
          <w:rFonts w:ascii="Cambria" w:hAnsi="Cambria"/>
          <w:b/>
          <w:bCs/>
        </w:rPr>
        <w:t>A Defence of Insanity</w:t>
      </w:r>
    </w:p>
    <w:p w14:paraId="4F37A1A5" w14:textId="444C487C" w:rsidR="00DB4303" w:rsidRDefault="00DB4303" w:rsidP="00DB4303">
      <w:pPr>
        <w:rPr>
          <w:rFonts w:ascii="Cambria" w:hAnsi="Cambria"/>
        </w:rPr>
      </w:pPr>
      <w:r w:rsidRPr="00DB4303">
        <w:rPr>
          <w:rFonts w:ascii="Cambria" w:hAnsi="Cambria"/>
        </w:rPr>
        <w:t xml:space="preserve">According to the case of </w:t>
      </w:r>
      <w:proofErr w:type="spellStart"/>
      <w:r w:rsidRPr="00DB4303">
        <w:rPr>
          <w:rFonts w:ascii="Cambria" w:hAnsi="Cambria"/>
        </w:rPr>
        <w:t>M'Naghten</w:t>
      </w:r>
      <w:proofErr w:type="spellEnd"/>
      <w:r w:rsidRPr="00DB4303">
        <w:rPr>
          <w:rFonts w:ascii="Cambria" w:hAnsi="Cambria"/>
        </w:rPr>
        <w:t xml:space="preserve"> from 1843, a person is not guilty by reason of insanity if they did not grasp the nature of their behaviour at the time of the crime or if they did not realise it was wrong. In the case of R v. Sullivan (1984), which illustrates the use of the insanity defence as an example, the accused, who was diagnosed with paranoid schizophrenia, was found not guilty of killing his mother </w:t>
      </w:r>
      <w:proofErr w:type="gramStart"/>
      <w:r w:rsidRPr="00DB4303">
        <w:rPr>
          <w:rFonts w:ascii="Cambria" w:hAnsi="Cambria"/>
        </w:rPr>
        <w:t>due to the fact that</w:t>
      </w:r>
      <w:proofErr w:type="gramEnd"/>
      <w:r w:rsidRPr="00DB4303">
        <w:rPr>
          <w:rFonts w:ascii="Cambria" w:hAnsi="Cambria"/>
        </w:rPr>
        <w:t xml:space="preserve"> he was insane at the time of the crime.</w:t>
      </w:r>
      <w:r w:rsidR="002F5493">
        <w:rPr>
          <w:rFonts w:ascii="Cambria" w:hAnsi="Cambria"/>
        </w:rPr>
        <w:t xml:space="preserve"> </w:t>
      </w:r>
      <w:r w:rsidR="002F5493" w:rsidRPr="002F5493">
        <w:rPr>
          <w:rFonts w:ascii="Cambria" w:hAnsi="Cambria"/>
        </w:rPr>
        <w:t xml:space="preserve">When a person accused of a crime is unable to comprehend the nature of their actions or distinguish between right and wrong due to a mental illness, they can invoke the </w:t>
      </w:r>
      <w:r w:rsidR="002F5493" w:rsidRPr="002F5493">
        <w:rPr>
          <w:rFonts w:ascii="Cambria" w:hAnsi="Cambria"/>
        </w:rPr>
        <w:t>defence</w:t>
      </w:r>
      <w:r w:rsidR="002F5493" w:rsidRPr="002F5493">
        <w:rPr>
          <w:rFonts w:ascii="Cambria" w:hAnsi="Cambria"/>
        </w:rPr>
        <w:t xml:space="preserve"> of insanity. In Polly's case, she suffers from schizophrenia, which is considered a mental illness under the Mental Health Act of 1983</w:t>
      </w:r>
      <w:r w:rsidR="002F5493">
        <w:rPr>
          <w:rFonts w:ascii="Cambria" w:hAnsi="Cambria"/>
        </w:rPr>
        <w:t>.</w:t>
      </w:r>
      <w:r w:rsidR="002F5493" w:rsidRPr="002F5493">
        <w:t xml:space="preserve"> </w:t>
      </w:r>
      <w:r w:rsidR="002F5493" w:rsidRPr="002F5493">
        <w:rPr>
          <w:rFonts w:ascii="Cambria" w:hAnsi="Cambria"/>
        </w:rPr>
        <w:t>Therefore, Polly may choose to use insanity as a defen</w:t>
      </w:r>
      <w:r w:rsidR="002F5493">
        <w:rPr>
          <w:rFonts w:ascii="Cambria" w:hAnsi="Cambria"/>
        </w:rPr>
        <w:t>c</w:t>
      </w:r>
      <w:r w:rsidR="002F5493" w:rsidRPr="002F5493">
        <w:rPr>
          <w:rFonts w:ascii="Cambria" w:hAnsi="Cambria"/>
        </w:rPr>
        <w:t>e in her own situation.</w:t>
      </w:r>
    </w:p>
    <w:p w14:paraId="6EB67300" w14:textId="77777777" w:rsidR="002F5493" w:rsidRDefault="002F5493" w:rsidP="002F5493">
      <w:pPr>
        <w:rPr>
          <w:rFonts w:ascii="Cambria" w:hAnsi="Cambria"/>
        </w:rPr>
      </w:pPr>
    </w:p>
    <w:p w14:paraId="27FA1B15" w14:textId="4190E538" w:rsidR="002F5493" w:rsidRDefault="002F5493" w:rsidP="002F5493">
      <w:pPr>
        <w:rPr>
          <w:rFonts w:ascii="Cambria" w:hAnsi="Cambria"/>
          <w:b/>
          <w:bCs/>
        </w:rPr>
      </w:pPr>
      <w:r>
        <w:rPr>
          <w:rFonts w:ascii="Cambria" w:hAnsi="Cambria"/>
          <w:b/>
          <w:bCs/>
        </w:rPr>
        <w:t>Defending Reduced Responsibility</w:t>
      </w:r>
    </w:p>
    <w:p w14:paraId="7B8D007D" w14:textId="44361FA3" w:rsidR="002F5493" w:rsidRDefault="002F5493" w:rsidP="002F5493">
      <w:pPr>
        <w:rPr>
          <w:rFonts w:ascii="Cambria" w:hAnsi="Cambria"/>
        </w:rPr>
      </w:pPr>
      <w:r>
        <w:rPr>
          <w:rFonts w:ascii="Cambria" w:hAnsi="Cambria"/>
        </w:rPr>
        <w:t xml:space="preserve">The defence of diminished responsibility applies when a defendant's mental capacity is compromised, which lowers his or her ability to regulate their conduct. A person may be found guilty of manslaughter rather than murder under Section 2 of the Homicide Act of 1957 if the death was caused by the accused person's lessened culpability. The R v. Byrne decision from 1960 established the criteria for diminished responsibility, which required that the impairment be brought on by an acknowledged medical condition that materially affects the accused's mental functioning. In Polly's instance, schizophrenia may have contributed to a decreased ability to exercise self-control. The 2016 case of "R v. Golds" serves as an illustration of how the defence of reduced responsibility is used. owing to his paranoid personality disorder diagnosis, </w:t>
      </w:r>
      <w:r>
        <w:rPr>
          <w:rFonts w:ascii="Cambria" w:hAnsi="Cambria"/>
        </w:rPr>
        <w:lastRenderedPageBreak/>
        <w:t xml:space="preserve">the defendant in this case was found guilty of manslaughter owing to reduced responsibility for the death of his wife. Therefore, in her situation, Polly may </w:t>
      </w:r>
      <w:proofErr w:type="gramStart"/>
      <w:r>
        <w:rPr>
          <w:rFonts w:ascii="Cambria" w:hAnsi="Cambria"/>
        </w:rPr>
        <w:t>take into account</w:t>
      </w:r>
      <w:proofErr w:type="gramEnd"/>
      <w:r>
        <w:rPr>
          <w:rFonts w:ascii="Cambria" w:hAnsi="Cambria"/>
        </w:rPr>
        <w:t xml:space="preserve"> the defence of reduced culpability.</w:t>
      </w:r>
    </w:p>
    <w:p w14:paraId="0E562C91" w14:textId="77777777" w:rsidR="009D5C58" w:rsidRDefault="009D5C58" w:rsidP="002F5493">
      <w:pPr>
        <w:rPr>
          <w:rFonts w:ascii="Cambria" w:hAnsi="Cambria"/>
        </w:rPr>
      </w:pPr>
    </w:p>
    <w:p w14:paraId="46850BF3" w14:textId="374E10E0" w:rsidR="002F5493" w:rsidRDefault="00084780" w:rsidP="002F5493">
      <w:pPr>
        <w:rPr>
          <w:rFonts w:ascii="Cambria" w:hAnsi="Cambria"/>
          <w:b/>
          <w:bCs/>
        </w:rPr>
      </w:pPr>
      <w:r>
        <w:rPr>
          <w:rFonts w:ascii="Cambria" w:hAnsi="Cambria"/>
          <w:b/>
          <w:bCs/>
        </w:rPr>
        <w:t xml:space="preserve">Defence of </w:t>
      </w:r>
      <w:r w:rsidR="002F5493">
        <w:rPr>
          <w:rFonts w:ascii="Cambria" w:hAnsi="Cambria"/>
          <w:b/>
          <w:bCs/>
        </w:rPr>
        <w:t xml:space="preserve">Self-defence </w:t>
      </w:r>
    </w:p>
    <w:p w14:paraId="0A737980" w14:textId="5AEE56D5" w:rsidR="004B0971" w:rsidRDefault="002F5493" w:rsidP="002F5493">
      <w:pPr>
        <w:rPr>
          <w:rFonts w:ascii="Cambria" w:hAnsi="Cambria"/>
        </w:rPr>
      </w:pPr>
      <w:r>
        <w:rPr>
          <w:rFonts w:ascii="Cambria" w:hAnsi="Cambria"/>
        </w:rPr>
        <w:t xml:space="preserve">Polly can contend that when she struck Mohammed with the glass ashtray, she was acting in </w:t>
      </w:r>
      <w:r>
        <w:rPr>
          <w:rFonts w:ascii="Cambria" w:hAnsi="Cambria"/>
        </w:rPr>
        <w:t>self-defence</w:t>
      </w:r>
      <w:r>
        <w:rPr>
          <w:rFonts w:ascii="Cambria" w:hAnsi="Cambria"/>
        </w:rPr>
        <w:t xml:space="preserve">. When the defendant feels they are in immediate risk of bodily injury and that their acts are required to protect themselves, they are entitled to the self-defence defence. Force must, however, be used under the circumstances in a fair manner. </w:t>
      </w:r>
      <w:r w:rsidR="004B0971">
        <w:rPr>
          <w:rFonts w:ascii="Cambria" w:hAnsi="Cambria"/>
        </w:rPr>
        <w:t xml:space="preserve">An example of </w:t>
      </w:r>
      <w:proofErr w:type="gramStart"/>
      <w:r w:rsidR="004B0971">
        <w:rPr>
          <w:rFonts w:ascii="Cambria" w:hAnsi="Cambria"/>
        </w:rPr>
        <w:t xml:space="preserve">successful </w:t>
      </w:r>
      <w:r w:rsidR="00084780">
        <w:rPr>
          <w:rFonts w:ascii="Cambria" w:hAnsi="Cambria"/>
        </w:rPr>
        <w:t xml:space="preserve"> defence</w:t>
      </w:r>
      <w:proofErr w:type="gramEnd"/>
      <w:r w:rsidR="00084780">
        <w:rPr>
          <w:rFonts w:ascii="Cambria" w:hAnsi="Cambria"/>
        </w:rPr>
        <w:t xml:space="preserve"> of </w:t>
      </w:r>
      <w:r w:rsidR="004B0971">
        <w:rPr>
          <w:rFonts w:ascii="Cambria" w:hAnsi="Cambria"/>
        </w:rPr>
        <w:t xml:space="preserve">self -defence </w:t>
      </w:r>
      <w:r w:rsidR="00084780">
        <w:rPr>
          <w:rFonts w:ascii="Cambria" w:hAnsi="Cambria"/>
        </w:rPr>
        <w:t xml:space="preserve">case </w:t>
      </w:r>
      <w:r w:rsidR="004B0971">
        <w:rPr>
          <w:rFonts w:ascii="Cambria" w:hAnsi="Cambria"/>
        </w:rPr>
        <w:t xml:space="preserve">was “R v. Gladstone </w:t>
      </w:r>
      <w:proofErr w:type="spellStart"/>
      <w:r w:rsidR="004B0971">
        <w:rPr>
          <w:rFonts w:ascii="Cambria" w:hAnsi="Cambria"/>
        </w:rPr>
        <w:t>Willliams</w:t>
      </w:r>
      <w:proofErr w:type="spellEnd"/>
      <w:r w:rsidR="004B0971">
        <w:rPr>
          <w:rFonts w:ascii="Cambria" w:hAnsi="Cambria"/>
        </w:rPr>
        <w:t xml:space="preserve">”(1984), where the defendant was a seventy six years of age who killed </w:t>
      </w:r>
      <w:r w:rsidR="00084780">
        <w:rPr>
          <w:rFonts w:ascii="Cambria" w:hAnsi="Cambria"/>
        </w:rPr>
        <w:t xml:space="preserve">someone who unlawfully entered his property. The defendant was free of charge because he successfully proved that his use of force was reasonable and necessary under </w:t>
      </w:r>
      <w:r w:rsidR="009D5C58">
        <w:rPr>
          <w:rFonts w:ascii="Cambria" w:hAnsi="Cambria"/>
        </w:rPr>
        <w:t>those circumstances</w:t>
      </w:r>
      <w:r w:rsidR="00084780">
        <w:rPr>
          <w:rFonts w:ascii="Cambria" w:hAnsi="Cambria"/>
        </w:rPr>
        <w:t>.</w:t>
      </w:r>
    </w:p>
    <w:p w14:paraId="1FB63B03" w14:textId="5DDCFE70" w:rsidR="00084780" w:rsidRDefault="002F5493" w:rsidP="002F5493">
      <w:pPr>
        <w:rPr>
          <w:rFonts w:ascii="Cambria" w:hAnsi="Cambria"/>
        </w:rPr>
      </w:pPr>
      <w:r>
        <w:rPr>
          <w:rFonts w:ascii="Cambria" w:hAnsi="Cambria"/>
        </w:rPr>
        <w:t>In the above situation, Polly would argue that she felt Mohammed was an immediate danger to her and that she had to use force to defend herself.</w:t>
      </w:r>
      <w:r w:rsidR="00084780">
        <w:rPr>
          <w:rFonts w:ascii="Cambria" w:hAnsi="Cambria"/>
        </w:rPr>
        <w:t xml:space="preserve"> </w:t>
      </w:r>
      <w:r w:rsidR="009D5C58">
        <w:rPr>
          <w:rFonts w:ascii="Cambria" w:hAnsi="Cambria"/>
        </w:rPr>
        <w:t>However,</w:t>
      </w:r>
      <w:r w:rsidR="00084780">
        <w:rPr>
          <w:rFonts w:ascii="Cambria" w:hAnsi="Cambria"/>
        </w:rPr>
        <w:t xml:space="preserve"> it will be difficult for her to prove that it was reasonable to use the glass ashtray for self-defence in that </w:t>
      </w:r>
      <w:proofErr w:type="gramStart"/>
      <w:r w:rsidR="00084780">
        <w:rPr>
          <w:rFonts w:ascii="Cambria" w:hAnsi="Cambria"/>
        </w:rPr>
        <w:t>particular situation</w:t>
      </w:r>
      <w:proofErr w:type="gramEnd"/>
      <w:r w:rsidR="00084780">
        <w:rPr>
          <w:rFonts w:ascii="Cambria" w:hAnsi="Cambria"/>
        </w:rPr>
        <w:t>.</w:t>
      </w:r>
    </w:p>
    <w:p w14:paraId="0C0CAC7D" w14:textId="77777777" w:rsidR="00B52245" w:rsidRDefault="00B52245" w:rsidP="00B52245">
      <w:pPr>
        <w:rPr>
          <w:rFonts w:ascii="Cambria" w:hAnsi="Cambria"/>
          <w:b/>
          <w:bCs/>
        </w:rPr>
      </w:pPr>
    </w:p>
    <w:p w14:paraId="153B5A89" w14:textId="210D0885" w:rsidR="00B52245" w:rsidRDefault="00B52245" w:rsidP="00B52245">
      <w:pPr>
        <w:rPr>
          <w:rFonts w:ascii="Cambria" w:hAnsi="Cambria"/>
          <w:b/>
          <w:bCs/>
        </w:rPr>
      </w:pPr>
      <w:r>
        <w:rPr>
          <w:rFonts w:ascii="Cambria" w:hAnsi="Cambria"/>
          <w:b/>
          <w:bCs/>
        </w:rPr>
        <w:t>Protection against Provocation</w:t>
      </w:r>
    </w:p>
    <w:p w14:paraId="7BFD087F" w14:textId="3DC6D7E2" w:rsidR="00C55D21" w:rsidRPr="00C55D21" w:rsidRDefault="00C55D21" w:rsidP="00C55D21">
      <w:pPr>
        <w:rPr>
          <w:rFonts w:ascii="Cambria" w:hAnsi="Cambria"/>
        </w:rPr>
      </w:pPr>
      <w:r w:rsidRPr="00C55D21">
        <w:rPr>
          <w:rFonts w:ascii="Cambria" w:hAnsi="Cambria"/>
        </w:rPr>
        <w:t xml:space="preserve">Provocation may occasionally be used in court as a defence to get a murder accusation dropped or reduced to voluntary manslaughter. Mohammed's admission of adultery, according to the theory in this case, may have prompted Polly's acts, making it a provocation under the 1957 Homicide Act. The standard for provocation was set in the decision of </w:t>
      </w:r>
      <w:r>
        <w:rPr>
          <w:rFonts w:ascii="Cambria" w:hAnsi="Cambria"/>
        </w:rPr>
        <w:t>“</w:t>
      </w:r>
      <w:r w:rsidRPr="00C55D21">
        <w:rPr>
          <w:rFonts w:ascii="Cambria" w:hAnsi="Cambria"/>
        </w:rPr>
        <w:t>R v. Ahluwalia</w:t>
      </w:r>
      <w:r>
        <w:rPr>
          <w:rFonts w:ascii="Cambria" w:hAnsi="Cambria"/>
        </w:rPr>
        <w:t>”</w:t>
      </w:r>
      <w:r w:rsidRPr="00C55D21">
        <w:rPr>
          <w:rFonts w:ascii="Cambria" w:hAnsi="Cambria"/>
        </w:rPr>
        <w:t xml:space="preserve"> (1992), which mandated that it be evaluated if a reasonable person would have been provoked to lose control in the similar circumstance.</w:t>
      </w:r>
      <w:r>
        <w:rPr>
          <w:rFonts w:ascii="Cambria" w:hAnsi="Cambria"/>
        </w:rPr>
        <w:t xml:space="preserve"> </w:t>
      </w:r>
      <w:r w:rsidRPr="00C55D21">
        <w:rPr>
          <w:rFonts w:ascii="Cambria" w:hAnsi="Cambria"/>
        </w:rPr>
        <w:t xml:space="preserve">Polly would have to show that Mohammed's confession was sufficient to cause a reasonable person to lose their composure </w:t>
      </w:r>
      <w:proofErr w:type="gramStart"/>
      <w:r w:rsidRPr="00C55D21">
        <w:rPr>
          <w:rFonts w:ascii="Cambria" w:hAnsi="Cambria"/>
        </w:rPr>
        <w:t>in order to</w:t>
      </w:r>
      <w:proofErr w:type="gramEnd"/>
      <w:r w:rsidRPr="00C55D21">
        <w:rPr>
          <w:rFonts w:ascii="Cambria" w:hAnsi="Cambria"/>
        </w:rPr>
        <w:t xml:space="preserve"> successfully invoke provocation as a defence to the murder allegation. She would also need to demonstrate that she was personally provoked to the point where she lost </w:t>
      </w:r>
      <w:r w:rsidR="004B0971">
        <w:rPr>
          <w:rFonts w:ascii="Cambria" w:hAnsi="Cambria"/>
        </w:rPr>
        <w:t>her self-</w:t>
      </w:r>
      <w:r w:rsidR="004B0971" w:rsidRPr="00C55D21">
        <w:rPr>
          <w:rFonts w:ascii="Cambria" w:hAnsi="Cambria"/>
        </w:rPr>
        <w:t>control</w:t>
      </w:r>
      <w:r w:rsidR="004B0971">
        <w:rPr>
          <w:rFonts w:ascii="Cambria" w:hAnsi="Cambria"/>
        </w:rPr>
        <w:t xml:space="preserve"> and hit Mohammed’s head with glass ashtray which causes his death.</w:t>
      </w:r>
    </w:p>
    <w:p w14:paraId="353BFCDA" w14:textId="77777777" w:rsidR="00C55D21" w:rsidRPr="00C55D21" w:rsidRDefault="00C55D21" w:rsidP="00C55D21">
      <w:pPr>
        <w:rPr>
          <w:rFonts w:ascii="Cambria" w:hAnsi="Cambria"/>
        </w:rPr>
      </w:pPr>
    </w:p>
    <w:p w14:paraId="64FC6AB8" w14:textId="77777777" w:rsidR="00DB4303" w:rsidRDefault="00DB4303" w:rsidP="00DB4303">
      <w:pPr>
        <w:rPr>
          <w:rFonts w:ascii="Cambria" w:hAnsi="Cambria"/>
          <w:b/>
          <w:bCs/>
        </w:rPr>
      </w:pPr>
      <w:r>
        <w:rPr>
          <w:rFonts w:ascii="Cambria" w:hAnsi="Cambria"/>
          <w:b/>
          <w:bCs/>
        </w:rPr>
        <w:t xml:space="preserve">Support for Automatism </w:t>
      </w:r>
    </w:p>
    <w:p w14:paraId="42970E27" w14:textId="62A348AE" w:rsidR="00DB4303" w:rsidRDefault="00DB4303" w:rsidP="00DB4303">
      <w:pPr>
        <w:rPr>
          <w:rFonts w:ascii="Cambria" w:hAnsi="Cambria"/>
        </w:rPr>
      </w:pPr>
      <w:r>
        <w:rPr>
          <w:rFonts w:ascii="Cambria" w:hAnsi="Cambria"/>
        </w:rPr>
        <w:t xml:space="preserve">Under the Criminal Justice Act of 1967, Polly can use the automatism argument to claim that her acts were unintentional and uncontrollable. Automatism is a full defence when the accused says their acts were neither voluntary </w:t>
      </w:r>
      <w:r w:rsidR="009D5C58">
        <w:rPr>
          <w:rFonts w:ascii="Cambria" w:hAnsi="Cambria"/>
        </w:rPr>
        <w:t>nor</w:t>
      </w:r>
      <w:r>
        <w:rPr>
          <w:rFonts w:ascii="Cambria" w:hAnsi="Cambria"/>
        </w:rPr>
        <w:t xml:space="preserve"> aware. Evidence demonstrating the defendant's acts were not motivated by their own free will but rather by an external source, such as a physical blow to the head or the effects of drugs, is necessary. The court determined that automatism is a defence that applies in the instance of an involuntary, </w:t>
      </w:r>
      <w:r w:rsidR="009D5C58">
        <w:rPr>
          <w:rFonts w:ascii="Cambria" w:hAnsi="Cambria"/>
        </w:rPr>
        <w:t>externally driven</w:t>
      </w:r>
      <w:r>
        <w:rPr>
          <w:rFonts w:ascii="Cambria" w:hAnsi="Cambria"/>
        </w:rPr>
        <w:t>, and uncontrollable action by the defendant in R v. Quick (1973). In Polly's instance, it might be claimed that her schizophrenia was the outside force that motivated her behaviour. The automatism defence, however, is difficult to establish since it calls for proof that the defendant lacked free will when the crime was committed.</w:t>
      </w:r>
    </w:p>
    <w:p w14:paraId="01719184" w14:textId="77777777" w:rsidR="00C55D21" w:rsidRDefault="00C55D21" w:rsidP="00DB4303">
      <w:pPr>
        <w:rPr>
          <w:rFonts w:ascii="Cambria" w:hAnsi="Cambria"/>
        </w:rPr>
      </w:pPr>
    </w:p>
    <w:p w14:paraId="3806CAEE" w14:textId="77777777" w:rsidR="00DB4303" w:rsidRDefault="00DB4303" w:rsidP="00DB4303">
      <w:pPr>
        <w:rPr>
          <w:rFonts w:ascii="Cambria" w:hAnsi="Cambria"/>
        </w:rPr>
      </w:pPr>
    </w:p>
    <w:p w14:paraId="7B3A0627" w14:textId="77777777" w:rsidR="009D5C58" w:rsidRDefault="009D5C58" w:rsidP="00DB4303">
      <w:pPr>
        <w:rPr>
          <w:rFonts w:ascii="Cambria" w:hAnsi="Cambria"/>
          <w:b/>
          <w:bCs/>
        </w:rPr>
      </w:pPr>
    </w:p>
    <w:p w14:paraId="77A3E15A" w14:textId="2D2839B1" w:rsidR="00DB4303" w:rsidRDefault="00DB4303" w:rsidP="00DB4303">
      <w:pPr>
        <w:rPr>
          <w:rFonts w:ascii="Cambria" w:hAnsi="Cambria"/>
          <w:b/>
          <w:bCs/>
        </w:rPr>
      </w:pPr>
      <w:r>
        <w:rPr>
          <w:rFonts w:ascii="Cambria" w:hAnsi="Cambria"/>
          <w:b/>
          <w:bCs/>
        </w:rPr>
        <w:lastRenderedPageBreak/>
        <w:t>Recommendations</w:t>
      </w:r>
    </w:p>
    <w:p w14:paraId="6509322E" w14:textId="77777777" w:rsidR="00DB4303" w:rsidRDefault="00DB4303" w:rsidP="00DB4303">
      <w:pPr>
        <w:rPr>
          <w:rFonts w:ascii="Cambria" w:hAnsi="Cambria"/>
        </w:rPr>
      </w:pPr>
      <w:r>
        <w:rPr>
          <w:rFonts w:ascii="Cambria" w:hAnsi="Cambria"/>
        </w:rPr>
        <w:t>Polly's psychological well-being must be monitored during the trial. Polly should be provided with adequate mental health services by the court. The court should retain an impartial medical expert to determine the defendant's mental competency and the defence side should provide supporting medical data for their claims.</w:t>
      </w:r>
    </w:p>
    <w:p w14:paraId="2CD6EB8C" w14:textId="77777777" w:rsidR="00DB4303" w:rsidRDefault="00DB4303" w:rsidP="00DB4303">
      <w:pPr>
        <w:rPr>
          <w:rFonts w:ascii="Cambria" w:hAnsi="Cambria"/>
        </w:rPr>
      </w:pPr>
    </w:p>
    <w:p w14:paraId="4C1735B9" w14:textId="77777777" w:rsidR="00DB4303" w:rsidRDefault="00DB4303" w:rsidP="00DB4303">
      <w:pPr>
        <w:rPr>
          <w:rFonts w:ascii="Cambria" w:hAnsi="Cambria"/>
          <w:b/>
          <w:bCs/>
        </w:rPr>
      </w:pPr>
      <w:r>
        <w:rPr>
          <w:rFonts w:ascii="Cambria" w:hAnsi="Cambria"/>
          <w:b/>
          <w:bCs/>
        </w:rPr>
        <w:t>Conclusion</w:t>
      </w:r>
    </w:p>
    <w:p w14:paraId="3174C835" w14:textId="77777777" w:rsidR="00DB4303" w:rsidRDefault="00DB4303" w:rsidP="00DB4303">
      <w:pPr>
        <w:rPr>
          <w:rFonts w:ascii="Cambria" w:hAnsi="Cambria"/>
        </w:rPr>
      </w:pPr>
      <w:r>
        <w:rPr>
          <w:rFonts w:ascii="Cambria" w:hAnsi="Cambria"/>
        </w:rPr>
        <w:t xml:space="preserve">In conclusion, Polly and Mohammed's activities in the above scenario have resulted in </w:t>
      </w:r>
      <w:proofErr w:type="gramStart"/>
      <w:r>
        <w:rPr>
          <w:rFonts w:ascii="Cambria" w:hAnsi="Cambria"/>
        </w:rPr>
        <w:t>a number of</w:t>
      </w:r>
      <w:proofErr w:type="gramEnd"/>
      <w:r>
        <w:rPr>
          <w:rFonts w:ascii="Cambria" w:hAnsi="Cambria"/>
        </w:rPr>
        <w:t xml:space="preserve"> criminal charges, such as assault, murder, and property damage. Depending on how serious the offence, each of these crimes has a different term, with murder receiving a mandatory life sentence. To decide the proper penalty for each crime, it is crucial to carefully evaluate the case's circumstances and apply the relevant legal principles.</w:t>
      </w:r>
    </w:p>
    <w:p w14:paraId="5C4366C4" w14:textId="77777777" w:rsidR="009D5C58" w:rsidRDefault="009D5C58" w:rsidP="00DB4303">
      <w:pPr>
        <w:rPr>
          <w:rFonts w:ascii="Cambria" w:hAnsi="Cambria"/>
        </w:rPr>
      </w:pPr>
    </w:p>
    <w:p w14:paraId="0AE08500" w14:textId="77777777" w:rsidR="009D5C58" w:rsidRDefault="009D5C58" w:rsidP="00DB4303">
      <w:pPr>
        <w:rPr>
          <w:rFonts w:ascii="Cambria" w:hAnsi="Cambria"/>
        </w:rPr>
      </w:pPr>
    </w:p>
    <w:p w14:paraId="5854932A" w14:textId="77777777" w:rsidR="009D5C58" w:rsidRDefault="009D5C58" w:rsidP="00DB4303">
      <w:pPr>
        <w:rPr>
          <w:rFonts w:ascii="Cambria" w:hAnsi="Cambria"/>
        </w:rPr>
      </w:pPr>
    </w:p>
    <w:p w14:paraId="421519DF" w14:textId="77777777" w:rsidR="009D5C58" w:rsidRDefault="009D5C58" w:rsidP="00DB4303">
      <w:pPr>
        <w:rPr>
          <w:rFonts w:ascii="Cambria" w:hAnsi="Cambria"/>
        </w:rPr>
      </w:pPr>
    </w:p>
    <w:p w14:paraId="649D599F" w14:textId="77777777" w:rsidR="009D5C58" w:rsidRDefault="009D5C58" w:rsidP="009D5C58">
      <w:pPr>
        <w:rPr>
          <w:rFonts w:ascii="Cambria" w:hAnsi="Cambria"/>
          <w:b/>
          <w:bCs/>
          <w:sz w:val="24"/>
          <w:szCs w:val="24"/>
        </w:rPr>
      </w:pPr>
      <w:r>
        <w:rPr>
          <w:rFonts w:ascii="Cambria" w:hAnsi="Cambria"/>
          <w:b/>
          <w:bCs/>
          <w:sz w:val="24"/>
          <w:szCs w:val="24"/>
        </w:rPr>
        <w:t>List of references</w:t>
      </w:r>
    </w:p>
    <w:p w14:paraId="03841B7B" w14:textId="77777777" w:rsidR="009D5C58" w:rsidRDefault="009D5C58" w:rsidP="009D5C58">
      <w:pPr>
        <w:rPr>
          <w:rFonts w:ascii="Cambria" w:hAnsi="Cambria"/>
        </w:rPr>
      </w:pPr>
    </w:p>
    <w:p w14:paraId="7E1EF4AD" w14:textId="77777777" w:rsidR="009D5C58" w:rsidRDefault="009D5C58" w:rsidP="009D5C58">
      <w:pPr>
        <w:rPr>
          <w:rFonts w:ascii="Cambria" w:hAnsi="Cambria"/>
        </w:rPr>
      </w:pPr>
      <w:r>
        <w:rPr>
          <w:rFonts w:ascii="Cambria" w:hAnsi="Cambria"/>
        </w:rPr>
        <w:t xml:space="preserve">Criminal Damage Act of 1971. You may get it at: </w:t>
      </w:r>
      <w:proofErr w:type="gramStart"/>
      <w:r>
        <w:rPr>
          <w:rFonts w:ascii="Cambria" w:hAnsi="Cambria"/>
        </w:rPr>
        <w:t>https://www.legislation.gov.uk/ukpga/1971/48/section/1#::text=(1).A%20person%20who%20without</w:t>
      </w:r>
      <w:proofErr w:type="gramEnd"/>
      <w:r>
        <w:rPr>
          <w:rFonts w:ascii="Cambria" w:hAnsi="Cambria"/>
        </w:rPr>
        <w:t xml:space="preserve"> </w:t>
      </w:r>
    </w:p>
    <w:p w14:paraId="049D9D7E" w14:textId="77777777" w:rsidR="009D5C58" w:rsidRDefault="009D5C58" w:rsidP="009D5C58">
      <w:pPr>
        <w:rPr>
          <w:rFonts w:ascii="Cambria" w:hAnsi="Cambria"/>
        </w:rPr>
      </w:pPr>
      <w:r>
        <w:rPr>
          <w:rFonts w:ascii="Cambria" w:hAnsi="Cambria"/>
        </w:rPr>
        <w:t>Criminal Justice Act 1971. [online] Legislation may be found at: https://www.legislation.gov.uk/ukpga/1967/80/section/39/enacted#::text=39Suspended%20sentences%20of%20imprisonment.&amp;text=(2)A%20court%20which%20passes. [Retrieved on May 1, 2023]</w:t>
      </w:r>
    </w:p>
    <w:p w14:paraId="2DAF9C01" w14:textId="77777777" w:rsidR="009D5C58" w:rsidRDefault="009D5C58" w:rsidP="009D5C58">
      <w:pPr>
        <w:rPr>
          <w:rFonts w:ascii="Cambria" w:hAnsi="Cambria"/>
        </w:rPr>
      </w:pPr>
      <w:r>
        <w:rPr>
          <w:rFonts w:ascii="Cambria" w:hAnsi="Cambria"/>
        </w:rPr>
        <w:t>Criminal Justice Act 1988. [online] Available at</w:t>
      </w:r>
      <w:proofErr w:type="gramStart"/>
      <w:r>
        <w:rPr>
          <w:rFonts w:ascii="Cambria" w:hAnsi="Cambria"/>
        </w:rPr>
        <w:t>: :text</w:t>
      </w:r>
      <w:proofErr w:type="gramEnd"/>
      <w:r>
        <w:rPr>
          <w:rFonts w:ascii="Cambria" w:hAnsi="Cambria"/>
        </w:rPr>
        <w:t>=for%20more%20information&gt;https://www.cps.gov.uk/legal-guidance/offences-against-person-incorporating-charging-standard. [Retrieved on May 1, 2023].</w:t>
      </w:r>
    </w:p>
    <w:p w14:paraId="450092CD" w14:textId="77777777" w:rsidR="009D5C58" w:rsidRDefault="009D5C58" w:rsidP="009D5C58">
      <w:pPr>
        <w:rPr>
          <w:rFonts w:ascii="Cambria" w:hAnsi="Cambria"/>
        </w:rPr>
      </w:pPr>
      <w:r>
        <w:rPr>
          <w:rFonts w:ascii="Cambria" w:hAnsi="Cambria"/>
        </w:rPr>
        <w:t>Criminal Law Act of 1967. Legislation.gov.uk. You may get it at https://www.legislation.gov.uk/ukpga/1967/58/contents. [Retrieved on May 1, 2023].</w:t>
      </w:r>
    </w:p>
    <w:p w14:paraId="420CA467" w14:textId="77777777" w:rsidR="009D5C58" w:rsidRDefault="009D5C58" w:rsidP="009D5C58">
      <w:pPr>
        <w:rPr>
          <w:rFonts w:ascii="Cambria" w:hAnsi="Cambria"/>
        </w:rPr>
      </w:pPr>
      <w:r>
        <w:rPr>
          <w:rFonts w:ascii="Cambria" w:hAnsi="Cambria"/>
        </w:rPr>
        <w:t>Homicide Act 1957. [online] Legislation may be found at https://www.legislation.gov.uk/ukpga/Eliz2/5-6/11/section/1. [Retrieved on May 1, 2023].</w:t>
      </w:r>
    </w:p>
    <w:p w14:paraId="7A0BECC4" w14:textId="77777777" w:rsidR="009D5C58" w:rsidRDefault="009D5C58" w:rsidP="009D5C58">
      <w:pPr>
        <w:rPr>
          <w:rFonts w:ascii="Cambria" w:hAnsi="Cambria"/>
        </w:rPr>
      </w:pPr>
      <w:r>
        <w:rPr>
          <w:rFonts w:ascii="Cambria" w:hAnsi="Cambria"/>
        </w:rPr>
        <w:t xml:space="preserve">, </w:t>
      </w:r>
      <w:proofErr w:type="spellStart"/>
      <w:r>
        <w:rPr>
          <w:rFonts w:ascii="Cambria" w:hAnsi="Cambria"/>
        </w:rPr>
        <w:t>M'Naghten</w:t>
      </w:r>
      <w:proofErr w:type="spellEnd"/>
      <w:r>
        <w:rPr>
          <w:rFonts w:ascii="Cambria" w:hAnsi="Cambria"/>
        </w:rPr>
        <w:t xml:space="preserve"> (1843 8 ER 718). [online] You may get it at: https://www.lawteacher.net/cases/r-v-m-naghten.php [Retrieved on May 4, 2023].</w:t>
      </w:r>
    </w:p>
    <w:p w14:paraId="368703E1" w14:textId="77777777" w:rsidR="009D5C58" w:rsidRDefault="009D5C58" w:rsidP="009D5C58">
      <w:pPr>
        <w:rPr>
          <w:rFonts w:ascii="Cambria" w:hAnsi="Cambria"/>
        </w:rPr>
      </w:pPr>
      <w:r>
        <w:rPr>
          <w:rFonts w:ascii="Cambria" w:hAnsi="Cambria"/>
        </w:rPr>
        <w:t xml:space="preserve">R v. Adomako, 1 AC 171, (1995). [online] You may access it at: </w:t>
      </w:r>
      <w:proofErr w:type="gramStart"/>
      <w:r>
        <w:rPr>
          <w:rFonts w:ascii="Cambria" w:hAnsi="Cambria"/>
        </w:rPr>
        <w:t>https://www.lawteacher.net/cases/r-v-adomako.php  [</w:t>
      </w:r>
      <w:proofErr w:type="gramEnd"/>
      <w:r>
        <w:rPr>
          <w:rFonts w:ascii="Cambria" w:hAnsi="Cambria"/>
        </w:rPr>
        <w:t>Retrieved on May 4, 2023].</w:t>
      </w:r>
    </w:p>
    <w:p w14:paraId="74AC9F22" w14:textId="77777777" w:rsidR="009D5C58" w:rsidRDefault="009D5C58" w:rsidP="009D5C58">
      <w:pPr>
        <w:rPr>
          <w:rFonts w:ascii="Cambria" w:hAnsi="Cambria"/>
        </w:rPr>
      </w:pPr>
      <w:r>
        <w:rPr>
          <w:rFonts w:ascii="Cambria" w:hAnsi="Cambria"/>
        </w:rPr>
        <w:t>R v. Byrne, 2 QB 396 (1960). [online] Easily accessible at: https://simplestuding.com/r-v-byrne-patrick-joseph-1960-2-qb-396 [Retrieved on May 4, 2023].</w:t>
      </w:r>
    </w:p>
    <w:p w14:paraId="1D61D7BC" w14:textId="77777777" w:rsidR="009D5C58" w:rsidRDefault="009D5C58" w:rsidP="009D5C58">
      <w:pPr>
        <w:rPr>
          <w:rFonts w:ascii="Cambria" w:hAnsi="Cambria"/>
        </w:rPr>
      </w:pPr>
      <w:r>
        <w:rPr>
          <w:rFonts w:ascii="Cambria" w:hAnsi="Cambria"/>
        </w:rPr>
        <w:lastRenderedPageBreak/>
        <w:t>R v. Denton, Crim LR 130 (1981). [online] Accessible at: R-v-</w:t>
      </w:r>
      <w:proofErr w:type="spellStart"/>
      <w:r>
        <w:rPr>
          <w:rFonts w:ascii="Cambria" w:hAnsi="Cambria"/>
        </w:rPr>
        <w:t>Denton.php</w:t>
      </w:r>
      <w:proofErr w:type="spellEnd"/>
      <w:r>
        <w:rPr>
          <w:rFonts w:ascii="Cambria" w:hAnsi="Cambria"/>
        </w:rPr>
        <w:t xml:space="preserve"> (www.e-lawresources.co.uk). [Retrieved on May 4, 2023].</w:t>
      </w:r>
    </w:p>
    <w:p w14:paraId="4D9E0EDA" w14:textId="77777777" w:rsidR="009D5C58" w:rsidRDefault="009D5C58" w:rsidP="009D5C58">
      <w:pPr>
        <w:rPr>
          <w:rFonts w:ascii="Cambria" w:hAnsi="Cambria"/>
        </w:rPr>
      </w:pPr>
      <w:r>
        <w:rPr>
          <w:rFonts w:ascii="Cambria" w:hAnsi="Cambria"/>
        </w:rPr>
        <w:t xml:space="preserve">"R v Golds (2016) EWCA Crim </w:t>
      </w:r>
      <w:proofErr w:type="gramStart"/>
      <w:r>
        <w:rPr>
          <w:rFonts w:ascii="Cambria" w:hAnsi="Cambria"/>
        </w:rPr>
        <w:t>1309,.</w:t>
      </w:r>
      <w:proofErr w:type="gramEnd"/>
      <w:r>
        <w:rPr>
          <w:rFonts w:ascii="Cambria" w:hAnsi="Cambria"/>
        </w:rPr>
        <w:t>" [online] It is possible to see this document at: https://www.supremecourt.uk/cases/docs/uksc-2015-0053-press-summary.pdf [Retrieved on May 4, 2023].</w:t>
      </w:r>
    </w:p>
    <w:p w14:paraId="43ACACF1" w14:textId="77777777" w:rsidR="009D5C58" w:rsidRDefault="009D5C58" w:rsidP="009D5C58">
      <w:pPr>
        <w:rPr>
          <w:rFonts w:ascii="Cambria" w:hAnsi="Cambria"/>
        </w:rPr>
      </w:pPr>
      <w:r>
        <w:rPr>
          <w:rFonts w:ascii="Cambria" w:hAnsi="Cambria"/>
        </w:rPr>
        <w:t>"R v. Gladstone Williams," AC 225 (1984). [online] You may get it at: https://www.e-lawresources.co.uk/R-v-Gladstone-Williams.php. [Retrieved on May 4, 2023].</w:t>
      </w:r>
    </w:p>
    <w:p w14:paraId="52737B08" w14:textId="77777777" w:rsidR="009D5C58" w:rsidRDefault="009D5C58" w:rsidP="009D5C58">
      <w:pPr>
        <w:rPr>
          <w:rFonts w:ascii="Cambria" w:hAnsi="Cambria"/>
        </w:rPr>
      </w:pPr>
      <w:r>
        <w:rPr>
          <w:rFonts w:ascii="Cambria" w:hAnsi="Cambria"/>
        </w:rPr>
        <w:t>The case is R v. Ahluwalia (1992), 4 All ER 889. You may get it at: https://www.lawteacher.net/cases/r-v-ahluwalia.php [Retrieved on May 4, 2023].</w:t>
      </w:r>
    </w:p>
    <w:p w14:paraId="3343C7CF" w14:textId="77777777" w:rsidR="009D5C58" w:rsidRDefault="009D5C58" w:rsidP="009D5C58">
      <w:pPr>
        <w:rPr>
          <w:rFonts w:ascii="Cambria" w:hAnsi="Cambria"/>
        </w:rPr>
      </w:pPr>
      <w:r>
        <w:rPr>
          <w:rFonts w:ascii="Cambria" w:hAnsi="Cambria"/>
        </w:rPr>
        <w:t>R v.  Ireland and Burstow, (1997) 150 A.C. [online] You may access it at: https://www.lawteacher.net/cases/r-v-Ireland-and-Burstow.php [Retrieved on May 4, 2023].</w:t>
      </w:r>
    </w:p>
    <w:p w14:paraId="4A552B3D" w14:textId="77777777" w:rsidR="009D5C58" w:rsidRDefault="009D5C58" w:rsidP="009D5C58">
      <w:pPr>
        <w:rPr>
          <w:rFonts w:ascii="Cambria" w:hAnsi="Cambria"/>
        </w:rPr>
      </w:pPr>
      <w:r>
        <w:rPr>
          <w:rFonts w:ascii="Cambria" w:hAnsi="Cambria"/>
        </w:rPr>
        <w:t>R v. Quick, 1 WLR 1220 (1973). [online] accessible at: e-lawresources.co.uk/cases/R-v-</w:t>
      </w:r>
      <w:proofErr w:type="spellStart"/>
      <w:r>
        <w:rPr>
          <w:rFonts w:ascii="Cambria" w:hAnsi="Cambria"/>
        </w:rPr>
        <w:t>Quick.php</w:t>
      </w:r>
      <w:proofErr w:type="spellEnd"/>
      <w:r>
        <w:rPr>
          <w:rFonts w:ascii="Cambria" w:hAnsi="Cambria"/>
        </w:rPr>
        <w:t xml:space="preserve"> [Retrieved on May 4, 2023].</w:t>
      </w:r>
    </w:p>
    <w:p w14:paraId="4068913C" w14:textId="77777777" w:rsidR="009D5C58" w:rsidRDefault="009D5C58" w:rsidP="009D5C58">
      <w:pPr>
        <w:rPr>
          <w:rFonts w:ascii="Cambria" w:hAnsi="Cambria"/>
        </w:rPr>
      </w:pPr>
      <w:r>
        <w:rPr>
          <w:rFonts w:ascii="Cambria" w:hAnsi="Cambria"/>
        </w:rPr>
        <w:t>R v. Smith, 1 WLR 1288 (1974). [online] You may get it at: https://www.lawteacher.net/cases/r-v-smith-1974.php [Retrieved on May 4, 2023].</w:t>
      </w:r>
    </w:p>
    <w:p w14:paraId="06988EFB" w14:textId="77777777" w:rsidR="009D5C58" w:rsidRDefault="009D5C58" w:rsidP="009D5C58">
      <w:pPr>
        <w:rPr>
          <w:rFonts w:ascii="Cambria" w:hAnsi="Cambria"/>
        </w:rPr>
      </w:pPr>
      <w:r>
        <w:rPr>
          <w:rFonts w:ascii="Cambria" w:hAnsi="Cambria"/>
        </w:rPr>
        <w:t>R v. Sullivan, 80 Cr App R 68 (1984). [online] Easily accessible at: https://simplestuding.com/r-v-sullivan-1984-1-ac-156. [Retrieved on May 4, 2023].</w:t>
      </w:r>
    </w:p>
    <w:p w14:paraId="25B1E10B" w14:textId="77777777" w:rsidR="009D5C58" w:rsidRDefault="009D5C58" w:rsidP="009D5C58">
      <w:pPr>
        <w:rPr>
          <w:rFonts w:ascii="Cambria" w:hAnsi="Cambria"/>
        </w:rPr>
      </w:pPr>
      <w:proofErr w:type="spellStart"/>
      <w:r>
        <w:rPr>
          <w:rFonts w:ascii="Cambria" w:hAnsi="Cambria"/>
        </w:rPr>
        <w:t>Woollin</w:t>
      </w:r>
      <w:proofErr w:type="spellEnd"/>
      <w:r>
        <w:rPr>
          <w:rFonts w:ascii="Cambria" w:hAnsi="Cambria"/>
        </w:rPr>
        <w:t>, R v. (1999), AC 82. [online] Easily accessible at: https://lawprof.co/criminal-law/general-part-cases/r-v-woollin-1999-1-ac-82 [Retrieved on May 4, 2023].</w:t>
      </w:r>
    </w:p>
    <w:p w14:paraId="5FA1FE15" w14:textId="77777777" w:rsidR="009D5C58" w:rsidRDefault="009D5C58" w:rsidP="00DB4303">
      <w:pPr>
        <w:rPr>
          <w:rFonts w:ascii="Cambria" w:hAnsi="Cambria"/>
        </w:rPr>
      </w:pPr>
    </w:p>
    <w:p w14:paraId="68317676" w14:textId="77777777" w:rsidR="00DB4303" w:rsidRDefault="00DB4303" w:rsidP="00DB4303">
      <w:pPr>
        <w:rPr>
          <w:rFonts w:ascii="Cambria" w:hAnsi="Cambria"/>
        </w:rPr>
      </w:pPr>
    </w:p>
    <w:p w14:paraId="04C3C22A" w14:textId="77777777" w:rsidR="00DB4303" w:rsidRDefault="00DB4303" w:rsidP="00DB4303">
      <w:pPr>
        <w:rPr>
          <w:rFonts w:ascii="Cambria" w:hAnsi="Cambria"/>
        </w:rPr>
      </w:pPr>
    </w:p>
    <w:p w14:paraId="7D1FE4C0" w14:textId="77777777" w:rsidR="00980E80" w:rsidRDefault="00000000"/>
    <w:sectPr w:rsidR="00980E80">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A0F"/>
    <w:rsid w:val="00084780"/>
    <w:rsid w:val="002F5493"/>
    <w:rsid w:val="003354A3"/>
    <w:rsid w:val="00376BC8"/>
    <w:rsid w:val="004B0971"/>
    <w:rsid w:val="0075491F"/>
    <w:rsid w:val="00775A94"/>
    <w:rsid w:val="009D5C58"/>
    <w:rsid w:val="00B52245"/>
    <w:rsid w:val="00C55D21"/>
    <w:rsid w:val="00DB4303"/>
    <w:rsid w:val="00E42A0F"/>
    <w:rsid w:val="00F32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7836B"/>
  <w15:chartTrackingRefBased/>
  <w15:docId w15:val="{4F28F582-EFE2-4134-9C63-CDDC8A14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A0F"/>
    <w:pPr>
      <w:suppressAutoHyphens/>
      <w:autoSpaceDN w:val="0"/>
      <w:spacing w:line="254"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25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1865</Words>
  <Characters>10635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6</cp:revision>
  <dcterms:created xsi:type="dcterms:W3CDTF">2023-07-12T23:01:00Z</dcterms:created>
  <dcterms:modified xsi:type="dcterms:W3CDTF">2023-07-13T01:33:00Z</dcterms:modified>
</cp:coreProperties>
</file>