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3893A431" w14:textId="77777777" w:rsidR="002E0E42" w:rsidRDefault="002E0E42" w:rsidP="006F6E56">
      <w:pPr>
        <w:pStyle w:val="p1"/>
        <w:rPr>
          <w:b/>
          <w:bCs/>
          <w:i/>
          <w:iCs/>
          <w:sz w:val="44"/>
          <w:szCs w:val="44"/>
        </w:rPr>
      </w:pPr>
    </w:p>
    <w:p w14:paraId="396A8E9F" w14:textId="77777777" w:rsidR="002E0E42" w:rsidRDefault="002E0E42" w:rsidP="006F6E56">
      <w:pPr>
        <w:pStyle w:val="p1"/>
        <w:rPr>
          <w:b/>
          <w:bCs/>
          <w:i/>
          <w:iCs/>
          <w:sz w:val="44"/>
          <w:szCs w:val="44"/>
        </w:rPr>
      </w:pPr>
    </w:p>
    <w:p w14:paraId="18A1B3C5" w14:textId="77777777" w:rsidR="002E0E42" w:rsidRDefault="002E0E42" w:rsidP="006F6E56">
      <w:pPr>
        <w:pStyle w:val="p1"/>
        <w:rPr>
          <w:b/>
          <w:bCs/>
          <w:i/>
          <w:iCs/>
          <w:sz w:val="44"/>
          <w:szCs w:val="44"/>
        </w:rPr>
      </w:pPr>
    </w:p>
    <w:p w14:paraId="0436C951" w14:textId="77777777" w:rsidR="002E0E42" w:rsidRDefault="002E0E42" w:rsidP="006F6E56">
      <w:pPr>
        <w:pStyle w:val="p1"/>
        <w:rPr>
          <w:b/>
          <w:bCs/>
          <w:i/>
          <w:iCs/>
          <w:sz w:val="44"/>
          <w:szCs w:val="44"/>
        </w:rPr>
      </w:pPr>
    </w:p>
    <w:p w14:paraId="4E500C82" w14:textId="0E7A485D" w:rsidR="006F6E56" w:rsidRPr="00CF1C85" w:rsidRDefault="006F6E56" w:rsidP="006F6E56">
      <w:pPr>
        <w:pStyle w:val="p1"/>
        <w:rPr>
          <w:b/>
          <w:bCs/>
          <w:i/>
          <w:iCs/>
          <w:sz w:val="44"/>
          <w:szCs w:val="44"/>
        </w:rPr>
      </w:pPr>
      <w:r w:rsidRPr="00CF1C85">
        <w:rPr>
          <w:b/>
          <w:bCs/>
          <w:i/>
          <w:iCs/>
          <w:sz w:val="44"/>
          <w:szCs w:val="44"/>
        </w:rPr>
        <w:t>Assignment Title: Component 2: Written</w:t>
      </w:r>
    </w:p>
    <w:p w14:paraId="6FFCC72B" w14:textId="77777777" w:rsidR="006F6E56" w:rsidRPr="00CF1C85" w:rsidRDefault="006F6E56" w:rsidP="006F6E56">
      <w:pPr>
        <w:pStyle w:val="p1"/>
        <w:rPr>
          <w:b/>
          <w:bCs/>
          <w:i/>
          <w:iCs/>
          <w:sz w:val="44"/>
          <w:szCs w:val="44"/>
        </w:rPr>
      </w:pPr>
      <w:r w:rsidRPr="00CF1C85">
        <w:rPr>
          <w:b/>
          <w:bCs/>
          <w:i/>
          <w:iCs/>
          <w:sz w:val="44"/>
          <w:szCs w:val="44"/>
        </w:rPr>
        <w:t>Assignment (Essay)</w:t>
      </w: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042D29FE"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ED5195">
        <w:rPr>
          <w:rFonts w:ascii="Arial" w:hAnsi="Arial" w:cs="Arial"/>
          <w:sz w:val="28"/>
          <w:szCs w:val="28"/>
          <w:lang w:val="nl-NL"/>
        </w:rPr>
        <w:t xml:space="preserve"> Helen May E Frial</w:t>
      </w:r>
    </w:p>
    <w:p w14:paraId="18D88AE2" w14:textId="3DE94E4F"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ED5195">
        <w:rPr>
          <w:rFonts w:ascii="Arial" w:hAnsi="Arial" w:cs="Arial"/>
          <w:sz w:val="28"/>
          <w:szCs w:val="28"/>
          <w:lang w:val="nl-NL"/>
        </w:rPr>
        <w:t>2430209</w:t>
      </w:r>
    </w:p>
    <w:p w14:paraId="4654C81C" w14:textId="77777777" w:rsidR="00C558B0" w:rsidRPr="00810F6A" w:rsidRDefault="00C558B0" w:rsidP="00C558B0">
      <w:pPr>
        <w:tabs>
          <w:tab w:val="left" w:pos="6540"/>
        </w:tabs>
        <w:spacing w:line="360" w:lineRule="auto"/>
        <w:rPr>
          <w:rFonts w:ascii="Arial" w:hAnsi="Arial" w:cs="Arial"/>
          <w:sz w:val="28"/>
          <w:szCs w:val="28"/>
          <w:lang w:val="nl-NL"/>
        </w:rPr>
      </w:pPr>
    </w:p>
    <w:p w14:paraId="7BC780BE" w14:textId="77777777" w:rsidR="006F6E56" w:rsidRPr="00810F6A" w:rsidRDefault="00C558B0" w:rsidP="006F6E56">
      <w:pPr>
        <w:pStyle w:val="p1"/>
        <w:rPr>
          <w:sz w:val="28"/>
          <w:szCs w:val="28"/>
        </w:rPr>
      </w:pPr>
      <w:r w:rsidRPr="00810F6A">
        <w:rPr>
          <w:b/>
          <w:bCs/>
          <w:sz w:val="28"/>
          <w:szCs w:val="28"/>
          <w:lang w:val="nl-NL"/>
        </w:rPr>
        <w:t>Module name</w:t>
      </w:r>
      <w:r w:rsidRPr="00810F6A">
        <w:rPr>
          <w:sz w:val="28"/>
          <w:szCs w:val="28"/>
          <w:lang w:val="nl-NL"/>
        </w:rPr>
        <w:t xml:space="preserve">: </w:t>
      </w:r>
      <w:r w:rsidR="006F6E56" w:rsidRPr="00810F6A">
        <w:rPr>
          <w:b/>
          <w:bCs/>
          <w:sz w:val="28"/>
          <w:szCs w:val="28"/>
        </w:rPr>
        <w:t>BSc (Hons) Health and Social Care</w:t>
      </w:r>
    </w:p>
    <w:p w14:paraId="2FA2FDDF" w14:textId="77777777" w:rsidR="006F6E56" w:rsidRPr="00810F6A" w:rsidRDefault="006F6E56" w:rsidP="006F6E56">
      <w:pPr>
        <w:pStyle w:val="p1"/>
        <w:rPr>
          <w:sz w:val="28"/>
          <w:szCs w:val="28"/>
        </w:rPr>
      </w:pPr>
      <w:r w:rsidRPr="00810F6A">
        <w:rPr>
          <w:b/>
          <w:bCs/>
          <w:sz w:val="28"/>
          <w:szCs w:val="28"/>
        </w:rPr>
        <w:t>Module: Principles of Health and Social Care Practice</w:t>
      </w:r>
    </w:p>
    <w:p w14:paraId="1AF22FCD" w14:textId="77777777" w:rsidR="006F6E56" w:rsidRPr="00810F6A" w:rsidRDefault="006F6E56" w:rsidP="006F6E56">
      <w:pPr>
        <w:pStyle w:val="p1"/>
        <w:rPr>
          <w:sz w:val="28"/>
          <w:szCs w:val="28"/>
        </w:rPr>
      </w:pPr>
      <w:r w:rsidRPr="00810F6A">
        <w:rPr>
          <w:b/>
          <w:bCs/>
          <w:sz w:val="28"/>
          <w:szCs w:val="28"/>
        </w:rPr>
        <w:t>Module code: BMHP5016</w:t>
      </w:r>
      <w:r w:rsidRPr="00810F6A">
        <w:rPr>
          <w:sz w:val="28"/>
          <w:szCs w:val="28"/>
        </w:rPr>
        <w:t xml:space="preserve"> </w:t>
      </w:r>
      <w:r w:rsidRPr="00810F6A">
        <w:rPr>
          <w:b/>
          <w:bCs/>
          <w:sz w:val="28"/>
          <w:szCs w:val="28"/>
        </w:rPr>
        <w:t>Contribution to</w:t>
      </w:r>
    </w:p>
    <w:p w14:paraId="55145344" w14:textId="77777777" w:rsidR="006F6E56" w:rsidRPr="00810F6A" w:rsidRDefault="006F6E56" w:rsidP="006F6E56">
      <w:pPr>
        <w:pStyle w:val="p1"/>
        <w:rPr>
          <w:sz w:val="28"/>
          <w:szCs w:val="28"/>
        </w:rPr>
      </w:pPr>
      <w:r w:rsidRPr="00810F6A">
        <w:rPr>
          <w:b/>
          <w:bCs/>
          <w:sz w:val="28"/>
          <w:szCs w:val="28"/>
        </w:rPr>
        <w:t xml:space="preserve">Lecturer: </w:t>
      </w:r>
      <w:r w:rsidRPr="00810F6A">
        <w:rPr>
          <w:rStyle w:val="s1"/>
          <w:sz w:val="28"/>
          <w:szCs w:val="28"/>
        </w:rPr>
        <w:t>Weekday</w:t>
      </w:r>
    </w:p>
    <w:p w14:paraId="428BC64A" w14:textId="29966D24" w:rsidR="006F6E56" w:rsidRPr="00810F6A" w:rsidRDefault="006F6E56" w:rsidP="00810F6A">
      <w:pPr>
        <w:pStyle w:val="p2"/>
        <w:rPr>
          <w:b/>
          <w:bCs/>
          <w:sz w:val="28"/>
          <w:szCs w:val="28"/>
        </w:rPr>
      </w:pPr>
      <w:r w:rsidRPr="00810F6A">
        <w:rPr>
          <w:b/>
          <w:bCs/>
          <w:sz w:val="28"/>
          <w:szCs w:val="28"/>
        </w:rPr>
        <w:t xml:space="preserve">G1: Dr </w:t>
      </w:r>
      <w:proofErr w:type="spellStart"/>
      <w:r w:rsidRPr="00810F6A">
        <w:rPr>
          <w:b/>
          <w:bCs/>
          <w:sz w:val="28"/>
          <w:szCs w:val="28"/>
        </w:rPr>
        <w:t>Itse</w:t>
      </w:r>
      <w:proofErr w:type="spellEnd"/>
      <w:r w:rsidRPr="00810F6A">
        <w:rPr>
          <w:b/>
          <w:bCs/>
          <w:sz w:val="28"/>
          <w:szCs w:val="28"/>
        </w:rPr>
        <w:t xml:space="preserve"> Olaoye </w:t>
      </w:r>
    </w:p>
    <w:p w14:paraId="7EE7152B" w14:textId="0EF1111B" w:rsidR="006F6E56" w:rsidRPr="00810F6A" w:rsidRDefault="006F6E56" w:rsidP="006F6E56">
      <w:pPr>
        <w:pStyle w:val="p1"/>
        <w:rPr>
          <w:sz w:val="28"/>
          <w:szCs w:val="28"/>
        </w:rPr>
      </w:pPr>
    </w:p>
    <w:p w14:paraId="37130BAE" w14:textId="77777777" w:rsidR="00F06F8F" w:rsidRDefault="00F06F8F" w:rsidP="00270253">
      <w:pPr>
        <w:pStyle w:val="Heading1"/>
        <w:spacing w:line="360" w:lineRule="auto"/>
        <w:rPr>
          <w:rFonts w:ascii="Arial" w:hAnsi="Arial" w:cs="Arial"/>
          <w:i/>
          <w:iCs/>
          <w:color w:val="000000"/>
          <w:sz w:val="28"/>
          <w:szCs w:val="28"/>
        </w:rPr>
      </w:pPr>
    </w:p>
    <w:p w14:paraId="3FCA1389" w14:textId="77777777" w:rsidR="00F06F8F" w:rsidRDefault="00F06F8F" w:rsidP="00270253">
      <w:pPr>
        <w:pStyle w:val="Heading1"/>
        <w:spacing w:line="360" w:lineRule="auto"/>
        <w:rPr>
          <w:rFonts w:ascii="Arial" w:hAnsi="Arial" w:cs="Arial"/>
          <w:i/>
          <w:iCs/>
          <w:color w:val="000000"/>
          <w:sz w:val="28"/>
          <w:szCs w:val="28"/>
        </w:rPr>
      </w:pPr>
    </w:p>
    <w:p w14:paraId="5CB3A1D8" w14:textId="77777777" w:rsidR="00F06F8F" w:rsidRDefault="00F06F8F" w:rsidP="00270253">
      <w:pPr>
        <w:pStyle w:val="Heading1"/>
        <w:spacing w:line="360" w:lineRule="auto"/>
        <w:rPr>
          <w:rFonts w:ascii="Arial" w:hAnsi="Arial" w:cs="Arial"/>
          <w:i/>
          <w:iCs/>
          <w:color w:val="000000"/>
          <w:sz w:val="28"/>
          <w:szCs w:val="28"/>
        </w:rPr>
      </w:pPr>
    </w:p>
    <w:p w14:paraId="37FE5AE3" w14:textId="77777777" w:rsidR="00F06F8F" w:rsidRDefault="00F06F8F" w:rsidP="00270253">
      <w:pPr>
        <w:pStyle w:val="Heading1"/>
        <w:spacing w:line="360" w:lineRule="auto"/>
        <w:rPr>
          <w:rFonts w:ascii="Arial" w:hAnsi="Arial" w:cs="Arial"/>
          <w:i/>
          <w:iCs/>
          <w:color w:val="000000"/>
          <w:sz w:val="28"/>
          <w:szCs w:val="28"/>
        </w:rPr>
      </w:pPr>
    </w:p>
    <w:p w14:paraId="54FA94DA" w14:textId="77777777" w:rsidR="00F06F8F" w:rsidRDefault="00F06F8F" w:rsidP="00270253">
      <w:pPr>
        <w:pStyle w:val="Heading1"/>
        <w:spacing w:line="360" w:lineRule="auto"/>
        <w:rPr>
          <w:rFonts w:ascii="Arial" w:hAnsi="Arial" w:cs="Arial"/>
          <w:i/>
          <w:iCs/>
          <w:color w:val="000000"/>
          <w:sz w:val="28"/>
          <w:szCs w:val="28"/>
        </w:rPr>
      </w:pPr>
    </w:p>
    <w:p w14:paraId="625D18A9" w14:textId="77777777" w:rsidR="00F06F8F" w:rsidRDefault="00F06F8F" w:rsidP="00270253">
      <w:pPr>
        <w:pStyle w:val="Heading1"/>
        <w:spacing w:line="360" w:lineRule="auto"/>
        <w:rPr>
          <w:rFonts w:ascii="Arial" w:hAnsi="Arial" w:cs="Arial"/>
          <w:i/>
          <w:iCs/>
          <w:color w:val="000000"/>
          <w:sz w:val="28"/>
          <w:szCs w:val="28"/>
        </w:rPr>
      </w:pPr>
    </w:p>
    <w:p w14:paraId="04321547" w14:textId="77777777" w:rsidR="00F06F8F" w:rsidRDefault="00F06F8F" w:rsidP="00270253">
      <w:pPr>
        <w:pStyle w:val="Heading1"/>
        <w:spacing w:line="360" w:lineRule="auto"/>
        <w:rPr>
          <w:rFonts w:ascii="Arial" w:hAnsi="Arial" w:cs="Arial"/>
          <w:i/>
          <w:iCs/>
          <w:color w:val="000000"/>
          <w:sz w:val="28"/>
          <w:szCs w:val="28"/>
        </w:rPr>
      </w:pPr>
    </w:p>
    <w:p w14:paraId="19CB0E60" w14:textId="282D6F5C" w:rsidR="00271973" w:rsidRPr="005A1FF9" w:rsidRDefault="00271973" w:rsidP="005A1FF9">
      <w:pPr>
        <w:spacing w:line="360" w:lineRule="auto"/>
        <w:rPr>
          <w:rFonts w:ascii="Arial" w:hAnsi="Arial" w:cs="Arial"/>
          <w:color w:val="000000"/>
          <w:sz w:val="22"/>
        </w:rPr>
      </w:pPr>
    </w:p>
    <w:p w14:paraId="1C7C8419" w14:textId="77777777" w:rsidR="00271973" w:rsidRPr="009E0093" w:rsidRDefault="00271973" w:rsidP="005A1FF9">
      <w:pPr>
        <w:pStyle w:val="Heading1"/>
        <w:spacing w:line="360" w:lineRule="auto"/>
        <w:rPr>
          <w:rFonts w:ascii="Arial" w:hAnsi="Arial" w:cs="Arial"/>
          <w:i/>
          <w:iCs/>
          <w:color w:val="000000"/>
          <w:sz w:val="28"/>
          <w:szCs w:val="28"/>
          <w:u w:val="single"/>
        </w:rPr>
      </w:pPr>
      <w:r w:rsidRPr="009E0093">
        <w:rPr>
          <w:rFonts w:ascii="Arial" w:hAnsi="Arial" w:cs="Arial"/>
          <w:i/>
          <w:iCs/>
          <w:color w:val="000000"/>
          <w:sz w:val="28"/>
          <w:szCs w:val="28"/>
          <w:u w:val="single"/>
        </w:rPr>
        <w:t>Ethics of Care in Health and Social Care</w:t>
      </w:r>
    </w:p>
    <w:p w14:paraId="6FE47671" w14:textId="77777777" w:rsidR="00271973" w:rsidRPr="009E0093" w:rsidRDefault="00271973" w:rsidP="005A1FF9">
      <w:pPr>
        <w:pStyle w:val="Heading2"/>
        <w:spacing w:line="360" w:lineRule="auto"/>
        <w:rPr>
          <w:rFonts w:ascii="Arial" w:hAnsi="Arial" w:cs="Arial"/>
          <w:i/>
          <w:iCs/>
          <w:color w:val="000000"/>
          <w:sz w:val="28"/>
          <w:szCs w:val="28"/>
        </w:rPr>
      </w:pPr>
      <w:r w:rsidRPr="009E0093">
        <w:rPr>
          <w:rFonts w:ascii="Arial" w:hAnsi="Arial" w:cs="Arial"/>
          <w:i/>
          <w:iCs/>
          <w:color w:val="000000"/>
          <w:sz w:val="28"/>
          <w:szCs w:val="28"/>
        </w:rPr>
        <w:t>Introduction</w:t>
      </w:r>
    </w:p>
    <w:p w14:paraId="2AA0B235"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Ethics of care is a theory that focuses on relationships, responsibility and the way people respond to the needs of others. It suggests that good care is not only about following laws, policies or professional rules. It is also about understanding the person, listening to them and considering their feelings, wishes and situation. This makes ethics of care closely linked to person-centred care, because both approaches aim to see the individual as a whole person rather than only as a patient, diagnosis or task. It is useful because it reminds professionals that people do not experience care in the same way, even when they have similar conditions, and that personal values should influence decisions wherever this is safe and possible.</w:t>
      </w:r>
    </w:p>
    <w:p w14:paraId="71E156F8"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 xml:space="preserve">This theory is important in health and social care because many people who use services may be vulnerable, dependent on others or unable to explain their needs easily. A person may receive treatment that is technically correct but still feel ignored, rushed or disrespected. Ethics of care is needed because rules alone cannot always respond to the different circumstances of </w:t>
      </w:r>
      <w:proofErr w:type="gramStart"/>
      <w:r w:rsidRPr="005A1FF9">
        <w:rPr>
          <w:rFonts w:ascii="Arial" w:hAnsi="Arial" w:cs="Arial"/>
          <w:color w:val="000000"/>
          <w:sz w:val="22"/>
          <w:szCs w:val="22"/>
        </w:rPr>
        <w:t>each individual</w:t>
      </w:r>
      <w:proofErr w:type="gramEnd"/>
      <w:r w:rsidRPr="005A1FF9">
        <w:rPr>
          <w:rFonts w:ascii="Arial" w:hAnsi="Arial" w:cs="Arial"/>
          <w:color w:val="000000"/>
          <w:sz w:val="22"/>
          <w:szCs w:val="22"/>
        </w:rPr>
        <w:t>. However, the theory also has weaknesses. A professional may become too controlling, emotionally involved or unfair if care is not balanced with rights, equality and professional boundaries.</w:t>
      </w:r>
    </w:p>
    <w:p w14:paraId="55AEAA44" w14:textId="4D42FD2D" w:rsidR="00DA0011" w:rsidRPr="00B120BF" w:rsidRDefault="00271973" w:rsidP="00B120BF">
      <w:pPr>
        <w:pStyle w:val="NormalWeb"/>
        <w:spacing w:line="360" w:lineRule="auto"/>
        <w:rPr>
          <w:rFonts w:ascii="Arial" w:hAnsi="Arial" w:cs="Arial"/>
          <w:color w:val="000000"/>
          <w:sz w:val="22"/>
          <w:szCs w:val="22"/>
        </w:rPr>
      </w:pPr>
      <w:r w:rsidRPr="005A1FF9">
        <w:rPr>
          <w:rFonts w:ascii="Arial" w:hAnsi="Arial" w:cs="Arial"/>
          <w:color w:val="000000"/>
          <w:sz w:val="22"/>
          <w:szCs w:val="22"/>
        </w:rPr>
        <w:t xml:space="preserve">This essay explains how ethics of care emerged and developed through the work of Carol Gilligan, Nel </w:t>
      </w:r>
      <w:proofErr w:type="spellStart"/>
      <w:r w:rsidRPr="005A1FF9">
        <w:rPr>
          <w:rFonts w:ascii="Arial" w:hAnsi="Arial" w:cs="Arial"/>
          <w:color w:val="000000"/>
          <w:sz w:val="22"/>
          <w:szCs w:val="22"/>
        </w:rPr>
        <w:t>Noddings</w:t>
      </w:r>
      <w:proofErr w:type="spellEnd"/>
      <w:r w:rsidRPr="005A1FF9">
        <w:rPr>
          <w:rFonts w:ascii="Arial" w:hAnsi="Arial" w:cs="Arial"/>
          <w:color w:val="000000"/>
          <w:sz w:val="22"/>
          <w:szCs w:val="22"/>
        </w:rPr>
        <w:t xml:space="preserve">, Joan </w:t>
      </w:r>
      <w:proofErr w:type="spellStart"/>
      <w:r w:rsidRPr="005A1FF9">
        <w:rPr>
          <w:rFonts w:ascii="Arial" w:hAnsi="Arial" w:cs="Arial"/>
          <w:color w:val="000000"/>
          <w:sz w:val="22"/>
          <w:szCs w:val="22"/>
        </w:rPr>
        <w:t>Tronto</w:t>
      </w:r>
      <w:proofErr w:type="spellEnd"/>
      <w:r w:rsidRPr="005A1FF9">
        <w:rPr>
          <w:rFonts w:ascii="Arial" w:hAnsi="Arial" w:cs="Arial"/>
          <w:color w:val="000000"/>
          <w:sz w:val="22"/>
          <w:szCs w:val="22"/>
        </w:rPr>
        <w:t xml:space="preserve"> and Virginia Held. It also discusses the main criticisms of the theory, how it has been applied in health and social care, the problems involved and recommendations for improving practice.</w:t>
      </w:r>
    </w:p>
    <w:p w14:paraId="5DA1ECAB" w14:textId="4D8A821E" w:rsidR="00271973" w:rsidRPr="009E0093" w:rsidRDefault="00271973" w:rsidP="005A1FF9">
      <w:pPr>
        <w:pStyle w:val="Heading2"/>
        <w:spacing w:line="360" w:lineRule="auto"/>
        <w:rPr>
          <w:rFonts w:ascii="Arial" w:hAnsi="Arial" w:cs="Arial"/>
          <w:i/>
          <w:iCs/>
          <w:color w:val="000000"/>
          <w:sz w:val="28"/>
          <w:szCs w:val="28"/>
        </w:rPr>
      </w:pPr>
      <w:r w:rsidRPr="009E0093">
        <w:rPr>
          <w:rFonts w:ascii="Arial" w:hAnsi="Arial" w:cs="Arial"/>
          <w:i/>
          <w:iCs/>
          <w:color w:val="000000"/>
          <w:sz w:val="28"/>
          <w:szCs w:val="28"/>
        </w:rPr>
        <w:t>Development of Ethics of Care</w:t>
      </w:r>
    </w:p>
    <w:p w14:paraId="280153A2"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 xml:space="preserve">Ethics of care developed during the late twentieth century through feminist criticism of traditional moral theories. Older theories often focused on rules, justice, rights and </w:t>
      </w:r>
      <w:r w:rsidRPr="005A1FF9">
        <w:rPr>
          <w:rFonts w:ascii="Arial" w:hAnsi="Arial" w:cs="Arial"/>
          <w:color w:val="000000"/>
          <w:sz w:val="22"/>
          <w:szCs w:val="22"/>
        </w:rPr>
        <w:lastRenderedPageBreak/>
        <w:t xml:space="preserve">independent decision-making, while giving less attention to relationships, emotion and dependence. </w:t>
      </w:r>
      <w:proofErr w:type="gramStart"/>
      <w:r w:rsidRPr="005A1FF9">
        <w:rPr>
          <w:rFonts w:ascii="Arial" w:hAnsi="Arial" w:cs="Arial"/>
          <w:color w:val="000000"/>
          <w:sz w:val="22"/>
          <w:szCs w:val="22"/>
        </w:rPr>
        <w:t>In reality, everyone</w:t>
      </w:r>
      <w:proofErr w:type="gramEnd"/>
      <w:r w:rsidRPr="005A1FF9">
        <w:rPr>
          <w:rFonts w:ascii="Arial" w:hAnsi="Arial" w:cs="Arial"/>
          <w:color w:val="000000"/>
          <w:sz w:val="22"/>
          <w:szCs w:val="22"/>
        </w:rPr>
        <w:t xml:space="preserve"> depends on care at different stages of life.</w:t>
      </w:r>
    </w:p>
    <w:p w14:paraId="55F23CD3"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Carol Gilligan was one of the first major writers linked to ethics of care. In her book</w:t>
      </w:r>
      <w:r w:rsidRPr="005A1FF9">
        <w:rPr>
          <w:rStyle w:val="apple-converted-space"/>
          <w:rFonts w:ascii="Arial" w:hAnsi="Arial" w:cs="Arial"/>
          <w:color w:val="000000"/>
          <w:sz w:val="22"/>
          <w:szCs w:val="22"/>
        </w:rPr>
        <w:t> </w:t>
      </w:r>
      <w:r w:rsidRPr="005A1FF9">
        <w:rPr>
          <w:rStyle w:val="Emphasis"/>
          <w:rFonts w:ascii="Arial" w:hAnsi="Arial" w:cs="Arial"/>
          <w:color w:val="000000"/>
          <w:sz w:val="22"/>
          <w:szCs w:val="22"/>
        </w:rPr>
        <w:t>In a Different Voice</w:t>
      </w:r>
      <w:r w:rsidRPr="005A1FF9">
        <w:rPr>
          <w:rFonts w:ascii="Arial" w:hAnsi="Arial" w:cs="Arial"/>
          <w:color w:val="000000"/>
          <w:sz w:val="22"/>
          <w:szCs w:val="22"/>
        </w:rPr>
        <w:t>, she criticised Lawrence Kohlberg’s theory of moral development. Kohlberg’s research was mainly based on boys and men, but the results were treated as if they represented everyone. Gilligan argued that this approach did not give enough attention to moral thinking based on relationships, responsibility and avoiding harm to others (Gilligan, 1982).</w:t>
      </w:r>
    </w:p>
    <w:p w14:paraId="491455BA"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 xml:space="preserve">Gilligan described care-based thinking as a different moral voice rather than a weaker </w:t>
      </w:r>
      <w:proofErr w:type="spellStart"/>
      <w:r w:rsidRPr="005A1FF9">
        <w:rPr>
          <w:rFonts w:ascii="Arial" w:hAnsi="Arial" w:cs="Arial"/>
          <w:color w:val="000000"/>
          <w:sz w:val="22"/>
          <w:szCs w:val="22"/>
        </w:rPr>
        <w:t>one</w:t>
      </w:r>
      <w:proofErr w:type="spellEnd"/>
      <w:r w:rsidRPr="005A1FF9">
        <w:rPr>
          <w:rFonts w:ascii="Arial" w:hAnsi="Arial" w:cs="Arial"/>
          <w:color w:val="000000"/>
          <w:sz w:val="22"/>
          <w:szCs w:val="22"/>
        </w:rPr>
        <w:t>. A person may consider the relationships and effects involved instead of only applying a general rule. This is relevant because the same care decision may affect people differently.</w:t>
      </w:r>
    </w:p>
    <w:p w14:paraId="2C2989B4"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Nel Noddings developed the theory further by focusing on caring relationships. She argued that good care depends on the connection between the person giving care and the person receiving it. The caregiver needs to pay attention, listen and respond to the person’s actual needs (</w:t>
      </w:r>
      <w:proofErr w:type="spellStart"/>
      <w:r w:rsidRPr="005A1FF9">
        <w:rPr>
          <w:rFonts w:ascii="Arial" w:hAnsi="Arial" w:cs="Arial"/>
          <w:color w:val="000000"/>
          <w:sz w:val="22"/>
          <w:szCs w:val="22"/>
        </w:rPr>
        <w:t>Noddings</w:t>
      </w:r>
      <w:proofErr w:type="spellEnd"/>
      <w:r w:rsidRPr="005A1FF9">
        <w:rPr>
          <w:rFonts w:ascii="Arial" w:hAnsi="Arial" w:cs="Arial"/>
          <w:color w:val="000000"/>
          <w:sz w:val="22"/>
          <w:szCs w:val="22"/>
        </w:rPr>
        <w:t>, 1984). This suggests that care is more than completing practical duties. For example, giving medication correctly is important, but the way a worker speaks to the person and involves them also affects the quality of care.</w:t>
      </w:r>
    </w:p>
    <w:p w14:paraId="50947CA8"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 xml:space="preserve">However, </w:t>
      </w:r>
      <w:proofErr w:type="spellStart"/>
      <w:r w:rsidRPr="005A1FF9">
        <w:rPr>
          <w:rFonts w:ascii="Arial" w:hAnsi="Arial" w:cs="Arial"/>
          <w:color w:val="000000"/>
          <w:sz w:val="22"/>
          <w:szCs w:val="22"/>
        </w:rPr>
        <w:t>Noddings</w:t>
      </w:r>
      <w:proofErr w:type="spellEnd"/>
      <w:r w:rsidRPr="005A1FF9">
        <w:rPr>
          <w:rFonts w:ascii="Arial" w:hAnsi="Arial" w:cs="Arial"/>
          <w:color w:val="000000"/>
          <w:sz w:val="22"/>
          <w:szCs w:val="22"/>
        </w:rPr>
        <w:t xml:space="preserve"> mainly focused on close personal relationships. This created a problem because health and social care often takes place in large organisations where staff care for many people. A nurse or care worker may not have a close relationship with every individual. This meant that the theory needed to develop further so it could be used in professional and public services.</w:t>
      </w:r>
    </w:p>
    <w:p w14:paraId="6B7F10B2"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Joan Tronto expanded ethics of care beyond families and private relationships. She argued that care is also a political and social issue because caring work is not shared or valued equally. Women, working-class people and minority groups have often carried out a large amount of paid and unpaid care without enough recognition, power or fair pay (</w:t>
      </w:r>
      <w:proofErr w:type="spellStart"/>
      <w:r w:rsidRPr="005A1FF9">
        <w:rPr>
          <w:rFonts w:ascii="Arial" w:hAnsi="Arial" w:cs="Arial"/>
          <w:color w:val="000000"/>
          <w:sz w:val="22"/>
          <w:szCs w:val="22"/>
        </w:rPr>
        <w:t>Tronto</w:t>
      </w:r>
      <w:proofErr w:type="spellEnd"/>
      <w:r w:rsidRPr="005A1FF9">
        <w:rPr>
          <w:rFonts w:ascii="Arial" w:hAnsi="Arial" w:cs="Arial"/>
          <w:color w:val="000000"/>
          <w:sz w:val="22"/>
          <w:szCs w:val="22"/>
        </w:rPr>
        <w:t>, 1993).</w:t>
      </w:r>
    </w:p>
    <w:p w14:paraId="04B06A70" w14:textId="77777777" w:rsidR="00271973" w:rsidRPr="005A1FF9" w:rsidRDefault="00271973" w:rsidP="005A1FF9">
      <w:pPr>
        <w:pStyle w:val="NormalWeb"/>
        <w:spacing w:line="360" w:lineRule="auto"/>
        <w:rPr>
          <w:rFonts w:ascii="Arial" w:hAnsi="Arial" w:cs="Arial"/>
          <w:color w:val="000000"/>
          <w:sz w:val="22"/>
          <w:szCs w:val="22"/>
        </w:rPr>
      </w:pPr>
      <w:proofErr w:type="spellStart"/>
      <w:r w:rsidRPr="005A1FF9">
        <w:rPr>
          <w:rFonts w:ascii="Arial" w:hAnsi="Arial" w:cs="Arial"/>
          <w:color w:val="000000"/>
          <w:sz w:val="22"/>
          <w:szCs w:val="22"/>
        </w:rPr>
        <w:t>Tronto</w:t>
      </w:r>
      <w:proofErr w:type="spellEnd"/>
      <w:r w:rsidRPr="005A1FF9">
        <w:rPr>
          <w:rFonts w:ascii="Arial" w:hAnsi="Arial" w:cs="Arial"/>
          <w:color w:val="000000"/>
          <w:sz w:val="22"/>
          <w:szCs w:val="22"/>
        </w:rPr>
        <w:t xml:space="preserve"> identified four stages of care: noticing a need, accepting responsibility, providing care competently and considering the person’s response. These connect to attentiveness, responsibility, competence and responsiveness. Her model showed that good intentions are not enough; care must also be safe, skilled and reviewed.</w:t>
      </w:r>
    </w:p>
    <w:p w14:paraId="4E7606B7" w14:textId="77777777" w:rsidR="00B50116"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lastRenderedPageBreak/>
        <w:t>Virginia Held also helped develop the theory. She argued that ethics of care should not be limited to families or personal relationships. It should also influence healthcare, education, employment, politics and society more widely (Held, 2006). Held’s work showed that organisations and governments also have caring responsibilities, especially when their decisions affect people who rely on support.</w:t>
      </w:r>
    </w:p>
    <w:p w14:paraId="58919BF2" w14:textId="63299CEC"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Overall, ethics of care developed from a criticism of traditional male-centred moral theories into a wider theory about relationships, responsibility, inequality and social justice.</w:t>
      </w:r>
    </w:p>
    <w:p w14:paraId="651873F2" w14:textId="77777777" w:rsidR="00271973" w:rsidRPr="009E0093" w:rsidRDefault="00271973" w:rsidP="005A1FF9">
      <w:pPr>
        <w:pStyle w:val="Heading2"/>
        <w:spacing w:line="360" w:lineRule="auto"/>
        <w:rPr>
          <w:rFonts w:ascii="Arial" w:hAnsi="Arial" w:cs="Arial"/>
          <w:i/>
          <w:iCs/>
          <w:color w:val="000000"/>
          <w:sz w:val="28"/>
          <w:szCs w:val="28"/>
        </w:rPr>
      </w:pPr>
      <w:r w:rsidRPr="009E0093">
        <w:rPr>
          <w:rFonts w:ascii="Arial" w:hAnsi="Arial" w:cs="Arial"/>
          <w:i/>
          <w:iCs/>
          <w:color w:val="000000"/>
          <w:sz w:val="28"/>
          <w:szCs w:val="28"/>
        </w:rPr>
        <w:t>Criticisms and Responses</w:t>
      </w:r>
    </w:p>
    <w:p w14:paraId="7624ED5E"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One criticism is that early versions of ethics of care may suggest that women are naturally more caring than men. This could strengthen gender stereotypes and increase the expectation that women should provide unpaid or low-paid care. It may also ignore differences between women based on class, ethnicity, disability, culture and personal experience.</w:t>
      </w:r>
    </w:p>
    <w:p w14:paraId="01B322EB"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 xml:space="preserve">Later writers responded by arguing that care should be understood as a human and social responsibility rather than a female quality. </w:t>
      </w:r>
      <w:proofErr w:type="spellStart"/>
      <w:r w:rsidRPr="005A1FF9">
        <w:rPr>
          <w:rFonts w:ascii="Arial" w:hAnsi="Arial" w:cs="Arial"/>
          <w:color w:val="000000"/>
          <w:sz w:val="22"/>
          <w:szCs w:val="22"/>
        </w:rPr>
        <w:t>Tronto</w:t>
      </w:r>
      <w:proofErr w:type="spellEnd"/>
      <w:r w:rsidRPr="005A1FF9">
        <w:rPr>
          <w:rFonts w:ascii="Arial" w:hAnsi="Arial" w:cs="Arial"/>
          <w:color w:val="000000"/>
          <w:sz w:val="22"/>
          <w:szCs w:val="22"/>
        </w:rPr>
        <w:t xml:space="preserve"> focused on who provides care, who benefits from it and how caring work is valued (</w:t>
      </w:r>
      <w:proofErr w:type="spellStart"/>
      <w:r w:rsidRPr="005A1FF9">
        <w:rPr>
          <w:rFonts w:ascii="Arial" w:hAnsi="Arial" w:cs="Arial"/>
          <w:color w:val="000000"/>
          <w:sz w:val="22"/>
          <w:szCs w:val="22"/>
        </w:rPr>
        <w:t>Tronto</w:t>
      </w:r>
      <w:proofErr w:type="spellEnd"/>
      <w:r w:rsidRPr="005A1FF9">
        <w:rPr>
          <w:rFonts w:ascii="Arial" w:hAnsi="Arial" w:cs="Arial"/>
          <w:color w:val="000000"/>
          <w:sz w:val="22"/>
          <w:szCs w:val="22"/>
        </w:rPr>
        <w:t>, 1993). This response makes the theory more useful because it moves away from the idea that caring belongs mainly to women.</w:t>
      </w:r>
    </w:p>
    <w:p w14:paraId="504F36E9"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Another criticism is that relationships could lead to unfair treatment. A professional may give more attention to people they like or understand more easily. Ethics of care must therefore be balanced with justice, rights and consistent standards.</w:t>
      </w:r>
    </w:p>
    <w:p w14:paraId="09FA6290"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Held argued that care and justice do not have to be opposites. Rules and rights are still necessary, but rules alone may not respond properly to someone’s individual circumstances (Held, 2006). The principles of autonomy, beneficence, non-maleficence and justice can help create this balance. These principles support choice, wellbeing, avoidance of harm and fair treatment (Beauchamp and Childress, 2019).</w:t>
      </w:r>
    </w:p>
    <w:p w14:paraId="65A3F797"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Paternalism is another concern. This happens when a professional believes they know what is best and makes decisions without properly involving the person. The professional may believe they are acting with care, but the person can lose control over their own life.</w:t>
      </w:r>
    </w:p>
    <w:p w14:paraId="5E5E4E6B" w14:textId="77777777" w:rsidR="00271973" w:rsidRPr="005A1FF9" w:rsidRDefault="00271973" w:rsidP="005A1FF9">
      <w:pPr>
        <w:pStyle w:val="NormalWeb"/>
        <w:spacing w:line="360" w:lineRule="auto"/>
        <w:rPr>
          <w:rFonts w:ascii="Arial" w:hAnsi="Arial" w:cs="Arial"/>
          <w:color w:val="000000"/>
          <w:sz w:val="22"/>
          <w:szCs w:val="22"/>
        </w:rPr>
      </w:pPr>
      <w:proofErr w:type="spellStart"/>
      <w:r w:rsidRPr="005A1FF9">
        <w:rPr>
          <w:rFonts w:ascii="Arial" w:hAnsi="Arial" w:cs="Arial"/>
          <w:color w:val="000000"/>
          <w:sz w:val="22"/>
          <w:szCs w:val="22"/>
        </w:rPr>
        <w:lastRenderedPageBreak/>
        <w:t>Tronto’s</w:t>
      </w:r>
      <w:proofErr w:type="spellEnd"/>
      <w:r w:rsidRPr="005A1FF9">
        <w:rPr>
          <w:rFonts w:ascii="Arial" w:hAnsi="Arial" w:cs="Arial"/>
          <w:color w:val="000000"/>
          <w:sz w:val="22"/>
          <w:szCs w:val="22"/>
        </w:rPr>
        <w:t xml:space="preserve"> idea of responsiveness can help reduce paternalism because it requires professionals to listen to how the person experiences care. The Mental Capacity Act 2005 also states that adults should be assumed to have capacity unless there is evidence otherwise. People should be supported to make their own decisions, and any decision made in their best interests should use the least restrictive option (Great Britain, 2005).</w:t>
      </w:r>
    </w:p>
    <w:p w14:paraId="62F354A8"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People may still feel unable to challenge professionals because of differences in knowledge and power. Advocacy, clear information and accessible complaints procedures are therefore needed alongside caring relationships.</w:t>
      </w:r>
    </w:p>
    <w:p w14:paraId="186D1BB9" w14:textId="77777777" w:rsidR="00B120BF" w:rsidRDefault="00271973" w:rsidP="00B120BF">
      <w:pPr>
        <w:pStyle w:val="Heading2"/>
        <w:spacing w:line="360" w:lineRule="auto"/>
        <w:rPr>
          <w:rFonts w:ascii="Arial" w:hAnsi="Arial" w:cs="Arial"/>
          <w:i/>
          <w:iCs/>
          <w:color w:val="000000"/>
          <w:sz w:val="28"/>
          <w:szCs w:val="28"/>
        </w:rPr>
      </w:pPr>
      <w:r w:rsidRPr="009E0093">
        <w:rPr>
          <w:rFonts w:ascii="Arial" w:hAnsi="Arial" w:cs="Arial"/>
          <w:i/>
          <w:iCs/>
          <w:color w:val="000000"/>
          <w:sz w:val="28"/>
          <w:szCs w:val="28"/>
        </w:rPr>
        <w:t>Application in Health and Social Care Practice</w:t>
      </w:r>
    </w:p>
    <w:p w14:paraId="220CBAFE" w14:textId="6B50DE4D" w:rsidR="00271973" w:rsidRPr="00B120BF" w:rsidRDefault="00271973" w:rsidP="00B120BF">
      <w:pPr>
        <w:pStyle w:val="Heading2"/>
        <w:spacing w:line="360" w:lineRule="auto"/>
        <w:rPr>
          <w:rFonts w:ascii="Arial" w:hAnsi="Arial" w:cs="Arial"/>
          <w:i/>
          <w:iCs/>
          <w:color w:val="000000"/>
          <w:sz w:val="28"/>
          <w:szCs w:val="28"/>
        </w:rPr>
      </w:pPr>
      <w:r w:rsidRPr="005A1FF9">
        <w:rPr>
          <w:rFonts w:ascii="Arial" w:hAnsi="Arial" w:cs="Arial"/>
          <w:color w:val="000000"/>
          <w:sz w:val="22"/>
          <w:szCs w:val="22"/>
        </w:rPr>
        <w:t>Ethics of care can be seen clearly in person-centred and personalised care. NHS England explains that personalised care should give people choice and control and should begin with what matters to the individual, including their needs, strengths and circumstances (NHS England, n.d.-a).</w:t>
      </w:r>
    </w:p>
    <w:p w14:paraId="5D6E62C9"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Care plans should therefore be written with the person. For example, someone recovering from a stroke may value preparing meals independently more than reaching a target chosen by staff. Listening to this goal supports dignity and independence.</w:t>
      </w:r>
    </w:p>
    <w:p w14:paraId="6ED0A1EB"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Regulation 9 requires care to meet assessed needs, reflect preferences and involve people in decisions (CQC, 2025a). The Care Act 2014 places wellbeing at the centre of adult social care, including dignity, health, safety, control and relationships (Great Britain, 2014). These policies encourage services to consider the person’s whole life.</w:t>
      </w:r>
    </w:p>
    <w:p w14:paraId="54E09999"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However, person-centred care can become tokenistic. A service may write down a person’s wishes but fail to act on them because of limited staff, funding or time. Having a care plan does not always mean that the person had real influence over it.</w:t>
      </w:r>
    </w:p>
    <w:p w14:paraId="47716BB5"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Shared decision-making is another example. NICE describes it as professionals and individuals making decisions together after discussing choices, risks, benefits and consequences (NICE, 2021). Family members or advocates may be involved if the person wishes, but they should not replace the views of someone who has capacity. Choice may also be limited by waiting lists, funding and service availability.</w:t>
      </w:r>
    </w:p>
    <w:p w14:paraId="653DD286"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 xml:space="preserve">Accessible communication is also necessary. The Equality Act 2010 requires reasonable </w:t>
      </w:r>
      <w:proofErr w:type="gramStart"/>
      <w:r w:rsidRPr="005A1FF9">
        <w:rPr>
          <w:rFonts w:ascii="Arial" w:hAnsi="Arial" w:cs="Arial"/>
          <w:color w:val="000000"/>
          <w:sz w:val="22"/>
          <w:szCs w:val="22"/>
        </w:rPr>
        <w:t>adjustments</w:t>
      </w:r>
      <w:proofErr w:type="gramEnd"/>
      <w:r w:rsidRPr="005A1FF9">
        <w:rPr>
          <w:rFonts w:ascii="Arial" w:hAnsi="Arial" w:cs="Arial"/>
          <w:color w:val="000000"/>
          <w:sz w:val="22"/>
          <w:szCs w:val="22"/>
        </w:rPr>
        <w:t xml:space="preserve"> so disabled people are not placed at a substantial disadvantage (Great Britain, </w:t>
      </w:r>
      <w:r w:rsidRPr="005A1FF9">
        <w:rPr>
          <w:rFonts w:ascii="Arial" w:hAnsi="Arial" w:cs="Arial"/>
          <w:color w:val="000000"/>
          <w:sz w:val="22"/>
          <w:szCs w:val="22"/>
        </w:rPr>
        <w:lastRenderedPageBreak/>
        <w:t>2010). The Accessible Information Standard requires NHS and adult social care services to identify, record and meet people’s communication needs (NHS England, 2025).</w:t>
      </w:r>
    </w:p>
    <w:p w14:paraId="0FC23B5F"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Adjustments may include Easy Read information, large print, audio, interpreters or longer appointments. Without them, a person may appear to agree without fully understanding, meaning consent may not be genuinely informed.</w:t>
      </w:r>
    </w:p>
    <w:p w14:paraId="296C5313"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Ethics of care also supports multidisciplinary working between doctors, nurses, social workers, therapists and care workers. Guidance states that local authorities should consider the person’s needs and desired outcomes rather than fitting them into an existing service (Department of Health and Social Care, 2025). Teamwork can reduce repeated assessments and gaps in care, although unclear responsibilities and unsafe information sharing remain risks.</w:t>
      </w:r>
    </w:p>
    <w:p w14:paraId="3E3CE102" w14:textId="347F2373" w:rsidR="00DA0011" w:rsidRPr="00B120BF" w:rsidRDefault="00271973" w:rsidP="00B120BF">
      <w:pPr>
        <w:pStyle w:val="NormalWeb"/>
        <w:spacing w:line="360" w:lineRule="auto"/>
        <w:rPr>
          <w:rFonts w:ascii="Arial" w:hAnsi="Arial" w:cs="Arial"/>
          <w:color w:val="000000"/>
          <w:sz w:val="22"/>
          <w:szCs w:val="22"/>
        </w:rPr>
      </w:pPr>
      <w:r w:rsidRPr="005A1FF9">
        <w:rPr>
          <w:rFonts w:ascii="Arial" w:hAnsi="Arial" w:cs="Arial"/>
          <w:color w:val="000000"/>
          <w:sz w:val="22"/>
          <w:szCs w:val="22"/>
        </w:rPr>
        <w:t>Ethics of care is especially useful in palliative care, dementia services, mental health care and long-term conditions. Professionals may not be able to cure the condition, but they can reduce distress and protect dignity. End-of-life care may include discussions about preferences, advance planning and family involvement (NHS England, n.d.-b).</w:t>
      </w:r>
    </w:p>
    <w:p w14:paraId="301325E7" w14:textId="22B83A02" w:rsidR="00271973" w:rsidRPr="009E0093" w:rsidRDefault="00271973" w:rsidP="005A1FF9">
      <w:pPr>
        <w:pStyle w:val="Heading2"/>
        <w:spacing w:line="360" w:lineRule="auto"/>
        <w:rPr>
          <w:rFonts w:ascii="Arial" w:hAnsi="Arial" w:cs="Arial"/>
          <w:i/>
          <w:iCs/>
          <w:color w:val="000000"/>
          <w:sz w:val="28"/>
          <w:szCs w:val="28"/>
        </w:rPr>
      </w:pPr>
      <w:r w:rsidRPr="009E0093">
        <w:rPr>
          <w:rFonts w:ascii="Arial" w:hAnsi="Arial" w:cs="Arial"/>
          <w:i/>
          <w:iCs/>
          <w:color w:val="000000"/>
          <w:sz w:val="28"/>
          <w:szCs w:val="28"/>
        </w:rPr>
        <w:t>Problems in Practice</w:t>
      </w:r>
    </w:p>
    <w:p w14:paraId="69A1EE4D"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 xml:space="preserve">One major problem is limited staffing and time. Short appointments and high workloads can make care </w:t>
      </w:r>
      <w:proofErr w:type="gramStart"/>
      <w:r w:rsidRPr="005A1FF9">
        <w:rPr>
          <w:rFonts w:ascii="Arial" w:hAnsi="Arial" w:cs="Arial"/>
          <w:color w:val="000000"/>
          <w:sz w:val="22"/>
          <w:szCs w:val="22"/>
        </w:rPr>
        <w:t>task-focused</w:t>
      </w:r>
      <w:proofErr w:type="gramEnd"/>
      <w:r w:rsidRPr="005A1FF9">
        <w:rPr>
          <w:rFonts w:ascii="Arial" w:hAnsi="Arial" w:cs="Arial"/>
          <w:color w:val="000000"/>
          <w:sz w:val="22"/>
          <w:szCs w:val="22"/>
        </w:rPr>
        <w:t>. A worker may understand that someone needs more emotional support or time to communicate but may not be able to provide it.</w:t>
      </w:r>
    </w:p>
    <w:p w14:paraId="043FE295"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Regulation 18 requires providers to employ enough qualified and competent staff and to provide suitable training and supervision (CQC, 2025b). However, staff shortages and financial pressures can make this difficult.</w:t>
      </w:r>
    </w:p>
    <w:p w14:paraId="21E4231B"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Power differences are another problem. Professionals may control information and access to services, while individuals may worry that complaining will affect their care. This can make involvement appear stronger than it really is.</w:t>
      </w:r>
    </w:p>
    <w:p w14:paraId="48238665"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Cultural differences also need attention. People may have different views about illness, privacy, family responsibility and personal care. Professionals should ask what matters to each person instead of making assumptions based on culture or religion.</w:t>
      </w:r>
    </w:p>
    <w:p w14:paraId="15E7A464"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 xml:space="preserve">Funding and commissioning also affect care. Services may be judged mainly by cost, speed or the number of tasks completed. This can discourage workers from spending time listening </w:t>
      </w:r>
      <w:r w:rsidRPr="005A1FF9">
        <w:rPr>
          <w:rFonts w:ascii="Arial" w:hAnsi="Arial" w:cs="Arial"/>
          <w:color w:val="000000"/>
          <w:sz w:val="22"/>
          <w:szCs w:val="22"/>
        </w:rPr>
        <w:lastRenderedPageBreak/>
        <w:t>to people. Ethics of care is difficult to apply when organisations say relationships matter but mainly reward efficiency.</w:t>
      </w:r>
    </w:p>
    <w:p w14:paraId="3585ED8C" w14:textId="77777777" w:rsidR="00B50116" w:rsidRDefault="00B50116" w:rsidP="00B120BF">
      <w:pPr>
        <w:pStyle w:val="Heading2"/>
        <w:spacing w:line="360" w:lineRule="auto"/>
        <w:rPr>
          <w:rFonts w:ascii="Arial" w:hAnsi="Arial" w:cs="Arial"/>
          <w:i/>
          <w:iCs/>
          <w:color w:val="000000"/>
          <w:sz w:val="28"/>
          <w:szCs w:val="28"/>
        </w:rPr>
      </w:pPr>
    </w:p>
    <w:p w14:paraId="3329B34C" w14:textId="77777777" w:rsidR="00B50116" w:rsidRDefault="00B50116" w:rsidP="00B120BF">
      <w:pPr>
        <w:pStyle w:val="Heading2"/>
        <w:spacing w:line="360" w:lineRule="auto"/>
        <w:rPr>
          <w:rFonts w:ascii="Arial" w:hAnsi="Arial" w:cs="Arial"/>
          <w:i/>
          <w:iCs/>
          <w:color w:val="000000"/>
          <w:sz w:val="28"/>
          <w:szCs w:val="28"/>
        </w:rPr>
      </w:pPr>
    </w:p>
    <w:p w14:paraId="416BF5B6" w14:textId="6DF6E12F" w:rsidR="00B120BF" w:rsidRDefault="00271973" w:rsidP="00B120BF">
      <w:pPr>
        <w:pStyle w:val="Heading2"/>
        <w:spacing w:line="360" w:lineRule="auto"/>
        <w:rPr>
          <w:rFonts w:ascii="Arial" w:hAnsi="Arial" w:cs="Arial"/>
          <w:i/>
          <w:iCs/>
          <w:color w:val="000000"/>
          <w:sz w:val="28"/>
          <w:szCs w:val="28"/>
        </w:rPr>
      </w:pPr>
      <w:r w:rsidRPr="009E0093">
        <w:rPr>
          <w:rFonts w:ascii="Arial" w:hAnsi="Arial" w:cs="Arial"/>
          <w:i/>
          <w:iCs/>
          <w:color w:val="000000"/>
          <w:sz w:val="28"/>
          <w:szCs w:val="28"/>
        </w:rPr>
        <w:t>Recommendations for Policy and Practice</w:t>
      </w:r>
    </w:p>
    <w:p w14:paraId="3EAFD2F0" w14:textId="4892C3BD" w:rsidR="00DA0011" w:rsidRPr="00B120BF" w:rsidRDefault="00271973" w:rsidP="00B120BF">
      <w:pPr>
        <w:pStyle w:val="Heading2"/>
        <w:spacing w:line="360" w:lineRule="auto"/>
        <w:rPr>
          <w:rFonts w:ascii="Arial" w:hAnsi="Arial" w:cs="Arial"/>
          <w:i/>
          <w:iCs/>
          <w:color w:val="000000"/>
          <w:sz w:val="28"/>
          <w:szCs w:val="28"/>
        </w:rPr>
      </w:pPr>
      <w:r w:rsidRPr="005A1FF9">
        <w:rPr>
          <w:rFonts w:ascii="Arial" w:hAnsi="Arial" w:cs="Arial"/>
          <w:color w:val="000000"/>
          <w:sz w:val="22"/>
          <w:szCs w:val="22"/>
        </w:rPr>
        <w:t>Health and social care organisations should include attentiveness, responsibility, competence and responsiveness in staff training, policies and quality checks. Services should measure whether people feel heard and involved, not only whether tasks were completed.</w:t>
      </w:r>
    </w:p>
    <w:p w14:paraId="20941FB5" w14:textId="724791C3"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Providers should offer realistic appointment times and enough staff to meet communication and emotional needs. Training should cover consent, shared decision-making, cultural awareness, accessible communication and professional boundaries.</w:t>
      </w:r>
    </w:p>
    <w:p w14:paraId="6D912357"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Regular supervision and wellbeing support are also needed because caring work can be emotionally demanding. Supporting workers can reduce stress and help them maintain safe boundaries.</w:t>
      </w:r>
    </w:p>
    <w:p w14:paraId="7405B078"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People who use services should be involved in designing and reviewing care. Feedback should be available through private conversations, surveys, advocates and service-user groups. Organisations should also explain what has changed because of feedback.</w:t>
      </w:r>
    </w:p>
    <w:p w14:paraId="194FF324"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Care plans should clearly record the person’s goals, wishes, communication needs and review date. Regular reviews are important because needs and circumstances can change.</w:t>
      </w:r>
    </w:p>
    <w:p w14:paraId="20C29FC2" w14:textId="68282C4C" w:rsidR="00B50116" w:rsidRPr="00B50116" w:rsidRDefault="00271973" w:rsidP="00B50116">
      <w:pPr>
        <w:pStyle w:val="NormalWeb"/>
        <w:spacing w:line="360" w:lineRule="auto"/>
        <w:rPr>
          <w:rFonts w:ascii="Arial" w:hAnsi="Arial" w:cs="Arial"/>
          <w:color w:val="000000"/>
          <w:sz w:val="22"/>
          <w:szCs w:val="22"/>
        </w:rPr>
      </w:pPr>
      <w:r w:rsidRPr="005A1FF9">
        <w:rPr>
          <w:rFonts w:ascii="Arial" w:hAnsi="Arial" w:cs="Arial"/>
          <w:color w:val="000000"/>
          <w:sz w:val="22"/>
          <w:szCs w:val="22"/>
        </w:rPr>
        <w:t>Finally, ethics of care should always be balanced with autonomy, justice, confidentiality and safeguarding. Caring intentions do not justify controlling someone, sharing information without a lawful reason or treating people unfairly.</w:t>
      </w:r>
    </w:p>
    <w:p w14:paraId="56D5B533" w14:textId="3D3E795C" w:rsidR="00271973" w:rsidRPr="009E0093" w:rsidRDefault="00271973" w:rsidP="005A1FF9">
      <w:pPr>
        <w:pStyle w:val="Heading2"/>
        <w:spacing w:line="360" w:lineRule="auto"/>
        <w:rPr>
          <w:rFonts w:ascii="Arial" w:hAnsi="Arial" w:cs="Arial"/>
          <w:i/>
          <w:iCs/>
          <w:color w:val="000000"/>
          <w:sz w:val="28"/>
          <w:szCs w:val="28"/>
        </w:rPr>
      </w:pPr>
      <w:r w:rsidRPr="009E0093">
        <w:rPr>
          <w:rFonts w:ascii="Arial" w:hAnsi="Arial" w:cs="Arial"/>
          <w:i/>
          <w:iCs/>
          <w:color w:val="000000"/>
          <w:sz w:val="28"/>
          <w:szCs w:val="28"/>
        </w:rPr>
        <w:t>Conclusion</w:t>
      </w:r>
    </w:p>
    <w:p w14:paraId="5F955458"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 xml:space="preserve">Ethics of care began as a criticism of theories focused mainly on rules, justice and male experiences. Gilligan introduced a different moral voice, </w:t>
      </w:r>
      <w:proofErr w:type="spellStart"/>
      <w:r w:rsidRPr="005A1FF9">
        <w:rPr>
          <w:rFonts w:ascii="Arial" w:hAnsi="Arial" w:cs="Arial"/>
          <w:color w:val="000000"/>
          <w:sz w:val="22"/>
          <w:szCs w:val="22"/>
        </w:rPr>
        <w:t>Noddings</w:t>
      </w:r>
      <w:proofErr w:type="spellEnd"/>
      <w:r w:rsidRPr="005A1FF9">
        <w:rPr>
          <w:rFonts w:ascii="Arial" w:hAnsi="Arial" w:cs="Arial"/>
          <w:color w:val="000000"/>
          <w:sz w:val="22"/>
          <w:szCs w:val="22"/>
        </w:rPr>
        <w:t xml:space="preserve"> focused on relationships, </w:t>
      </w:r>
      <w:proofErr w:type="spellStart"/>
      <w:r w:rsidRPr="005A1FF9">
        <w:rPr>
          <w:rFonts w:ascii="Arial" w:hAnsi="Arial" w:cs="Arial"/>
          <w:color w:val="000000"/>
          <w:sz w:val="22"/>
          <w:szCs w:val="22"/>
        </w:rPr>
        <w:t>Tronto</w:t>
      </w:r>
      <w:proofErr w:type="spellEnd"/>
      <w:r w:rsidRPr="005A1FF9">
        <w:rPr>
          <w:rFonts w:ascii="Arial" w:hAnsi="Arial" w:cs="Arial"/>
          <w:color w:val="000000"/>
          <w:sz w:val="22"/>
          <w:szCs w:val="22"/>
        </w:rPr>
        <w:t xml:space="preserve"> added social responsibility and Held applied the theory more widely.</w:t>
      </w:r>
    </w:p>
    <w:p w14:paraId="7ED1A69B"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lastRenderedPageBreak/>
        <w:t>The theory has influenced person-centred care, shared decision-making, accessible communication and multidisciplinary working. It is also supported by UK law, regulation and guidance. However, problems such as staff shortages, unequal power, poor communication and limited funding can make it difficult to apply.</w:t>
      </w:r>
    </w:p>
    <w:p w14:paraId="03945D6A" w14:textId="77777777" w:rsidR="00F43C46" w:rsidRDefault="00F43C46" w:rsidP="005A1FF9">
      <w:pPr>
        <w:pStyle w:val="NormalWeb"/>
        <w:spacing w:line="360" w:lineRule="auto"/>
        <w:rPr>
          <w:rFonts w:ascii="Arial" w:hAnsi="Arial" w:cs="Arial"/>
          <w:color w:val="000000"/>
          <w:sz w:val="22"/>
          <w:szCs w:val="22"/>
        </w:rPr>
      </w:pPr>
    </w:p>
    <w:p w14:paraId="4BF18510" w14:textId="772FE5EB"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Ethics of care should not replace rights, justice or professional standards. It should work alongside them. Better staffing, training, supervision, communication and service-user involvement are needed. When used in a balanced way, ethics of care can support safer, fairer and more person-centred health and social care.</w:t>
      </w:r>
    </w:p>
    <w:p w14:paraId="51EA66C9" w14:textId="77777777" w:rsidR="005A1FF9" w:rsidRPr="005A1FF9" w:rsidRDefault="005A1FF9" w:rsidP="005A1FF9">
      <w:pPr>
        <w:pStyle w:val="Heading2"/>
        <w:spacing w:line="360" w:lineRule="auto"/>
        <w:rPr>
          <w:rFonts w:ascii="Arial" w:hAnsi="Arial" w:cs="Arial"/>
          <w:color w:val="000000"/>
          <w:sz w:val="22"/>
          <w:szCs w:val="22"/>
        </w:rPr>
      </w:pPr>
    </w:p>
    <w:p w14:paraId="52FD7713" w14:textId="77777777" w:rsidR="005A1FF9" w:rsidRDefault="005A1FF9" w:rsidP="005A1FF9">
      <w:pPr>
        <w:pStyle w:val="Heading2"/>
        <w:spacing w:line="360" w:lineRule="auto"/>
        <w:rPr>
          <w:rFonts w:ascii="Arial" w:hAnsi="Arial" w:cs="Arial"/>
          <w:color w:val="000000"/>
          <w:sz w:val="22"/>
          <w:szCs w:val="22"/>
        </w:rPr>
      </w:pPr>
    </w:p>
    <w:p w14:paraId="6C9C2DEF" w14:textId="77777777" w:rsidR="00DA0011" w:rsidRDefault="00DA0011" w:rsidP="005A1FF9">
      <w:pPr>
        <w:pStyle w:val="Heading2"/>
        <w:spacing w:line="360" w:lineRule="auto"/>
        <w:rPr>
          <w:rFonts w:ascii="Arial" w:hAnsi="Arial" w:cs="Arial"/>
          <w:color w:val="000000"/>
          <w:sz w:val="22"/>
          <w:szCs w:val="22"/>
        </w:rPr>
      </w:pPr>
    </w:p>
    <w:p w14:paraId="604C4FDD" w14:textId="77777777" w:rsidR="00DA0011" w:rsidRDefault="00DA0011" w:rsidP="005A1FF9">
      <w:pPr>
        <w:pStyle w:val="Heading2"/>
        <w:spacing w:line="360" w:lineRule="auto"/>
        <w:rPr>
          <w:rFonts w:ascii="Arial" w:hAnsi="Arial" w:cs="Arial"/>
          <w:color w:val="000000"/>
          <w:sz w:val="22"/>
          <w:szCs w:val="22"/>
        </w:rPr>
      </w:pPr>
    </w:p>
    <w:p w14:paraId="30BD9D34" w14:textId="77777777" w:rsidR="00DA0011" w:rsidRDefault="00DA0011" w:rsidP="005A1FF9">
      <w:pPr>
        <w:pStyle w:val="Heading2"/>
        <w:spacing w:line="360" w:lineRule="auto"/>
        <w:rPr>
          <w:rFonts w:ascii="Arial" w:hAnsi="Arial" w:cs="Arial"/>
          <w:color w:val="000000"/>
          <w:sz w:val="22"/>
          <w:szCs w:val="22"/>
        </w:rPr>
      </w:pPr>
    </w:p>
    <w:p w14:paraId="654B61CE" w14:textId="77777777" w:rsidR="00DA0011" w:rsidRDefault="00DA0011" w:rsidP="005A1FF9">
      <w:pPr>
        <w:pStyle w:val="Heading2"/>
        <w:spacing w:line="360" w:lineRule="auto"/>
        <w:rPr>
          <w:rFonts w:ascii="Arial" w:hAnsi="Arial" w:cs="Arial"/>
          <w:color w:val="000000"/>
          <w:sz w:val="22"/>
          <w:szCs w:val="22"/>
        </w:rPr>
      </w:pPr>
    </w:p>
    <w:p w14:paraId="06BCED29" w14:textId="77777777" w:rsidR="00DA0011" w:rsidRDefault="00DA0011" w:rsidP="005A1FF9">
      <w:pPr>
        <w:pStyle w:val="Heading2"/>
        <w:spacing w:line="360" w:lineRule="auto"/>
        <w:rPr>
          <w:rFonts w:ascii="Arial" w:hAnsi="Arial" w:cs="Arial"/>
          <w:color w:val="000000"/>
          <w:sz w:val="22"/>
          <w:szCs w:val="22"/>
        </w:rPr>
      </w:pPr>
    </w:p>
    <w:p w14:paraId="53CBACC5" w14:textId="77777777" w:rsidR="00DA0011" w:rsidRDefault="00DA0011" w:rsidP="005A1FF9">
      <w:pPr>
        <w:pStyle w:val="Heading2"/>
        <w:spacing w:line="360" w:lineRule="auto"/>
        <w:rPr>
          <w:rFonts w:ascii="Arial" w:hAnsi="Arial" w:cs="Arial"/>
          <w:color w:val="000000"/>
          <w:sz w:val="22"/>
          <w:szCs w:val="22"/>
        </w:rPr>
      </w:pPr>
    </w:p>
    <w:p w14:paraId="43F08EE1" w14:textId="77777777" w:rsidR="00DA0011" w:rsidRDefault="00DA0011" w:rsidP="005A1FF9">
      <w:pPr>
        <w:pStyle w:val="Heading2"/>
        <w:spacing w:line="360" w:lineRule="auto"/>
        <w:rPr>
          <w:rFonts w:ascii="Arial" w:hAnsi="Arial" w:cs="Arial"/>
          <w:color w:val="000000"/>
          <w:sz w:val="22"/>
          <w:szCs w:val="22"/>
        </w:rPr>
      </w:pPr>
    </w:p>
    <w:p w14:paraId="47F5A2AE" w14:textId="77777777" w:rsidR="00DA0011" w:rsidRDefault="00DA0011" w:rsidP="005A1FF9">
      <w:pPr>
        <w:pStyle w:val="Heading2"/>
        <w:spacing w:line="360" w:lineRule="auto"/>
        <w:rPr>
          <w:rFonts w:ascii="Arial" w:hAnsi="Arial" w:cs="Arial"/>
          <w:color w:val="000000"/>
          <w:sz w:val="22"/>
          <w:szCs w:val="22"/>
        </w:rPr>
      </w:pPr>
    </w:p>
    <w:p w14:paraId="73366DA7" w14:textId="77777777" w:rsidR="00DA0011" w:rsidRDefault="00DA0011" w:rsidP="005A1FF9">
      <w:pPr>
        <w:pStyle w:val="Heading2"/>
        <w:spacing w:line="360" w:lineRule="auto"/>
        <w:rPr>
          <w:rFonts w:ascii="Arial" w:hAnsi="Arial" w:cs="Arial"/>
          <w:color w:val="000000"/>
          <w:sz w:val="22"/>
          <w:szCs w:val="22"/>
        </w:rPr>
      </w:pPr>
    </w:p>
    <w:p w14:paraId="14CEF77C" w14:textId="77777777" w:rsidR="00DA0011" w:rsidRPr="005A1FF9" w:rsidRDefault="00DA0011" w:rsidP="005A1FF9">
      <w:pPr>
        <w:pStyle w:val="Heading2"/>
        <w:spacing w:line="360" w:lineRule="auto"/>
        <w:rPr>
          <w:rFonts w:ascii="Arial" w:hAnsi="Arial" w:cs="Arial"/>
          <w:color w:val="000000"/>
          <w:sz w:val="22"/>
          <w:szCs w:val="22"/>
        </w:rPr>
      </w:pPr>
    </w:p>
    <w:p w14:paraId="5A5C7EB5" w14:textId="77777777" w:rsidR="005A1FF9" w:rsidRDefault="005A1FF9" w:rsidP="005A1FF9">
      <w:pPr>
        <w:pStyle w:val="Heading2"/>
        <w:spacing w:line="360" w:lineRule="auto"/>
        <w:rPr>
          <w:rFonts w:ascii="Arial" w:hAnsi="Arial" w:cs="Arial"/>
          <w:color w:val="000000"/>
          <w:sz w:val="22"/>
          <w:szCs w:val="22"/>
        </w:rPr>
      </w:pPr>
    </w:p>
    <w:p w14:paraId="559B21EA" w14:textId="77777777" w:rsidR="00B50116" w:rsidRDefault="00B50116" w:rsidP="005A1FF9">
      <w:pPr>
        <w:pStyle w:val="Heading2"/>
        <w:spacing w:line="360" w:lineRule="auto"/>
        <w:rPr>
          <w:rFonts w:ascii="Arial" w:hAnsi="Arial" w:cs="Arial"/>
          <w:color w:val="000000"/>
          <w:sz w:val="22"/>
          <w:szCs w:val="22"/>
        </w:rPr>
      </w:pPr>
    </w:p>
    <w:p w14:paraId="77B18806" w14:textId="77777777" w:rsidR="00B50116" w:rsidRDefault="00B50116" w:rsidP="005A1FF9">
      <w:pPr>
        <w:pStyle w:val="Heading2"/>
        <w:spacing w:line="360" w:lineRule="auto"/>
        <w:rPr>
          <w:rFonts w:ascii="Arial" w:hAnsi="Arial" w:cs="Arial"/>
          <w:color w:val="000000"/>
          <w:sz w:val="22"/>
          <w:szCs w:val="22"/>
        </w:rPr>
      </w:pPr>
    </w:p>
    <w:p w14:paraId="021802CA" w14:textId="77777777" w:rsidR="00B50116" w:rsidRDefault="00B50116" w:rsidP="005A1FF9">
      <w:pPr>
        <w:pStyle w:val="Heading2"/>
        <w:spacing w:line="360" w:lineRule="auto"/>
        <w:rPr>
          <w:rFonts w:ascii="Arial" w:hAnsi="Arial" w:cs="Arial"/>
          <w:color w:val="000000"/>
          <w:sz w:val="22"/>
          <w:szCs w:val="22"/>
        </w:rPr>
      </w:pPr>
    </w:p>
    <w:p w14:paraId="34585158" w14:textId="77777777" w:rsidR="00B50116" w:rsidRDefault="00B50116" w:rsidP="005A1FF9">
      <w:pPr>
        <w:pStyle w:val="Heading2"/>
        <w:spacing w:line="360" w:lineRule="auto"/>
        <w:rPr>
          <w:rFonts w:ascii="Arial" w:hAnsi="Arial" w:cs="Arial"/>
          <w:color w:val="000000"/>
          <w:sz w:val="22"/>
          <w:szCs w:val="22"/>
        </w:rPr>
      </w:pPr>
    </w:p>
    <w:p w14:paraId="090B23B1" w14:textId="77777777" w:rsidR="00B50116" w:rsidRDefault="00B50116" w:rsidP="005A1FF9">
      <w:pPr>
        <w:pStyle w:val="Heading2"/>
        <w:spacing w:line="360" w:lineRule="auto"/>
        <w:rPr>
          <w:rFonts w:ascii="Arial" w:hAnsi="Arial" w:cs="Arial"/>
          <w:color w:val="000000"/>
          <w:sz w:val="22"/>
          <w:szCs w:val="22"/>
        </w:rPr>
      </w:pPr>
    </w:p>
    <w:p w14:paraId="39BDDC3E" w14:textId="77777777" w:rsidR="00B50116" w:rsidRDefault="00B50116" w:rsidP="005A1FF9">
      <w:pPr>
        <w:pStyle w:val="Heading2"/>
        <w:spacing w:line="360" w:lineRule="auto"/>
        <w:rPr>
          <w:rFonts w:ascii="Arial" w:hAnsi="Arial" w:cs="Arial"/>
          <w:color w:val="000000"/>
          <w:sz w:val="22"/>
          <w:szCs w:val="22"/>
        </w:rPr>
      </w:pPr>
    </w:p>
    <w:p w14:paraId="60325A82" w14:textId="77777777" w:rsidR="00B50116" w:rsidRPr="005A1FF9" w:rsidRDefault="00B50116" w:rsidP="005A1FF9">
      <w:pPr>
        <w:pStyle w:val="Heading2"/>
        <w:spacing w:line="360" w:lineRule="auto"/>
        <w:rPr>
          <w:rFonts w:ascii="Arial" w:hAnsi="Arial" w:cs="Arial"/>
          <w:color w:val="000000"/>
          <w:sz w:val="22"/>
          <w:szCs w:val="22"/>
        </w:rPr>
      </w:pPr>
    </w:p>
    <w:p w14:paraId="0B8AA14A" w14:textId="60CE032B" w:rsidR="00271973" w:rsidRPr="005A1FF9" w:rsidRDefault="00271973" w:rsidP="005A1FF9">
      <w:pPr>
        <w:pStyle w:val="Heading2"/>
        <w:spacing w:line="360" w:lineRule="auto"/>
        <w:rPr>
          <w:rFonts w:ascii="Arial" w:hAnsi="Arial" w:cs="Arial"/>
          <w:color w:val="000000"/>
          <w:sz w:val="22"/>
          <w:szCs w:val="22"/>
        </w:rPr>
      </w:pPr>
      <w:r w:rsidRPr="005A1FF9">
        <w:rPr>
          <w:rFonts w:ascii="Arial" w:hAnsi="Arial" w:cs="Arial"/>
          <w:color w:val="000000"/>
          <w:sz w:val="22"/>
          <w:szCs w:val="22"/>
        </w:rPr>
        <w:t>Reference List</w:t>
      </w:r>
    </w:p>
    <w:p w14:paraId="605A4BA1"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Beauchamp, T.L. and Childress, J.F. (2019)</w:t>
      </w:r>
      <w:r w:rsidRPr="005A1FF9">
        <w:rPr>
          <w:rStyle w:val="apple-converted-space"/>
          <w:rFonts w:ascii="Arial" w:hAnsi="Arial" w:cs="Arial"/>
          <w:color w:val="000000"/>
          <w:sz w:val="22"/>
          <w:szCs w:val="22"/>
        </w:rPr>
        <w:t> </w:t>
      </w:r>
      <w:r w:rsidRPr="005A1FF9">
        <w:rPr>
          <w:rStyle w:val="Emphasis"/>
          <w:rFonts w:ascii="Arial" w:hAnsi="Arial" w:cs="Arial"/>
          <w:color w:val="000000"/>
          <w:sz w:val="22"/>
          <w:szCs w:val="22"/>
        </w:rPr>
        <w:t>Principles of biomedical ethics</w:t>
      </w:r>
      <w:r w:rsidRPr="005A1FF9">
        <w:rPr>
          <w:rFonts w:ascii="Arial" w:hAnsi="Arial" w:cs="Arial"/>
          <w:color w:val="000000"/>
          <w:sz w:val="22"/>
          <w:szCs w:val="22"/>
        </w:rPr>
        <w:t xml:space="preserve">. 8th </w:t>
      </w:r>
      <w:proofErr w:type="spellStart"/>
      <w:r w:rsidRPr="005A1FF9">
        <w:rPr>
          <w:rFonts w:ascii="Arial" w:hAnsi="Arial" w:cs="Arial"/>
          <w:color w:val="000000"/>
          <w:sz w:val="22"/>
          <w:szCs w:val="22"/>
        </w:rPr>
        <w:t>edn</w:t>
      </w:r>
      <w:proofErr w:type="spellEnd"/>
      <w:r w:rsidRPr="005A1FF9">
        <w:rPr>
          <w:rFonts w:ascii="Arial" w:hAnsi="Arial" w:cs="Arial"/>
          <w:color w:val="000000"/>
          <w:sz w:val="22"/>
          <w:szCs w:val="22"/>
        </w:rPr>
        <w:t>. New York: Oxford University Press.</w:t>
      </w:r>
    </w:p>
    <w:p w14:paraId="03143EBA"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Care Quality Commission (CQC) (2025a)</w:t>
      </w:r>
      <w:r w:rsidRPr="005A1FF9">
        <w:rPr>
          <w:rStyle w:val="apple-converted-space"/>
          <w:rFonts w:ascii="Arial" w:hAnsi="Arial" w:cs="Arial"/>
          <w:color w:val="000000"/>
          <w:sz w:val="22"/>
          <w:szCs w:val="22"/>
        </w:rPr>
        <w:t> </w:t>
      </w:r>
      <w:r w:rsidRPr="005A1FF9">
        <w:rPr>
          <w:rStyle w:val="Emphasis"/>
          <w:rFonts w:ascii="Arial" w:hAnsi="Arial" w:cs="Arial"/>
          <w:color w:val="000000"/>
          <w:sz w:val="22"/>
          <w:szCs w:val="22"/>
        </w:rPr>
        <w:t>Regulation 9: Person-centred care</w:t>
      </w:r>
      <w:r w:rsidRPr="005A1FF9">
        <w:rPr>
          <w:rFonts w:ascii="Arial" w:hAnsi="Arial" w:cs="Arial"/>
          <w:color w:val="000000"/>
          <w:sz w:val="22"/>
          <w:szCs w:val="22"/>
        </w:rPr>
        <w:t>.</w:t>
      </w:r>
    </w:p>
    <w:p w14:paraId="3AB713E0"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Care Quality Commission (CQC) (2025b)</w:t>
      </w:r>
      <w:r w:rsidRPr="005A1FF9">
        <w:rPr>
          <w:rStyle w:val="apple-converted-space"/>
          <w:rFonts w:ascii="Arial" w:hAnsi="Arial" w:cs="Arial"/>
          <w:color w:val="000000"/>
          <w:sz w:val="22"/>
          <w:szCs w:val="22"/>
        </w:rPr>
        <w:t> </w:t>
      </w:r>
      <w:r w:rsidRPr="005A1FF9">
        <w:rPr>
          <w:rStyle w:val="Emphasis"/>
          <w:rFonts w:ascii="Arial" w:hAnsi="Arial" w:cs="Arial"/>
          <w:color w:val="000000"/>
          <w:sz w:val="22"/>
          <w:szCs w:val="22"/>
        </w:rPr>
        <w:t>Regulation 18: Staffing</w:t>
      </w:r>
      <w:r w:rsidRPr="005A1FF9">
        <w:rPr>
          <w:rFonts w:ascii="Arial" w:hAnsi="Arial" w:cs="Arial"/>
          <w:color w:val="000000"/>
          <w:sz w:val="22"/>
          <w:szCs w:val="22"/>
        </w:rPr>
        <w:t>.</w:t>
      </w:r>
    </w:p>
    <w:p w14:paraId="1C825BF6"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Department of Health and Social Care (2025)</w:t>
      </w:r>
      <w:r w:rsidRPr="005A1FF9">
        <w:rPr>
          <w:rStyle w:val="apple-converted-space"/>
          <w:rFonts w:ascii="Arial" w:hAnsi="Arial" w:cs="Arial"/>
          <w:color w:val="000000"/>
          <w:sz w:val="22"/>
          <w:szCs w:val="22"/>
        </w:rPr>
        <w:t> </w:t>
      </w:r>
      <w:r w:rsidRPr="005A1FF9">
        <w:rPr>
          <w:rStyle w:val="Emphasis"/>
          <w:rFonts w:ascii="Arial" w:hAnsi="Arial" w:cs="Arial"/>
          <w:color w:val="000000"/>
          <w:sz w:val="22"/>
          <w:szCs w:val="22"/>
        </w:rPr>
        <w:t>Care and support statutory guidance</w:t>
      </w:r>
      <w:r w:rsidRPr="005A1FF9">
        <w:rPr>
          <w:rFonts w:ascii="Arial" w:hAnsi="Arial" w:cs="Arial"/>
          <w:color w:val="000000"/>
          <w:sz w:val="22"/>
          <w:szCs w:val="22"/>
        </w:rPr>
        <w:t>.</w:t>
      </w:r>
    </w:p>
    <w:p w14:paraId="500E9FD8"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Gilligan, C. (1982)</w:t>
      </w:r>
      <w:r w:rsidRPr="005A1FF9">
        <w:rPr>
          <w:rStyle w:val="apple-converted-space"/>
          <w:rFonts w:ascii="Arial" w:hAnsi="Arial" w:cs="Arial"/>
          <w:color w:val="000000"/>
          <w:sz w:val="22"/>
          <w:szCs w:val="22"/>
        </w:rPr>
        <w:t> </w:t>
      </w:r>
      <w:r w:rsidRPr="005A1FF9">
        <w:rPr>
          <w:rStyle w:val="Emphasis"/>
          <w:rFonts w:ascii="Arial" w:hAnsi="Arial" w:cs="Arial"/>
          <w:color w:val="000000"/>
          <w:sz w:val="22"/>
          <w:szCs w:val="22"/>
        </w:rPr>
        <w:t>In a different voice: Psychological theory and women’s development</w:t>
      </w:r>
      <w:r w:rsidRPr="005A1FF9">
        <w:rPr>
          <w:rFonts w:ascii="Arial" w:hAnsi="Arial" w:cs="Arial"/>
          <w:color w:val="000000"/>
          <w:sz w:val="22"/>
          <w:szCs w:val="22"/>
        </w:rPr>
        <w:t>. Cambridge, MA: Harvard University Press.</w:t>
      </w:r>
    </w:p>
    <w:p w14:paraId="5C16F324"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Great Britain (2005)</w:t>
      </w:r>
      <w:r w:rsidRPr="005A1FF9">
        <w:rPr>
          <w:rStyle w:val="apple-converted-space"/>
          <w:rFonts w:ascii="Arial" w:hAnsi="Arial" w:cs="Arial"/>
          <w:color w:val="000000"/>
          <w:sz w:val="22"/>
          <w:szCs w:val="22"/>
        </w:rPr>
        <w:t> </w:t>
      </w:r>
      <w:r w:rsidRPr="005A1FF9">
        <w:rPr>
          <w:rStyle w:val="Emphasis"/>
          <w:rFonts w:ascii="Arial" w:hAnsi="Arial" w:cs="Arial"/>
          <w:color w:val="000000"/>
          <w:sz w:val="22"/>
          <w:szCs w:val="22"/>
        </w:rPr>
        <w:t>Mental Capacity Act 2005</w:t>
      </w:r>
      <w:r w:rsidRPr="005A1FF9">
        <w:rPr>
          <w:rFonts w:ascii="Arial" w:hAnsi="Arial" w:cs="Arial"/>
          <w:color w:val="000000"/>
          <w:sz w:val="22"/>
          <w:szCs w:val="22"/>
        </w:rPr>
        <w:t>. London: The Stationery Office.</w:t>
      </w:r>
    </w:p>
    <w:p w14:paraId="777A8577"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Great Britain (2010)</w:t>
      </w:r>
      <w:r w:rsidRPr="005A1FF9">
        <w:rPr>
          <w:rStyle w:val="apple-converted-space"/>
          <w:rFonts w:ascii="Arial" w:hAnsi="Arial" w:cs="Arial"/>
          <w:color w:val="000000"/>
          <w:sz w:val="22"/>
          <w:szCs w:val="22"/>
        </w:rPr>
        <w:t> </w:t>
      </w:r>
      <w:r w:rsidRPr="005A1FF9">
        <w:rPr>
          <w:rStyle w:val="Emphasis"/>
          <w:rFonts w:ascii="Arial" w:hAnsi="Arial" w:cs="Arial"/>
          <w:color w:val="000000"/>
          <w:sz w:val="22"/>
          <w:szCs w:val="22"/>
        </w:rPr>
        <w:t>Equality Act 2010</w:t>
      </w:r>
      <w:r w:rsidRPr="005A1FF9">
        <w:rPr>
          <w:rFonts w:ascii="Arial" w:hAnsi="Arial" w:cs="Arial"/>
          <w:color w:val="000000"/>
          <w:sz w:val="22"/>
          <w:szCs w:val="22"/>
        </w:rPr>
        <w:t>. London: The Stationery Office.</w:t>
      </w:r>
    </w:p>
    <w:p w14:paraId="325F1AD2"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Great Britain (2014)</w:t>
      </w:r>
      <w:r w:rsidRPr="005A1FF9">
        <w:rPr>
          <w:rStyle w:val="apple-converted-space"/>
          <w:rFonts w:ascii="Arial" w:hAnsi="Arial" w:cs="Arial"/>
          <w:color w:val="000000"/>
          <w:sz w:val="22"/>
          <w:szCs w:val="22"/>
        </w:rPr>
        <w:t> </w:t>
      </w:r>
      <w:r w:rsidRPr="005A1FF9">
        <w:rPr>
          <w:rStyle w:val="Emphasis"/>
          <w:rFonts w:ascii="Arial" w:hAnsi="Arial" w:cs="Arial"/>
          <w:color w:val="000000"/>
          <w:sz w:val="22"/>
          <w:szCs w:val="22"/>
        </w:rPr>
        <w:t>Care Act 2014</w:t>
      </w:r>
      <w:r w:rsidRPr="005A1FF9">
        <w:rPr>
          <w:rFonts w:ascii="Arial" w:hAnsi="Arial" w:cs="Arial"/>
          <w:color w:val="000000"/>
          <w:sz w:val="22"/>
          <w:szCs w:val="22"/>
        </w:rPr>
        <w:t>. London: The Stationery Office.</w:t>
      </w:r>
    </w:p>
    <w:p w14:paraId="0594B60C"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Held, V. (2006)</w:t>
      </w:r>
      <w:r w:rsidRPr="005A1FF9">
        <w:rPr>
          <w:rStyle w:val="apple-converted-space"/>
          <w:rFonts w:ascii="Arial" w:hAnsi="Arial" w:cs="Arial"/>
          <w:color w:val="000000"/>
          <w:sz w:val="22"/>
          <w:szCs w:val="22"/>
        </w:rPr>
        <w:t> </w:t>
      </w:r>
      <w:r w:rsidRPr="005A1FF9">
        <w:rPr>
          <w:rStyle w:val="Emphasis"/>
          <w:rFonts w:ascii="Arial" w:hAnsi="Arial" w:cs="Arial"/>
          <w:color w:val="000000"/>
          <w:sz w:val="22"/>
          <w:szCs w:val="22"/>
        </w:rPr>
        <w:t>The ethics of care: Personal, political, and global</w:t>
      </w:r>
      <w:r w:rsidRPr="005A1FF9">
        <w:rPr>
          <w:rFonts w:ascii="Arial" w:hAnsi="Arial" w:cs="Arial"/>
          <w:color w:val="000000"/>
          <w:sz w:val="22"/>
          <w:szCs w:val="22"/>
        </w:rPr>
        <w:t>. Oxford: Oxford University Press.</w:t>
      </w:r>
    </w:p>
    <w:p w14:paraId="35188FF9"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National Institute for Health and Care Excellence (NICE) (2021)</w:t>
      </w:r>
      <w:r w:rsidRPr="005A1FF9">
        <w:rPr>
          <w:rStyle w:val="apple-converted-space"/>
          <w:rFonts w:ascii="Arial" w:hAnsi="Arial" w:cs="Arial"/>
          <w:color w:val="000000"/>
          <w:sz w:val="22"/>
          <w:szCs w:val="22"/>
        </w:rPr>
        <w:t> </w:t>
      </w:r>
      <w:r w:rsidRPr="005A1FF9">
        <w:rPr>
          <w:rStyle w:val="Emphasis"/>
          <w:rFonts w:ascii="Arial" w:hAnsi="Arial" w:cs="Arial"/>
          <w:color w:val="000000"/>
          <w:sz w:val="22"/>
          <w:szCs w:val="22"/>
        </w:rPr>
        <w:t>Shared decision making</w:t>
      </w:r>
      <w:r w:rsidRPr="005A1FF9">
        <w:rPr>
          <w:rFonts w:ascii="Arial" w:hAnsi="Arial" w:cs="Arial"/>
          <w:color w:val="000000"/>
          <w:sz w:val="22"/>
          <w:szCs w:val="22"/>
        </w:rPr>
        <w:t>.</w:t>
      </w:r>
    </w:p>
    <w:p w14:paraId="0A582458"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NHS England (2025)</w:t>
      </w:r>
      <w:r w:rsidRPr="005A1FF9">
        <w:rPr>
          <w:rStyle w:val="apple-converted-space"/>
          <w:rFonts w:ascii="Arial" w:hAnsi="Arial" w:cs="Arial"/>
          <w:color w:val="000000"/>
          <w:sz w:val="22"/>
          <w:szCs w:val="22"/>
        </w:rPr>
        <w:t> </w:t>
      </w:r>
      <w:r w:rsidRPr="005A1FF9">
        <w:rPr>
          <w:rStyle w:val="Emphasis"/>
          <w:rFonts w:ascii="Arial" w:hAnsi="Arial" w:cs="Arial"/>
          <w:color w:val="000000"/>
          <w:sz w:val="22"/>
          <w:szCs w:val="22"/>
        </w:rPr>
        <w:t>Accessible Information Standard</w:t>
      </w:r>
      <w:r w:rsidRPr="005A1FF9">
        <w:rPr>
          <w:rFonts w:ascii="Arial" w:hAnsi="Arial" w:cs="Arial"/>
          <w:color w:val="000000"/>
          <w:sz w:val="22"/>
          <w:szCs w:val="22"/>
        </w:rPr>
        <w:t>.</w:t>
      </w:r>
    </w:p>
    <w:p w14:paraId="7276F21F"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NHS England (n.d.-a)</w:t>
      </w:r>
      <w:r w:rsidRPr="005A1FF9">
        <w:rPr>
          <w:rStyle w:val="apple-converted-space"/>
          <w:rFonts w:ascii="Arial" w:hAnsi="Arial" w:cs="Arial"/>
          <w:color w:val="000000"/>
          <w:sz w:val="22"/>
          <w:szCs w:val="22"/>
        </w:rPr>
        <w:t> </w:t>
      </w:r>
      <w:r w:rsidRPr="005A1FF9">
        <w:rPr>
          <w:rStyle w:val="Emphasis"/>
          <w:rFonts w:ascii="Arial" w:hAnsi="Arial" w:cs="Arial"/>
          <w:color w:val="000000"/>
          <w:sz w:val="22"/>
          <w:szCs w:val="22"/>
        </w:rPr>
        <w:t>Personalised care</w:t>
      </w:r>
      <w:r w:rsidRPr="005A1FF9">
        <w:rPr>
          <w:rFonts w:ascii="Arial" w:hAnsi="Arial" w:cs="Arial"/>
          <w:color w:val="000000"/>
          <w:sz w:val="22"/>
          <w:szCs w:val="22"/>
        </w:rPr>
        <w:t>.</w:t>
      </w:r>
    </w:p>
    <w:p w14:paraId="58338B44" w14:textId="77777777" w:rsidR="00271973" w:rsidRPr="005A1FF9" w:rsidRDefault="00271973" w:rsidP="005A1FF9">
      <w:pPr>
        <w:pStyle w:val="NormalWeb"/>
        <w:spacing w:line="360" w:lineRule="auto"/>
        <w:rPr>
          <w:rFonts w:ascii="Arial" w:hAnsi="Arial" w:cs="Arial"/>
          <w:color w:val="000000"/>
          <w:sz w:val="22"/>
          <w:szCs w:val="22"/>
        </w:rPr>
      </w:pPr>
      <w:r w:rsidRPr="005A1FF9">
        <w:rPr>
          <w:rFonts w:ascii="Arial" w:hAnsi="Arial" w:cs="Arial"/>
          <w:color w:val="000000"/>
          <w:sz w:val="22"/>
          <w:szCs w:val="22"/>
        </w:rPr>
        <w:t>NHS England (n.d.-b)</w:t>
      </w:r>
      <w:r w:rsidRPr="005A1FF9">
        <w:rPr>
          <w:rStyle w:val="apple-converted-space"/>
          <w:rFonts w:ascii="Arial" w:hAnsi="Arial" w:cs="Arial"/>
          <w:color w:val="000000"/>
          <w:sz w:val="22"/>
          <w:szCs w:val="22"/>
        </w:rPr>
        <w:t> </w:t>
      </w:r>
      <w:r w:rsidRPr="005A1FF9">
        <w:rPr>
          <w:rStyle w:val="Emphasis"/>
          <w:rFonts w:ascii="Arial" w:hAnsi="Arial" w:cs="Arial"/>
          <w:color w:val="000000"/>
          <w:sz w:val="22"/>
          <w:szCs w:val="22"/>
        </w:rPr>
        <w:t>Personalised end-of-life care</w:t>
      </w:r>
      <w:r w:rsidRPr="005A1FF9">
        <w:rPr>
          <w:rFonts w:ascii="Arial" w:hAnsi="Arial" w:cs="Arial"/>
          <w:color w:val="000000"/>
          <w:sz w:val="22"/>
          <w:szCs w:val="22"/>
        </w:rPr>
        <w:t>.</w:t>
      </w:r>
    </w:p>
    <w:p w14:paraId="4C72A138" w14:textId="77777777" w:rsidR="00271973" w:rsidRPr="005A1FF9" w:rsidRDefault="00271973" w:rsidP="005A1FF9">
      <w:pPr>
        <w:pStyle w:val="NormalWeb"/>
        <w:spacing w:line="360" w:lineRule="auto"/>
        <w:rPr>
          <w:rFonts w:ascii="Arial" w:hAnsi="Arial" w:cs="Arial"/>
          <w:color w:val="000000"/>
          <w:sz w:val="22"/>
          <w:szCs w:val="22"/>
        </w:rPr>
      </w:pPr>
      <w:proofErr w:type="spellStart"/>
      <w:r w:rsidRPr="005A1FF9">
        <w:rPr>
          <w:rFonts w:ascii="Arial" w:hAnsi="Arial" w:cs="Arial"/>
          <w:color w:val="000000"/>
          <w:sz w:val="22"/>
          <w:szCs w:val="22"/>
        </w:rPr>
        <w:lastRenderedPageBreak/>
        <w:t>Noddings</w:t>
      </w:r>
      <w:proofErr w:type="spellEnd"/>
      <w:r w:rsidRPr="005A1FF9">
        <w:rPr>
          <w:rFonts w:ascii="Arial" w:hAnsi="Arial" w:cs="Arial"/>
          <w:color w:val="000000"/>
          <w:sz w:val="22"/>
          <w:szCs w:val="22"/>
        </w:rPr>
        <w:t>, N. (1984)</w:t>
      </w:r>
      <w:r w:rsidRPr="005A1FF9">
        <w:rPr>
          <w:rStyle w:val="apple-converted-space"/>
          <w:rFonts w:ascii="Arial" w:hAnsi="Arial" w:cs="Arial"/>
          <w:color w:val="000000"/>
          <w:sz w:val="22"/>
          <w:szCs w:val="22"/>
        </w:rPr>
        <w:t> </w:t>
      </w:r>
      <w:r w:rsidRPr="005A1FF9">
        <w:rPr>
          <w:rStyle w:val="Emphasis"/>
          <w:rFonts w:ascii="Arial" w:hAnsi="Arial" w:cs="Arial"/>
          <w:color w:val="000000"/>
          <w:sz w:val="22"/>
          <w:szCs w:val="22"/>
        </w:rPr>
        <w:t>Caring: A feminine approach to ethics and moral education</w:t>
      </w:r>
      <w:r w:rsidRPr="005A1FF9">
        <w:rPr>
          <w:rFonts w:ascii="Arial" w:hAnsi="Arial" w:cs="Arial"/>
          <w:color w:val="000000"/>
          <w:sz w:val="22"/>
          <w:szCs w:val="22"/>
        </w:rPr>
        <w:t>. Berkeley: University of California Press.</w:t>
      </w:r>
    </w:p>
    <w:p w14:paraId="649FC24D" w14:textId="77777777" w:rsidR="00271973" w:rsidRPr="005A1FF9" w:rsidRDefault="00271973" w:rsidP="005A1FF9">
      <w:pPr>
        <w:pStyle w:val="NormalWeb"/>
        <w:spacing w:line="360" w:lineRule="auto"/>
        <w:rPr>
          <w:rFonts w:ascii="Arial" w:hAnsi="Arial" w:cs="Arial"/>
          <w:color w:val="000000"/>
          <w:sz w:val="22"/>
          <w:szCs w:val="22"/>
        </w:rPr>
      </w:pPr>
      <w:proofErr w:type="spellStart"/>
      <w:r w:rsidRPr="005A1FF9">
        <w:rPr>
          <w:rFonts w:ascii="Arial" w:hAnsi="Arial" w:cs="Arial"/>
          <w:color w:val="000000"/>
          <w:sz w:val="22"/>
          <w:szCs w:val="22"/>
        </w:rPr>
        <w:t>Tronto</w:t>
      </w:r>
      <w:proofErr w:type="spellEnd"/>
      <w:r w:rsidRPr="005A1FF9">
        <w:rPr>
          <w:rFonts w:ascii="Arial" w:hAnsi="Arial" w:cs="Arial"/>
          <w:color w:val="000000"/>
          <w:sz w:val="22"/>
          <w:szCs w:val="22"/>
        </w:rPr>
        <w:t>, J.C. (1993)</w:t>
      </w:r>
      <w:r w:rsidRPr="005A1FF9">
        <w:rPr>
          <w:rStyle w:val="apple-converted-space"/>
          <w:rFonts w:ascii="Arial" w:hAnsi="Arial" w:cs="Arial"/>
          <w:color w:val="000000"/>
          <w:sz w:val="22"/>
          <w:szCs w:val="22"/>
        </w:rPr>
        <w:t> </w:t>
      </w:r>
      <w:r w:rsidRPr="005A1FF9">
        <w:rPr>
          <w:rStyle w:val="Emphasis"/>
          <w:rFonts w:ascii="Arial" w:hAnsi="Arial" w:cs="Arial"/>
          <w:color w:val="000000"/>
          <w:sz w:val="22"/>
          <w:szCs w:val="22"/>
        </w:rPr>
        <w:t>Moral boundaries: A political argument for an ethic of care</w:t>
      </w:r>
      <w:r w:rsidRPr="005A1FF9">
        <w:rPr>
          <w:rFonts w:ascii="Arial" w:hAnsi="Arial" w:cs="Arial"/>
          <w:color w:val="000000"/>
          <w:sz w:val="22"/>
          <w:szCs w:val="22"/>
        </w:rPr>
        <w:t>. New York: Routledge.</w:t>
      </w:r>
    </w:p>
    <w:p w14:paraId="3F21EAB9" w14:textId="77777777" w:rsidR="00271973" w:rsidRDefault="00271973" w:rsidP="00D246EC">
      <w:pPr>
        <w:pStyle w:val="Heading1"/>
        <w:rPr>
          <w:color w:val="000000"/>
        </w:rPr>
      </w:pPr>
    </w:p>
    <w:p w14:paraId="30FAD3C8" w14:textId="77777777" w:rsidR="00271973" w:rsidRDefault="00271973" w:rsidP="00D246EC">
      <w:pPr>
        <w:pStyle w:val="Heading1"/>
        <w:rPr>
          <w:color w:val="000000"/>
        </w:rPr>
      </w:pPr>
    </w:p>
    <w:p w14:paraId="6282C679" w14:textId="77777777" w:rsidR="00271973" w:rsidRDefault="00271973" w:rsidP="00D246EC">
      <w:pPr>
        <w:pStyle w:val="Heading1"/>
        <w:rPr>
          <w:color w:val="000000"/>
        </w:rPr>
      </w:pPr>
    </w:p>
    <w:p w14:paraId="31417DFA" w14:textId="77777777" w:rsidR="00271973" w:rsidRDefault="00271973" w:rsidP="00D246EC">
      <w:pPr>
        <w:pStyle w:val="Heading1"/>
        <w:rPr>
          <w:color w:val="000000"/>
        </w:rPr>
      </w:pPr>
    </w:p>
    <w:p w14:paraId="4457A766" w14:textId="35C5C05E" w:rsidR="003A3D8B" w:rsidRPr="00DA2C76" w:rsidRDefault="003A3D8B" w:rsidP="00DA2C76">
      <w:pPr>
        <w:spacing w:line="360" w:lineRule="auto"/>
        <w:rPr>
          <w:rFonts w:ascii="Arial" w:hAnsi="Arial" w:cs="Arial"/>
          <w:color w:val="00B0F0"/>
          <w:sz w:val="22"/>
        </w:rPr>
      </w:pPr>
    </w:p>
    <w:sectPr w:rsidR="003A3D8B" w:rsidRPr="00DA2C76" w:rsidSect="0080719A">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DA887" w14:textId="77777777" w:rsidR="0071251E" w:rsidRDefault="0071251E" w:rsidP="00032A5B">
      <w:pPr>
        <w:spacing w:after="0" w:line="240" w:lineRule="auto"/>
      </w:pPr>
      <w:r>
        <w:separator/>
      </w:r>
    </w:p>
  </w:endnote>
  <w:endnote w:type="continuationSeparator" w:id="0">
    <w:p w14:paraId="22365E40" w14:textId="77777777" w:rsidR="0071251E" w:rsidRDefault="0071251E"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17947385"/>
      <w:docPartObj>
        <w:docPartGallery w:val="Page Numbers (Bottom of Page)"/>
        <w:docPartUnique/>
      </w:docPartObj>
    </w:sdtPr>
    <w:sdtContent>
      <w:p w14:paraId="0A9C3B5C" w14:textId="1607AA5B" w:rsidR="0099083C" w:rsidRDefault="0099083C" w:rsidP="00E23A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1F44B9" w14:textId="77777777" w:rsidR="0099083C" w:rsidRDefault="0099083C" w:rsidP="0099083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03658126"/>
      <w:docPartObj>
        <w:docPartGallery w:val="Page Numbers (Bottom of Page)"/>
        <w:docPartUnique/>
      </w:docPartObj>
    </w:sdtPr>
    <w:sdtContent>
      <w:p w14:paraId="27215563" w14:textId="65E057A6" w:rsidR="0099083C" w:rsidRDefault="0099083C" w:rsidP="00E23A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66A053" w14:textId="77777777" w:rsidR="0099083C" w:rsidRDefault="0099083C" w:rsidP="0099083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CBA3E8" w14:textId="77777777" w:rsidR="0071251E" w:rsidRDefault="0071251E" w:rsidP="00032A5B">
      <w:pPr>
        <w:spacing w:after="0" w:line="240" w:lineRule="auto"/>
      </w:pPr>
      <w:r>
        <w:separator/>
      </w:r>
    </w:p>
  </w:footnote>
  <w:footnote w:type="continuationSeparator" w:id="0">
    <w:p w14:paraId="1AE6A521" w14:textId="77777777" w:rsidR="0071251E" w:rsidRDefault="0071251E"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36787"/>
    <w:multiLevelType w:val="multilevel"/>
    <w:tmpl w:val="D3143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209F3"/>
    <w:multiLevelType w:val="multilevel"/>
    <w:tmpl w:val="AB207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BF321E5"/>
    <w:multiLevelType w:val="multilevel"/>
    <w:tmpl w:val="2938D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716B00"/>
    <w:multiLevelType w:val="multilevel"/>
    <w:tmpl w:val="7AFCA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C34586"/>
    <w:multiLevelType w:val="multilevel"/>
    <w:tmpl w:val="BDE21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1B5B5A"/>
    <w:multiLevelType w:val="multilevel"/>
    <w:tmpl w:val="B5DA1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9"/>
  </w:num>
  <w:num w:numId="2" w16cid:durableId="201140407">
    <w:abstractNumId w:val="3"/>
  </w:num>
  <w:num w:numId="3" w16cid:durableId="490028398">
    <w:abstractNumId w:val="2"/>
  </w:num>
  <w:num w:numId="4" w16cid:durableId="1716658602">
    <w:abstractNumId w:val="7"/>
  </w:num>
  <w:num w:numId="5" w16cid:durableId="1295137553">
    <w:abstractNumId w:val="6"/>
  </w:num>
  <w:num w:numId="6" w16cid:durableId="374426990">
    <w:abstractNumId w:val="4"/>
  </w:num>
  <w:num w:numId="7" w16cid:durableId="366836771">
    <w:abstractNumId w:val="8"/>
  </w:num>
  <w:num w:numId="8" w16cid:durableId="1723139929">
    <w:abstractNumId w:val="5"/>
  </w:num>
  <w:num w:numId="9" w16cid:durableId="1834181161">
    <w:abstractNumId w:val="0"/>
  </w:num>
  <w:num w:numId="10" w16cid:durableId="13408153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0B47"/>
    <w:rsid w:val="00032A5B"/>
    <w:rsid w:val="00036042"/>
    <w:rsid w:val="001333C2"/>
    <w:rsid w:val="00270253"/>
    <w:rsid w:val="00271973"/>
    <w:rsid w:val="002A6A54"/>
    <w:rsid w:val="002C52AF"/>
    <w:rsid w:val="002E0E42"/>
    <w:rsid w:val="002E42AC"/>
    <w:rsid w:val="00317E3D"/>
    <w:rsid w:val="0032791E"/>
    <w:rsid w:val="003A3D8B"/>
    <w:rsid w:val="003E4ED4"/>
    <w:rsid w:val="00427299"/>
    <w:rsid w:val="004A5A64"/>
    <w:rsid w:val="00535ED5"/>
    <w:rsid w:val="00552EB2"/>
    <w:rsid w:val="0058218C"/>
    <w:rsid w:val="005A1FF9"/>
    <w:rsid w:val="005F0CF3"/>
    <w:rsid w:val="006203C4"/>
    <w:rsid w:val="006524ED"/>
    <w:rsid w:val="006A3E63"/>
    <w:rsid w:val="006D2F2D"/>
    <w:rsid w:val="006E1FF9"/>
    <w:rsid w:val="006F6E56"/>
    <w:rsid w:val="00712242"/>
    <w:rsid w:val="0071251E"/>
    <w:rsid w:val="00785886"/>
    <w:rsid w:val="007F3A6A"/>
    <w:rsid w:val="0080719A"/>
    <w:rsid w:val="00810F6A"/>
    <w:rsid w:val="008466A3"/>
    <w:rsid w:val="00863FA2"/>
    <w:rsid w:val="00887C43"/>
    <w:rsid w:val="0099083C"/>
    <w:rsid w:val="00996678"/>
    <w:rsid w:val="009E0093"/>
    <w:rsid w:val="009E71F3"/>
    <w:rsid w:val="00A14675"/>
    <w:rsid w:val="00A969CE"/>
    <w:rsid w:val="00B120BF"/>
    <w:rsid w:val="00B50116"/>
    <w:rsid w:val="00BC79FE"/>
    <w:rsid w:val="00C558B0"/>
    <w:rsid w:val="00C95E74"/>
    <w:rsid w:val="00CF1C85"/>
    <w:rsid w:val="00D246EC"/>
    <w:rsid w:val="00D545BA"/>
    <w:rsid w:val="00D84D5B"/>
    <w:rsid w:val="00DA0011"/>
    <w:rsid w:val="00DA2C76"/>
    <w:rsid w:val="00DC0AC6"/>
    <w:rsid w:val="00E81204"/>
    <w:rsid w:val="00E9668F"/>
    <w:rsid w:val="00ED5195"/>
    <w:rsid w:val="00F06F8F"/>
    <w:rsid w:val="00F106B9"/>
    <w:rsid w:val="00F3356F"/>
    <w:rsid w:val="00F43C46"/>
    <w:rsid w:val="00F73BEF"/>
    <w:rsid w:val="00F81510"/>
    <w:rsid w:val="00F96CF2"/>
    <w:rsid w:val="00FA1054"/>
    <w:rsid w:val="00FA2DAE"/>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link w:val="Heading1Char"/>
    <w:uiPriority w:val="9"/>
    <w:qFormat/>
    <w:rsid w:val="003A3D8B"/>
    <w:pPr>
      <w:spacing w:before="100" w:beforeAutospacing="1" w:after="100" w:afterAutospacing="1" w:line="240" w:lineRule="auto"/>
      <w:outlineLvl w:val="0"/>
    </w:pPr>
    <w:rPr>
      <w:rFonts w:eastAsia="Times New Roman" w:cs="Times New Roman"/>
      <w:b/>
      <w:bCs/>
      <w:kern w:val="36"/>
      <w:sz w:val="48"/>
      <w:szCs w:val="48"/>
      <w:lang w:eastAsia="en-GB"/>
    </w:rPr>
  </w:style>
  <w:style w:type="paragraph" w:styleId="Heading2">
    <w:name w:val="heading 2"/>
    <w:basedOn w:val="Normal"/>
    <w:link w:val="Heading2Char"/>
    <w:uiPriority w:val="9"/>
    <w:qFormat/>
    <w:rsid w:val="003A3D8B"/>
    <w:pPr>
      <w:spacing w:before="100" w:beforeAutospacing="1" w:after="100" w:afterAutospacing="1" w:line="240" w:lineRule="auto"/>
      <w:outlineLvl w:val="1"/>
    </w:pPr>
    <w:rPr>
      <w:rFonts w:eastAsia="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F106B9"/>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customStyle="1" w:styleId="Heading1Char">
    <w:name w:val="Heading 1 Char"/>
    <w:basedOn w:val="DefaultParagraphFont"/>
    <w:link w:val="Heading1"/>
    <w:uiPriority w:val="9"/>
    <w:rsid w:val="003A3D8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3A3D8B"/>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3A3D8B"/>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3A3D8B"/>
  </w:style>
  <w:style w:type="character" w:styleId="Emphasis">
    <w:name w:val="Emphasis"/>
    <w:basedOn w:val="DefaultParagraphFont"/>
    <w:uiPriority w:val="20"/>
    <w:qFormat/>
    <w:rsid w:val="003A3D8B"/>
    <w:rPr>
      <w:i/>
      <w:iCs/>
    </w:rPr>
  </w:style>
  <w:style w:type="character" w:styleId="Strong">
    <w:name w:val="Strong"/>
    <w:basedOn w:val="DefaultParagraphFont"/>
    <w:uiPriority w:val="22"/>
    <w:qFormat/>
    <w:rsid w:val="003A3D8B"/>
    <w:rPr>
      <w:b/>
      <w:bCs/>
    </w:rPr>
  </w:style>
  <w:style w:type="character" w:customStyle="1" w:styleId="Heading3Char">
    <w:name w:val="Heading 3 Char"/>
    <w:basedOn w:val="DefaultParagraphFont"/>
    <w:link w:val="Heading3"/>
    <w:uiPriority w:val="9"/>
    <w:semiHidden/>
    <w:rsid w:val="00F106B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863FA2"/>
    <w:rPr>
      <w:color w:val="0000FF"/>
      <w:u w:val="single"/>
    </w:rPr>
  </w:style>
  <w:style w:type="paragraph" w:customStyle="1" w:styleId="p1">
    <w:name w:val="p1"/>
    <w:basedOn w:val="Normal"/>
    <w:rsid w:val="006F6E56"/>
    <w:pPr>
      <w:spacing w:after="0" w:line="240" w:lineRule="auto"/>
    </w:pPr>
    <w:rPr>
      <w:rFonts w:ascii="Arial" w:eastAsia="Times New Roman" w:hAnsi="Arial" w:cs="Arial"/>
      <w:color w:val="000000"/>
      <w:sz w:val="17"/>
      <w:szCs w:val="17"/>
      <w:lang w:eastAsia="en-GB"/>
    </w:rPr>
  </w:style>
  <w:style w:type="paragraph" w:customStyle="1" w:styleId="p2">
    <w:name w:val="p2"/>
    <w:basedOn w:val="Normal"/>
    <w:rsid w:val="006F6E56"/>
    <w:pPr>
      <w:spacing w:after="0" w:line="240" w:lineRule="auto"/>
    </w:pPr>
    <w:rPr>
      <w:rFonts w:ascii="Arial" w:eastAsia="Times New Roman" w:hAnsi="Arial" w:cs="Arial"/>
      <w:color w:val="000000"/>
      <w:sz w:val="18"/>
      <w:szCs w:val="18"/>
      <w:lang w:eastAsia="en-GB"/>
    </w:rPr>
  </w:style>
  <w:style w:type="character" w:customStyle="1" w:styleId="s1">
    <w:name w:val="s1"/>
    <w:basedOn w:val="DefaultParagraphFont"/>
    <w:rsid w:val="006F6E56"/>
    <w:rPr>
      <w:rFonts w:ascii="Arial" w:hAnsi="Arial" w:cs="Arial" w:hint="default"/>
      <w:sz w:val="18"/>
      <w:szCs w:val="18"/>
    </w:rPr>
  </w:style>
  <w:style w:type="character" w:styleId="PageNumber">
    <w:name w:val="page number"/>
    <w:basedOn w:val="DefaultParagraphFont"/>
    <w:uiPriority w:val="99"/>
    <w:semiHidden/>
    <w:unhideWhenUsed/>
    <w:rsid w:val="00F06F8F"/>
  </w:style>
  <w:style w:type="character" w:customStyle="1" w:styleId="text-token-text-primary">
    <w:name w:val="text-token-text-primary"/>
    <w:basedOn w:val="DefaultParagraphFont"/>
    <w:rsid w:val="00D246EC"/>
  </w:style>
  <w:style w:type="character" w:customStyle="1" w:styleId="text-token-text-secondary">
    <w:name w:val="text-token-text-secondary"/>
    <w:basedOn w:val="DefaultParagraphFont"/>
    <w:rsid w:val="00D246EC"/>
  </w:style>
  <w:style w:type="paragraph" w:styleId="z-TopofForm">
    <w:name w:val="HTML Top of Form"/>
    <w:basedOn w:val="Normal"/>
    <w:next w:val="Normal"/>
    <w:link w:val="z-TopofFormChar"/>
    <w:hidden/>
    <w:uiPriority w:val="99"/>
    <w:semiHidden/>
    <w:unhideWhenUsed/>
    <w:rsid w:val="00D246EC"/>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D246EC"/>
    <w:rPr>
      <w:rFonts w:ascii="Arial" w:eastAsia="Times New Roman" w:hAnsi="Arial" w:cs="Arial"/>
      <w:vanish/>
      <w:sz w:val="16"/>
      <w:szCs w:val="16"/>
      <w:lang w:eastAsia="en-GB"/>
    </w:rPr>
  </w:style>
  <w:style w:type="paragraph" w:customStyle="1" w:styleId="placeholder">
    <w:name w:val="placeholder"/>
    <w:basedOn w:val="Normal"/>
    <w:rsid w:val="00D246EC"/>
    <w:pPr>
      <w:spacing w:before="100" w:beforeAutospacing="1" w:after="100" w:afterAutospacing="1" w:line="240" w:lineRule="auto"/>
    </w:pPr>
    <w:rPr>
      <w:rFonts w:eastAsia="Times New Roman" w:cs="Times New Roman"/>
      <w:szCs w:val="24"/>
      <w:lang w:eastAsia="en-GB"/>
    </w:rPr>
  </w:style>
  <w:style w:type="paragraph" w:styleId="z-BottomofForm">
    <w:name w:val="HTML Bottom of Form"/>
    <w:basedOn w:val="Normal"/>
    <w:next w:val="Normal"/>
    <w:link w:val="z-BottomofFormChar"/>
    <w:hidden/>
    <w:uiPriority w:val="99"/>
    <w:semiHidden/>
    <w:unhideWhenUsed/>
    <w:rsid w:val="00D246EC"/>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D246EC"/>
    <w:rPr>
      <w:rFonts w:ascii="Arial" w:eastAsia="Times New Roman" w:hAnsi="Arial" w:cs="Arial"/>
      <w:vanish/>
      <w:sz w:val="16"/>
      <w:szCs w:val="16"/>
      <w:lang w:eastAsia="en-GB"/>
    </w:rPr>
  </w:style>
  <w:style w:type="character" w:customStyle="1" w:styleId="contents">
    <w:name w:val="contents"/>
    <w:basedOn w:val="DefaultParagraphFont"/>
    <w:rsid w:val="00D246EC"/>
  </w:style>
  <w:style w:type="character" w:customStyle="1" w:styleId="text-token-text-tertiary">
    <w:name w:val="text-token-text-tertiary"/>
    <w:basedOn w:val="DefaultParagraphFont"/>
    <w:rsid w:val="00D246EC"/>
  </w:style>
  <w:style w:type="character" w:customStyle="1" w:styleId="tabular-nums">
    <w:name w:val="tabular-nums"/>
    <w:basedOn w:val="DefaultParagraphFont"/>
    <w:rsid w:val="00D246EC"/>
  </w:style>
  <w:style w:type="paragraph" w:customStyle="1" w:styleId="artifact-docx-previewtitle">
    <w:name w:val="artifact-docx-preview_title"/>
    <w:basedOn w:val="Normal"/>
    <w:rsid w:val="00D246EC"/>
    <w:pPr>
      <w:spacing w:before="100" w:beforeAutospacing="1" w:after="100" w:afterAutospacing="1" w:line="240" w:lineRule="auto"/>
    </w:pPr>
    <w:rPr>
      <w:rFonts w:eastAsia="Times New Roman" w:cs="Times New Roman"/>
      <w:szCs w:val="24"/>
      <w:lang w:eastAsia="en-GB"/>
    </w:rPr>
  </w:style>
  <w:style w:type="paragraph" w:customStyle="1" w:styleId="artifact-docx-previewheading1">
    <w:name w:val="artifact-docx-preview_heading1"/>
    <w:basedOn w:val="Normal"/>
    <w:rsid w:val="00D246EC"/>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10</Pages>
  <Words>2289</Words>
  <Characters>13049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Helen May Escoto Frial (2430209)</cp:lastModifiedBy>
  <cp:revision>28</cp:revision>
  <dcterms:created xsi:type="dcterms:W3CDTF">2026-07-30T10:40:00Z</dcterms:created>
  <dcterms:modified xsi:type="dcterms:W3CDTF">2026-08-01T15:55:00Z</dcterms:modified>
</cp:coreProperties>
</file>