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9898F7" w14:textId="77777777" w:rsidR="00F375FB" w:rsidRPr="008A0180" w:rsidRDefault="00F375FB" w:rsidP="00684D0C">
      <w:pPr>
        <w:spacing w:line="360" w:lineRule="auto"/>
        <w:rPr>
          <w:rFonts w:ascii="Times New Roman" w:hAnsi="Times New Roman" w:cs="Times New Roman"/>
          <w:sz w:val="24"/>
          <w:szCs w:val="24"/>
        </w:rPr>
      </w:pPr>
      <w:r w:rsidRPr="008A0180">
        <w:rPr>
          <w:rFonts w:ascii="Times New Roman" w:hAnsi="Times New Roman" w:cs="Times New Roman"/>
          <w:sz w:val="24"/>
          <w:szCs w:val="24"/>
        </w:rPr>
        <w:t xml:space="preserve">INTERNATIONAL FINANCIAL MANAGEMENT: </w:t>
      </w:r>
      <w:r w:rsidRPr="008A0180">
        <w:rPr>
          <w:rFonts w:ascii="Times New Roman" w:hAnsi="Times New Roman" w:cs="Times New Roman"/>
          <w:b/>
          <w:bCs/>
          <w:sz w:val="24"/>
          <w:szCs w:val="24"/>
        </w:rPr>
        <w:t>Group Report</w:t>
      </w:r>
    </w:p>
    <w:p w14:paraId="72DE7978" w14:textId="41A5533A" w:rsidR="001D6B55" w:rsidRPr="0090753F" w:rsidRDefault="00F375FB" w:rsidP="00684D0C">
      <w:pPr>
        <w:spacing w:line="360" w:lineRule="auto"/>
        <w:rPr>
          <w:rFonts w:ascii="Times New Roman" w:hAnsi="Times New Roman" w:cs="Times New Roman"/>
          <w:b/>
          <w:bCs/>
          <w:sz w:val="24"/>
          <w:szCs w:val="24"/>
        </w:rPr>
      </w:pPr>
      <w:r w:rsidRPr="0090753F">
        <w:rPr>
          <w:rFonts w:ascii="Times New Roman" w:hAnsi="Times New Roman" w:cs="Times New Roman"/>
          <w:b/>
          <w:bCs/>
          <w:sz w:val="24"/>
          <w:szCs w:val="24"/>
        </w:rPr>
        <w:t>Critically analyses and evaluates BP Corporation’s sources of finance</w:t>
      </w:r>
    </w:p>
    <w:p w14:paraId="42AECA84" w14:textId="435C9A04" w:rsidR="00F375FB" w:rsidRPr="00684D0C" w:rsidRDefault="00F375FB" w:rsidP="00684D0C">
      <w:pPr>
        <w:spacing w:line="360" w:lineRule="auto"/>
        <w:rPr>
          <w:rFonts w:ascii="Times New Roman" w:hAnsi="Times New Roman" w:cs="Times New Roman"/>
          <w:sz w:val="24"/>
          <w:szCs w:val="24"/>
        </w:rPr>
      </w:pPr>
      <w:r w:rsidRPr="00684D0C">
        <w:rPr>
          <w:rFonts w:ascii="Times New Roman" w:hAnsi="Times New Roman" w:cs="Times New Roman"/>
          <w:sz w:val="24"/>
          <w:szCs w:val="24"/>
        </w:rPr>
        <w:t>British Petroleum (BP) is a company specializing in the production and sale of oil and gas. The organization was founded in 1901, and is currently headquartered in London, being present in over 80 countries around the world. Over the course of over 100 years of activity, the brand has created a series of successes that have generated popularity but also many disputes</w:t>
      </w:r>
      <w:r w:rsidR="003875A2">
        <w:rPr>
          <w:rFonts w:ascii="Times New Roman" w:hAnsi="Times New Roman" w:cs="Times New Roman"/>
          <w:sz w:val="24"/>
          <w:szCs w:val="24"/>
        </w:rPr>
        <w:t xml:space="preserve"> </w:t>
      </w:r>
      <w:sdt>
        <w:sdtPr>
          <w:rPr>
            <w:rFonts w:ascii="Times New Roman" w:hAnsi="Times New Roman" w:cs="Times New Roman"/>
            <w:sz w:val="24"/>
            <w:szCs w:val="24"/>
          </w:rPr>
          <w:id w:val="667678770"/>
          <w:citation/>
        </w:sdtPr>
        <w:sdtContent>
          <w:r w:rsidR="003875A2">
            <w:rPr>
              <w:rFonts w:ascii="Times New Roman" w:hAnsi="Times New Roman" w:cs="Times New Roman"/>
              <w:sz w:val="24"/>
              <w:szCs w:val="24"/>
            </w:rPr>
            <w:fldChar w:fldCharType="begin"/>
          </w:r>
          <w:r w:rsidR="003875A2">
            <w:rPr>
              <w:rFonts w:ascii="Times New Roman" w:hAnsi="Times New Roman" w:cs="Times New Roman"/>
              <w:sz w:val="24"/>
              <w:szCs w:val="24"/>
            </w:rPr>
            <w:instrText xml:space="preserve"> CITATION Cei19 \l 1033 </w:instrText>
          </w:r>
          <w:r w:rsidR="003875A2">
            <w:rPr>
              <w:rFonts w:ascii="Times New Roman" w:hAnsi="Times New Roman" w:cs="Times New Roman"/>
              <w:sz w:val="24"/>
              <w:szCs w:val="24"/>
            </w:rPr>
            <w:fldChar w:fldCharType="separate"/>
          </w:r>
          <w:r w:rsidR="003875A2" w:rsidRPr="003875A2">
            <w:rPr>
              <w:rFonts w:ascii="Times New Roman" w:hAnsi="Times New Roman" w:cs="Times New Roman"/>
              <w:noProof/>
              <w:sz w:val="24"/>
              <w:szCs w:val="24"/>
            </w:rPr>
            <w:t>(Ceil, 2019)</w:t>
          </w:r>
          <w:r w:rsidR="003875A2">
            <w:rPr>
              <w:rFonts w:ascii="Times New Roman" w:hAnsi="Times New Roman" w:cs="Times New Roman"/>
              <w:sz w:val="24"/>
              <w:szCs w:val="24"/>
            </w:rPr>
            <w:fldChar w:fldCharType="end"/>
          </w:r>
        </w:sdtContent>
      </w:sdt>
      <w:r w:rsidRPr="00684D0C">
        <w:rPr>
          <w:rFonts w:ascii="Times New Roman" w:hAnsi="Times New Roman" w:cs="Times New Roman"/>
          <w:sz w:val="24"/>
          <w:szCs w:val="24"/>
        </w:rPr>
        <w:t xml:space="preserve">. However, BP is engaged in a lengthy process involving the storage, processing, </w:t>
      </w:r>
      <w:r w:rsidRPr="00684D0C">
        <w:rPr>
          <w:rFonts w:ascii="Times New Roman" w:hAnsi="Times New Roman" w:cs="Times New Roman"/>
          <w:sz w:val="24"/>
          <w:szCs w:val="24"/>
        </w:rPr>
        <w:t>transportation,</w:t>
      </w:r>
      <w:r w:rsidRPr="00684D0C">
        <w:rPr>
          <w:rFonts w:ascii="Times New Roman" w:hAnsi="Times New Roman" w:cs="Times New Roman"/>
          <w:sz w:val="24"/>
          <w:szCs w:val="24"/>
        </w:rPr>
        <w:t xml:space="preserve"> and marketing of petroleum products. Their strategy focuses mainly on the quality of services but also on environmental issues and the transparency of their operations.</w:t>
      </w:r>
    </w:p>
    <w:p w14:paraId="6B69C77C" w14:textId="55EA85DB" w:rsidR="00F375FB" w:rsidRPr="00684D0C" w:rsidRDefault="00F375FB" w:rsidP="00684D0C">
      <w:pPr>
        <w:spacing w:line="360" w:lineRule="auto"/>
        <w:rPr>
          <w:rFonts w:ascii="Times New Roman" w:hAnsi="Times New Roman" w:cs="Times New Roman"/>
          <w:sz w:val="24"/>
          <w:szCs w:val="24"/>
        </w:rPr>
      </w:pPr>
      <w:r w:rsidRPr="00684D0C">
        <w:rPr>
          <w:rFonts w:ascii="Times New Roman" w:hAnsi="Times New Roman" w:cs="Times New Roman"/>
          <w:sz w:val="24"/>
          <w:szCs w:val="24"/>
        </w:rPr>
        <w:t>According to some studies, it has been estimated that by 2030, energy consumption will increase by more than 40% compared to current values, which determines the British Petroleum management to aim to attract potential investors but also new territories from which to benefit. from oil extraction</w:t>
      </w:r>
      <w:r w:rsidR="00060E14">
        <w:rPr>
          <w:rFonts w:ascii="Times New Roman" w:hAnsi="Times New Roman" w:cs="Times New Roman"/>
          <w:sz w:val="24"/>
          <w:szCs w:val="24"/>
        </w:rPr>
        <w:t xml:space="preserve"> </w:t>
      </w:r>
      <w:sdt>
        <w:sdtPr>
          <w:rPr>
            <w:rFonts w:ascii="Times New Roman" w:hAnsi="Times New Roman" w:cs="Times New Roman"/>
            <w:sz w:val="24"/>
            <w:szCs w:val="24"/>
          </w:rPr>
          <w:id w:val="-1805000032"/>
          <w:citation/>
        </w:sdtPr>
        <w:sdtContent>
          <w:r w:rsidR="00060E14">
            <w:rPr>
              <w:rFonts w:ascii="Times New Roman" w:hAnsi="Times New Roman" w:cs="Times New Roman"/>
              <w:sz w:val="24"/>
              <w:szCs w:val="24"/>
            </w:rPr>
            <w:fldChar w:fldCharType="begin"/>
          </w:r>
          <w:r w:rsidR="00060E14">
            <w:rPr>
              <w:rFonts w:ascii="Times New Roman" w:hAnsi="Times New Roman" w:cs="Times New Roman"/>
              <w:sz w:val="24"/>
              <w:szCs w:val="24"/>
            </w:rPr>
            <w:instrText xml:space="preserve"> CITATION BP12 \l 1033 </w:instrText>
          </w:r>
          <w:r w:rsidR="00060E14">
            <w:rPr>
              <w:rFonts w:ascii="Times New Roman" w:hAnsi="Times New Roman" w:cs="Times New Roman"/>
              <w:sz w:val="24"/>
              <w:szCs w:val="24"/>
            </w:rPr>
            <w:fldChar w:fldCharType="separate"/>
          </w:r>
          <w:r w:rsidR="00060E14" w:rsidRPr="00060E14">
            <w:rPr>
              <w:rFonts w:ascii="Times New Roman" w:hAnsi="Times New Roman" w:cs="Times New Roman"/>
              <w:noProof/>
              <w:sz w:val="24"/>
              <w:szCs w:val="24"/>
            </w:rPr>
            <w:t>(BP, 2012)</w:t>
          </w:r>
          <w:r w:rsidR="00060E14">
            <w:rPr>
              <w:rFonts w:ascii="Times New Roman" w:hAnsi="Times New Roman" w:cs="Times New Roman"/>
              <w:sz w:val="24"/>
              <w:szCs w:val="24"/>
            </w:rPr>
            <w:fldChar w:fldCharType="end"/>
          </w:r>
        </w:sdtContent>
      </w:sdt>
      <w:r w:rsidRPr="00684D0C">
        <w:rPr>
          <w:rFonts w:ascii="Times New Roman" w:hAnsi="Times New Roman" w:cs="Times New Roman"/>
          <w:sz w:val="24"/>
          <w:szCs w:val="24"/>
        </w:rPr>
        <w:t xml:space="preserve">. At the same time, it is a challenge to maintain the current investors who have helped the company to reach the top of the largest manufacturers in this industry. However, </w:t>
      </w:r>
      <w:r w:rsidR="00684D0C" w:rsidRPr="00684D0C">
        <w:rPr>
          <w:rFonts w:ascii="Times New Roman" w:hAnsi="Times New Roman" w:cs="Times New Roman"/>
          <w:sz w:val="24"/>
          <w:szCs w:val="24"/>
        </w:rPr>
        <w:t>to</w:t>
      </w:r>
      <w:r w:rsidRPr="00684D0C">
        <w:rPr>
          <w:rFonts w:ascii="Times New Roman" w:hAnsi="Times New Roman" w:cs="Times New Roman"/>
          <w:sz w:val="24"/>
          <w:szCs w:val="24"/>
        </w:rPr>
        <w:t xml:space="preserve"> achieve these goals and maintain the long-term prosperity of the business, it is essential that the company benefits from as many sources of financing as possible.</w:t>
      </w:r>
    </w:p>
    <w:p w14:paraId="7C76567D" w14:textId="0B5D10F0" w:rsidR="00F375FB" w:rsidRPr="00684D0C" w:rsidRDefault="00F375FB" w:rsidP="00684D0C">
      <w:pPr>
        <w:spacing w:line="360" w:lineRule="auto"/>
        <w:rPr>
          <w:rFonts w:ascii="Times New Roman" w:hAnsi="Times New Roman" w:cs="Times New Roman"/>
          <w:sz w:val="24"/>
          <w:szCs w:val="24"/>
        </w:rPr>
      </w:pPr>
      <w:r w:rsidRPr="00684D0C">
        <w:rPr>
          <w:rFonts w:ascii="Times New Roman" w:hAnsi="Times New Roman" w:cs="Times New Roman"/>
          <w:sz w:val="24"/>
          <w:szCs w:val="24"/>
        </w:rPr>
        <w:t>Organizations such as British Petroleum can obtain the necessary capital through available funding sources that fall into two categories, namely internal and external depending on their origin.</w:t>
      </w:r>
    </w:p>
    <w:p w14:paraId="26248DFC" w14:textId="4812AE9E" w:rsidR="00F375FB" w:rsidRPr="00684D0C" w:rsidRDefault="00F375FB" w:rsidP="00684D0C">
      <w:pPr>
        <w:spacing w:line="360" w:lineRule="auto"/>
        <w:rPr>
          <w:rFonts w:ascii="Times New Roman" w:hAnsi="Times New Roman" w:cs="Times New Roman"/>
          <w:sz w:val="24"/>
          <w:szCs w:val="24"/>
        </w:rPr>
      </w:pPr>
      <w:r w:rsidRPr="00684D0C">
        <w:rPr>
          <w:rFonts w:ascii="Times New Roman" w:hAnsi="Times New Roman" w:cs="Times New Roman"/>
          <w:sz w:val="24"/>
          <w:szCs w:val="24"/>
        </w:rPr>
        <w:t xml:space="preserve">A. Internal </w:t>
      </w:r>
      <w:r w:rsidR="00684D0C">
        <w:rPr>
          <w:rFonts w:ascii="Times New Roman" w:hAnsi="Times New Roman" w:cs="Times New Roman"/>
          <w:sz w:val="24"/>
          <w:szCs w:val="24"/>
        </w:rPr>
        <w:t>s</w:t>
      </w:r>
      <w:r w:rsidRPr="00684D0C">
        <w:rPr>
          <w:rFonts w:ascii="Times New Roman" w:hAnsi="Times New Roman" w:cs="Times New Roman"/>
          <w:sz w:val="24"/>
          <w:szCs w:val="24"/>
        </w:rPr>
        <w:t>ources of Finance: these include funds already existing within the business. Therefore, all day-to-day operations are included, such as the sale of shares or services. Another source is the sale of commercial assets, being an extremely useful way to profit from the company's activity, thus obtaining financing for other priority operations.</w:t>
      </w:r>
    </w:p>
    <w:p w14:paraId="4F344140" w14:textId="7BA2E6DC" w:rsidR="00F375FB" w:rsidRPr="00684D0C" w:rsidRDefault="00F375FB" w:rsidP="00060E14">
      <w:pPr>
        <w:spacing w:line="360" w:lineRule="auto"/>
        <w:rPr>
          <w:rFonts w:ascii="Times New Roman" w:hAnsi="Times New Roman" w:cs="Times New Roman"/>
          <w:sz w:val="24"/>
          <w:szCs w:val="24"/>
        </w:rPr>
      </w:pPr>
      <w:r w:rsidRPr="00684D0C">
        <w:rPr>
          <w:rFonts w:ascii="Times New Roman" w:hAnsi="Times New Roman" w:cs="Times New Roman"/>
          <w:sz w:val="24"/>
          <w:szCs w:val="24"/>
        </w:rPr>
        <w:t xml:space="preserve">B. External </w:t>
      </w:r>
      <w:r w:rsidR="00684D0C">
        <w:rPr>
          <w:rFonts w:ascii="Times New Roman" w:hAnsi="Times New Roman" w:cs="Times New Roman"/>
          <w:sz w:val="24"/>
          <w:szCs w:val="24"/>
        </w:rPr>
        <w:t>s</w:t>
      </w:r>
      <w:r w:rsidRPr="00684D0C">
        <w:rPr>
          <w:rFonts w:ascii="Times New Roman" w:hAnsi="Times New Roman" w:cs="Times New Roman"/>
          <w:sz w:val="24"/>
          <w:szCs w:val="24"/>
        </w:rPr>
        <w:t xml:space="preserve">ources of Finance: these come exclusively from outside the company, </w:t>
      </w:r>
      <w:r w:rsidR="00684D0C">
        <w:rPr>
          <w:rFonts w:ascii="Times New Roman" w:hAnsi="Times New Roman" w:cs="Times New Roman"/>
          <w:sz w:val="24"/>
          <w:szCs w:val="24"/>
        </w:rPr>
        <w:t>for example</w:t>
      </w:r>
      <w:r w:rsidRPr="00684D0C">
        <w:rPr>
          <w:rFonts w:ascii="Times New Roman" w:hAnsi="Times New Roman" w:cs="Times New Roman"/>
          <w:sz w:val="24"/>
          <w:szCs w:val="24"/>
        </w:rPr>
        <w:t xml:space="preserve"> investors or shareholders who have not yet been involved in the business. This type of financing can be crucial for a start-up company that needs a cash infusion to get started. At the same time, a reputable business can more easily benefit from an external investment because the history of the business can give a greater confidence to an investor. External financing sources are divided </w:t>
      </w:r>
      <w:r w:rsidRPr="00684D0C">
        <w:rPr>
          <w:rFonts w:ascii="Times New Roman" w:hAnsi="Times New Roman" w:cs="Times New Roman"/>
          <w:sz w:val="24"/>
          <w:szCs w:val="24"/>
        </w:rPr>
        <w:lastRenderedPageBreak/>
        <w:t>into two categories depending on the duration, namely: long-term or short-term</w:t>
      </w:r>
      <w:r w:rsidR="008511AB">
        <w:rPr>
          <w:rFonts w:ascii="Times New Roman" w:hAnsi="Times New Roman" w:cs="Times New Roman"/>
          <w:sz w:val="24"/>
          <w:szCs w:val="24"/>
        </w:rPr>
        <w:t xml:space="preserve"> </w:t>
      </w:r>
      <w:sdt>
        <w:sdtPr>
          <w:rPr>
            <w:rFonts w:ascii="Times New Roman" w:hAnsi="Times New Roman" w:cs="Times New Roman"/>
            <w:sz w:val="24"/>
            <w:szCs w:val="24"/>
          </w:rPr>
          <w:id w:val="-1022710218"/>
          <w:citation/>
        </w:sdtPr>
        <w:sdtContent>
          <w:r w:rsidR="008511AB">
            <w:rPr>
              <w:rFonts w:ascii="Times New Roman" w:hAnsi="Times New Roman" w:cs="Times New Roman"/>
              <w:sz w:val="24"/>
              <w:szCs w:val="24"/>
            </w:rPr>
            <w:fldChar w:fldCharType="begin"/>
          </w:r>
          <w:r w:rsidR="008511AB">
            <w:rPr>
              <w:rFonts w:ascii="Times New Roman" w:hAnsi="Times New Roman" w:cs="Times New Roman"/>
              <w:sz w:val="24"/>
              <w:szCs w:val="24"/>
            </w:rPr>
            <w:instrText xml:space="preserve"> CITATION Dob51 \l 1033 </w:instrText>
          </w:r>
          <w:r w:rsidR="008511AB">
            <w:rPr>
              <w:rFonts w:ascii="Times New Roman" w:hAnsi="Times New Roman" w:cs="Times New Roman"/>
              <w:sz w:val="24"/>
              <w:szCs w:val="24"/>
            </w:rPr>
            <w:fldChar w:fldCharType="separate"/>
          </w:r>
          <w:r w:rsidR="008511AB" w:rsidRPr="008511AB">
            <w:rPr>
              <w:rFonts w:ascii="Times New Roman" w:hAnsi="Times New Roman" w:cs="Times New Roman"/>
              <w:noProof/>
              <w:sz w:val="24"/>
              <w:szCs w:val="24"/>
            </w:rPr>
            <w:t>(Dobrovolsky, 1951)</w:t>
          </w:r>
          <w:r w:rsidR="008511AB">
            <w:rPr>
              <w:rFonts w:ascii="Times New Roman" w:hAnsi="Times New Roman" w:cs="Times New Roman"/>
              <w:sz w:val="24"/>
              <w:szCs w:val="24"/>
            </w:rPr>
            <w:fldChar w:fldCharType="end"/>
          </w:r>
        </w:sdtContent>
      </w:sdt>
      <w:r w:rsidRPr="00684D0C">
        <w:rPr>
          <w:rFonts w:ascii="Times New Roman" w:hAnsi="Times New Roman" w:cs="Times New Roman"/>
          <w:sz w:val="24"/>
          <w:szCs w:val="24"/>
        </w:rPr>
        <w:t>.</w:t>
      </w:r>
    </w:p>
    <w:p w14:paraId="6AA57B63" w14:textId="77777777" w:rsidR="00F375FB" w:rsidRPr="00684D0C" w:rsidRDefault="00F375FB" w:rsidP="00F375FB">
      <w:pPr>
        <w:rPr>
          <w:rFonts w:ascii="Times New Roman" w:hAnsi="Times New Roman" w:cs="Times New Roman"/>
          <w:sz w:val="24"/>
          <w:szCs w:val="24"/>
        </w:rPr>
      </w:pPr>
    </w:p>
    <w:tbl>
      <w:tblPr>
        <w:tblW w:w="9452" w:type="dxa"/>
        <w:jc w:val="center"/>
        <w:tblLook w:val="04A0" w:firstRow="1" w:lastRow="0" w:firstColumn="1" w:lastColumn="0" w:noHBand="0" w:noVBand="1"/>
      </w:tblPr>
      <w:tblGrid>
        <w:gridCol w:w="4228"/>
        <w:gridCol w:w="2671"/>
        <w:gridCol w:w="2553"/>
      </w:tblGrid>
      <w:tr w:rsidR="00F375FB" w:rsidRPr="00E2160C" w14:paraId="192EC654" w14:textId="77777777" w:rsidTr="00824204">
        <w:trPr>
          <w:trHeight w:val="490"/>
          <w:jc w:val="center"/>
        </w:trPr>
        <w:tc>
          <w:tcPr>
            <w:tcW w:w="9452" w:type="dxa"/>
            <w:gridSpan w:val="3"/>
            <w:tcBorders>
              <w:top w:val="single" w:sz="8" w:space="0" w:color="auto"/>
              <w:left w:val="single" w:sz="8" w:space="0" w:color="auto"/>
              <w:bottom w:val="nil"/>
              <w:right w:val="single" w:sz="8" w:space="0" w:color="000000"/>
            </w:tcBorders>
            <w:shd w:val="clear" w:color="auto" w:fill="auto"/>
            <w:noWrap/>
            <w:vAlign w:val="bottom"/>
            <w:hideMark/>
          </w:tcPr>
          <w:p w14:paraId="77447AFA" w14:textId="77777777" w:rsidR="00F375FB" w:rsidRPr="00E2160C" w:rsidRDefault="00F375FB" w:rsidP="00824204">
            <w:pPr>
              <w:spacing w:after="0" w:line="240" w:lineRule="auto"/>
              <w:jc w:val="center"/>
              <w:rPr>
                <w:rFonts w:ascii="Times New Roman" w:eastAsia="Times New Roman" w:hAnsi="Times New Roman" w:cs="Times New Roman"/>
                <w:b/>
                <w:bCs/>
                <w:color w:val="000000"/>
                <w:sz w:val="28"/>
                <w:szCs w:val="28"/>
              </w:rPr>
            </w:pPr>
            <w:r w:rsidRPr="00E2160C">
              <w:rPr>
                <w:rFonts w:ascii="Times New Roman" w:eastAsia="Times New Roman" w:hAnsi="Times New Roman" w:cs="Times New Roman"/>
                <w:b/>
                <w:bCs/>
                <w:color w:val="000000"/>
                <w:sz w:val="32"/>
                <w:szCs w:val="32"/>
              </w:rPr>
              <w:t>British Petroleum - Sources of Finance</w:t>
            </w:r>
          </w:p>
        </w:tc>
      </w:tr>
      <w:tr w:rsidR="00F375FB" w:rsidRPr="00E2160C" w14:paraId="50A0FB4F" w14:textId="77777777" w:rsidTr="00F375FB">
        <w:trPr>
          <w:trHeight w:val="379"/>
          <w:jc w:val="center"/>
        </w:trPr>
        <w:tc>
          <w:tcPr>
            <w:tcW w:w="4228" w:type="dxa"/>
            <w:vMerge w:val="restart"/>
            <w:tcBorders>
              <w:top w:val="single" w:sz="8" w:space="0" w:color="auto"/>
              <w:left w:val="single" w:sz="8" w:space="0" w:color="auto"/>
              <w:bottom w:val="single" w:sz="8" w:space="0" w:color="000000"/>
              <w:right w:val="dashed" w:sz="4" w:space="0" w:color="auto"/>
            </w:tcBorders>
            <w:shd w:val="clear" w:color="auto" w:fill="auto"/>
            <w:noWrap/>
            <w:vAlign w:val="center"/>
            <w:hideMark/>
          </w:tcPr>
          <w:p w14:paraId="327B4195" w14:textId="77777777" w:rsidR="00F375FB" w:rsidRPr="00E2160C" w:rsidRDefault="00F375FB" w:rsidP="00824204">
            <w:pPr>
              <w:spacing w:after="0" w:line="240" w:lineRule="auto"/>
              <w:jc w:val="center"/>
              <w:rPr>
                <w:rFonts w:ascii="Times New Roman" w:eastAsia="Times New Roman" w:hAnsi="Times New Roman" w:cs="Times New Roman"/>
                <w:b/>
                <w:bCs/>
                <w:color w:val="000000"/>
                <w:sz w:val="28"/>
                <w:szCs w:val="28"/>
              </w:rPr>
            </w:pPr>
            <w:r w:rsidRPr="00E2160C">
              <w:rPr>
                <w:rFonts w:ascii="Times New Roman" w:eastAsia="Times New Roman" w:hAnsi="Times New Roman" w:cs="Times New Roman"/>
                <w:b/>
                <w:bCs/>
                <w:color w:val="000000"/>
                <w:sz w:val="28"/>
                <w:szCs w:val="28"/>
              </w:rPr>
              <w:t>INTERNAL</w:t>
            </w:r>
          </w:p>
        </w:tc>
        <w:tc>
          <w:tcPr>
            <w:tcW w:w="5224" w:type="dxa"/>
            <w:gridSpan w:val="2"/>
            <w:tcBorders>
              <w:top w:val="single" w:sz="8" w:space="0" w:color="auto"/>
              <w:left w:val="nil"/>
              <w:bottom w:val="dashed" w:sz="4" w:space="0" w:color="auto"/>
              <w:right w:val="single" w:sz="8" w:space="0" w:color="000000"/>
            </w:tcBorders>
            <w:shd w:val="clear" w:color="auto" w:fill="auto"/>
            <w:noWrap/>
            <w:vAlign w:val="bottom"/>
            <w:hideMark/>
          </w:tcPr>
          <w:p w14:paraId="3D8FCC64" w14:textId="77777777" w:rsidR="00F375FB" w:rsidRPr="00E2160C" w:rsidRDefault="00F375FB" w:rsidP="00824204">
            <w:pPr>
              <w:spacing w:after="0" w:line="240" w:lineRule="auto"/>
              <w:jc w:val="center"/>
              <w:rPr>
                <w:rFonts w:ascii="Times New Roman" w:eastAsia="Times New Roman" w:hAnsi="Times New Roman" w:cs="Times New Roman"/>
                <w:b/>
                <w:bCs/>
                <w:color w:val="000000"/>
                <w:sz w:val="28"/>
                <w:szCs w:val="28"/>
              </w:rPr>
            </w:pPr>
            <w:r w:rsidRPr="00E2160C">
              <w:rPr>
                <w:rFonts w:ascii="Times New Roman" w:eastAsia="Times New Roman" w:hAnsi="Times New Roman" w:cs="Times New Roman"/>
                <w:b/>
                <w:bCs/>
                <w:color w:val="000000"/>
                <w:sz w:val="28"/>
                <w:szCs w:val="28"/>
              </w:rPr>
              <w:t>EXTERNAL</w:t>
            </w:r>
          </w:p>
        </w:tc>
      </w:tr>
      <w:tr w:rsidR="00F375FB" w:rsidRPr="00E2160C" w14:paraId="40AFF3D2" w14:textId="77777777" w:rsidTr="00F375FB">
        <w:trPr>
          <w:trHeight w:val="395"/>
          <w:jc w:val="center"/>
        </w:trPr>
        <w:tc>
          <w:tcPr>
            <w:tcW w:w="4228" w:type="dxa"/>
            <w:vMerge/>
            <w:tcBorders>
              <w:top w:val="single" w:sz="8" w:space="0" w:color="auto"/>
              <w:left w:val="single" w:sz="8" w:space="0" w:color="auto"/>
              <w:bottom w:val="single" w:sz="8" w:space="0" w:color="000000"/>
              <w:right w:val="dashed" w:sz="4" w:space="0" w:color="auto"/>
            </w:tcBorders>
            <w:vAlign w:val="center"/>
            <w:hideMark/>
          </w:tcPr>
          <w:p w14:paraId="4AD5DD84" w14:textId="77777777" w:rsidR="00F375FB" w:rsidRPr="00E2160C" w:rsidRDefault="00F375FB" w:rsidP="00824204">
            <w:pPr>
              <w:spacing w:after="0" w:line="240" w:lineRule="auto"/>
              <w:rPr>
                <w:rFonts w:ascii="Times New Roman" w:eastAsia="Times New Roman" w:hAnsi="Times New Roman" w:cs="Times New Roman"/>
                <w:b/>
                <w:bCs/>
                <w:color w:val="000000"/>
                <w:sz w:val="28"/>
                <w:szCs w:val="28"/>
              </w:rPr>
            </w:pPr>
          </w:p>
        </w:tc>
        <w:tc>
          <w:tcPr>
            <w:tcW w:w="2671" w:type="dxa"/>
            <w:tcBorders>
              <w:top w:val="dashed" w:sz="4" w:space="0" w:color="auto"/>
              <w:left w:val="nil"/>
              <w:bottom w:val="single" w:sz="8" w:space="0" w:color="auto"/>
              <w:right w:val="dashed" w:sz="4" w:space="0" w:color="auto"/>
            </w:tcBorders>
            <w:shd w:val="clear" w:color="auto" w:fill="auto"/>
            <w:noWrap/>
            <w:vAlign w:val="bottom"/>
            <w:hideMark/>
          </w:tcPr>
          <w:p w14:paraId="099FE64D" w14:textId="77777777" w:rsidR="00F375FB" w:rsidRPr="00E2160C" w:rsidRDefault="00F375FB" w:rsidP="00824204">
            <w:pPr>
              <w:spacing w:after="0" w:line="240" w:lineRule="auto"/>
              <w:jc w:val="center"/>
              <w:rPr>
                <w:rFonts w:ascii="Times New Roman" w:eastAsia="Times New Roman" w:hAnsi="Times New Roman" w:cs="Times New Roman"/>
                <w:b/>
                <w:bCs/>
                <w:color w:val="000000"/>
                <w:sz w:val="28"/>
                <w:szCs w:val="28"/>
              </w:rPr>
            </w:pPr>
            <w:r w:rsidRPr="00E2160C">
              <w:rPr>
                <w:rFonts w:ascii="Times New Roman" w:eastAsia="Times New Roman" w:hAnsi="Times New Roman" w:cs="Times New Roman"/>
                <w:b/>
                <w:bCs/>
                <w:color w:val="000000"/>
                <w:sz w:val="28"/>
                <w:szCs w:val="28"/>
              </w:rPr>
              <w:t>Short-Term</w:t>
            </w:r>
          </w:p>
        </w:tc>
        <w:tc>
          <w:tcPr>
            <w:tcW w:w="2553" w:type="dxa"/>
            <w:tcBorders>
              <w:top w:val="dashed" w:sz="4" w:space="0" w:color="auto"/>
              <w:left w:val="nil"/>
              <w:bottom w:val="single" w:sz="8" w:space="0" w:color="auto"/>
              <w:right w:val="single" w:sz="8" w:space="0" w:color="000000"/>
            </w:tcBorders>
            <w:shd w:val="clear" w:color="auto" w:fill="auto"/>
            <w:noWrap/>
            <w:vAlign w:val="bottom"/>
            <w:hideMark/>
          </w:tcPr>
          <w:p w14:paraId="5652C72D" w14:textId="77777777" w:rsidR="00F375FB" w:rsidRPr="00E2160C" w:rsidRDefault="00F375FB" w:rsidP="00824204">
            <w:pPr>
              <w:spacing w:after="0" w:line="240" w:lineRule="auto"/>
              <w:jc w:val="center"/>
              <w:rPr>
                <w:rFonts w:ascii="Times New Roman" w:eastAsia="Times New Roman" w:hAnsi="Times New Roman" w:cs="Times New Roman"/>
                <w:b/>
                <w:bCs/>
                <w:color w:val="000000"/>
                <w:sz w:val="28"/>
                <w:szCs w:val="28"/>
              </w:rPr>
            </w:pPr>
            <w:r w:rsidRPr="00E2160C">
              <w:rPr>
                <w:rFonts w:ascii="Times New Roman" w:eastAsia="Times New Roman" w:hAnsi="Times New Roman" w:cs="Times New Roman"/>
                <w:b/>
                <w:bCs/>
                <w:color w:val="000000"/>
                <w:sz w:val="28"/>
                <w:szCs w:val="28"/>
              </w:rPr>
              <w:t>Long-Term</w:t>
            </w:r>
          </w:p>
        </w:tc>
      </w:tr>
      <w:tr w:rsidR="00F375FB" w:rsidRPr="00E2160C" w14:paraId="71CFDCCD" w14:textId="77777777" w:rsidTr="00F375FB">
        <w:trPr>
          <w:trHeight w:val="379"/>
          <w:jc w:val="center"/>
        </w:trPr>
        <w:tc>
          <w:tcPr>
            <w:tcW w:w="4228" w:type="dxa"/>
            <w:tcBorders>
              <w:top w:val="single" w:sz="8" w:space="0" w:color="auto"/>
              <w:left w:val="single" w:sz="8" w:space="0" w:color="auto"/>
              <w:bottom w:val="dashed" w:sz="4" w:space="0" w:color="auto"/>
              <w:right w:val="dashed" w:sz="4" w:space="0" w:color="auto"/>
            </w:tcBorders>
            <w:shd w:val="clear" w:color="auto" w:fill="auto"/>
            <w:noWrap/>
            <w:vAlign w:val="bottom"/>
            <w:hideMark/>
          </w:tcPr>
          <w:p w14:paraId="39299D66" w14:textId="77777777" w:rsidR="00F375FB" w:rsidRPr="00E2160C" w:rsidRDefault="00F375FB" w:rsidP="00824204">
            <w:pPr>
              <w:spacing w:after="0" w:line="240" w:lineRule="auto"/>
              <w:jc w:val="center"/>
              <w:rPr>
                <w:rFonts w:ascii="Times New Roman" w:eastAsia="Times New Roman" w:hAnsi="Times New Roman" w:cs="Times New Roman"/>
                <w:color w:val="000000"/>
                <w:sz w:val="24"/>
                <w:szCs w:val="24"/>
              </w:rPr>
            </w:pPr>
            <w:r w:rsidRPr="00E2160C">
              <w:rPr>
                <w:rFonts w:ascii="Times New Roman" w:eastAsia="Times New Roman" w:hAnsi="Times New Roman" w:cs="Times New Roman"/>
                <w:color w:val="000000"/>
                <w:sz w:val="24"/>
                <w:szCs w:val="24"/>
              </w:rPr>
              <w:t>1)   Retained earnings</w:t>
            </w:r>
          </w:p>
        </w:tc>
        <w:tc>
          <w:tcPr>
            <w:tcW w:w="2671" w:type="dxa"/>
            <w:tcBorders>
              <w:top w:val="single" w:sz="8" w:space="0" w:color="auto"/>
              <w:left w:val="nil"/>
              <w:bottom w:val="dashed" w:sz="4" w:space="0" w:color="auto"/>
              <w:right w:val="dashed" w:sz="4" w:space="0" w:color="auto"/>
            </w:tcBorders>
            <w:shd w:val="clear" w:color="auto" w:fill="auto"/>
            <w:noWrap/>
            <w:vAlign w:val="bottom"/>
            <w:hideMark/>
          </w:tcPr>
          <w:p w14:paraId="0C88314B" w14:textId="77777777" w:rsidR="00F375FB" w:rsidRPr="00E2160C" w:rsidRDefault="00F375FB" w:rsidP="00824204">
            <w:pPr>
              <w:spacing w:after="0" w:line="240" w:lineRule="auto"/>
              <w:jc w:val="center"/>
              <w:rPr>
                <w:rFonts w:ascii="Times New Roman" w:eastAsia="Times New Roman" w:hAnsi="Times New Roman" w:cs="Times New Roman"/>
                <w:color w:val="000000"/>
                <w:sz w:val="24"/>
                <w:szCs w:val="24"/>
              </w:rPr>
            </w:pPr>
            <w:r w:rsidRPr="00E2160C">
              <w:rPr>
                <w:rFonts w:ascii="Times New Roman" w:eastAsia="Times New Roman" w:hAnsi="Times New Roman" w:cs="Times New Roman"/>
                <w:color w:val="000000"/>
                <w:sz w:val="24"/>
                <w:szCs w:val="24"/>
              </w:rPr>
              <w:t>1)  Bank overdraft</w:t>
            </w:r>
          </w:p>
        </w:tc>
        <w:tc>
          <w:tcPr>
            <w:tcW w:w="2553" w:type="dxa"/>
            <w:tcBorders>
              <w:top w:val="single" w:sz="8" w:space="0" w:color="auto"/>
              <w:left w:val="nil"/>
              <w:bottom w:val="dashed" w:sz="4" w:space="0" w:color="auto"/>
              <w:right w:val="single" w:sz="8" w:space="0" w:color="000000"/>
            </w:tcBorders>
            <w:shd w:val="clear" w:color="auto" w:fill="auto"/>
            <w:noWrap/>
            <w:vAlign w:val="bottom"/>
            <w:hideMark/>
          </w:tcPr>
          <w:p w14:paraId="5FD7B88D" w14:textId="77777777" w:rsidR="00F375FB" w:rsidRPr="00E2160C" w:rsidRDefault="00F375FB" w:rsidP="00824204">
            <w:pPr>
              <w:spacing w:after="0" w:line="240" w:lineRule="auto"/>
              <w:jc w:val="center"/>
              <w:rPr>
                <w:rFonts w:ascii="Times New Roman" w:eastAsia="Times New Roman" w:hAnsi="Times New Roman" w:cs="Times New Roman"/>
                <w:color w:val="000000"/>
                <w:sz w:val="24"/>
                <w:szCs w:val="24"/>
              </w:rPr>
            </w:pPr>
            <w:r w:rsidRPr="00E2160C">
              <w:rPr>
                <w:rFonts w:ascii="Times New Roman" w:eastAsia="Times New Roman" w:hAnsi="Times New Roman" w:cs="Times New Roman"/>
                <w:color w:val="000000"/>
                <w:sz w:val="24"/>
                <w:szCs w:val="24"/>
              </w:rPr>
              <w:t>1)  Shares</w:t>
            </w:r>
          </w:p>
        </w:tc>
      </w:tr>
      <w:tr w:rsidR="00F375FB" w:rsidRPr="00E2160C" w14:paraId="70986CBA" w14:textId="77777777" w:rsidTr="00F375FB">
        <w:trPr>
          <w:trHeight w:val="379"/>
          <w:jc w:val="center"/>
        </w:trPr>
        <w:tc>
          <w:tcPr>
            <w:tcW w:w="4228" w:type="dxa"/>
            <w:tcBorders>
              <w:top w:val="dashed" w:sz="4" w:space="0" w:color="auto"/>
              <w:left w:val="single" w:sz="8" w:space="0" w:color="auto"/>
              <w:bottom w:val="dashed" w:sz="4" w:space="0" w:color="auto"/>
              <w:right w:val="dashed" w:sz="4" w:space="0" w:color="auto"/>
            </w:tcBorders>
            <w:shd w:val="clear" w:color="auto" w:fill="auto"/>
            <w:noWrap/>
            <w:vAlign w:val="bottom"/>
            <w:hideMark/>
          </w:tcPr>
          <w:p w14:paraId="4E568DAC" w14:textId="77777777" w:rsidR="00F375FB" w:rsidRPr="00E2160C" w:rsidRDefault="00F375FB" w:rsidP="00824204">
            <w:pPr>
              <w:spacing w:after="0" w:line="240" w:lineRule="auto"/>
              <w:jc w:val="center"/>
              <w:rPr>
                <w:rFonts w:ascii="Times New Roman" w:eastAsia="Times New Roman" w:hAnsi="Times New Roman" w:cs="Times New Roman"/>
                <w:color w:val="000000"/>
                <w:sz w:val="24"/>
                <w:szCs w:val="24"/>
              </w:rPr>
            </w:pPr>
            <w:r w:rsidRPr="00E2160C">
              <w:rPr>
                <w:rFonts w:ascii="Times New Roman" w:eastAsia="Times New Roman" w:hAnsi="Times New Roman" w:cs="Times New Roman"/>
                <w:color w:val="000000"/>
                <w:sz w:val="24"/>
                <w:szCs w:val="24"/>
              </w:rPr>
              <w:t>2)   Sale of stock</w:t>
            </w:r>
          </w:p>
        </w:tc>
        <w:tc>
          <w:tcPr>
            <w:tcW w:w="2671" w:type="dxa"/>
            <w:tcBorders>
              <w:top w:val="dashed" w:sz="4" w:space="0" w:color="auto"/>
              <w:left w:val="nil"/>
              <w:bottom w:val="dashed" w:sz="4" w:space="0" w:color="auto"/>
              <w:right w:val="dashed" w:sz="4" w:space="0" w:color="auto"/>
            </w:tcBorders>
            <w:shd w:val="clear" w:color="auto" w:fill="auto"/>
            <w:noWrap/>
            <w:vAlign w:val="bottom"/>
            <w:hideMark/>
          </w:tcPr>
          <w:p w14:paraId="6985DA38" w14:textId="77777777" w:rsidR="00F375FB" w:rsidRPr="00E2160C" w:rsidRDefault="00F375FB" w:rsidP="00824204">
            <w:pPr>
              <w:spacing w:after="0" w:line="240" w:lineRule="auto"/>
              <w:jc w:val="center"/>
              <w:rPr>
                <w:rFonts w:ascii="Times New Roman" w:eastAsia="Times New Roman" w:hAnsi="Times New Roman" w:cs="Times New Roman"/>
                <w:color w:val="000000"/>
                <w:sz w:val="24"/>
                <w:szCs w:val="24"/>
              </w:rPr>
            </w:pPr>
            <w:r w:rsidRPr="00684D0C">
              <w:rPr>
                <w:rFonts w:ascii="Times New Roman" w:eastAsia="Times New Roman" w:hAnsi="Times New Roman" w:cs="Times New Roman"/>
                <w:color w:val="000000"/>
                <w:sz w:val="24"/>
                <w:szCs w:val="24"/>
              </w:rPr>
              <w:t>2</w:t>
            </w:r>
            <w:r w:rsidRPr="00E2160C">
              <w:rPr>
                <w:rFonts w:ascii="Times New Roman" w:eastAsia="Times New Roman" w:hAnsi="Times New Roman" w:cs="Times New Roman"/>
                <w:color w:val="000000"/>
                <w:sz w:val="24"/>
                <w:szCs w:val="24"/>
              </w:rPr>
              <w:t>)  Creditors</w:t>
            </w:r>
          </w:p>
        </w:tc>
        <w:tc>
          <w:tcPr>
            <w:tcW w:w="2553" w:type="dxa"/>
            <w:tcBorders>
              <w:top w:val="dashed" w:sz="4" w:space="0" w:color="auto"/>
              <w:left w:val="nil"/>
              <w:bottom w:val="dashed" w:sz="4" w:space="0" w:color="auto"/>
              <w:right w:val="single" w:sz="8" w:space="0" w:color="000000"/>
            </w:tcBorders>
            <w:shd w:val="clear" w:color="auto" w:fill="auto"/>
            <w:noWrap/>
            <w:vAlign w:val="bottom"/>
            <w:hideMark/>
          </w:tcPr>
          <w:p w14:paraId="4F119546" w14:textId="77777777" w:rsidR="00F375FB" w:rsidRPr="00E2160C" w:rsidRDefault="00F375FB" w:rsidP="00824204">
            <w:pPr>
              <w:spacing w:after="0" w:line="240" w:lineRule="auto"/>
              <w:jc w:val="center"/>
              <w:rPr>
                <w:rFonts w:ascii="Times New Roman" w:eastAsia="Times New Roman" w:hAnsi="Times New Roman" w:cs="Times New Roman"/>
                <w:color w:val="000000"/>
                <w:sz w:val="24"/>
                <w:szCs w:val="24"/>
              </w:rPr>
            </w:pPr>
            <w:r w:rsidRPr="00E2160C">
              <w:rPr>
                <w:rFonts w:ascii="Times New Roman" w:eastAsia="Times New Roman" w:hAnsi="Times New Roman" w:cs="Times New Roman"/>
                <w:color w:val="000000"/>
                <w:sz w:val="24"/>
                <w:szCs w:val="24"/>
              </w:rPr>
              <w:t>2)  Debentures</w:t>
            </w:r>
          </w:p>
        </w:tc>
      </w:tr>
      <w:tr w:rsidR="00F375FB" w:rsidRPr="00E2160C" w14:paraId="0B90B335" w14:textId="77777777" w:rsidTr="00F375FB">
        <w:trPr>
          <w:trHeight w:val="379"/>
          <w:jc w:val="center"/>
        </w:trPr>
        <w:tc>
          <w:tcPr>
            <w:tcW w:w="4228" w:type="dxa"/>
            <w:tcBorders>
              <w:top w:val="dashed" w:sz="4" w:space="0" w:color="auto"/>
              <w:left w:val="single" w:sz="8" w:space="0" w:color="auto"/>
              <w:bottom w:val="dashed" w:sz="4" w:space="0" w:color="auto"/>
              <w:right w:val="dashed" w:sz="4" w:space="0" w:color="auto"/>
            </w:tcBorders>
            <w:shd w:val="clear" w:color="auto" w:fill="auto"/>
            <w:noWrap/>
            <w:vAlign w:val="bottom"/>
            <w:hideMark/>
          </w:tcPr>
          <w:p w14:paraId="229014A8" w14:textId="77777777" w:rsidR="00F375FB" w:rsidRPr="00E2160C" w:rsidRDefault="00F375FB" w:rsidP="00824204">
            <w:pPr>
              <w:spacing w:after="0" w:line="240" w:lineRule="auto"/>
              <w:jc w:val="center"/>
              <w:rPr>
                <w:rFonts w:ascii="Times New Roman" w:eastAsia="Times New Roman" w:hAnsi="Times New Roman" w:cs="Times New Roman"/>
                <w:color w:val="000000"/>
                <w:sz w:val="24"/>
                <w:szCs w:val="24"/>
              </w:rPr>
            </w:pPr>
            <w:r w:rsidRPr="00E2160C">
              <w:rPr>
                <w:rFonts w:ascii="Times New Roman" w:eastAsia="Times New Roman" w:hAnsi="Times New Roman" w:cs="Times New Roman"/>
                <w:color w:val="000000"/>
                <w:sz w:val="24"/>
                <w:szCs w:val="24"/>
              </w:rPr>
              <w:t>3)   Debt collection</w:t>
            </w:r>
          </w:p>
        </w:tc>
        <w:tc>
          <w:tcPr>
            <w:tcW w:w="2671" w:type="dxa"/>
            <w:tcBorders>
              <w:top w:val="dashed" w:sz="4" w:space="0" w:color="auto"/>
              <w:left w:val="nil"/>
              <w:bottom w:val="dashed" w:sz="4" w:space="0" w:color="auto"/>
              <w:right w:val="dashed" w:sz="4" w:space="0" w:color="auto"/>
            </w:tcBorders>
            <w:shd w:val="clear" w:color="auto" w:fill="auto"/>
            <w:noWrap/>
            <w:vAlign w:val="bottom"/>
            <w:hideMark/>
          </w:tcPr>
          <w:p w14:paraId="0C7538E4" w14:textId="77777777" w:rsidR="00F375FB" w:rsidRPr="00E2160C" w:rsidRDefault="00F375FB" w:rsidP="00824204">
            <w:pPr>
              <w:spacing w:after="0" w:line="240" w:lineRule="auto"/>
              <w:jc w:val="center"/>
              <w:rPr>
                <w:rFonts w:ascii="Times New Roman" w:eastAsia="Times New Roman" w:hAnsi="Times New Roman" w:cs="Times New Roman"/>
                <w:color w:val="000000"/>
                <w:sz w:val="24"/>
                <w:szCs w:val="24"/>
              </w:rPr>
            </w:pPr>
            <w:r w:rsidRPr="00684D0C">
              <w:rPr>
                <w:rFonts w:ascii="Times New Roman" w:eastAsia="Times New Roman" w:hAnsi="Times New Roman" w:cs="Times New Roman"/>
                <w:color w:val="000000"/>
                <w:sz w:val="24"/>
                <w:szCs w:val="24"/>
              </w:rPr>
              <w:t>3</w:t>
            </w:r>
            <w:r w:rsidRPr="00E2160C">
              <w:rPr>
                <w:rFonts w:ascii="Times New Roman" w:eastAsia="Times New Roman" w:hAnsi="Times New Roman" w:cs="Times New Roman"/>
                <w:color w:val="000000"/>
                <w:sz w:val="24"/>
                <w:szCs w:val="24"/>
              </w:rPr>
              <w:t>) Debt factoring</w:t>
            </w:r>
          </w:p>
        </w:tc>
        <w:tc>
          <w:tcPr>
            <w:tcW w:w="2553" w:type="dxa"/>
            <w:tcBorders>
              <w:top w:val="dashed" w:sz="4" w:space="0" w:color="auto"/>
              <w:left w:val="nil"/>
              <w:bottom w:val="dashed" w:sz="4" w:space="0" w:color="auto"/>
              <w:right w:val="single" w:sz="8" w:space="0" w:color="000000"/>
            </w:tcBorders>
            <w:shd w:val="clear" w:color="auto" w:fill="auto"/>
            <w:noWrap/>
            <w:vAlign w:val="bottom"/>
            <w:hideMark/>
          </w:tcPr>
          <w:p w14:paraId="08143DBA" w14:textId="77777777" w:rsidR="00F375FB" w:rsidRPr="00E2160C" w:rsidRDefault="00F375FB" w:rsidP="00824204">
            <w:pPr>
              <w:spacing w:after="0" w:line="240" w:lineRule="auto"/>
              <w:jc w:val="center"/>
              <w:rPr>
                <w:rFonts w:ascii="Times New Roman" w:eastAsia="Times New Roman" w:hAnsi="Times New Roman" w:cs="Times New Roman"/>
                <w:color w:val="000000"/>
                <w:sz w:val="24"/>
                <w:szCs w:val="24"/>
              </w:rPr>
            </w:pPr>
            <w:r w:rsidRPr="00E2160C">
              <w:rPr>
                <w:rFonts w:ascii="Times New Roman" w:eastAsia="Times New Roman" w:hAnsi="Times New Roman" w:cs="Times New Roman"/>
                <w:color w:val="000000"/>
                <w:sz w:val="24"/>
                <w:szCs w:val="24"/>
              </w:rPr>
              <w:t>3)  Grants</w:t>
            </w:r>
          </w:p>
        </w:tc>
      </w:tr>
      <w:tr w:rsidR="00F375FB" w:rsidRPr="00E2160C" w14:paraId="6683631A" w14:textId="77777777" w:rsidTr="00F375FB">
        <w:trPr>
          <w:trHeight w:val="379"/>
          <w:jc w:val="center"/>
        </w:trPr>
        <w:tc>
          <w:tcPr>
            <w:tcW w:w="4228" w:type="dxa"/>
            <w:tcBorders>
              <w:top w:val="dashed" w:sz="4" w:space="0" w:color="auto"/>
              <w:left w:val="single" w:sz="8" w:space="0" w:color="auto"/>
              <w:bottom w:val="dashed" w:sz="4" w:space="0" w:color="auto"/>
              <w:right w:val="dashed" w:sz="4" w:space="0" w:color="auto"/>
            </w:tcBorders>
            <w:shd w:val="clear" w:color="auto" w:fill="auto"/>
            <w:noWrap/>
            <w:vAlign w:val="bottom"/>
            <w:hideMark/>
          </w:tcPr>
          <w:p w14:paraId="4937B94B" w14:textId="77777777" w:rsidR="00F375FB" w:rsidRPr="00E2160C" w:rsidRDefault="00F375FB" w:rsidP="00824204">
            <w:pPr>
              <w:spacing w:after="0" w:line="240" w:lineRule="auto"/>
              <w:jc w:val="center"/>
              <w:rPr>
                <w:rFonts w:ascii="Times New Roman" w:eastAsia="Times New Roman" w:hAnsi="Times New Roman" w:cs="Times New Roman"/>
                <w:color w:val="000000"/>
                <w:sz w:val="24"/>
                <w:szCs w:val="24"/>
              </w:rPr>
            </w:pPr>
            <w:r w:rsidRPr="00E2160C">
              <w:rPr>
                <w:rFonts w:ascii="Times New Roman" w:eastAsia="Times New Roman" w:hAnsi="Times New Roman" w:cs="Times New Roman"/>
                <w:color w:val="000000"/>
                <w:sz w:val="24"/>
                <w:szCs w:val="24"/>
              </w:rPr>
              <w:t>4)  Sales of existing assets</w:t>
            </w:r>
          </w:p>
        </w:tc>
        <w:tc>
          <w:tcPr>
            <w:tcW w:w="2671" w:type="dxa"/>
            <w:tcBorders>
              <w:top w:val="dashed" w:sz="4" w:space="0" w:color="auto"/>
              <w:left w:val="nil"/>
              <w:bottom w:val="dashed" w:sz="4" w:space="0" w:color="auto"/>
              <w:right w:val="dashed" w:sz="4" w:space="0" w:color="auto"/>
            </w:tcBorders>
            <w:shd w:val="clear" w:color="auto" w:fill="auto"/>
            <w:noWrap/>
            <w:vAlign w:val="bottom"/>
            <w:hideMark/>
          </w:tcPr>
          <w:p w14:paraId="79CC3F32" w14:textId="77777777" w:rsidR="00F375FB" w:rsidRPr="00E2160C" w:rsidRDefault="00F375FB" w:rsidP="00824204">
            <w:pPr>
              <w:spacing w:after="0" w:line="240" w:lineRule="auto"/>
              <w:jc w:val="center"/>
              <w:rPr>
                <w:rFonts w:ascii="Times New Roman" w:eastAsia="Times New Roman" w:hAnsi="Times New Roman" w:cs="Times New Roman"/>
                <w:color w:val="000000"/>
                <w:sz w:val="24"/>
                <w:szCs w:val="24"/>
              </w:rPr>
            </w:pPr>
            <w:r w:rsidRPr="00684D0C">
              <w:rPr>
                <w:rFonts w:ascii="Times New Roman" w:eastAsia="Times New Roman" w:hAnsi="Times New Roman" w:cs="Times New Roman"/>
                <w:color w:val="000000"/>
                <w:sz w:val="24"/>
                <w:szCs w:val="24"/>
              </w:rPr>
              <w:t>4</w:t>
            </w:r>
            <w:r w:rsidRPr="00E2160C">
              <w:rPr>
                <w:rFonts w:ascii="Times New Roman" w:eastAsia="Times New Roman" w:hAnsi="Times New Roman" w:cs="Times New Roman"/>
                <w:color w:val="000000"/>
                <w:sz w:val="24"/>
                <w:szCs w:val="24"/>
              </w:rPr>
              <w:t>)  Short term bank loan</w:t>
            </w:r>
          </w:p>
        </w:tc>
        <w:tc>
          <w:tcPr>
            <w:tcW w:w="2553" w:type="dxa"/>
            <w:tcBorders>
              <w:top w:val="dashed" w:sz="4" w:space="0" w:color="auto"/>
              <w:left w:val="nil"/>
              <w:bottom w:val="dashed" w:sz="4" w:space="0" w:color="auto"/>
              <w:right w:val="single" w:sz="8" w:space="0" w:color="000000"/>
            </w:tcBorders>
            <w:shd w:val="clear" w:color="auto" w:fill="auto"/>
            <w:noWrap/>
            <w:vAlign w:val="bottom"/>
            <w:hideMark/>
          </w:tcPr>
          <w:p w14:paraId="2BA14FE9" w14:textId="77777777" w:rsidR="00F375FB" w:rsidRPr="00E2160C" w:rsidRDefault="00F375FB" w:rsidP="00824204">
            <w:pPr>
              <w:spacing w:after="0" w:line="240" w:lineRule="auto"/>
              <w:jc w:val="center"/>
              <w:rPr>
                <w:rFonts w:ascii="Times New Roman" w:eastAsia="Times New Roman" w:hAnsi="Times New Roman" w:cs="Times New Roman"/>
                <w:color w:val="000000"/>
                <w:sz w:val="24"/>
                <w:szCs w:val="24"/>
              </w:rPr>
            </w:pPr>
            <w:r w:rsidRPr="00E2160C">
              <w:rPr>
                <w:rFonts w:ascii="Times New Roman" w:eastAsia="Times New Roman" w:hAnsi="Times New Roman" w:cs="Times New Roman"/>
                <w:color w:val="000000"/>
                <w:sz w:val="24"/>
                <w:szCs w:val="24"/>
              </w:rPr>
              <w:t>4)  Long term bank loan</w:t>
            </w:r>
          </w:p>
        </w:tc>
      </w:tr>
      <w:tr w:rsidR="00F375FB" w:rsidRPr="00E2160C" w14:paraId="563639DE" w14:textId="77777777" w:rsidTr="00F375FB">
        <w:trPr>
          <w:trHeight w:val="379"/>
          <w:jc w:val="center"/>
        </w:trPr>
        <w:tc>
          <w:tcPr>
            <w:tcW w:w="4228" w:type="dxa"/>
            <w:tcBorders>
              <w:top w:val="dashed" w:sz="4" w:space="0" w:color="auto"/>
              <w:left w:val="single" w:sz="8" w:space="0" w:color="auto"/>
              <w:bottom w:val="dashed" w:sz="4" w:space="0" w:color="auto"/>
              <w:right w:val="dashed" w:sz="4" w:space="0" w:color="auto"/>
            </w:tcBorders>
            <w:shd w:val="clear" w:color="auto" w:fill="auto"/>
            <w:noWrap/>
            <w:vAlign w:val="bottom"/>
            <w:hideMark/>
          </w:tcPr>
          <w:p w14:paraId="597DC4E5" w14:textId="77777777" w:rsidR="00F375FB" w:rsidRPr="00E2160C" w:rsidRDefault="00F375FB" w:rsidP="00824204">
            <w:pPr>
              <w:spacing w:after="0" w:line="240" w:lineRule="auto"/>
              <w:jc w:val="center"/>
              <w:rPr>
                <w:rFonts w:ascii="Times New Roman" w:eastAsia="Times New Roman" w:hAnsi="Times New Roman" w:cs="Times New Roman"/>
                <w:color w:val="000000"/>
                <w:sz w:val="24"/>
                <w:szCs w:val="24"/>
              </w:rPr>
            </w:pPr>
            <w:r w:rsidRPr="00E2160C">
              <w:rPr>
                <w:rFonts w:ascii="Times New Roman" w:eastAsia="Times New Roman" w:hAnsi="Times New Roman" w:cs="Times New Roman"/>
                <w:color w:val="000000"/>
                <w:sz w:val="24"/>
                <w:szCs w:val="24"/>
              </w:rPr>
              <w:t xml:space="preserve">5)   Additions to future tax reserves </w:t>
            </w:r>
          </w:p>
        </w:tc>
        <w:tc>
          <w:tcPr>
            <w:tcW w:w="5224" w:type="dxa"/>
            <w:gridSpan w:val="2"/>
            <w:vMerge w:val="restart"/>
            <w:tcBorders>
              <w:top w:val="dashed" w:sz="4" w:space="0" w:color="auto"/>
              <w:left w:val="dashed" w:sz="4" w:space="0" w:color="auto"/>
              <w:bottom w:val="single" w:sz="8" w:space="0" w:color="000000"/>
              <w:right w:val="single" w:sz="8" w:space="0" w:color="000000"/>
            </w:tcBorders>
            <w:shd w:val="clear" w:color="auto" w:fill="auto"/>
            <w:noWrap/>
            <w:vAlign w:val="bottom"/>
            <w:hideMark/>
          </w:tcPr>
          <w:p w14:paraId="48F766F9" w14:textId="77777777" w:rsidR="00F375FB" w:rsidRPr="00E2160C" w:rsidRDefault="00F375FB" w:rsidP="00824204">
            <w:pPr>
              <w:spacing w:after="0" w:line="240" w:lineRule="auto"/>
              <w:jc w:val="center"/>
              <w:rPr>
                <w:rFonts w:ascii="Times New Roman" w:eastAsia="Times New Roman" w:hAnsi="Times New Roman" w:cs="Times New Roman"/>
                <w:color w:val="000000"/>
                <w:sz w:val="24"/>
                <w:szCs w:val="24"/>
              </w:rPr>
            </w:pPr>
            <w:r w:rsidRPr="00E2160C">
              <w:rPr>
                <w:rFonts w:ascii="Times New Roman" w:eastAsia="Times New Roman" w:hAnsi="Times New Roman" w:cs="Times New Roman"/>
                <w:color w:val="000000"/>
                <w:sz w:val="24"/>
                <w:szCs w:val="24"/>
              </w:rPr>
              <w:t> </w:t>
            </w:r>
          </w:p>
        </w:tc>
      </w:tr>
      <w:tr w:rsidR="00F375FB" w:rsidRPr="00E2160C" w14:paraId="1D1E497F" w14:textId="77777777" w:rsidTr="00F375FB">
        <w:trPr>
          <w:trHeight w:val="395"/>
          <w:jc w:val="center"/>
        </w:trPr>
        <w:tc>
          <w:tcPr>
            <w:tcW w:w="4228" w:type="dxa"/>
            <w:tcBorders>
              <w:top w:val="dashed" w:sz="4" w:space="0" w:color="auto"/>
              <w:left w:val="single" w:sz="8" w:space="0" w:color="auto"/>
              <w:bottom w:val="single" w:sz="8" w:space="0" w:color="auto"/>
              <w:right w:val="dashed" w:sz="4" w:space="0" w:color="auto"/>
            </w:tcBorders>
            <w:shd w:val="clear" w:color="auto" w:fill="auto"/>
            <w:noWrap/>
            <w:vAlign w:val="bottom"/>
            <w:hideMark/>
          </w:tcPr>
          <w:p w14:paraId="7956EA90" w14:textId="77777777" w:rsidR="00F375FB" w:rsidRPr="00E2160C" w:rsidRDefault="00F375FB" w:rsidP="00824204">
            <w:pPr>
              <w:spacing w:after="0" w:line="240" w:lineRule="auto"/>
              <w:jc w:val="center"/>
              <w:rPr>
                <w:rFonts w:ascii="Times New Roman" w:eastAsia="Times New Roman" w:hAnsi="Times New Roman" w:cs="Times New Roman"/>
                <w:color w:val="000000"/>
                <w:sz w:val="24"/>
                <w:szCs w:val="24"/>
              </w:rPr>
            </w:pPr>
            <w:r w:rsidRPr="00E2160C">
              <w:rPr>
                <w:rFonts w:ascii="Times New Roman" w:eastAsia="Times New Roman" w:hAnsi="Times New Roman" w:cs="Times New Roman"/>
                <w:color w:val="000000"/>
                <w:sz w:val="24"/>
                <w:szCs w:val="24"/>
              </w:rPr>
              <w:t>6)   Other net receipts on capital account</w:t>
            </w:r>
          </w:p>
        </w:tc>
        <w:tc>
          <w:tcPr>
            <w:tcW w:w="5224" w:type="dxa"/>
            <w:gridSpan w:val="2"/>
            <w:vMerge/>
            <w:tcBorders>
              <w:top w:val="dashed" w:sz="4" w:space="0" w:color="auto"/>
              <w:left w:val="dashed" w:sz="4" w:space="0" w:color="auto"/>
              <w:bottom w:val="single" w:sz="8" w:space="0" w:color="000000"/>
              <w:right w:val="single" w:sz="8" w:space="0" w:color="000000"/>
            </w:tcBorders>
            <w:vAlign w:val="center"/>
            <w:hideMark/>
          </w:tcPr>
          <w:p w14:paraId="16718C41" w14:textId="77777777" w:rsidR="00F375FB" w:rsidRPr="00E2160C" w:rsidRDefault="00F375FB" w:rsidP="00824204">
            <w:pPr>
              <w:spacing w:after="0" w:line="240" w:lineRule="auto"/>
              <w:rPr>
                <w:rFonts w:ascii="Times New Roman" w:eastAsia="Times New Roman" w:hAnsi="Times New Roman" w:cs="Times New Roman"/>
                <w:color w:val="000000"/>
                <w:sz w:val="24"/>
                <w:szCs w:val="24"/>
              </w:rPr>
            </w:pPr>
          </w:p>
        </w:tc>
      </w:tr>
    </w:tbl>
    <w:p w14:paraId="77C90EAA" w14:textId="04B90629" w:rsidR="00F375FB" w:rsidRPr="00684D0C" w:rsidRDefault="00F375FB" w:rsidP="00F375FB">
      <w:pPr>
        <w:jc w:val="center"/>
        <w:rPr>
          <w:rFonts w:ascii="Times New Roman" w:hAnsi="Times New Roman" w:cs="Times New Roman"/>
          <w:sz w:val="24"/>
          <w:szCs w:val="24"/>
        </w:rPr>
      </w:pPr>
      <w:r w:rsidRPr="00684D0C">
        <w:rPr>
          <w:rFonts w:ascii="Times New Roman" w:hAnsi="Times New Roman" w:cs="Times New Roman"/>
          <w:sz w:val="24"/>
          <w:szCs w:val="24"/>
        </w:rPr>
        <w:t>Table 1: Examples of source of finance (Source: Author)</w:t>
      </w:r>
    </w:p>
    <w:p w14:paraId="0953C99E" w14:textId="77777777" w:rsidR="005C2D37" w:rsidRDefault="005C2D37" w:rsidP="00F375FB">
      <w:pPr>
        <w:rPr>
          <w:rFonts w:ascii="Times New Roman" w:hAnsi="Times New Roman" w:cs="Times New Roman"/>
          <w:sz w:val="24"/>
          <w:szCs w:val="24"/>
        </w:rPr>
      </w:pPr>
    </w:p>
    <w:p w14:paraId="3EC62CFC" w14:textId="48D0E156" w:rsidR="00F375FB" w:rsidRDefault="00F375FB" w:rsidP="00F375FB">
      <w:pPr>
        <w:rPr>
          <w:rFonts w:ascii="Times New Roman" w:hAnsi="Times New Roman" w:cs="Times New Roman"/>
          <w:sz w:val="24"/>
          <w:szCs w:val="24"/>
        </w:rPr>
      </w:pPr>
      <w:r w:rsidRPr="00684D0C">
        <w:rPr>
          <w:rFonts w:ascii="Times New Roman" w:hAnsi="Times New Roman" w:cs="Times New Roman"/>
          <w:sz w:val="24"/>
          <w:szCs w:val="24"/>
        </w:rPr>
        <w:t>Obtaining funds plays a crucial role in the expansion and development of Britis</w:t>
      </w:r>
      <w:r w:rsidRPr="00684D0C">
        <w:rPr>
          <w:rFonts w:ascii="Times New Roman" w:hAnsi="Times New Roman" w:cs="Times New Roman"/>
          <w:sz w:val="24"/>
          <w:szCs w:val="24"/>
        </w:rPr>
        <w:t>h</w:t>
      </w:r>
      <w:r w:rsidRPr="00684D0C">
        <w:rPr>
          <w:rFonts w:ascii="Times New Roman" w:hAnsi="Times New Roman" w:cs="Times New Roman"/>
          <w:sz w:val="24"/>
          <w:szCs w:val="24"/>
        </w:rPr>
        <w:t xml:space="preserve"> Petroleum. Every business needs capital to be able to improve its processes and to be able to offer quality services over as wide an area as possible. Internal Sources of finance are essential for the business to maintain a sustainable position in the future but also for the company to develop its exploration and production segment. All these funds will be used to pay obligations that are due within a short time interval. On the other hand, external sources of finance aim to invest in technological processes and explore new territories around the world and thus to capture a larger market share.</w:t>
      </w:r>
      <w:r w:rsidRPr="00684D0C">
        <w:rPr>
          <w:rFonts w:ascii="Times New Roman" w:hAnsi="Times New Roman" w:cs="Times New Roman"/>
          <w:sz w:val="24"/>
          <w:szCs w:val="24"/>
        </w:rPr>
        <w:t xml:space="preserve"> </w:t>
      </w:r>
      <w:r w:rsidRPr="00684D0C">
        <w:rPr>
          <w:rFonts w:ascii="Times New Roman" w:hAnsi="Times New Roman" w:cs="Times New Roman"/>
          <w:sz w:val="24"/>
          <w:szCs w:val="24"/>
        </w:rPr>
        <w:t>Therefore, given that BP is a multinational company, both internal and external financing sources are of crucial importance in the business development process</w:t>
      </w:r>
      <w:r w:rsidR="005A5A05">
        <w:rPr>
          <w:rFonts w:ascii="Times New Roman" w:hAnsi="Times New Roman" w:cs="Times New Roman"/>
          <w:sz w:val="24"/>
          <w:szCs w:val="24"/>
        </w:rPr>
        <w:t xml:space="preserve"> </w:t>
      </w:r>
      <w:sdt>
        <w:sdtPr>
          <w:rPr>
            <w:rFonts w:ascii="Times New Roman" w:hAnsi="Times New Roman" w:cs="Times New Roman"/>
            <w:sz w:val="24"/>
            <w:szCs w:val="24"/>
          </w:rPr>
          <w:id w:val="-879323447"/>
          <w:citation/>
        </w:sdtPr>
        <w:sdtContent>
          <w:r w:rsidR="005A5A05">
            <w:rPr>
              <w:rFonts w:ascii="Times New Roman" w:hAnsi="Times New Roman" w:cs="Times New Roman"/>
              <w:sz w:val="24"/>
              <w:szCs w:val="24"/>
            </w:rPr>
            <w:fldChar w:fldCharType="begin"/>
          </w:r>
          <w:r w:rsidR="005A5A05">
            <w:rPr>
              <w:rFonts w:ascii="Times New Roman" w:hAnsi="Times New Roman" w:cs="Times New Roman"/>
              <w:sz w:val="24"/>
              <w:szCs w:val="24"/>
            </w:rPr>
            <w:instrText xml:space="preserve"> CITATION Buc04 \l 1033 </w:instrText>
          </w:r>
          <w:r w:rsidR="005A5A05">
            <w:rPr>
              <w:rFonts w:ascii="Times New Roman" w:hAnsi="Times New Roman" w:cs="Times New Roman"/>
              <w:sz w:val="24"/>
              <w:szCs w:val="24"/>
            </w:rPr>
            <w:fldChar w:fldCharType="separate"/>
          </w:r>
          <w:r w:rsidR="005A5A05" w:rsidRPr="005A5A05">
            <w:rPr>
              <w:rFonts w:ascii="Times New Roman" w:hAnsi="Times New Roman" w:cs="Times New Roman"/>
              <w:noProof/>
              <w:sz w:val="24"/>
              <w:szCs w:val="24"/>
            </w:rPr>
            <w:t>(Buckle &amp; Thompson, 2004)</w:t>
          </w:r>
          <w:r w:rsidR="005A5A05">
            <w:rPr>
              <w:rFonts w:ascii="Times New Roman" w:hAnsi="Times New Roman" w:cs="Times New Roman"/>
              <w:sz w:val="24"/>
              <w:szCs w:val="24"/>
            </w:rPr>
            <w:fldChar w:fldCharType="end"/>
          </w:r>
        </w:sdtContent>
      </w:sdt>
      <w:r w:rsidRPr="00684D0C">
        <w:rPr>
          <w:rFonts w:ascii="Times New Roman" w:hAnsi="Times New Roman" w:cs="Times New Roman"/>
          <w:sz w:val="24"/>
          <w:szCs w:val="24"/>
        </w:rPr>
        <w:t>.</w:t>
      </w:r>
    </w:p>
    <w:p w14:paraId="106178F6" w14:textId="44166FAC" w:rsidR="005A5A05" w:rsidRDefault="005A5A05" w:rsidP="00F375FB">
      <w:pPr>
        <w:rPr>
          <w:rFonts w:ascii="Times New Roman" w:hAnsi="Times New Roman" w:cs="Times New Roman"/>
          <w:sz w:val="24"/>
          <w:szCs w:val="24"/>
        </w:rPr>
      </w:pPr>
    </w:p>
    <w:p w14:paraId="2BC6ED08" w14:textId="098013B1" w:rsidR="005A5A05" w:rsidRDefault="005A5A05" w:rsidP="00F375FB">
      <w:pPr>
        <w:rPr>
          <w:rFonts w:ascii="Times New Roman" w:hAnsi="Times New Roman" w:cs="Times New Roman"/>
          <w:sz w:val="24"/>
          <w:szCs w:val="24"/>
        </w:rPr>
      </w:pPr>
    </w:p>
    <w:p w14:paraId="1180213B" w14:textId="7B87832F" w:rsidR="005A5A05" w:rsidRDefault="005A5A05" w:rsidP="00F375FB">
      <w:pPr>
        <w:rPr>
          <w:rFonts w:ascii="Times New Roman" w:hAnsi="Times New Roman" w:cs="Times New Roman"/>
          <w:sz w:val="24"/>
          <w:szCs w:val="24"/>
        </w:rPr>
      </w:pPr>
    </w:p>
    <w:p w14:paraId="18C0AF77" w14:textId="331838C8" w:rsidR="005A5A05" w:rsidRDefault="005A5A05" w:rsidP="00F375FB">
      <w:pPr>
        <w:rPr>
          <w:rFonts w:ascii="Times New Roman" w:hAnsi="Times New Roman" w:cs="Times New Roman"/>
          <w:sz w:val="24"/>
          <w:szCs w:val="24"/>
        </w:rPr>
      </w:pPr>
    </w:p>
    <w:p w14:paraId="43470E3F" w14:textId="17FA6C91" w:rsidR="005A5A05" w:rsidRDefault="005A5A05" w:rsidP="00F375FB">
      <w:pPr>
        <w:rPr>
          <w:rFonts w:ascii="Times New Roman" w:hAnsi="Times New Roman" w:cs="Times New Roman"/>
          <w:sz w:val="24"/>
          <w:szCs w:val="24"/>
        </w:rPr>
      </w:pPr>
    </w:p>
    <w:p w14:paraId="7D23BCCE" w14:textId="77777777" w:rsidR="005A5A05" w:rsidRDefault="005A5A05" w:rsidP="00F375FB">
      <w:pPr>
        <w:rPr>
          <w:rFonts w:ascii="Times New Roman" w:hAnsi="Times New Roman" w:cs="Times New Roman"/>
          <w:sz w:val="24"/>
          <w:szCs w:val="24"/>
        </w:rPr>
      </w:pPr>
    </w:p>
    <w:sdt>
      <w:sdtPr>
        <w:rPr>
          <w:rFonts w:ascii="Times New Roman" w:hAnsi="Times New Roman" w:cs="Times New Roman"/>
          <w:color w:val="000000" w:themeColor="text1"/>
        </w:rPr>
        <w:id w:val="327870716"/>
        <w:docPartObj>
          <w:docPartGallery w:val="Bibliographies"/>
          <w:docPartUnique/>
        </w:docPartObj>
      </w:sdtPr>
      <w:sdtEndPr>
        <w:rPr>
          <w:rFonts w:eastAsiaTheme="minorHAnsi"/>
          <w:sz w:val="22"/>
          <w:szCs w:val="22"/>
        </w:rPr>
      </w:sdtEndPr>
      <w:sdtContent>
        <w:p w14:paraId="215EEE32" w14:textId="6D0F949E" w:rsidR="005A5A05" w:rsidRPr="005A5A05" w:rsidRDefault="005A5A05" w:rsidP="005A5A05">
          <w:pPr>
            <w:pStyle w:val="Heading1"/>
            <w:spacing w:line="360" w:lineRule="auto"/>
            <w:rPr>
              <w:rFonts w:ascii="Times New Roman" w:hAnsi="Times New Roman" w:cs="Times New Roman"/>
              <w:color w:val="000000" w:themeColor="text1"/>
            </w:rPr>
          </w:pPr>
          <w:r w:rsidRPr="005A5A05">
            <w:rPr>
              <w:rFonts w:ascii="Times New Roman" w:hAnsi="Times New Roman" w:cs="Times New Roman"/>
              <w:color w:val="000000" w:themeColor="text1"/>
            </w:rPr>
            <w:t>References</w:t>
          </w:r>
        </w:p>
        <w:sdt>
          <w:sdtPr>
            <w:rPr>
              <w:rFonts w:ascii="Times New Roman" w:hAnsi="Times New Roman" w:cs="Times New Roman"/>
              <w:color w:val="000000" w:themeColor="text1"/>
            </w:rPr>
            <w:id w:val="-573587230"/>
            <w:bibliography/>
          </w:sdtPr>
          <w:sdtContent>
            <w:p w14:paraId="578737B8" w14:textId="77777777" w:rsidR="005A5A05" w:rsidRPr="005A5A05" w:rsidRDefault="005A5A05" w:rsidP="005A5A05">
              <w:pPr>
                <w:pStyle w:val="Bibliography"/>
                <w:spacing w:line="360" w:lineRule="auto"/>
                <w:rPr>
                  <w:rFonts w:ascii="Times New Roman" w:hAnsi="Times New Roman" w:cs="Times New Roman"/>
                  <w:noProof/>
                  <w:color w:val="000000" w:themeColor="text1"/>
                  <w:sz w:val="24"/>
                  <w:szCs w:val="24"/>
                </w:rPr>
              </w:pPr>
              <w:r w:rsidRPr="005A5A05">
                <w:rPr>
                  <w:rFonts w:ascii="Times New Roman" w:hAnsi="Times New Roman" w:cs="Times New Roman"/>
                  <w:color w:val="000000" w:themeColor="text1"/>
                </w:rPr>
                <w:fldChar w:fldCharType="begin"/>
              </w:r>
              <w:r w:rsidRPr="005A5A05">
                <w:rPr>
                  <w:rFonts w:ascii="Times New Roman" w:hAnsi="Times New Roman" w:cs="Times New Roman"/>
                  <w:color w:val="000000" w:themeColor="text1"/>
                </w:rPr>
                <w:instrText xml:space="preserve"> BIBLIOGRAPHY </w:instrText>
              </w:r>
              <w:r w:rsidRPr="005A5A05">
                <w:rPr>
                  <w:rFonts w:ascii="Times New Roman" w:hAnsi="Times New Roman" w:cs="Times New Roman"/>
                  <w:color w:val="000000" w:themeColor="text1"/>
                </w:rPr>
                <w:fldChar w:fldCharType="separate"/>
              </w:r>
              <w:r w:rsidRPr="005A5A05">
                <w:rPr>
                  <w:rFonts w:ascii="Times New Roman" w:hAnsi="Times New Roman" w:cs="Times New Roman"/>
                  <w:noProof/>
                  <w:color w:val="000000" w:themeColor="text1"/>
                </w:rPr>
                <w:t xml:space="preserve">BP, 2012. </w:t>
              </w:r>
              <w:r w:rsidRPr="005A5A05">
                <w:rPr>
                  <w:rFonts w:ascii="Times New Roman" w:hAnsi="Times New Roman" w:cs="Times New Roman"/>
                  <w:i/>
                  <w:iCs/>
                  <w:noProof/>
                  <w:color w:val="000000" w:themeColor="text1"/>
                </w:rPr>
                <w:t xml:space="preserve">BP forecasts robust global energy demand to 2030 despite efficiency gains. </w:t>
              </w:r>
              <w:r w:rsidRPr="005A5A05">
                <w:rPr>
                  <w:rFonts w:ascii="Times New Roman" w:hAnsi="Times New Roman" w:cs="Times New Roman"/>
                  <w:noProof/>
                  <w:color w:val="000000" w:themeColor="text1"/>
                </w:rPr>
                <w:t xml:space="preserve">[Online] </w:t>
              </w:r>
              <w:r w:rsidRPr="005A5A05">
                <w:rPr>
                  <w:rFonts w:ascii="Times New Roman" w:hAnsi="Times New Roman" w:cs="Times New Roman"/>
                  <w:noProof/>
                  <w:color w:val="000000" w:themeColor="text1"/>
                </w:rPr>
                <w:br/>
                <w:t xml:space="preserve">Available at: </w:t>
              </w:r>
              <w:r w:rsidRPr="005A5A05">
                <w:rPr>
                  <w:rFonts w:ascii="Times New Roman" w:hAnsi="Times New Roman" w:cs="Times New Roman"/>
                  <w:noProof/>
                  <w:color w:val="000000" w:themeColor="text1"/>
                  <w:u w:val="single"/>
                </w:rPr>
                <w:t>https://www.bp.com/en/global/corporate/news-and-insights/press-releases/bp-forecasts-robust-global-energy-demand-to-2030-despite-efficiency-gains.html</w:t>
              </w:r>
              <w:r w:rsidRPr="005A5A05">
                <w:rPr>
                  <w:rFonts w:ascii="Times New Roman" w:hAnsi="Times New Roman" w:cs="Times New Roman"/>
                  <w:noProof/>
                  <w:color w:val="000000" w:themeColor="text1"/>
                </w:rPr>
                <w:br/>
                <w:t>[Accessed 14 April 2022].</w:t>
              </w:r>
            </w:p>
            <w:p w14:paraId="79717996" w14:textId="77777777" w:rsidR="005A5A05" w:rsidRPr="005A5A05" w:rsidRDefault="005A5A05" w:rsidP="005A5A05">
              <w:pPr>
                <w:pStyle w:val="Bibliography"/>
                <w:spacing w:line="360" w:lineRule="auto"/>
                <w:rPr>
                  <w:rFonts w:ascii="Times New Roman" w:hAnsi="Times New Roman" w:cs="Times New Roman"/>
                  <w:noProof/>
                  <w:color w:val="000000" w:themeColor="text1"/>
                </w:rPr>
              </w:pPr>
              <w:r w:rsidRPr="005A5A05">
                <w:rPr>
                  <w:rFonts w:ascii="Times New Roman" w:hAnsi="Times New Roman" w:cs="Times New Roman"/>
                  <w:noProof/>
                  <w:color w:val="000000" w:themeColor="text1"/>
                </w:rPr>
                <w:t xml:space="preserve">Buckle, M. &amp; Thompson, J., 2004. </w:t>
              </w:r>
              <w:r w:rsidRPr="005A5A05">
                <w:rPr>
                  <w:rFonts w:ascii="Times New Roman" w:hAnsi="Times New Roman" w:cs="Times New Roman"/>
                  <w:i/>
                  <w:iCs/>
                  <w:noProof/>
                  <w:color w:val="000000" w:themeColor="text1"/>
                </w:rPr>
                <w:t xml:space="preserve">The UK financial system. </w:t>
              </w:r>
              <w:r w:rsidRPr="005A5A05">
                <w:rPr>
                  <w:rFonts w:ascii="Times New Roman" w:hAnsi="Times New Roman" w:cs="Times New Roman"/>
                  <w:noProof/>
                  <w:color w:val="000000" w:themeColor="text1"/>
                </w:rPr>
                <w:t>4th ed. Manchester : University Press.</w:t>
              </w:r>
            </w:p>
            <w:p w14:paraId="11527757" w14:textId="77777777" w:rsidR="005A5A05" w:rsidRPr="005A5A05" w:rsidRDefault="005A5A05" w:rsidP="005A5A05">
              <w:pPr>
                <w:pStyle w:val="Bibliography"/>
                <w:spacing w:line="360" w:lineRule="auto"/>
                <w:rPr>
                  <w:rFonts w:ascii="Times New Roman" w:hAnsi="Times New Roman" w:cs="Times New Roman"/>
                  <w:noProof/>
                  <w:color w:val="000000" w:themeColor="text1"/>
                </w:rPr>
              </w:pPr>
              <w:r w:rsidRPr="005A5A05">
                <w:rPr>
                  <w:rFonts w:ascii="Times New Roman" w:hAnsi="Times New Roman" w:cs="Times New Roman"/>
                  <w:noProof/>
                  <w:color w:val="000000" w:themeColor="text1"/>
                </w:rPr>
                <w:t xml:space="preserve">Ceil, C., 2019. </w:t>
              </w:r>
              <w:r w:rsidRPr="005A5A05">
                <w:rPr>
                  <w:rFonts w:ascii="Times New Roman" w:hAnsi="Times New Roman" w:cs="Times New Roman"/>
                  <w:i/>
                  <w:iCs/>
                  <w:noProof/>
                  <w:color w:val="000000" w:themeColor="text1"/>
                </w:rPr>
                <w:t xml:space="preserve">Strategic Report on British Petroleum, </w:t>
              </w:r>
              <w:r w:rsidRPr="005A5A05">
                <w:rPr>
                  <w:rFonts w:ascii="Times New Roman" w:hAnsi="Times New Roman" w:cs="Times New Roman"/>
                  <w:noProof/>
                  <w:color w:val="000000" w:themeColor="text1"/>
                </w:rPr>
                <w:t>s.l.: SSRN Electronic Journal.</w:t>
              </w:r>
            </w:p>
            <w:p w14:paraId="23B90439" w14:textId="77777777" w:rsidR="005A5A05" w:rsidRPr="005A5A05" w:rsidRDefault="005A5A05" w:rsidP="005A5A05">
              <w:pPr>
                <w:pStyle w:val="Bibliography"/>
                <w:spacing w:line="360" w:lineRule="auto"/>
                <w:rPr>
                  <w:rFonts w:ascii="Times New Roman" w:hAnsi="Times New Roman" w:cs="Times New Roman"/>
                  <w:noProof/>
                  <w:color w:val="000000" w:themeColor="text1"/>
                </w:rPr>
              </w:pPr>
              <w:r w:rsidRPr="005A5A05">
                <w:rPr>
                  <w:rFonts w:ascii="Times New Roman" w:hAnsi="Times New Roman" w:cs="Times New Roman"/>
                  <w:noProof/>
                  <w:color w:val="000000" w:themeColor="text1"/>
                </w:rPr>
                <w:t xml:space="preserve">Dobrovolsky, S. P., 1951. Internal versus External Sources of Financing. In: </w:t>
              </w:r>
              <w:r w:rsidRPr="005A5A05">
                <w:rPr>
                  <w:rFonts w:ascii="Times New Roman" w:hAnsi="Times New Roman" w:cs="Times New Roman"/>
                  <w:i/>
                  <w:iCs/>
                  <w:noProof/>
                  <w:color w:val="000000" w:themeColor="text1"/>
                </w:rPr>
                <w:t xml:space="preserve">Corporate Income Retention. </w:t>
              </w:r>
              <w:r w:rsidRPr="005A5A05">
                <w:rPr>
                  <w:rFonts w:ascii="Times New Roman" w:hAnsi="Times New Roman" w:cs="Times New Roman"/>
                  <w:noProof/>
                  <w:color w:val="000000" w:themeColor="text1"/>
                </w:rPr>
                <w:t>New York: NBER, pp. 64-81.</w:t>
              </w:r>
            </w:p>
            <w:p w14:paraId="51E4B5A7" w14:textId="16343CDD" w:rsidR="005A5A05" w:rsidRPr="005A5A05" w:rsidRDefault="005A5A05" w:rsidP="005A5A05">
              <w:pPr>
                <w:spacing w:line="360" w:lineRule="auto"/>
                <w:rPr>
                  <w:rFonts w:ascii="Times New Roman" w:hAnsi="Times New Roman" w:cs="Times New Roman"/>
                  <w:color w:val="000000" w:themeColor="text1"/>
                </w:rPr>
              </w:pPr>
              <w:r w:rsidRPr="005A5A05">
                <w:rPr>
                  <w:rFonts w:ascii="Times New Roman" w:hAnsi="Times New Roman" w:cs="Times New Roman"/>
                  <w:b/>
                  <w:bCs/>
                  <w:noProof/>
                  <w:color w:val="000000" w:themeColor="text1"/>
                </w:rPr>
                <w:fldChar w:fldCharType="end"/>
              </w:r>
            </w:p>
          </w:sdtContent>
        </w:sdt>
      </w:sdtContent>
    </w:sdt>
    <w:p w14:paraId="3209B401" w14:textId="77777777" w:rsidR="005A5A05" w:rsidRPr="00684D0C" w:rsidRDefault="005A5A05" w:rsidP="00F375FB">
      <w:pPr>
        <w:rPr>
          <w:rFonts w:ascii="Times New Roman" w:hAnsi="Times New Roman" w:cs="Times New Roman"/>
          <w:sz w:val="24"/>
          <w:szCs w:val="24"/>
        </w:rPr>
      </w:pPr>
    </w:p>
    <w:sectPr w:rsidR="005A5A05" w:rsidRPr="00684D0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F375FB"/>
    <w:rsid w:val="00060E14"/>
    <w:rsid w:val="001D6B55"/>
    <w:rsid w:val="003875A2"/>
    <w:rsid w:val="005A5A05"/>
    <w:rsid w:val="005C2D37"/>
    <w:rsid w:val="00684D0C"/>
    <w:rsid w:val="008511AB"/>
    <w:rsid w:val="0090753F"/>
    <w:rsid w:val="00F375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688B94"/>
  <w15:chartTrackingRefBased/>
  <w15:docId w15:val="{F9FB15A0-0111-49E6-B0AA-B95CD5C310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75FB"/>
  </w:style>
  <w:style w:type="paragraph" w:styleId="Heading1">
    <w:name w:val="heading 1"/>
    <w:basedOn w:val="Normal"/>
    <w:next w:val="Normal"/>
    <w:link w:val="Heading1Char"/>
    <w:uiPriority w:val="9"/>
    <w:qFormat/>
    <w:rsid w:val="005A5A05"/>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5A05"/>
    <w:rPr>
      <w:rFonts w:asciiTheme="majorHAnsi" w:eastAsiaTheme="majorEastAsia" w:hAnsiTheme="majorHAnsi" w:cstheme="majorBidi"/>
      <w:color w:val="365F91" w:themeColor="accent1" w:themeShade="BF"/>
      <w:sz w:val="32"/>
      <w:szCs w:val="32"/>
    </w:rPr>
  </w:style>
  <w:style w:type="paragraph" w:styleId="Bibliography">
    <w:name w:val="Bibliography"/>
    <w:basedOn w:val="Normal"/>
    <w:next w:val="Normal"/>
    <w:uiPriority w:val="37"/>
    <w:unhideWhenUsed/>
    <w:rsid w:val="005A5A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9981119">
      <w:bodyDiv w:val="1"/>
      <w:marLeft w:val="0"/>
      <w:marRight w:val="0"/>
      <w:marTop w:val="0"/>
      <w:marBottom w:val="0"/>
      <w:divBdr>
        <w:top w:val="none" w:sz="0" w:space="0" w:color="auto"/>
        <w:left w:val="none" w:sz="0" w:space="0" w:color="auto"/>
        <w:bottom w:val="none" w:sz="0" w:space="0" w:color="auto"/>
        <w:right w:val="none" w:sz="0" w:space="0" w:color="auto"/>
      </w:divBdr>
    </w:div>
    <w:div w:id="810177790">
      <w:bodyDiv w:val="1"/>
      <w:marLeft w:val="0"/>
      <w:marRight w:val="0"/>
      <w:marTop w:val="0"/>
      <w:marBottom w:val="0"/>
      <w:divBdr>
        <w:top w:val="none" w:sz="0" w:space="0" w:color="auto"/>
        <w:left w:val="none" w:sz="0" w:space="0" w:color="auto"/>
        <w:bottom w:val="none" w:sz="0" w:space="0" w:color="auto"/>
        <w:right w:val="none" w:sz="0" w:space="0" w:color="auto"/>
      </w:divBdr>
    </w:div>
    <w:div w:id="1043560548">
      <w:bodyDiv w:val="1"/>
      <w:marLeft w:val="0"/>
      <w:marRight w:val="0"/>
      <w:marTop w:val="0"/>
      <w:marBottom w:val="0"/>
      <w:divBdr>
        <w:top w:val="none" w:sz="0" w:space="0" w:color="auto"/>
        <w:left w:val="none" w:sz="0" w:space="0" w:color="auto"/>
        <w:bottom w:val="none" w:sz="0" w:space="0" w:color="auto"/>
        <w:right w:val="none" w:sz="0" w:space="0" w:color="auto"/>
      </w:divBdr>
    </w:div>
    <w:div w:id="1310213868">
      <w:bodyDiv w:val="1"/>
      <w:marLeft w:val="0"/>
      <w:marRight w:val="0"/>
      <w:marTop w:val="0"/>
      <w:marBottom w:val="0"/>
      <w:divBdr>
        <w:top w:val="none" w:sz="0" w:space="0" w:color="auto"/>
        <w:left w:val="none" w:sz="0" w:space="0" w:color="auto"/>
        <w:bottom w:val="none" w:sz="0" w:space="0" w:color="auto"/>
        <w:right w:val="none" w:sz="0" w:space="0" w:color="auto"/>
      </w:divBdr>
    </w:div>
    <w:div w:id="1555854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BP12</b:Tag>
    <b:SourceType>InternetSite</b:SourceType>
    <b:Guid>{A1798199-2538-4CCA-95DF-D7043A10CD67}</b:Guid>
    <b:Title>BP forecasts robust global energy demand to 2030 despite efficiency gains</b:Title>
    <b:Year>2012</b:Year>
    <b:Author>
      <b:Author>
        <b:NameList>
          <b:Person>
            <b:Last>BP</b:Last>
          </b:Person>
        </b:NameList>
      </b:Author>
    </b:Author>
    <b:YearAccessed>2022</b:YearAccessed>
    <b:MonthAccessed>April</b:MonthAccessed>
    <b:DayAccessed>14</b:DayAccessed>
    <b:URL>https://www.bp.com/en/global/corporate/news-and-insights/press-releases/bp-forecasts-robust-global-energy-demand-to-2030-despite-efficiency-gains.html</b:URL>
    <b:RefOrder>2</b:RefOrder>
  </b:Source>
  <b:Source>
    <b:Tag>Cei19</b:Tag>
    <b:SourceType>Report</b:SourceType>
    <b:Guid>{F654DDC7-AD45-4F82-B30E-A7A7B629185B}</b:Guid>
    <b:Title>Strategic Report on British Petroleum</b:Title>
    <b:Year>2019</b:Year>
    <b:Publisher>SSRN Electronic Journal</b:Publisher>
    <b:Author>
      <b:Author>
        <b:NameList>
          <b:Person>
            <b:Last>Ceil</b:Last>
            <b:First>Chenoy</b:First>
          </b:Person>
        </b:NameList>
      </b:Author>
    </b:Author>
    <b:RefOrder>1</b:RefOrder>
  </b:Source>
  <b:Source>
    <b:Tag>Dob51</b:Tag>
    <b:SourceType>BookSection</b:SourceType>
    <b:Guid>{3A24D599-B1F9-4051-ADAA-2C73577E478E}</b:Guid>
    <b:Title>Internal versus External Sources of Financing</b:Title>
    <b:Year>1951</b:Year>
    <b:Publisher>NBER</b:Publisher>
    <b:City>New York</b:City>
    <b:BookTitle>Corporate Income Retention</b:BookTitle>
    <b:Pages>64-81</b:Pages>
    <b:Author>
      <b:Author>
        <b:NameList>
          <b:Person>
            <b:Last>Dobrovolsky</b:Last>
            <b:Middle>P.</b:Middle>
            <b:First>Sergei</b:First>
          </b:Person>
        </b:NameList>
      </b:Author>
    </b:Author>
    <b:RefOrder>3</b:RefOrder>
  </b:Source>
  <b:Source>
    <b:Tag>Buc04</b:Tag>
    <b:SourceType>Book</b:SourceType>
    <b:Guid>{BD55CFE8-7FB0-4454-B8B1-52C7399BD9E6}</b:Guid>
    <b:Title>The UK financial system</b:Title>
    <b:Year>2004</b:Year>
    <b:City>Manchester </b:City>
    <b:Publisher>University Press</b:Publisher>
    <b:Edition>4th</b:Edition>
    <b:Author>
      <b:Author>
        <b:NameList>
          <b:Person>
            <b:Last>Buckle</b:Last>
            <b:First>Mike</b:First>
          </b:Person>
          <b:Person>
            <b:Last>Thompson</b:Last>
            <b:First>John</b:First>
          </b:Person>
        </b:NameList>
      </b:Author>
    </b:Author>
    <b:RefOrder>4</b:RefOrder>
  </b:Source>
</b:Sources>
</file>

<file path=customXml/itemProps1.xml><?xml version="1.0" encoding="utf-8"?>
<ds:datastoreItem xmlns:ds="http://schemas.openxmlformats.org/officeDocument/2006/customXml" ds:itemID="{4ABFDA5F-C9E8-404C-A2AE-2E790EE059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TotalTime>
  <Pages>1</Pages>
  <Words>691</Words>
  <Characters>3941</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Ghiburcea</dc:creator>
  <cp:keywords/>
  <dc:description/>
  <cp:lastModifiedBy>Cristian Ghiburcea</cp:lastModifiedBy>
  <cp:revision>3</cp:revision>
  <dcterms:created xsi:type="dcterms:W3CDTF">2022-04-18T15:47:00Z</dcterms:created>
  <dcterms:modified xsi:type="dcterms:W3CDTF">2022-04-18T18:09:00Z</dcterms:modified>
</cp:coreProperties>
</file>