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480" w:lineRule="auto"/>
        <w:rPr>
          <w:rFonts w:ascii="Times New Roman" w:cs="Times New Roman" w:eastAsia="Times New Roman" w:hAnsi="Times New Roman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u w:val="single"/>
          <w:rtl w:val="0"/>
        </w:rPr>
        <w:t xml:space="preserve">Reference list:</w:t>
      </w:r>
    </w:p>
    <w:p w:rsidR="00000000" w:rsidDel="00000000" w:rsidP="00000000" w:rsidRDefault="00000000" w:rsidRPr="00000000" w14:paraId="00000002">
      <w:pPr>
        <w:spacing w:line="48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480" w:lineRule="auto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666666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Body, A., Lau, E. and Josephidou, J., n.d. </w:t>
      </w:r>
      <w:r w:rsidDel="00000000" w:rsidR="00000000" w:rsidRPr="00000000">
        <w:rPr>
          <w:rFonts w:ascii="Times New Roman" w:cs="Times New Roman" w:eastAsia="Times New Roman" w:hAnsi="Times New Roman"/>
          <w:i w:val="1"/>
          <w:highlight w:val="white"/>
          <w:rtl w:val="0"/>
        </w:rPr>
        <w:t xml:space="preserve">Engaging children in meaningful charity: Opening-up the spaces within which children learn to give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. [online] Available at: &lt;https://onlinelibrary.wiley.com/doi/full/10.1111/chso.12366&gt; [Accessed 6 July 2022]</w:t>
      </w:r>
    </w:p>
    <w:p w:rsidR="00000000" w:rsidDel="00000000" w:rsidP="00000000" w:rsidRDefault="00000000" w:rsidRPr="00000000" w14:paraId="00000004">
      <w:pPr>
        <w:spacing w:line="480" w:lineRule="auto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480" w:lineRule="auto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Bronfenbrenner, 2001. </w:t>
      </w:r>
      <w:r w:rsidDel="00000000" w:rsidR="00000000" w:rsidRPr="00000000">
        <w:rPr>
          <w:rFonts w:ascii="Times New Roman" w:cs="Times New Roman" w:eastAsia="Times New Roman" w:hAnsi="Times New Roman"/>
          <w:i w:val="1"/>
          <w:highlight w:val="white"/>
          <w:rtl w:val="0"/>
        </w:rPr>
        <w:t xml:space="preserve">Bronfenbrenner's Ecological Systems Theory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. [online] D1wqtxts1xzle7.cloudfront.net. Available at: &lt;https://d1wqtxts1xzle7.cloudfront.net/44165922/bronfenbrenners_ecological-with-cover-page-v2.pdf?Expires=1657205874&amp;Signature=VE~gZJC4~wgsfj1HYJqAs9M5wDbIO4afNdrvv8olyhwkqRXVSvWSOdGTvNhxyNjRimEM1vTZElIrLsXOPPv64SWUvLmSh1PcER3dNmD9SArIjpJeUS8pQGTmuDTCLwXSL6yf600JGqLMBMb7Avbknb2FBkkzYFt~g8x5deBda6mHXxExT0M1Iev2N7l6RkUw7z-KbuNOwybL1eiQEknXxEXbZ78ASYDTmcfCmwpVPQabQNwTHiE7kgbbY1kg0Jxs2gBUtIsPcGyAlWRXCIyHRsroFUN8VR43dNxBJ4uOc2koYDAUy1lrvoI3aeTkIcfMACWMNVgA-VlI-q7qMHsZ3w__&amp;Key-Pair-Id=APKAJLOHF5GGSLRBV4ZA&gt; [Accessed 6 July 2022].</w:t>
      </w:r>
    </w:p>
    <w:p w:rsidR="00000000" w:rsidDel="00000000" w:rsidP="00000000" w:rsidRDefault="00000000" w:rsidRPr="00000000" w14:paraId="00000006">
      <w:pPr>
        <w:spacing w:line="480" w:lineRule="auto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480" w:lineRule="auto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Dauncey, M., 2021. </w:t>
      </w:r>
      <w:r w:rsidDel="00000000" w:rsidR="00000000" w:rsidRPr="00000000">
        <w:rPr>
          <w:rFonts w:ascii="Times New Roman" w:cs="Times New Roman" w:eastAsia="Times New Roman" w:hAnsi="Times New Roman"/>
          <w:i w:val="1"/>
          <w:rtl w:val="0"/>
        </w:rPr>
        <w:t xml:space="preserve">Donaldson Review: The ‘purposes’ and content of a Curriculum for Wales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. [online] Research.senedd.wales. Available at: &lt;https://research.senedd.wales/research-articles/donaldson-review-the-purposes-and-content-of-a-curriculum-for-wales/&gt; [Accessed 6 July 2022].</w:t>
      </w:r>
    </w:p>
    <w:p w:rsidR="00000000" w:rsidDel="00000000" w:rsidP="00000000" w:rsidRDefault="00000000" w:rsidRPr="00000000" w14:paraId="00000008">
      <w:pPr>
        <w:spacing w:line="480" w:lineRule="auto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480" w:lineRule="auto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Estyn.gov.wales. 2022. [online] Available at: &lt;https://www.estyn.gov.wales/system/files/2020-08/Olchfa%2520School_0.pdf&gt; [Accessed 23 April 2022].​</w:t>
      </w:r>
    </w:p>
    <w:p w:rsidR="00000000" w:rsidDel="00000000" w:rsidP="00000000" w:rsidRDefault="00000000" w:rsidRPr="00000000" w14:paraId="0000000A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480" w:lineRule="auto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480" w:lineRule="auto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highlight w:val="white"/>
          <w:rtl w:val="0"/>
        </w:rPr>
        <w:t xml:space="preserve">FaCE the challenge together: Family and community engagement toolkit for schools in Wales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. [ebook] Available at: &lt;https://gov.wales/sites/default/files/publications/2018-12/face-the-challenge-together-family-and-community-engagement-toolkit-for-schools-in-wales-main-guidance.pdf&gt; [Accessed 7 July 2022].</w:t>
      </w:r>
    </w:p>
    <w:p w:rsidR="00000000" w:rsidDel="00000000" w:rsidP="00000000" w:rsidRDefault="00000000" w:rsidRPr="00000000" w14:paraId="0000000C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480" w:lineRule="auto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480" w:lineRule="auto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Ferschmann, L., Vijayakumarb, N. and Caprara, E., 2019. </w:t>
      </w:r>
      <w:r w:rsidDel="00000000" w:rsidR="00000000" w:rsidRPr="00000000">
        <w:rPr>
          <w:rFonts w:ascii="Times New Roman" w:cs="Times New Roman" w:eastAsia="Times New Roman" w:hAnsi="Times New Roman"/>
          <w:i w:val="1"/>
          <w:highlight w:val="white"/>
          <w:rtl w:val="0"/>
        </w:rPr>
        <w:t xml:space="preserve">Prosocial behavior relates to the rate and timing of cortical thinning from adolescence to young adulthood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. [online] Available at: &lt;https://www.sciencedirect.com/science/article/pii/S1878929319303214#bib004&gt; [Accessed 6 July 2022].</w:t>
      </w:r>
    </w:p>
    <w:p w:rsidR="00000000" w:rsidDel="00000000" w:rsidP="00000000" w:rsidRDefault="00000000" w:rsidRPr="00000000" w14:paraId="0000000E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480" w:lineRule="auto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480" w:lineRule="auto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Gov, W., 2022. </w:t>
      </w:r>
      <w:r w:rsidDel="00000000" w:rsidR="00000000" w:rsidRPr="00000000">
        <w:rPr>
          <w:rFonts w:ascii="Times New Roman" w:cs="Times New Roman" w:eastAsia="Times New Roman" w:hAnsi="Times New Roman"/>
          <w:i w:val="1"/>
          <w:highlight w:val="white"/>
          <w:rtl w:val="0"/>
        </w:rPr>
        <w:t xml:space="preserve">‘Areas of Learning and Experience’ as a central element of the new curriculum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. [online] Curriculum for Wales Blog. Available at: &lt;https://curriculumforwales.gov.wales/2020/03/02/areas-of-learning-and-experience-as-a-central-element-of-the-new-curriculum/&gt; [Accessed 7 July 2022].</w:t>
      </w:r>
    </w:p>
    <w:p w:rsidR="00000000" w:rsidDel="00000000" w:rsidP="00000000" w:rsidRDefault="00000000" w:rsidRPr="00000000" w14:paraId="00000010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480" w:lineRule="auto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480" w:lineRule="auto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Gov.wales. 2022. [online] Available at: &lt;https://gov.wales/sites/default/files/publications/2018-03/the-four-purposes-of-the-curriculum-for-wales.pdf&gt; [Accessed 23 April 2022].</w:t>
      </w:r>
    </w:p>
    <w:p w:rsidR="00000000" w:rsidDel="00000000" w:rsidP="00000000" w:rsidRDefault="00000000" w:rsidRPr="00000000" w14:paraId="00000012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480" w:lineRule="auto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pacing w:line="480" w:lineRule="auto"/>
        <w:ind w:left="0" w:firstLine="0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Hwb.gov.wales. 2022. </w:t>
      </w:r>
      <w:r w:rsidDel="00000000" w:rsidR="00000000" w:rsidRPr="00000000">
        <w:rPr>
          <w:rFonts w:ascii="Times New Roman" w:cs="Times New Roman" w:eastAsia="Times New Roman" w:hAnsi="Times New Roman"/>
          <w:i w:val="1"/>
          <w:highlight w:val="white"/>
          <w:rtl w:val="0"/>
        </w:rPr>
        <w:t xml:space="preserve">Introduction - Hwb</w:t>
      </w: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. [online] Available at: &lt;https://hwb.gov.wales/curriculum-for-wales/introduction#:~:text=The%20Curriculum%20for%20Wales%20guidance%20is%20a%20clear,and%20misinformation%2C%20and%20encourage%20critical%20and%20civic%20engagement.&gt; [Accessed 23 April 2022].​</w:t>
      </w:r>
    </w:p>
    <w:p w:rsidR="00000000" w:rsidDel="00000000" w:rsidP="00000000" w:rsidRDefault="00000000" w:rsidRPr="00000000" w14:paraId="00000014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rPr>
          <w:rFonts w:ascii="Times New Roman" w:cs="Times New Roman" w:eastAsia="Times New Roman" w:hAnsi="Times New Roman"/>
          <w:b w:val="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0" w:firstLine="0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ind w:left="720" w:firstLine="0"/>
        <w:rPr>
          <w:rFonts w:ascii="Calibri" w:cs="Calibri" w:eastAsia="Calibri" w:hAnsi="Calibri"/>
          <w:sz w:val="46"/>
          <w:szCs w:val="46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