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0B272" w14:textId="10C8FB2F" w:rsidR="0049486A" w:rsidRDefault="0049486A">
      <w:pPr>
        <w:jc w:val="center"/>
        <w:rPr>
          <w:rFonts w:ascii="Arial" w:hAnsi="Arial" w:cs="Arial"/>
          <w:szCs w:val="24"/>
        </w:rPr>
      </w:pPr>
    </w:p>
    <w:p w14:paraId="3080B273" w14:textId="77777777" w:rsidR="0049486A" w:rsidRDefault="0049486A">
      <w:pPr>
        <w:rPr>
          <w:rFonts w:ascii="Arial" w:hAnsi="Arial" w:cs="Arial"/>
          <w:b/>
          <w:bCs/>
          <w:szCs w:val="24"/>
        </w:rPr>
      </w:pPr>
    </w:p>
    <w:p w14:paraId="3080B274" w14:textId="77777777" w:rsidR="0049486A" w:rsidRDefault="0044774C">
      <w:pPr>
        <w:jc w:val="center"/>
        <w:rPr>
          <w:rFonts w:ascii="Arial" w:hAnsi="Arial" w:cs="Arial"/>
          <w:b/>
          <w:bCs/>
          <w:sz w:val="40"/>
          <w:szCs w:val="40"/>
        </w:rPr>
      </w:pPr>
      <w:r>
        <w:rPr>
          <w:rFonts w:ascii="Arial" w:hAnsi="Arial" w:cs="Arial"/>
          <w:b/>
          <w:bCs/>
          <w:sz w:val="40"/>
          <w:szCs w:val="40"/>
        </w:rPr>
        <w:t>Report Case Study</w:t>
      </w:r>
    </w:p>
    <w:p w14:paraId="3080B275" w14:textId="77777777" w:rsidR="0049486A" w:rsidRDefault="0044774C">
      <w:pPr>
        <w:jc w:val="center"/>
        <w:rPr>
          <w:rFonts w:ascii="Arial" w:hAnsi="Arial" w:cs="Arial"/>
          <w:b/>
          <w:bCs/>
          <w:sz w:val="40"/>
          <w:szCs w:val="40"/>
        </w:rPr>
      </w:pPr>
      <w:r>
        <w:rPr>
          <w:rFonts w:ascii="Arial" w:hAnsi="Arial" w:cs="Arial"/>
          <w:b/>
          <w:bCs/>
          <w:sz w:val="40"/>
          <w:szCs w:val="40"/>
        </w:rPr>
        <w:t>“The Seaview Resort”</w:t>
      </w:r>
    </w:p>
    <w:p w14:paraId="3080B276" w14:textId="77777777" w:rsidR="0049486A" w:rsidRDefault="0049486A">
      <w:pPr>
        <w:jc w:val="center"/>
        <w:rPr>
          <w:rFonts w:ascii="Arial" w:hAnsi="Arial" w:cs="Arial"/>
          <w:b/>
          <w:bCs/>
          <w:szCs w:val="24"/>
        </w:rPr>
      </w:pPr>
    </w:p>
    <w:p w14:paraId="3080B277" w14:textId="77777777" w:rsidR="0049486A" w:rsidRDefault="0049486A">
      <w:pPr>
        <w:jc w:val="center"/>
        <w:rPr>
          <w:rFonts w:ascii="Arial" w:hAnsi="Arial" w:cs="Arial"/>
          <w:b/>
          <w:bCs/>
          <w:szCs w:val="24"/>
        </w:rPr>
      </w:pPr>
    </w:p>
    <w:p w14:paraId="3080B278" w14:textId="77777777" w:rsidR="0049486A" w:rsidRDefault="0049486A">
      <w:pPr>
        <w:jc w:val="center"/>
        <w:rPr>
          <w:rFonts w:ascii="Arial" w:hAnsi="Arial" w:cs="Arial"/>
          <w:b/>
          <w:bCs/>
          <w:szCs w:val="24"/>
        </w:rPr>
      </w:pPr>
    </w:p>
    <w:p w14:paraId="3080B279" w14:textId="77777777" w:rsidR="0049486A" w:rsidRDefault="0049486A">
      <w:pPr>
        <w:jc w:val="center"/>
        <w:rPr>
          <w:rFonts w:ascii="Arial" w:hAnsi="Arial" w:cs="Arial"/>
          <w:b/>
          <w:bCs/>
          <w:szCs w:val="24"/>
        </w:rPr>
      </w:pPr>
    </w:p>
    <w:p w14:paraId="3080B27A" w14:textId="77777777" w:rsidR="0049486A" w:rsidRDefault="0049486A">
      <w:pPr>
        <w:jc w:val="center"/>
        <w:rPr>
          <w:rFonts w:ascii="Arial" w:hAnsi="Arial" w:cs="Arial"/>
          <w:b/>
          <w:bCs/>
          <w:szCs w:val="24"/>
        </w:rPr>
      </w:pPr>
    </w:p>
    <w:p w14:paraId="3080B27B" w14:textId="77777777" w:rsidR="0049486A" w:rsidRDefault="0049486A">
      <w:pPr>
        <w:jc w:val="center"/>
        <w:rPr>
          <w:rFonts w:ascii="Arial" w:hAnsi="Arial" w:cs="Arial"/>
          <w:b/>
          <w:bCs/>
          <w:szCs w:val="24"/>
        </w:rPr>
      </w:pPr>
    </w:p>
    <w:p w14:paraId="3080B27C" w14:textId="77777777" w:rsidR="0049486A" w:rsidRDefault="0044774C">
      <w:pPr>
        <w:jc w:val="left"/>
        <w:rPr>
          <w:rFonts w:ascii="Arial" w:hAnsi="Arial" w:cs="Arial"/>
          <w:szCs w:val="24"/>
        </w:rPr>
      </w:pPr>
      <w:r>
        <w:rPr>
          <w:rFonts w:ascii="Arial" w:hAnsi="Arial" w:cs="Arial"/>
          <w:b/>
          <w:bCs/>
          <w:szCs w:val="24"/>
        </w:rPr>
        <w:t xml:space="preserve">Student Name: </w:t>
      </w:r>
      <w:r>
        <w:rPr>
          <w:rFonts w:ascii="Arial" w:hAnsi="Arial" w:cs="Arial"/>
          <w:szCs w:val="24"/>
        </w:rPr>
        <w:t>Adrian Grigore</w:t>
      </w:r>
    </w:p>
    <w:p w14:paraId="3080B27D" w14:textId="77777777" w:rsidR="0049486A" w:rsidRDefault="0044774C">
      <w:pPr>
        <w:jc w:val="left"/>
        <w:rPr>
          <w:rFonts w:ascii="Arial" w:hAnsi="Arial" w:cs="Arial"/>
          <w:szCs w:val="24"/>
        </w:rPr>
      </w:pPr>
      <w:r>
        <w:rPr>
          <w:rFonts w:ascii="Arial" w:hAnsi="Arial" w:cs="Arial"/>
          <w:b/>
          <w:bCs/>
          <w:szCs w:val="24"/>
        </w:rPr>
        <w:t xml:space="preserve">Student ID: </w:t>
      </w:r>
      <w:r>
        <w:rPr>
          <w:rFonts w:ascii="Arial" w:hAnsi="Arial" w:cs="Arial"/>
          <w:szCs w:val="24"/>
        </w:rPr>
        <w:t>2127381</w:t>
      </w:r>
    </w:p>
    <w:p w14:paraId="3080B27E" w14:textId="77777777" w:rsidR="0049486A" w:rsidRDefault="0044774C">
      <w:pPr>
        <w:jc w:val="left"/>
        <w:rPr>
          <w:rFonts w:ascii="Arial" w:hAnsi="Arial" w:cs="Arial"/>
          <w:b/>
          <w:bCs/>
          <w:szCs w:val="24"/>
        </w:rPr>
      </w:pPr>
      <w:r>
        <w:rPr>
          <w:rFonts w:ascii="Arial" w:hAnsi="Arial" w:cs="Arial"/>
          <w:b/>
          <w:bCs/>
          <w:szCs w:val="24"/>
        </w:rPr>
        <w:t xml:space="preserve">Module: </w:t>
      </w:r>
      <w:r>
        <w:rPr>
          <w:rFonts w:ascii="Arial" w:hAnsi="Arial" w:cs="Arial"/>
          <w:szCs w:val="24"/>
        </w:rPr>
        <w:t>Financial Management for the Hotel Industry (BMIH5007)</w:t>
      </w:r>
    </w:p>
    <w:p w14:paraId="3080B27F" w14:textId="77777777" w:rsidR="0049486A" w:rsidRDefault="0044774C">
      <w:pPr>
        <w:jc w:val="left"/>
        <w:rPr>
          <w:rFonts w:ascii="Arial" w:hAnsi="Arial" w:cs="Arial"/>
          <w:szCs w:val="24"/>
        </w:rPr>
      </w:pPr>
      <w:r>
        <w:rPr>
          <w:rFonts w:ascii="Arial" w:hAnsi="Arial" w:cs="Arial"/>
          <w:b/>
          <w:bCs/>
          <w:szCs w:val="24"/>
        </w:rPr>
        <w:t xml:space="preserve">Lecturer: </w:t>
      </w:r>
      <w:r>
        <w:rPr>
          <w:rFonts w:ascii="Arial" w:hAnsi="Arial" w:cs="Arial"/>
          <w:szCs w:val="24"/>
        </w:rPr>
        <w:t>Tristan Hawking</w:t>
      </w:r>
    </w:p>
    <w:p w14:paraId="3080B280" w14:textId="77777777" w:rsidR="0049486A" w:rsidRDefault="0049486A">
      <w:pPr>
        <w:jc w:val="center"/>
        <w:rPr>
          <w:rFonts w:ascii="Arial" w:hAnsi="Arial" w:cs="Arial"/>
          <w:b/>
          <w:bCs/>
          <w:szCs w:val="24"/>
        </w:rPr>
      </w:pPr>
    </w:p>
    <w:p w14:paraId="3080B281" w14:textId="77777777" w:rsidR="0049486A" w:rsidRDefault="0044774C">
      <w:pPr>
        <w:spacing w:line="259" w:lineRule="auto"/>
        <w:jc w:val="left"/>
        <w:rPr>
          <w:rFonts w:ascii="Arial" w:hAnsi="Arial" w:cs="Arial"/>
          <w:szCs w:val="24"/>
        </w:rPr>
      </w:pPr>
      <w:r>
        <w:rPr>
          <w:rFonts w:ascii="Arial" w:hAnsi="Arial" w:cs="Arial"/>
          <w:szCs w:val="24"/>
        </w:rPr>
        <w:br w:type="page"/>
      </w:r>
    </w:p>
    <w:p w14:paraId="3080B282" w14:textId="77777777" w:rsidR="0049486A" w:rsidRDefault="0044774C">
      <w:pPr>
        <w:pStyle w:val="TOCHeading"/>
        <w:shd w:val="clear" w:color="auto" w:fill="4472C4"/>
        <w:jc w:val="center"/>
        <w:rPr>
          <w:rFonts w:ascii="Arial" w:hAnsi="Arial" w:cs="Arial"/>
          <w:color w:val="FFFFFF"/>
          <w:sz w:val="24"/>
          <w:szCs w:val="24"/>
        </w:rPr>
      </w:pPr>
      <w:r>
        <w:rPr>
          <w:rFonts w:ascii="Arial" w:hAnsi="Arial" w:cs="Arial"/>
          <w:color w:val="FFFFFF"/>
          <w:sz w:val="24"/>
          <w:szCs w:val="24"/>
        </w:rPr>
        <w:lastRenderedPageBreak/>
        <w:t>Table of Contents</w:t>
      </w:r>
    </w:p>
    <w:p w14:paraId="3080B283" w14:textId="77777777" w:rsidR="0049486A" w:rsidRDefault="0044774C">
      <w:pPr>
        <w:pStyle w:val="TOC1"/>
        <w:tabs>
          <w:tab w:val="right" w:leader="dot" w:pos="9350"/>
        </w:tabs>
        <w:rPr>
          <w:rFonts w:ascii="Calibri" w:eastAsia="SimSun" w:hAnsi="Calibri"/>
          <w:noProof/>
          <w:kern w:val="2"/>
          <w:sz w:val="22"/>
          <w14:ligatures w14:val="standardContextual"/>
        </w:rPr>
      </w:pPr>
      <w:r>
        <w:rPr>
          <w:rFonts w:ascii="Arial" w:hAnsi="Arial" w:cs="Arial"/>
          <w:szCs w:val="24"/>
        </w:rPr>
        <w:fldChar w:fldCharType="begin"/>
      </w:r>
      <w:r>
        <w:rPr>
          <w:rFonts w:ascii="Arial" w:hAnsi="Arial" w:cs="Arial"/>
          <w:szCs w:val="24"/>
        </w:rPr>
        <w:instrText xml:space="preserve"> TOC \o "1-3" \h \z \u </w:instrText>
      </w:r>
      <w:r>
        <w:rPr>
          <w:rFonts w:ascii="Arial" w:hAnsi="Arial" w:cs="Arial"/>
          <w:szCs w:val="24"/>
        </w:rPr>
        <w:fldChar w:fldCharType="separate"/>
      </w:r>
      <w:hyperlink w:anchor="_Toc159845912" w:history="1">
        <w:r>
          <w:rPr>
            <w:rStyle w:val="Hyperlink"/>
            <w:rFonts w:ascii="Arial" w:hAnsi="Arial" w:cs="Arial"/>
            <w:noProof/>
          </w:rPr>
          <w:t>1.0 Introduction</w:t>
        </w:r>
        <w:r>
          <w:rPr>
            <w:noProof/>
            <w:webHidden/>
          </w:rPr>
          <w:tab/>
        </w:r>
        <w:r>
          <w:rPr>
            <w:noProof/>
            <w:webHidden/>
          </w:rPr>
          <w:fldChar w:fldCharType="begin"/>
        </w:r>
        <w:r>
          <w:rPr>
            <w:noProof/>
            <w:webHidden/>
          </w:rPr>
          <w:instrText xml:space="preserve"> PAGEREF _Toc159845912 \h </w:instrText>
        </w:r>
        <w:r>
          <w:rPr>
            <w:noProof/>
            <w:webHidden/>
          </w:rPr>
        </w:r>
        <w:r>
          <w:rPr>
            <w:noProof/>
            <w:webHidden/>
          </w:rPr>
          <w:fldChar w:fldCharType="separate"/>
        </w:r>
        <w:r>
          <w:rPr>
            <w:noProof/>
            <w:webHidden/>
          </w:rPr>
          <w:t>4</w:t>
        </w:r>
        <w:r>
          <w:rPr>
            <w:noProof/>
            <w:webHidden/>
          </w:rPr>
          <w:fldChar w:fldCharType="end"/>
        </w:r>
      </w:hyperlink>
    </w:p>
    <w:p w14:paraId="3080B284" w14:textId="77777777" w:rsidR="0049486A" w:rsidRDefault="0044774C">
      <w:pPr>
        <w:pStyle w:val="TOC1"/>
        <w:tabs>
          <w:tab w:val="right" w:leader="dot" w:pos="9350"/>
        </w:tabs>
        <w:rPr>
          <w:rFonts w:ascii="Calibri" w:eastAsia="SimSun" w:hAnsi="Calibri"/>
          <w:noProof/>
          <w:kern w:val="2"/>
          <w:sz w:val="22"/>
          <w14:ligatures w14:val="standardContextual"/>
        </w:rPr>
      </w:pPr>
      <w:hyperlink w:anchor="_Toc159845913" w:history="1">
        <w:r>
          <w:rPr>
            <w:rStyle w:val="Hyperlink"/>
            <w:rFonts w:ascii="Arial" w:hAnsi="Arial" w:cs="Arial"/>
            <w:noProof/>
          </w:rPr>
          <w:t>2.0 Financial Performance Analysis of The Seaview Resort (2020-2022)</w:t>
        </w:r>
        <w:r>
          <w:rPr>
            <w:noProof/>
            <w:webHidden/>
          </w:rPr>
          <w:tab/>
        </w:r>
        <w:r>
          <w:rPr>
            <w:noProof/>
            <w:webHidden/>
          </w:rPr>
          <w:fldChar w:fldCharType="begin"/>
        </w:r>
        <w:r>
          <w:rPr>
            <w:noProof/>
            <w:webHidden/>
          </w:rPr>
          <w:instrText xml:space="preserve"> PAGEREF _Toc159845913 \h </w:instrText>
        </w:r>
        <w:r>
          <w:rPr>
            <w:noProof/>
            <w:webHidden/>
          </w:rPr>
        </w:r>
        <w:r>
          <w:rPr>
            <w:noProof/>
            <w:webHidden/>
          </w:rPr>
          <w:fldChar w:fldCharType="separate"/>
        </w:r>
        <w:r>
          <w:rPr>
            <w:noProof/>
            <w:webHidden/>
          </w:rPr>
          <w:t>5</w:t>
        </w:r>
        <w:r>
          <w:rPr>
            <w:noProof/>
            <w:webHidden/>
          </w:rPr>
          <w:fldChar w:fldCharType="end"/>
        </w:r>
      </w:hyperlink>
    </w:p>
    <w:p w14:paraId="3080B285"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14" w:history="1">
        <w:r>
          <w:rPr>
            <w:rStyle w:val="Hyperlink"/>
            <w:rFonts w:ascii="Arial" w:hAnsi="Arial" w:cs="Arial"/>
            <w:noProof/>
          </w:rPr>
          <w:t>2.1 Total Revenue Analysis</w:t>
        </w:r>
        <w:r>
          <w:rPr>
            <w:noProof/>
            <w:webHidden/>
          </w:rPr>
          <w:tab/>
        </w:r>
        <w:r>
          <w:rPr>
            <w:noProof/>
            <w:webHidden/>
          </w:rPr>
          <w:fldChar w:fldCharType="begin"/>
        </w:r>
        <w:r>
          <w:rPr>
            <w:noProof/>
            <w:webHidden/>
          </w:rPr>
          <w:instrText xml:space="preserve"> PAGEREF _Toc159845914 \h </w:instrText>
        </w:r>
        <w:r>
          <w:rPr>
            <w:noProof/>
            <w:webHidden/>
          </w:rPr>
        </w:r>
        <w:r>
          <w:rPr>
            <w:noProof/>
            <w:webHidden/>
          </w:rPr>
          <w:fldChar w:fldCharType="separate"/>
        </w:r>
        <w:r>
          <w:rPr>
            <w:noProof/>
            <w:webHidden/>
          </w:rPr>
          <w:t>5</w:t>
        </w:r>
        <w:r>
          <w:rPr>
            <w:noProof/>
            <w:webHidden/>
          </w:rPr>
          <w:fldChar w:fldCharType="end"/>
        </w:r>
      </w:hyperlink>
    </w:p>
    <w:p w14:paraId="3080B286"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15" w:history="1">
        <w:r>
          <w:rPr>
            <w:rStyle w:val="Hyperlink"/>
            <w:rFonts w:ascii="Arial" w:hAnsi="Arial" w:cs="Arial"/>
            <w:noProof/>
          </w:rPr>
          <w:t>2.2 Operating Expenses Analysis</w:t>
        </w:r>
        <w:r>
          <w:rPr>
            <w:noProof/>
            <w:webHidden/>
          </w:rPr>
          <w:tab/>
        </w:r>
        <w:r>
          <w:rPr>
            <w:noProof/>
            <w:webHidden/>
          </w:rPr>
          <w:fldChar w:fldCharType="begin"/>
        </w:r>
        <w:r>
          <w:rPr>
            <w:noProof/>
            <w:webHidden/>
          </w:rPr>
          <w:instrText xml:space="preserve"> PAGEREF _Toc159845915 \h </w:instrText>
        </w:r>
        <w:r>
          <w:rPr>
            <w:noProof/>
            <w:webHidden/>
          </w:rPr>
        </w:r>
        <w:r>
          <w:rPr>
            <w:noProof/>
            <w:webHidden/>
          </w:rPr>
          <w:fldChar w:fldCharType="separate"/>
        </w:r>
        <w:r>
          <w:rPr>
            <w:noProof/>
            <w:webHidden/>
          </w:rPr>
          <w:t>5</w:t>
        </w:r>
        <w:r>
          <w:rPr>
            <w:noProof/>
            <w:webHidden/>
          </w:rPr>
          <w:fldChar w:fldCharType="end"/>
        </w:r>
      </w:hyperlink>
    </w:p>
    <w:p w14:paraId="3080B287"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16" w:history="1">
        <w:r>
          <w:rPr>
            <w:rStyle w:val="Hyperlink"/>
            <w:rFonts w:ascii="Arial" w:hAnsi="Arial" w:cs="Arial"/>
            <w:noProof/>
          </w:rPr>
          <w:t>2.3 Gross Profit Analysis</w:t>
        </w:r>
        <w:r>
          <w:rPr>
            <w:noProof/>
            <w:webHidden/>
          </w:rPr>
          <w:tab/>
        </w:r>
        <w:r>
          <w:rPr>
            <w:noProof/>
            <w:webHidden/>
          </w:rPr>
          <w:fldChar w:fldCharType="begin"/>
        </w:r>
        <w:r>
          <w:rPr>
            <w:noProof/>
            <w:webHidden/>
          </w:rPr>
          <w:instrText xml:space="preserve"> PAGEREF _Toc159845916 \h </w:instrText>
        </w:r>
        <w:r>
          <w:rPr>
            <w:noProof/>
            <w:webHidden/>
          </w:rPr>
        </w:r>
        <w:r>
          <w:rPr>
            <w:noProof/>
            <w:webHidden/>
          </w:rPr>
          <w:fldChar w:fldCharType="separate"/>
        </w:r>
        <w:r>
          <w:rPr>
            <w:noProof/>
            <w:webHidden/>
          </w:rPr>
          <w:t>5</w:t>
        </w:r>
        <w:r>
          <w:rPr>
            <w:noProof/>
            <w:webHidden/>
          </w:rPr>
          <w:fldChar w:fldCharType="end"/>
        </w:r>
      </w:hyperlink>
    </w:p>
    <w:p w14:paraId="3080B288"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17" w:history="1">
        <w:r>
          <w:rPr>
            <w:rStyle w:val="Hyperlink"/>
            <w:rFonts w:ascii="Arial" w:hAnsi="Arial" w:cs="Arial"/>
            <w:noProof/>
          </w:rPr>
          <w:t>2.4 Net Profit (Loss) and Net Profit Margin Analysis</w:t>
        </w:r>
        <w:r>
          <w:rPr>
            <w:noProof/>
            <w:webHidden/>
          </w:rPr>
          <w:tab/>
        </w:r>
        <w:r>
          <w:rPr>
            <w:noProof/>
            <w:webHidden/>
          </w:rPr>
          <w:fldChar w:fldCharType="begin"/>
        </w:r>
        <w:r>
          <w:rPr>
            <w:noProof/>
            <w:webHidden/>
          </w:rPr>
          <w:instrText xml:space="preserve"> PAGEREF _Toc159845917 \h </w:instrText>
        </w:r>
        <w:r>
          <w:rPr>
            <w:noProof/>
            <w:webHidden/>
          </w:rPr>
        </w:r>
        <w:r>
          <w:rPr>
            <w:noProof/>
            <w:webHidden/>
          </w:rPr>
          <w:fldChar w:fldCharType="separate"/>
        </w:r>
        <w:r>
          <w:rPr>
            <w:noProof/>
            <w:webHidden/>
          </w:rPr>
          <w:t>5</w:t>
        </w:r>
        <w:r>
          <w:rPr>
            <w:noProof/>
            <w:webHidden/>
          </w:rPr>
          <w:fldChar w:fldCharType="end"/>
        </w:r>
      </w:hyperlink>
    </w:p>
    <w:p w14:paraId="3080B289"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18" w:history="1">
        <w:r>
          <w:rPr>
            <w:rStyle w:val="Hyperlink"/>
            <w:rFonts w:ascii="Arial" w:hAnsi="Arial" w:cs="Arial"/>
            <w:noProof/>
          </w:rPr>
          <w:t>2.5 Average Room Rate and Occupancy Rate Analysis</w:t>
        </w:r>
        <w:r>
          <w:rPr>
            <w:noProof/>
            <w:webHidden/>
          </w:rPr>
          <w:tab/>
        </w:r>
        <w:r>
          <w:rPr>
            <w:noProof/>
            <w:webHidden/>
          </w:rPr>
          <w:fldChar w:fldCharType="begin"/>
        </w:r>
        <w:r>
          <w:rPr>
            <w:noProof/>
            <w:webHidden/>
          </w:rPr>
          <w:instrText xml:space="preserve"> PAGEREF _Toc159845918 \h </w:instrText>
        </w:r>
        <w:r>
          <w:rPr>
            <w:noProof/>
            <w:webHidden/>
          </w:rPr>
        </w:r>
        <w:r>
          <w:rPr>
            <w:noProof/>
            <w:webHidden/>
          </w:rPr>
          <w:fldChar w:fldCharType="separate"/>
        </w:r>
        <w:r>
          <w:rPr>
            <w:noProof/>
            <w:webHidden/>
          </w:rPr>
          <w:t>6</w:t>
        </w:r>
        <w:r>
          <w:rPr>
            <w:noProof/>
            <w:webHidden/>
          </w:rPr>
          <w:fldChar w:fldCharType="end"/>
        </w:r>
      </w:hyperlink>
    </w:p>
    <w:p w14:paraId="3080B28A"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19" w:history="1">
        <w:r>
          <w:rPr>
            <w:rStyle w:val="Hyperlink"/>
            <w:rFonts w:ascii="Arial" w:hAnsi="Arial" w:cs="Arial"/>
            <w:noProof/>
          </w:rPr>
          <w:t>2.6 Balance Sheet Analysis</w:t>
        </w:r>
        <w:r>
          <w:rPr>
            <w:noProof/>
            <w:webHidden/>
          </w:rPr>
          <w:tab/>
        </w:r>
        <w:r>
          <w:rPr>
            <w:noProof/>
            <w:webHidden/>
          </w:rPr>
          <w:fldChar w:fldCharType="begin"/>
        </w:r>
        <w:r>
          <w:rPr>
            <w:noProof/>
            <w:webHidden/>
          </w:rPr>
          <w:instrText xml:space="preserve"> PAGEREF _Toc159845919 \h </w:instrText>
        </w:r>
        <w:r>
          <w:rPr>
            <w:noProof/>
            <w:webHidden/>
          </w:rPr>
        </w:r>
        <w:r>
          <w:rPr>
            <w:noProof/>
            <w:webHidden/>
          </w:rPr>
          <w:fldChar w:fldCharType="separate"/>
        </w:r>
        <w:r>
          <w:rPr>
            <w:noProof/>
            <w:webHidden/>
          </w:rPr>
          <w:t>6</w:t>
        </w:r>
        <w:r>
          <w:rPr>
            <w:noProof/>
            <w:webHidden/>
          </w:rPr>
          <w:fldChar w:fldCharType="end"/>
        </w:r>
      </w:hyperlink>
    </w:p>
    <w:p w14:paraId="3080B28B"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20" w:history="1">
        <w:r>
          <w:rPr>
            <w:rStyle w:val="Hyperlink"/>
            <w:rFonts w:ascii="Arial" w:hAnsi="Arial" w:cs="Arial"/>
            <w:noProof/>
          </w:rPr>
          <w:t>2.7 Cash Flow Analysis</w:t>
        </w:r>
        <w:r>
          <w:rPr>
            <w:noProof/>
            <w:webHidden/>
          </w:rPr>
          <w:tab/>
        </w:r>
        <w:r>
          <w:rPr>
            <w:noProof/>
            <w:webHidden/>
          </w:rPr>
          <w:fldChar w:fldCharType="begin"/>
        </w:r>
        <w:r>
          <w:rPr>
            <w:noProof/>
            <w:webHidden/>
          </w:rPr>
          <w:instrText xml:space="preserve"> PAGEREF _Toc159845920 \h </w:instrText>
        </w:r>
        <w:r>
          <w:rPr>
            <w:noProof/>
            <w:webHidden/>
          </w:rPr>
        </w:r>
        <w:r>
          <w:rPr>
            <w:noProof/>
            <w:webHidden/>
          </w:rPr>
          <w:fldChar w:fldCharType="separate"/>
        </w:r>
        <w:r>
          <w:rPr>
            <w:noProof/>
            <w:webHidden/>
          </w:rPr>
          <w:t>6</w:t>
        </w:r>
        <w:r>
          <w:rPr>
            <w:noProof/>
            <w:webHidden/>
          </w:rPr>
          <w:fldChar w:fldCharType="end"/>
        </w:r>
      </w:hyperlink>
    </w:p>
    <w:p w14:paraId="3080B28C" w14:textId="77777777" w:rsidR="0049486A" w:rsidRDefault="0044774C">
      <w:pPr>
        <w:pStyle w:val="TOC1"/>
        <w:tabs>
          <w:tab w:val="right" w:leader="dot" w:pos="9350"/>
        </w:tabs>
        <w:rPr>
          <w:rFonts w:ascii="Calibri" w:eastAsia="SimSun" w:hAnsi="Calibri"/>
          <w:noProof/>
          <w:kern w:val="2"/>
          <w:sz w:val="22"/>
          <w14:ligatures w14:val="standardContextual"/>
        </w:rPr>
      </w:pPr>
      <w:hyperlink w:anchor="_Toc159845921" w:history="1">
        <w:r>
          <w:rPr>
            <w:rStyle w:val="Hyperlink"/>
            <w:rFonts w:ascii="Arial" w:hAnsi="Arial" w:cs="Arial"/>
            <w:noProof/>
          </w:rPr>
          <w:t>3.0 Key Reasons Behind the Decline in Profitability of The Seaview Resort</w:t>
        </w:r>
        <w:r>
          <w:rPr>
            <w:noProof/>
            <w:webHidden/>
          </w:rPr>
          <w:tab/>
        </w:r>
        <w:r>
          <w:rPr>
            <w:noProof/>
            <w:webHidden/>
          </w:rPr>
          <w:fldChar w:fldCharType="begin"/>
        </w:r>
        <w:r>
          <w:rPr>
            <w:noProof/>
            <w:webHidden/>
          </w:rPr>
          <w:instrText xml:space="preserve"> PAGEREF _Toc159845921 \h </w:instrText>
        </w:r>
        <w:r>
          <w:rPr>
            <w:noProof/>
            <w:webHidden/>
          </w:rPr>
        </w:r>
        <w:r>
          <w:rPr>
            <w:noProof/>
            <w:webHidden/>
          </w:rPr>
          <w:fldChar w:fldCharType="separate"/>
        </w:r>
        <w:r>
          <w:rPr>
            <w:noProof/>
            <w:webHidden/>
          </w:rPr>
          <w:t>7</w:t>
        </w:r>
        <w:r>
          <w:rPr>
            <w:noProof/>
            <w:webHidden/>
          </w:rPr>
          <w:fldChar w:fldCharType="end"/>
        </w:r>
      </w:hyperlink>
    </w:p>
    <w:p w14:paraId="3080B28D"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22" w:history="1">
        <w:r>
          <w:rPr>
            <w:rStyle w:val="Hyperlink"/>
            <w:noProof/>
          </w:rPr>
          <w:t>3.1 Supply and Demand Analysis</w:t>
        </w:r>
        <w:r>
          <w:rPr>
            <w:noProof/>
            <w:webHidden/>
          </w:rPr>
          <w:tab/>
        </w:r>
        <w:r>
          <w:rPr>
            <w:noProof/>
            <w:webHidden/>
          </w:rPr>
          <w:fldChar w:fldCharType="begin"/>
        </w:r>
        <w:r>
          <w:rPr>
            <w:noProof/>
            <w:webHidden/>
          </w:rPr>
          <w:instrText xml:space="preserve"> PAGEREF _Toc159845922 \h </w:instrText>
        </w:r>
        <w:r>
          <w:rPr>
            <w:noProof/>
            <w:webHidden/>
          </w:rPr>
        </w:r>
        <w:r>
          <w:rPr>
            <w:noProof/>
            <w:webHidden/>
          </w:rPr>
          <w:fldChar w:fldCharType="separate"/>
        </w:r>
        <w:r>
          <w:rPr>
            <w:noProof/>
            <w:webHidden/>
          </w:rPr>
          <w:t>7</w:t>
        </w:r>
        <w:r>
          <w:rPr>
            <w:noProof/>
            <w:webHidden/>
          </w:rPr>
          <w:fldChar w:fldCharType="end"/>
        </w:r>
      </w:hyperlink>
    </w:p>
    <w:p w14:paraId="3080B28E"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23" w:history="1">
        <w:r>
          <w:rPr>
            <w:rStyle w:val="Hyperlink"/>
            <w:noProof/>
          </w:rPr>
          <w:t>3.2 Market Positioning using Bowman's Strategy Clock</w:t>
        </w:r>
        <w:r>
          <w:rPr>
            <w:noProof/>
            <w:webHidden/>
          </w:rPr>
          <w:tab/>
        </w:r>
        <w:r>
          <w:rPr>
            <w:noProof/>
            <w:webHidden/>
          </w:rPr>
          <w:fldChar w:fldCharType="begin"/>
        </w:r>
        <w:r>
          <w:rPr>
            <w:noProof/>
            <w:webHidden/>
          </w:rPr>
          <w:instrText xml:space="preserve"> PAGEREF _Toc159845923 \h </w:instrText>
        </w:r>
        <w:r>
          <w:rPr>
            <w:noProof/>
            <w:webHidden/>
          </w:rPr>
        </w:r>
        <w:r>
          <w:rPr>
            <w:noProof/>
            <w:webHidden/>
          </w:rPr>
          <w:fldChar w:fldCharType="separate"/>
        </w:r>
        <w:r>
          <w:rPr>
            <w:noProof/>
            <w:webHidden/>
          </w:rPr>
          <w:t>8</w:t>
        </w:r>
        <w:r>
          <w:rPr>
            <w:noProof/>
            <w:webHidden/>
          </w:rPr>
          <w:fldChar w:fldCharType="end"/>
        </w:r>
      </w:hyperlink>
    </w:p>
    <w:p w14:paraId="3080B28F"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24" w:history="1">
        <w:r>
          <w:rPr>
            <w:rStyle w:val="Hyperlink"/>
            <w:noProof/>
          </w:rPr>
          <w:t>3.3 Growth Strategy with Ansoff Matrix</w:t>
        </w:r>
        <w:r>
          <w:rPr>
            <w:noProof/>
            <w:webHidden/>
          </w:rPr>
          <w:tab/>
        </w:r>
        <w:r>
          <w:rPr>
            <w:noProof/>
            <w:webHidden/>
          </w:rPr>
          <w:fldChar w:fldCharType="begin"/>
        </w:r>
        <w:r>
          <w:rPr>
            <w:noProof/>
            <w:webHidden/>
          </w:rPr>
          <w:instrText xml:space="preserve"> PAGEREF _Toc159845924 \h </w:instrText>
        </w:r>
        <w:r>
          <w:rPr>
            <w:noProof/>
            <w:webHidden/>
          </w:rPr>
        </w:r>
        <w:r>
          <w:rPr>
            <w:noProof/>
            <w:webHidden/>
          </w:rPr>
          <w:fldChar w:fldCharType="separate"/>
        </w:r>
        <w:r>
          <w:rPr>
            <w:noProof/>
            <w:webHidden/>
          </w:rPr>
          <w:t>8</w:t>
        </w:r>
        <w:r>
          <w:rPr>
            <w:noProof/>
            <w:webHidden/>
          </w:rPr>
          <w:fldChar w:fldCharType="end"/>
        </w:r>
      </w:hyperlink>
    </w:p>
    <w:p w14:paraId="3080B290"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25" w:history="1">
        <w:r>
          <w:rPr>
            <w:rStyle w:val="Hyperlink"/>
            <w:rFonts w:ascii="Arial" w:hAnsi="Arial" w:cs="Arial"/>
            <w:noProof/>
          </w:rPr>
          <w:t>3.4 Declining Revenue and Rising Expenses</w:t>
        </w:r>
        <w:r>
          <w:rPr>
            <w:noProof/>
            <w:webHidden/>
          </w:rPr>
          <w:tab/>
        </w:r>
        <w:r>
          <w:rPr>
            <w:noProof/>
            <w:webHidden/>
          </w:rPr>
          <w:fldChar w:fldCharType="begin"/>
        </w:r>
        <w:r>
          <w:rPr>
            <w:noProof/>
            <w:webHidden/>
          </w:rPr>
          <w:instrText xml:space="preserve"> PAGEREF _Toc159845925 \h </w:instrText>
        </w:r>
        <w:r>
          <w:rPr>
            <w:noProof/>
            <w:webHidden/>
          </w:rPr>
        </w:r>
        <w:r>
          <w:rPr>
            <w:noProof/>
            <w:webHidden/>
          </w:rPr>
          <w:fldChar w:fldCharType="separate"/>
        </w:r>
        <w:r>
          <w:rPr>
            <w:noProof/>
            <w:webHidden/>
          </w:rPr>
          <w:t>9</w:t>
        </w:r>
        <w:r>
          <w:rPr>
            <w:noProof/>
            <w:webHidden/>
          </w:rPr>
          <w:fldChar w:fldCharType="end"/>
        </w:r>
      </w:hyperlink>
    </w:p>
    <w:p w14:paraId="3080B291"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26" w:history="1">
        <w:r>
          <w:rPr>
            <w:rStyle w:val="Hyperlink"/>
            <w:rFonts w:ascii="Arial" w:hAnsi="Arial" w:cs="Arial"/>
            <w:noProof/>
          </w:rPr>
          <w:t>3.5 Plummeting Gross Profit and Net Profit</w:t>
        </w:r>
        <w:r>
          <w:rPr>
            <w:noProof/>
            <w:webHidden/>
          </w:rPr>
          <w:tab/>
        </w:r>
        <w:r>
          <w:rPr>
            <w:noProof/>
            <w:webHidden/>
          </w:rPr>
          <w:fldChar w:fldCharType="begin"/>
        </w:r>
        <w:r>
          <w:rPr>
            <w:noProof/>
            <w:webHidden/>
          </w:rPr>
          <w:instrText xml:space="preserve"> PAGEREF _Toc159845926 \h </w:instrText>
        </w:r>
        <w:r>
          <w:rPr>
            <w:noProof/>
            <w:webHidden/>
          </w:rPr>
        </w:r>
        <w:r>
          <w:rPr>
            <w:noProof/>
            <w:webHidden/>
          </w:rPr>
          <w:fldChar w:fldCharType="separate"/>
        </w:r>
        <w:r>
          <w:rPr>
            <w:noProof/>
            <w:webHidden/>
          </w:rPr>
          <w:t>9</w:t>
        </w:r>
        <w:r>
          <w:rPr>
            <w:noProof/>
            <w:webHidden/>
          </w:rPr>
          <w:fldChar w:fldCharType="end"/>
        </w:r>
      </w:hyperlink>
    </w:p>
    <w:p w14:paraId="3080B292"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27" w:history="1">
        <w:r>
          <w:rPr>
            <w:rStyle w:val="Hyperlink"/>
            <w:rFonts w:ascii="Arial" w:hAnsi="Arial" w:cs="Arial"/>
            <w:noProof/>
          </w:rPr>
          <w:t>3.6 Average Room Rate and Occupancy Rate Decline</w:t>
        </w:r>
        <w:r>
          <w:rPr>
            <w:noProof/>
            <w:webHidden/>
          </w:rPr>
          <w:tab/>
        </w:r>
        <w:r>
          <w:rPr>
            <w:noProof/>
            <w:webHidden/>
          </w:rPr>
          <w:fldChar w:fldCharType="begin"/>
        </w:r>
        <w:r>
          <w:rPr>
            <w:noProof/>
            <w:webHidden/>
          </w:rPr>
          <w:instrText xml:space="preserve"> PAGEREF _Toc159845927 \h </w:instrText>
        </w:r>
        <w:r>
          <w:rPr>
            <w:noProof/>
            <w:webHidden/>
          </w:rPr>
        </w:r>
        <w:r>
          <w:rPr>
            <w:noProof/>
            <w:webHidden/>
          </w:rPr>
          <w:fldChar w:fldCharType="separate"/>
        </w:r>
        <w:r>
          <w:rPr>
            <w:noProof/>
            <w:webHidden/>
          </w:rPr>
          <w:t>10</w:t>
        </w:r>
        <w:r>
          <w:rPr>
            <w:noProof/>
            <w:webHidden/>
          </w:rPr>
          <w:fldChar w:fldCharType="end"/>
        </w:r>
      </w:hyperlink>
    </w:p>
    <w:p w14:paraId="3080B293"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28" w:history="1">
        <w:r>
          <w:rPr>
            <w:rStyle w:val="Hyperlink"/>
            <w:rFonts w:ascii="Arial" w:hAnsi="Arial" w:cs="Arial"/>
            <w:noProof/>
          </w:rPr>
          <w:t>3.7 Financial Debt Burden and Negative Cash Flow</w:t>
        </w:r>
        <w:r>
          <w:rPr>
            <w:noProof/>
            <w:webHidden/>
          </w:rPr>
          <w:tab/>
        </w:r>
        <w:r>
          <w:rPr>
            <w:noProof/>
            <w:webHidden/>
          </w:rPr>
          <w:fldChar w:fldCharType="begin"/>
        </w:r>
        <w:r>
          <w:rPr>
            <w:noProof/>
            <w:webHidden/>
          </w:rPr>
          <w:instrText xml:space="preserve"> PAGEREF _Toc159845928 \h </w:instrText>
        </w:r>
        <w:r>
          <w:rPr>
            <w:noProof/>
            <w:webHidden/>
          </w:rPr>
        </w:r>
        <w:r>
          <w:rPr>
            <w:noProof/>
            <w:webHidden/>
          </w:rPr>
          <w:fldChar w:fldCharType="separate"/>
        </w:r>
        <w:r>
          <w:rPr>
            <w:noProof/>
            <w:webHidden/>
          </w:rPr>
          <w:t>10</w:t>
        </w:r>
        <w:r>
          <w:rPr>
            <w:noProof/>
            <w:webHidden/>
          </w:rPr>
          <w:fldChar w:fldCharType="end"/>
        </w:r>
      </w:hyperlink>
    </w:p>
    <w:p w14:paraId="3080B294" w14:textId="77777777" w:rsidR="0049486A" w:rsidRDefault="0044774C">
      <w:pPr>
        <w:pStyle w:val="TOC1"/>
        <w:tabs>
          <w:tab w:val="right" w:leader="dot" w:pos="9350"/>
        </w:tabs>
        <w:rPr>
          <w:rFonts w:ascii="Calibri" w:eastAsia="SimSun" w:hAnsi="Calibri"/>
          <w:noProof/>
          <w:kern w:val="2"/>
          <w:sz w:val="22"/>
          <w14:ligatures w14:val="standardContextual"/>
        </w:rPr>
      </w:pPr>
      <w:hyperlink w:anchor="_Toc159845929" w:history="1">
        <w:r>
          <w:rPr>
            <w:rStyle w:val="Hyperlink"/>
            <w:rFonts w:ascii="Arial" w:hAnsi="Arial" w:cs="Arial"/>
            <w:noProof/>
          </w:rPr>
          <w:t>4.0 A complete turnaround strategy to revitalise the Seaview Resort's financial health and restore its reputation</w:t>
        </w:r>
        <w:r>
          <w:rPr>
            <w:noProof/>
            <w:webHidden/>
          </w:rPr>
          <w:tab/>
        </w:r>
        <w:r>
          <w:rPr>
            <w:noProof/>
            <w:webHidden/>
          </w:rPr>
          <w:fldChar w:fldCharType="begin"/>
        </w:r>
        <w:r>
          <w:rPr>
            <w:noProof/>
            <w:webHidden/>
          </w:rPr>
          <w:instrText xml:space="preserve"> PAGEREF _Toc159845929 \h </w:instrText>
        </w:r>
        <w:r>
          <w:rPr>
            <w:noProof/>
            <w:webHidden/>
          </w:rPr>
        </w:r>
        <w:r>
          <w:rPr>
            <w:noProof/>
            <w:webHidden/>
          </w:rPr>
          <w:fldChar w:fldCharType="separate"/>
        </w:r>
        <w:r>
          <w:rPr>
            <w:noProof/>
            <w:webHidden/>
          </w:rPr>
          <w:t>12</w:t>
        </w:r>
        <w:r>
          <w:rPr>
            <w:noProof/>
            <w:webHidden/>
          </w:rPr>
          <w:fldChar w:fldCharType="end"/>
        </w:r>
      </w:hyperlink>
    </w:p>
    <w:p w14:paraId="3080B295"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30" w:history="1">
        <w:r>
          <w:rPr>
            <w:rStyle w:val="Hyperlink"/>
            <w:rFonts w:ascii="Arial" w:hAnsi="Arial" w:cs="Arial"/>
            <w:noProof/>
          </w:rPr>
          <w:t>4.1 Revenue Enhancement Strategy</w:t>
        </w:r>
        <w:r>
          <w:rPr>
            <w:noProof/>
            <w:webHidden/>
          </w:rPr>
          <w:tab/>
        </w:r>
        <w:r>
          <w:rPr>
            <w:noProof/>
            <w:webHidden/>
          </w:rPr>
          <w:fldChar w:fldCharType="begin"/>
        </w:r>
        <w:r>
          <w:rPr>
            <w:noProof/>
            <w:webHidden/>
          </w:rPr>
          <w:instrText xml:space="preserve"> PAGEREF _Toc159845930 \h </w:instrText>
        </w:r>
        <w:r>
          <w:rPr>
            <w:noProof/>
            <w:webHidden/>
          </w:rPr>
        </w:r>
        <w:r>
          <w:rPr>
            <w:noProof/>
            <w:webHidden/>
          </w:rPr>
          <w:fldChar w:fldCharType="separate"/>
        </w:r>
        <w:r>
          <w:rPr>
            <w:noProof/>
            <w:webHidden/>
          </w:rPr>
          <w:t>12</w:t>
        </w:r>
        <w:r>
          <w:rPr>
            <w:noProof/>
            <w:webHidden/>
          </w:rPr>
          <w:fldChar w:fldCharType="end"/>
        </w:r>
      </w:hyperlink>
    </w:p>
    <w:p w14:paraId="3080B296"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31" w:history="1">
        <w:r>
          <w:rPr>
            <w:rStyle w:val="Hyperlink"/>
            <w:rFonts w:ascii="Arial" w:hAnsi="Arial" w:cs="Arial"/>
            <w:noProof/>
          </w:rPr>
          <w:t>4.2 Cost Optimisation Strategy</w:t>
        </w:r>
        <w:r>
          <w:rPr>
            <w:noProof/>
            <w:webHidden/>
          </w:rPr>
          <w:tab/>
        </w:r>
        <w:r>
          <w:rPr>
            <w:noProof/>
            <w:webHidden/>
          </w:rPr>
          <w:fldChar w:fldCharType="begin"/>
        </w:r>
        <w:r>
          <w:rPr>
            <w:noProof/>
            <w:webHidden/>
          </w:rPr>
          <w:instrText xml:space="preserve"> PAGEREF _Toc159845931 \h </w:instrText>
        </w:r>
        <w:r>
          <w:rPr>
            <w:noProof/>
            <w:webHidden/>
          </w:rPr>
        </w:r>
        <w:r>
          <w:rPr>
            <w:noProof/>
            <w:webHidden/>
          </w:rPr>
          <w:fldChar w:fldCharType="separate"/>
        </w:r>
        <w:r>
          <w:rPr>
            <w:noProof/>
            <w:webHidden/>
          </w:rPr>
          <w:t>12</w:t>
        </w:r>
        <w:r>
          <w:rPr>
            <w:noProof/>
            <w:webHidden/>
          </w:rPr>
          <w:fldChar w:fldCharType="end"/>
        </w:r>
      </w:hyperlink>
    </w:p>
    <w:p w14:paraId="3080B297"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32" w:history="1">
        <w:r>
          <w:rPr>
            <w:rStyle w:val="Hyperlink"/>
            <w:rFonts w:ascii="Arial" w:hAnsi="Arial" w:cs="Arial"/>
            <w:noProof/>
          </w:rPr>
          <w:t>4.3 Debt Reduction and Equity Raising</w:t>
        </w:r>
        <w:r>
          <w:rPr>
            <w:noProof/>
            <w:webHidden/>
          </w:rPr>
          <w:tab/>
        </w:r>
        <w:r>
          <w:rPr>
            <w:noProof/>
            <w:webHidden/>
          </w:rPr>
          <w:fldChar w:fldCharType="begin"/>
        </w:r>
        <w:r>
          <w:rPr>
            <w:noProof/>
            <w:webHidden/>
          </w:rPr>
          <w:instrText xml:space="preserve"> PAGEREF _Toc159845932 \h </w:instrText>
        </w:r>
        <w:r>
          <w:rPr>
            <w:noProof/>
            <w:webHidden/>
          </w:rPr>
        </w:r>
        <w:r>
          <w:rPr>
            <w:noProof/>
            <w:webHidden/>
          </w:rPr>
          <w:fldChar w:fldCharType="separate"/>
        </w:r>
        <w:r>
          <w:rPr>
            <w:noProof/>
            <w:webHidden/>
          </w:rPr>
          <w:t>12</w:t>
        </w:r>
        <w:r>
          <w:rPr>
            <w:noProof/>
            <w:webHidden/>
          </w:rPr>
          <w:fldChar w:fldCharType="end"/>
        </w:r>
      </w:hyperlink>
    </w:p>
    <w:p w14:paraId="3080B298"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33" w:history="1">
        <w:r>
          <w:rPr>
            <w:rStyle w:val="Hyperlink"/>
            <w:rFonts w:ascii="Arial" w:hAnsi="Arial" w:cs="Arial"/>
            <w:noProof/>
          </w:rPr>
          <w:t>4.4 Enhanced Customer Experience</w:t>
        </w:r>
        <w:r>
          <w:rPr>
            <w:noProof/>
            <w:webHidden/>
          </w:rPr>
          <w:tab/>
        </w:r>
        <w:r>
          <w:rPr>
            <w:noProof/>
            <w:webHidden/>
          </w:rPr>
          <w:fldChar w:fldCharType="begin"/>
        </w:r>
        <w:r>
          <w:rPr>
            <w:noProof/>
            <w:webHidden/>
          </w:rPr>
          <w:instrText xml:space="preserve"> PAGEREF _Toc159845933 \h </w:instrText>
        </w:r>
        <w:r>
          <w:rPr>
            <w:noProof/>
            <w:webHidden/>
          </w:rPr>
        </w:r>
        <w:r>
          <w:rPr>
            <w:noProof/>
            <w:webHidden/>
          </w:rPr>
          <w:fldChar w:fldCharType="separate"/>
        </w:r>
        <w:r>
          <w:rPr>
            <w:noProof/>
            <w:webHidden/>
          </w:rPr>
          <w:t>12</w:t>
        </w:r>
        <w:r>
          <w:rPr>
            <w:noProof/>
            <w:webHidden/>
          </w:rPr>
          <w:fldChar w:fldCharType="end"/>
        </w:r>
      </w:hyperlink>
    </w:p>
    <w:p w14:paraId="3080B299"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34" w:history="1">
        <w:r>
          <w:rPr>
            <w:rStyle w:val="Hyperlink"/>
            <w:rFonts w:ascii="Arial" w:hAnsi="Arial" w:cs="Arial"/>
            <w:noProof/>
          </w:rPr>
          <w:t>4.5 Diversification and Innovation</w:t>
        </w:r>
        <w:r>
          <w:rPr>
            <w:noProof/>
            <w:webHidden/>
          </w:rPr>
          <w:tab/>
        </w:r>
        <w:r>
          <w:rPr>
            <w:noProof/>
            <w:webHidden/>
          </w:rPr>
          <w:fldChar w:fldCharType="begin"/>
        </w:r>
        <w:r>
          <w:rPr>
            <w:noProof/>
            <w:webHidden/>
          </w:rPr>
          <w:instrText xml:space="preserve"> PAGEREF _Toc159845934 \h </w:instrText>
        </w:r>
        <w:r>
          <w:rPr>
            <w:noProof/>
            <w:webHidden/>
          </w:rPr>
        </w:r>
        <w:r>
          <w:rPr>
            <w:noProof/>
            <w:webHidden/>
          </w:rPr>
          <w:fldChar w:fldCharType="separate"/>
        </w:r>
        <w:r>
          <w:rPr>
            <w:noProof/>
            <w:webHidden/>
          </w:rPr>
          <w:t>13</w:t>
        </w:r>
        <w:r>
          <w:rPr>
            <w:noProof/>
            <w:webHidden/>
          </w:rPr>
          <w:fldChar w:fldCharType="end"/>
        </w:r>
      </w:hyperlink>
    </w:p>
    <w:p w14:paraId="3080B29A" w14:textId="77777777" w:rsidR="0049486A" w:rsidRDefault="0044774C">
      <w:pPr>
        <w:pStyle w:val="TOC2"/>
        <w:tabs>
          <w:tab w:val="right" w:leader="dot" w:pos="9350"/>
        </w:tabs>
        <w:rPr>
          <w:rFonts w:ascii="Calibri" w:eastAsia="SimSun" w:hAnsi="Calibri"/>
          <w:noProof/>
          <w:kern w:val="2"/>
          <w:sz w:val="22"/>
          <w14:ligatures w14:val="standardContextual"/>
        </w:rPr>
      </w:pPr>
      <w:hyperlink w:anchor="_Toc159845935" w:history="1">
        <w:r>
          <w:rPr>
            <w:rStyle w:val="Hyperlink"/>
            <w:rFonts w:ascii="Arial" w:hAnsi="Arial" w:cs="Arial"/>
            <w:noProof/>
          </w:rPr>
          <w:t>4.6 Regular Performance Monitoring</w:t>
        </w:r>
        <w:r>
          <w:rPr>
            <w:noProof/>
            <w:webHidden/>
          </w:rPr>
          <w:tab/>
        </w:r>
        <w:r>
          <w:rPr>
            <w:noProof/>
            <w:webHidden/>
          </w:rPr>
          <w:fldChar w:fldCharType="begin"/>
        </w:r>
        <w:r>
          <w:rPr>
            <w:noProof/>
            <w:webHidden/>
          </w:rPr>
          <w:instrText xml:space="preserve"> PAGEREF _Toc159845935 \h </w:instrText>
        </w:r>
        <w:r>
          <w:rPr>
            <w:noProof/>
            <w:webHidden/>
          </w:rPr>
        </w:r>
        <w:r>
          <w:rPr>
            <w:noProof/>
            <w:webHidden/>
          </w:rPr>
          <w:fldChar w:fldCharType="separate"/>
        </w:r>
        <w:r>
          <w:rPr>
            <w:noProof/>
            <w:webHidden/>
          </w:rPr>
          <w:t>13</w:t>
        </w:r>
        <w:r>
          <w:rPr>
            <w:noProof/>
            <w:webHidden/>
          </w:rPr>
          <w:fldChar w:fldCharType="end"/>
        </w:r>
      </w:hyperlink>
    </w:p>
    <w:p w14:paraId="3080B29B" w14:textId="77777777" w:rsidR="0049486A" w:rsidRDefault="0044774C">
      <w:pPr>
        <w:pStyle w:val="TOC1"/>
        <w:tabs>
          <w:tab w:val="right" w:leader="dot" w:pos="9350"/>
        </w:tabs>
        <w:rPr>
          <w:rFonts w:ascii="Calibri" w:eastAsia="SimSun" w:hAnsi="Calibri"/>
          <w:noProof/>
          <w:kern w:val="2"/>
          <w:sz w:val="22"/>
          <w14:ligatures w14:val="standardContextual"/>
        </w:rPr>
      </w:pPr>
      <w:hyperlink w:anchor="_Toc159845936" w:history="1">
        <w:r>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_Toc159845936 \h </w:instrText>
        </w:r>
        <w:r>
          <w:rPr>
            <w:noProof/>
            <w:webHidden/>
          </w:rPr>
        </w:r>
        <w:r>
          <w:rPr>
            <w:noProof/>
            <w:webHidden/>
          </w:rPr>
          <w:fldChar w:fldCharType="separate"/>
        </w:r>
        <w:r>
          <w:rPr>
            <w:noProof/>
            <w:webHidden/>
          </w:rPr>
          <w:t>14</w:t>
        </w:r>
        <w:r>
          <w:rPr>
            <w:noProof/>
            <w:webHidden/>
          </w:rPr>
          <w:fldChar w:fldCharType="end"/>
        </w:r>
      </w:hyperlink>
    </w:p>
    <w:p w14:paraId="3080B29C" w14:textId="77777777" w:rsidR="0049486A" w:rsidRDefault="0044774C">
      <w:pPr>
        <w:pStyle w:val="TOC1"/>
        <w:tabs>
          <w:tab w:val="right" w:leader="dot" w:pos="9350"/>
        </w:tabs>
        <w:rPr>
          <w:rFonts w:ascii="Calibri" w:eastAsia="SimSun" w:hAnsi="Calibri"/>
          <w:noProof/>
          <w:kern w:val="2"/>
          <w:sz w:val="22"/>
          <w14:ligatures w14:val="standardContextual"/>
        </w:rPr>
      </w:pPr>
      <w:hyperlink w:anchor="_Toc159845937" w:history="1">
        <w:r>
          <w:rPr>
            <w:rStyle w:val="Hyperlink"/>
            <w:rFonts w:ascii="Arial" w:hAnsi="Arial" w:cs="Arial"/>
            <w:noProof/>
          </w:rPr>
          <w:t>6.0 References</w:t>
        </w:r>
        <w:r>
          <w:rPr>
            <w:noProof/>
            <w:webHidden/>
          </w:rPr>
          <w:tab/>
        </w:r>
        <w:r>
          <w:rPr>
            <w:noProof/>
            <w:webHidden/>
          </w:rPr>
          <w:fldChar w:fldCharType="begin"/>
        </w:r>
        <w:r>
          <w:rPr>
            <w:noProof/>
            <w:webHidden/>
          </w:rPr>
          <w:instrText xml:space="preserve"> PAGEREF _Toc159845937 \h </w:instrText>
        </w:r>
        <w:r>
          <w:rPr>
            <w:noProof/>
            <w:webHidden/>
          </w:rPr>
        </w:r>
        <w:r>
          <w:rPr>
            <w:noProof/>
            <w:webHidden/>
          </w:rPr>
          <w:fldChar w:fldCharType="separate"/>
        </w:r>
        <w:r>
          <w:rPr>
            <w:noProof/>
            <w:webHidden/>
          </w:rPr>
          <w:t>15</w:t>
        </w:r>
        <w:r>
          <w:rPr>
            <w:noProof/>
            <w:webHidden/>
          </w:rPr>
          <w:fldChar w:fldCharType="end"/>
        </w:r>
      </w:hyperlink>
    </w:p>
    <w:p w14:paraId="3080B29D" w14:textId="77777777" w:rsidR="0049486A" w:rsidRDefault="0044774C">
      <w:pPr>
        <w:rPr>
          <w:rFonts w:ascii="Arial" w:hAnsi="Arial" w:cs="Arial"/>
          <w:szCs w:val="24"/>
        </w:rPr>
      </w:pPr>
      <w:r>
        <w:rPr>
          <w:rFonts w:ascii="Arial" w:hAnsi="Arial" w:cs="Arial"/>
          <w:b/>
          <w:bCs/>
          <w:noProof/>
          <w:szCs w:val="24"/>
        </w:rPr>
        <w:fldChar w:fldCharType="end"/>
      </w:r>
    </w:p>
    <w:p w14:paraId="3080B29E" w14:textId="77777777" w:rsidR="0049486A" w:rsidRDefault="0044774C">
      <w:pPr>
        <w:spacing w:line="259" w:lineRule="auto"/>
        <w:jc w:val="left"/>
        <w:rPr>
          <w:rFonts w:ascii="Arial" w:eastAsia="SimSun" w:hAnsi="Arial" w:cs="Arial"/>
          <w:b/>
          <w:color w:val="1F3864"/>
          <w:szCs w:val="24"/>
        </w:rPr>
      </w:pPr>
      <w:r>
        <w:rPr>
          <w:rFonts w:ascii="Arial" w:hAnsi="Arial" w:cs="Arial"/>
          <w:szCs w:val="24"/>
        </w:rPr>
        <w:br w:type="page"/>
      </w:r>
    </w:p>
    <w:p w14:paraId="3080B29F" w14:textId="77777777" w:rsidR="0049486A" w:rsidRDefault="0044774C">
      <w:pPr>
        <w:pStyle w:val="Heading1"/>
        <w:pBdr>
          <w:bottom w:val="single" w:sz="4" w:space="1" w:color="auto"/>
        </w:pBdr>
        <w:rPr>
          <w:rFonts w:ascii="Arial" w:hAnsi="Arial" w:cs="Arial"/>
          <w:sz w:val="24"/>
          <w:szCs w:val="24"/>
        </w:rPr>
      </w:pPr>
      <w:bookmarkStart w:id="0" w:name="_Toc159845912"/>
      <w:r>
        <w:rPr>
          <w:rFonts w:ascii="Arial" w:hAnsi="Arial" w:cs="Arial"/>
          <w:sz w:val="24"/>
          <w:szCs w:val="24"/>
        </w:rPr>
        <w:lastRenderedPageBreak/>
        <w:t>1.0 Introduction</w:t>
      </w:r>
      <w:bookmarkEnd w:id="0"/>
    </w:p>
    <w:p w14:paraId="3080B2A0" w14:textId="0783B2DD" w:rsidR="0049486A" w:rsidRDefault="0044774C">
      <w:pPr>
        <w:rPr>
          <w:rFonts w:ascii="Arial" w:hAnsi="Arial" w:cs="Arial"/>
          <w:color w:val="36363D"/>
          <w:szCs w:val="24"/>
        </w:rPr>
      </w:pPr>
      <w:r>
        <w:rPr>
          <w:rFonts w:ascii="Arial" w:hAnsi="Arial" w:cs="Arial"/>
          <w:color w:val="36363D"/>
          <w:szCs w:val="24"/>
        </w:rPr>
        <w:t xml:space="preserve">Seaview Resort, </w:t>
      </w:r>
      <w:r>
        <w:rPr>
          <w:rFonts w:ascii="Arial" w:hAnsi="Arial" w:cs="Arial"/>
          <w:color w:val="36363D"/>
          <w:szCs w:val="24"/>
        </w:rPr>
        <w:t xml:space="preserve">which taunts the seashore, was the go-to option for those seeking a sophisticated and visceral getaway during vacation (Prideaux, 2020). The objective of this case study is to analyze the problems that led to the resort losing money and make recommendations on what to do to get the money back in bags. Among the aims of the report are to make innovations in income, reduce costs and debt, improve customer service, </w:t>
      </w:r>
      <w:r w:rsidR="00B2567A">
        <w:rPr>
          <w:rFonts w:ascii="Arial" w:hAnsi="Arial" w:cs="Arial"/>
          <w:color w:val="36363D"/>
          <w:szCs w:val="24"/>
        </w:rPr>
        <w:t>deepen</w:t>
      </w:r>
      <w:r>
        <w:rPr>
          <w:rFonts w:ascii="Arial" w:hAnsi="Arial" w:cs="Arial"/>
          <w:color w:val="36363D"/>
          <w:szCs w:val="24"/>
        </w:rPr>
        <w:t xml:space="preserve"> the services offered, and keep continuous monitoring of progress. Our </w:t>
      </w:r>
      <w:r w:rsidR="00B2567A">
        <w:rPr>
          <w:rFonts w:ascii="Arial" w:hAnsi="Arial" w:cs="Arial"/>
          <w:color w:val="36363D"/>
          <w:szCs w:val="24"/>
        </w:rPr>
        <w:t>resort,</w:t>
      </w:r>
      <w:r>
        <w:rPr>
          <w:rFonts w:ascii="Arial" w:hAnsi="Arial" w:cs="Arial"/>
          <w:color w:val="36363D"/>
          <w:szCs w:val="24"/>
        </w:rPr>
        <w:t xml:space="preserve"> Seaview is suffering from a list of problems, such as falling income, rising expenses, a fixed gross profit but a category of decreased net profit, affordable average room prices and a low number of guests at the hotel. The assessment proposes certain ways for resort </w:t>
      </w:r>
      <w:r w:rsidR="00B2567A">
        <w:rPr>
          <w:rFonts w:ascii="Arial" w:hAnsi="Arial" w:cs="Arial"/>
          <w:color w:val="36363D"/>
          <w:szCs w:val="24"/>
        </w:rPr>
        <w:t>functionalization</w:t>
      </w:r>
      <w:r>
        <w:rPr>
          <w:rFonts w:ascii="Arial" w:hAnsi="Arial" w:cs="Arial"/>
          <w:color w:val="36363D"/>
          <w:szCs w:val="24"/>
        </w:rPr>
        <w:t xml:space="preserve"> to strengthen its present income, restore its image and make sure its future is secured.</w:t>
      </w:r>
      <w:r>
        <w:rPr>
          <w:rFonts w:ascii="Arial" w:hAnsi="Arial" w:cs="Arial"/>
          <w:color w:val="36363D"/>
          <w:szCs w:val="24"/>
        </w:rPr>
        <w:br w:type="page"/>
      </w:r>
    </w:p>
    <w:p w14:paraId="3080B2A1" w14:textId="77777777" w:rsidR="0049486A" w:rsidRDefault="0044774C">
      <w:pPr>
        <w:pStyle w:val="Heading1"/>
        <w:pBdr>
          <w:bottom w:val="single" w:sz="4" w:space="1" w:color="auto"/>
        </w:pBdr>
        <w:jc w:val="both"/>
        <w:rPr>
          <w:rFonts w:ascii="Arial" w:hAnsi="Arial" w:cs="Arial"/>
          <w:sz w:val="24"/>
          <w:szCs w:val="24"/>
        </w:rPr>
      </w:pPr>
      <w:bookmarkStart w:id="1" w:name="_Toc159845913"/>
      <w:r>
        <w:rPr>
          <w:rFonts w:ascii="Arial" w:hAnsi="Arial" w:cs="Arial"/>
          <w:sz w:val="24"/>
          <w:szCs w:val="24"/>
        </w:rPr>
        <w:lastRenderedPageBreak/>
        <w:t>2.0 Financial Performance Analysis of The Seaview Resort (2020-2022)</w:t>
      </w:r>
      <w:bookmarkEnd w:id="1"/>
    </w:p>
    <w:p w14:paraId="3080B2A2" w14:textId="77777777" w:rsidR="0049486A" w:rsidRDefault="0044774C">
      <w:pPr>
        <w:pStyle w:val="Heading2"/>
        <w:rPr>
          <w:rFonts w:ascii="Arial" w:hAnsi="Arial" w:cs="Arial"/>
          <w:sz w:val="24"/>
          <w:szCs w:val="24"/>
        </w:rPr>
      </w:pPr>
      <w:bookmarkStart w:id="2" w:name="_Toc159845914"/>
      <w:r>
        <w:rPr>
          <w:rFonts w:ascii="Arial" w:hAnsi="Arial" w:cs="Arial"/>
          <w:sz w:val="24"/>
          <w:szCs w:val="24"/>
        </w:rPr>
        <w:t>2.1 Total Revenue Analysis</w:t>
      </w:r>
      <w:bookmarkEnd w:id="2"/>
    </w:p>
    <w:p w14:paraId="3080B2A3" w14:textId="77777777" w:rsidR="0049486A" w:rsidRDefault="0044774C">
      <w:pPr>
        <w:rPr>
          <w:rFonts w:ascii="Arial" w:hAnsi="Arial" w:cs="Arial"/>
          <w:szCs w:val="24"/>
        </w:rPr>
      </w:pPr>
      <w:r>
        <w:rPr>
          <w:rFonts w:ascii="Arial" w:hAnsi="Arial" w:cs="Arial"/>
          <w:szCs w:val="24"/>
        </w:rPr>
        <w:t xml:space="preserve">Over the last three years, the Seaview </w:t>
      </w:r>
      <w:r>
        <w:rPr>
          <w:rFonts w:ascii="Arial" w:hAnsi="Arial" w:cs="Arial"/>
          <w:szCs w:val="24"/>
        </w:rPr>
        <w:t xml:space="preserve">Resort has seen a decline in its total revenue. The resort's total revenue declined from £480,000 to £430,000 from 2021 to 2022, and in 2020, the total revenue of the company was £520,000. With less revenue flowing in, the Seaview Resort may not be able to pay its expenses, make necessary upgrades, or offer excellent service. </w:t>
      </w:r>
    </w:p>
    <w:p w14:paraId="3080B2A4" w14:textId="77777777" w:rsidR="0049486A" w:rsidRDefault="0044774C">
      <w:pPr>
        <w:pStyle w:val="Heading2"/>
        <w:rPr>
          <w:rFonts w:ascii="Arial" w:hAnsi="Arial" w:cs="Arial"/>
          <w:sz w:val="24"/>
          <w:szCs w:val="24"/>
        </w:rPr>
      </w:pPr>
      <w:bookmarkStart w:id="3" w:name="_Toc159845915"/>
      <w:r>
        <w:rPr>
          <w:rFonts w:ascii="Arial" w:hAnsi="Arial" w:cs="Arial"/>
          <w:sz w:val="24"/>
          <w:szCs w:val="24"/>
        </w:rPr>
        <w:t>2.2 Operating Expenses Analysis</w:t>
      </w:r>
      <w:bookmarkEnd w:id="3"/>
    </w:p>
    <w:p w14:paraId="3080B2A5" w14:textId="373852EB" w:rsidR="0049486A" w:rsidRDefault="0044774C">
      <w:pPr>
        <w:rPr>
          <w:rFonts w:ascii="Arial" w:hAnsi="Arial" w:cs="Arial"/>
          <w:szCs w:val="24"/>
        </w:rPr>
      </w:pPr>
      <w:r>
        <w:rPr>
          <w:rFonts w:ascii="Arial" w:hAnsi="Arial" w:cs="Arial"/>
          <w:szCs w:val="24"/>
        </w:rPr>
        <w:t xml:space="preserve">The rising operating expenses of the resort during the three previous years are another factor for consideration. The resort's operating expenses were £390,000 in 2020, £400,000 in 2021, and £450,000 in 2022. Operating expenses have increased, which is </w:t>
      </w:r>
      <w:proofErr w:type="gramStart"/>
      <w:r>
        <w:rPr>
          <w:rFonts w:ascii="Arial" w:hAnsi="Arial" w:cs="Arial"/>
          <w:szCs w:val="24"/>
        </w:rPr>
        <w:t>concerning</w:t>
      </w:r>
      <w:proofErr w:type="gramEnd"/>
      <w:r>
        <w:rPr>
          <w:rFonts w:ascii="Arial" w:hAnsi="Arial" w:cs="Arial"/>
          <w:szCs w:val="24"/>
        </w:rPr>
        <w:t xml:space="preserve"> since they haven't been maintaining pace with the drop in revenue. The resort might be struggling with higher costs across the board, including </w:t>
      </w:r>
      <w:r w:rsidR="00243ED9">
        <w:rPr>
          <w:rFonts w:ascii="Arial" w:hAnsi="Arial" w:cs="Arial"/>
          <w:szCs w:val="24"/>
        </w:rPr>
        <w:t>labor</w:t>
      </w:r>
      <w:r>
        <w:rPr>
          <w:rFonts w:ascii="Arial" w:hAnsi="Arial" w:cs="Arial"/>
          <w:szCs w:val="24"/>
        </w:rPr>
        <w:t xml:space="preserve">, maintenance, and supplies costs, as seen by the rise in operational expenses (Bondarenko, 2021). The resort </w:t>
      </w:r>
      <w:proofErr w:type="gramStart"/>
      <w:r>
        <w:rPr>
          <w:rFonts w:ascii="Arial" w:hAnsi="Arial" w:cs="Arial"/>
          <w:szCs w:val="24"/>
        </w:rPr>
        <w:t>has to</w:t>
      </w:r>
      <w:proofErr w:type="gramEnd"/>
      <w:r>
        <w:rPr>
          <w:rFonts w:ascii="Arial" w:hAnsi="Arial" w:cs="Arial"/>
          <w:szCs w:val="24"/>
        </w:rPr>
        <w:t xml:space="preserve"> </w:t>
      </w:r>
      <w:r w:rsidR="00B2567A">
        <w:rPr>
          <w:rFonts w:ascii="Arial" w:hAnsi="Arial" w:cs="Arial"/>
          <w:szCs w:val="24"/>
        </w:rPr>
        <w:t>analyze</w:t>
      </w:r>
      <w:r>
        <w:rPr>
          <w:rFonts w:ascii="Arial" w:hAnsi="Arial" w:cs="Arial"/>
          <w:szCs w:val="24"/>
        </w:rPr>
        <w:t xml:space="preserve"> these costs thoroughly to find ways to be more efficient and save costs. Keeping costs low is essential for any plan of action to succeed. </w:t>
      </w:r>
    </w:p>
    <w:p w14:paraId="3080B2A6" w14:textId="77777777" w:rsidR="0049486A" w:rsidRDefault="0044774C">
      <w:pPr>
        <w:pStyle w:val="Heading2"/>
        <w:rPr>
          <w:rFonts w:ascii="Arial" w:hAnsi="Arial" w:cs="Arial"/>
          <w:sz w:val="24"/>
          <w:szCs w:val="24"/>
        </w:rPr>
      </w:pPr>
      <w:bookmarkStart w:id="4" w:name="_Toc159845916"/>
      <w:r>
        <w:rPr>
          <w:rFonts w:ascii="Arial" w:hAnsi="Arial" w:cs="Arial"/>
          <w:sz w:val="24"/>
          <w:szCs w:val="24"/>
        </w:rPr>
        <w:t>2.3 Gross Profit Analysis</w:t>
      </w:r>
      <w:bookmarkEnd w:id="4"/>
    </w:p>
    <w:p w14:paraId="3080B2A7" w14:textId="6F5BE4AF" w:rsidR="0049486A" w:rsidRDefault="0044774C">
      <w:pPr>
        <w:rPr>
          <w:rFonts w:ascii="Arial" w:hAnsi="Arial" w:cs="Arial"/>
          <w:szCs w:val="24"/>
        </w:rPr>
      </w:pPr>
      <w:r>
        <w:rPr>
          <w:rFonts w:ascii="Arial" w:hAnsi="Arial" w:cs="Arial"/>
          <w:szCs w:val="24"/>
        </w:rPr>
        <w:t xml:space="preserve">Throughout the three years, The Seaview Resort's gross profit was stable. The resort's gross profit fell from £130,000 in 2020 to £80,000 in 2021 and a loss of £20,000 2022. This means the resort's gross profit margin decreased as the revenue fell. Gross profit margins that decline with sales are </w:t>
      </w:r>
      <w:proofErr w:type="spellStart"/>
      <w:proofErr w:type="gramStart"/>
      <w:r>
        <w:rPr>
          <w:rFonts w:ascii="Arial" w:hAnsi="Arial" w:cs="Arial"/>
          <w:szCs w:val="24"/>
        </w:rPr>
        <w:t>a</w:t>
      </w:r>
      <w:proofErr w:type="spellEnd"/>
      <w:proofErr w:type="gramEnd"/>
      <w:r>
        <w:rPr>
          <w:rFonts w:ascii="Arial" w:hAnsi="Arial" w:cs="Arial"/>
          <w:szCs w:val="24"/>
        </w:rPr>
        <w:t xml:space="preserve"> indicator that the resort is </w:t>
      </w:r>
      <w:r w:rsidR="00E66CC0">
        <w:rPr>
          <w:rFonts w:ascii="Arial" w:hAnsi="Arial" w:cs="Arial"/>
          <w:szCs w:val="24"/>
        </w:rPr>
        <w:t>unable</w:t>
      </w:r>
      <w:r>
        <w:rPr>
          <w:rFonts w:ascii="Arial" w:hAnsi="Arial" w:cs="Arial"/>
          <w:szCs w:val="24"/>
        </w:rPr>
        <w:t xml:space="preserve"> to keep its products and services profitable and reduce costs (Edwards, 2023). However, the resort should look deeper into this to see what factors are driving higher </w:t>
      </w:r>
      <w:r w:rsidR="00E66CC0">
        <w:rPr>
          <w:rFonts w:ascii="Arial" w:hAnsi="Arial" w:cs="Arial"/>
          <w:szCs w:val="24"/>
        </w:rPr>
        <w:t>operating</w:t>
      </w:r>
      <w:r>
        <w:rPr>
          <w:rFonts w:ascii="Arial" w:hAnsi="Arial" w:cs="Arial"/>
          <w:szCs w:val="24"/>
        </w:rPr>
        <w:t xml:space="preserve"> expenses when revenue from sales is declining.</w:t>
      </w:r>
    </w:p>
    <w:p w14:paraId="3080B2A8" w14:textId="77777777" w:rsidR="0049486A" w:rsidRDefault="0044774C">
      <w:pPr>
        <w:pStyle w:val="Heading2"/>
        <w:rPr>
          <w:rFonts w:ascii="Arial" w:hAnsi="Arial" w:cs="Arial"/>
          <w:sz w:val="24"/>
          <w:szCs w:val="24"/>
        </w:rPr>
      </w:pPr>
      <w:bookmarkStart w:id="5" w:name="_Toc159845917"/>
      <w:r>
        <w:rPr>
          <w:rFonts w:ascii="Arial" w:hAnsi="Arial" w:cs="Arial"/>
          <w:sz w:val="24"/>
          <w:szCs w:val="24"/>
        </w:rPr>
        <w:t>2.4 Net Profit (Loss) and Net Profit Margin Analysis</w:t>
      </w:r>
      <w:bookmarkEnd w:id="5"/>
    </w:p>
    <w:p w14:paraId="3080B2A9" w14:textId="376102D0" w:rsidR="0049486A" w:rsidRDefault="0044774C">
      <w:pPr>
        <w:rPr>
          <w:rFonts w:ascii="Arial" w:hAnsi="Arial" w:cs="Arial"/>
          <w:szCs w:val="24"/>
        </w:rPr>
      </w:pPr>
      <w:r>
        <w:rPr>
          <w:rFonts w:ascii="Arial" w:hAnsi="Arial" w:cs="Arial"/>
          <w:szCs w:val="24"/>
        </w:rPr>
        <w:t xml:space="preserve">The drop in net profit and net profit margin at The Seaview Resort over the previous three years is the most worrying part of its financial performance (Brammer, 2019). The hotel made £78,000 in profit in 2020, enough for a net profit </w:t>
      </w:r>
      <w:r w:rsidR="00243ED9">
        <w:rPr>
          <w:rFonts w:ascii="Arial" w:hAnsi="Arial" w:cs="Arial"/>
          <w:szCs w:val="24"/>
        </w:rPr>
        <w:t>margin</w:t>
      </w:r>
      <w:r>
        <w:rPr>
          <w:rFonts w:ascii="Arial" w:hAnsi="Arial" w:cs="Arial"/>
          <w:szCs w:val="24"/>
        </w:rPr>
        <w:t xml:space="preserve"> of 15%. However, in 2021, net profit dropped to £40,000, a loss of 8 per cent from the previous year. In </w:t>
      </w:r>
      <w:r>
        <w:rPr>
          <w:rFonts w:ascii="Arial" w:hAnsi="Arial" w:cs="Arial"/>
          <w:szCs w:val="24"/>
        </w:rPr>
        <w:lastRenderedPageBreak/>
        <w:t xml:space="preserve">2022, things got even worse, with a loss of £47,500 in net profit and a worrying -11% net profit margin. As can be seen from the sudden decline in net profit and net profit margin, the resort's profitability is fast decreasing. Ineffective cost management, falling occupancy rates, and potentially a fall in the average room fee might all play a role (Mesnard, 2021). </w:t>
      </w:r>
    </w:p>
    <w:p w14:paraId="3080B2AA" w14:textId="77777777" w:rsidR="0049486A" w:rsidRDefault="0044774C">
      <w:pPr>
        <w:pStyle w:val="Heading2"/>
        <w:rPr>
          <w:rFonts w:ascii="Arial" w:hAnsi="Arial" w:cs="Arial"/>
          <w:sz w:val="24"/>
          <w:szCs w:val="24"/>
        </w:rPr>
      </w:pPr>
      <w:bookmarkStart w:id="6" w:name="_Toc159845918"/>
      <w:r>
        <w:rPr>
          <w:rFonts w:ascii="Arial" w:hAnsi="Arial" w:cs="Arial"/>
          <w:sz w:val="24"/>
          <w:szCs w:val="24"/>
        </w:rPr>
        <w:t>2.5 Average Room Rate and Occupancy Rate Analysis</w:t>
      </w:r>
      <w:bookmarkEnd w:id="6"/>
    </w:p>
    <w:p w14:paraId="3080B2AB" w14:textId="77777777" w:rsidR="0049486A" w:rsidRDefault="0044774C">
      <w:pPr>
        <w:rPr>
          <w:rFonts w:ascii="Arial" w:hAnsi="Arial" w:cs="Arial"/>
          <w:szCs w:val="24"/>
        </w:rPr>
      </w:pPr>
      <w:r>
        <w:rPr>
          <w:rFonts w:ascii="Arial" w:hAnsi="Arial" w:cs="Arial"/>
          <w:szCs w:val="24"/>
        </w:rPr>
        <w:t>Average Room Rate (ARR) and Occupancy Rate are two critical KPIs to examine to understand the drop in profitability (Wang, 2020). The Seaview Resort's average room rate fell from £250 in 2020 to £230 in 2021 to £210 in 2022. The falling ARR is an indication that the resort is under price pressure or that its visitors are not finding sufficient value in their stay.</w:t>
      </w:r>
    </w:p>
    <w:p w14:paraId="3080B2AC" w14:textId="77777777" w:rsidR="0049486A" w:rsidRDefault="0044774C">
      <w:pPr>
        <w:rPr>
          <w:rFonts w:ascii="Arial" w:hAnsi="Arial" w:cs="Arial"/>
          <w:szCs w:val="24"/>
        </w:rPr>
      </w:pPr>
      <w:r>
        <w:rPr>
          <w:rFonts w:ascii="Arial" w:hAnsi="Arial" w:cs="Arial"/>
          <w:szCs w:val="24"/>
        </w:rPr>
        <w:t xml:space="preserve">In addition, the Occupancy Rate dropped from 2020's 70% to 2021's 65% and 2022's 60%. Reduced income and profitability may ensue if the resort's rooms are not being filled </w:t>
      </w:r>
      <w:proofErr w:type="gramStart"/>
      <w:r>
        <w:rPr>
          <w:rFonts w:ascii="Arial" w:hAnsi="Arial" w:cs="Arial"/>
          <w:szCs w:val="24"/>
        </w:rPr>
        <w:t>to</w:t>
      </w:r>
      <w:proofErr w:type="gramEnd"/>
      <w:r>
        <w:rPr>
          <w:rFonts w:ascii="Arial" w:hAnsi="Arial" w:cs="Arial"/>
          <w:szCs w:val="24"/>
        </w:rPr>
        <w:t xml:space="preserve"> full. Strategies to enhance ARR and occupancy rate at The Seaview Resort are necessary to reverse the property's declining profitability (</w:t>
      </w:r>
      <w:proofErr w:type="spellStart"/>
      <w:r>
        <w:rPr>
          <w:rFonts w:ascii="Arial" w:hAnsi="Arial" w:cs="Arial"/>
          <w:szCs w:val="24"/>
        </w:rPr>
        <w:t>Yunitasari</w:t>
      </w:r>
      <w:proofErr w:type="spellEnd"/>
      <w:r>
        <w:rPr>
          <w:rFonts w:ascii="Arial" w:hAnsi="Arial" w:cs="Arial"/>
          <w:szCs w:val="24"/>
        </w:rPr>
        <w:t xml:space="preserve">, 2020). As an example, it may improve its marketing efforts, upgrade its rooms, provide more alluring packages and experiences, and attract more customers. </w:t>
      </w:r>
    </w:p>
    <w:p w14:paraId="3080B2AD" w14:textId="77777777" w:rsidR="0049486A" w:rsidRDefault="0044774C">
      <w:pPr>
        <w:pStyle w:val="Heading2"/>
        <w:rPr>
          <w:rFonts w:ascii="Arial" w:hAnsi="Arial" w:cs="Arial"/>
          <w:sz w:val="24"/>
          <w:szCs w:val="24"/>
        </w:rPr>
      </w:pPr>
      <w:bookmarkStart w:id="7" w:name="_Toc159845919"/>
      <w:r>
        <w:rPr>
          <w:rFonts w:ascii="Arial" w:hAnsi="Arial" w:cs="Arial"/>
          <w:sz w:val="24"/>
          <w:szCs w:val="24"/>
        </w:rPr>
        <w:t>2.6 Balance Sheet Analysis</w:t>
      </w:r>
      <w:bookmarkEnd w:id="7"/>
    </w:p>
    <w:p w14:paraId="3080B2AE" w14:textId="77777777" w:rsidR="0049486A" w:rsidRDefault="0044774C">
      <w:pPr>
        <w:rPr>
          <w:rFonts w:ascii="Arial" w:hAnsi="Arial" w:cs="Arial"/>
          <w:szCs w:val="24"/>
        </w:rPr>
      </w:pPr>
      <w:r>
        <w:rPr>
          <w:rFonts w:ascii="Arial" w:hAnsi="Arial" w:cs="Arial"/>
          <w:szCs w:val="24"/>
        </w:rPr>
        <w:t>The balance statement for The Seaview Resort at the end of 2022 shows a total asset value of £1,200,000, broken down as follows: £250,000 in current assets; £800,000 in property and equipment (including £100,000 in inventory); and £150,000 in other assets. The resort has considerable obligations, however, with £750,000 in total liabilities, including £180,000 in current liabilities and £500,000 in long-term debt. The resort's equity is now at £450,000. The Seaview Resort's balance statement reveals it has a</w:t>
      </w:r>
      <w:r>
        <w:rPr>
          <w:rFonts w:ascii="Arial" w:hAnsi="Arial" w:cs="Arial"/>
          <w:szCs w:val="24"/>
        </w:rPr>
        <w:t>ccrued substantial debt, which is harmful to the company's bottom line (Ferranti, 2021). The resort's financial stability may be improved if the recovery approach includes decreasing debt and increasing equity.</w:t>
      </w:r>
    </w:p>
    <w:p w14:paraId="3080B2AF" w14:textId="77777777" w:rsidR="0049486A" w:rsidRDefault="0044774C">
      <w:pPr>
        <w:pStyle w:val="Heading2"/>
        <w:rPr>
          <w:rFonts w:ascii="Arial" w:hAnsi="Arial" w:cs="Arial"/>
          <w:sz w:val="24"/>
          <w:szCs w:val="24"/>
        </w:rPr>
      </w:pPr>
      <w:bookmarkStart w:id="8" w:name="_Toc159845920"/>
      <w:r>
        <w:rPr>
          <w:rFonts w:ascii="Arial" w:hAnsi="Arial" w:cs="Arial"/>
          <w:sz w:val="24"/>
          <w:szCs w:val="24"/>
        </w:rPr>
        <w:t>2.7 Cash Flow Analysis</w:t>
      </w:r>
      <w:bookmarkEnd w:id="8"/>
    </w:p>
    <w:p w14:paraId="3080B2B0" w14:textId="45E0F290" w:rsidR="0049486A" w:rsidRDefault="0044774C">
      <w:pPr>
        <w:rPr>
          <w:rFonts w:ascii="Arial" w:hAnsi="Arial" w:cs="Arial"/>
          <w:szCs w:val="24"/>
        </w:rPr>
      </w:pPr>
      <w:r>
        <w:rPr>
          <w:rFonts w:ascii="Arial" w:hAnsi="Arial" w:cs="Arial"/>
          <w:szCs w:val="24"/>
        </w:rPr>
        <w:t xml:space="preserve">The Seaview Resort had substantial difficulties in its financial flow throughout the year 2021.   The operating cash flow was -£80,000, with capital expenditures of £30,000, </w:t>
      </w:r>
      <w:r>
        <w:rPr>
          <w:rFonts w:ascii="Arial" w:hAnsi="Arial" w:cs="Arial"/>
          <w:szCs w:val="24"/>
        </w:rPr>
        <w:lastRenderedPageBreak/>
        <w:t xml:space="preserve">leading to a net cash flow of -£110,000.   The presence of negative cash flow is a major anxiety since it suggests that the resort's activities were unable to generate enough cash to meet its costs and investment requirements (Plewa, 2022). To enhance cash flow, the resort should </w:t>
      </w:r>
      <w:r w:rsidR="00E66CC0">
        <w:rPr>
          <w:rFonts w:ascii="Arial" w:hAnsi="Arial" w:cs="Arial"/>
          <w:szCs w:val="24"/>
        </w:rPr>
        <w:t>prioritize</w:t>
      </w:r>
      <w:r>
        <w:rPr>
          <w:rFonts w:ascii="Arial" w:hAnsi="Arial" w:cs="Arial"/>
          <w:szCs w:val="24"/>
        </w:rPr>
        <w:t xml:space="preserve"> </w:t>
      </w:r>
      <w:r w:rsidR="00E66CC0">
        <w:rPr>
          <w:rFonts w:ascii="Arial" w:hAnsi="Arial" w:cs="Arial"/>
          <w:szCs w:val="24"/>
        </w:rPr>
        <w:t>optimizing</w:t>
      </w:r>
      <w:r>
        <w:rPr>
          <w:rFonts w:ascii="Arial" w:hAnsi="Arial" w:cs="Arial"/>
          <w:szCs w:val="24"/>
        </w:rPr>
        <w:t xml:space="preserve"> its operations, reducing costs, and identifying prospects for revenue expansion.</w:t>
      </w:r>
    </w:p>
    <w:p w14:paraId="3080B2B1" w14:textId="77777777" w:rsidR="0049486A" w:rsidRDefault="0044774C">
      <w:pPr>
        <w:pStyle w:val="Heading1"/>
        <w:pBdr>
          <w:bottom w:val="single" w:sz="4" w:space="1" w:color="auto"/>
        </w:pBdr>
        <w:rPr>
          <w:rFonts w:ascii="Arial" w:hAnsi="Arial" w:cs="Arial"/>
          <w:sz w:val="24"/>
          <w:szCs w:val="24"/>
        </w:rPr>
      </w:pPr>
      <w:bookmarkStart w:id="9" w:name="_Toc159845921"/>
      <w:r>
        <w:rPr>
          <w:rFonts w:ascii="Arial" w:hAnsi="Arial" w:cs="Arial"/>
          <w:sz w:val="24"/>
          <w:szCs w:val="24"/>
        </w:rPr>
        <w:t>3.0 Key Reasons Behind the Decline in Profitability of The Seaview Resort</w:t>
      </w:r>
      <w:bookmarkEnd w:id="9"/>
    </w:p>
    <w:p w14:paraId="3080B2B2" w14:textId="77777777" w:rsidR="0049486A" w:rsidRDefault="0044774C">
      <w:pPr>
        <w:pStyle w:val="Heading2"/>
      </w:pPr>
      <w:bookmarkStart w:id="10" w:name="_Toc159845922"/>
      <w:r>
        <w:t>3.1 Supply and Demand Analysis</w:t>
      </w:r>
      <w:bookmarkEnd w:id="10"/>
    </w:p>
    <w:p w14:paraId="3080B2B3" w14:textId="77777777" w:rsidR="0049486A" w:rsidRDefault="0044774C">
      <w:pPr>
        <w:rPr>
          <w:color w:val="36363D"/>
        </w:rPr>
      </w:pPr>
      <w:r>
        <w:rPr>
          <w:color w:val="36363D"/>
        </w:rPr>
        <w:t>The decline in occupancy and revenue at The Seaview Resort could be better understood if one looks at the industry standard for supply and demand, which is the hotel industry. Factors influencing supply and demand include market circumstances, customer preferences, and competing products (Lerner, 2022). Alterations to customer spending habits may influence demand, whilst changes in the quantity of accessible rooms may influence supply. People cannot take vacations when their discretionary income is low, for</w:t>
      </w:r>
      <w:r>
        <w:rPr>
          <w:color w:val="36363D"/>
        </w:rPr>
        <w:t xml:space="preserve"> example. Since individuals are seeking for more affordable solutions, this encourages competitors to provide better rates on hotels. Seaview Resort </w:t>
      </w:r>
      <w:proofErr w:type="gramStart"/>
      <w:r>
        <w:rPr>
          <w:color w:val="36363D"/>
        </w:rPr>
        <w:t>has to</w:t>
      </w:r>
      <w:proofErr w:type="gramEnd"/>
      <w:r>
        <w:rPr>
          <w:color w:val="36363D"/>
        </w:rPr>
        <w:t xml:space="preserve"> examine all of these factors thoroughly if it wants to increase occupancy rates and stop losing revenue.</w:t>
      </w:r>
    </w:p>
    <w:p w14:paraId="3080B2B4" w14:textId="77777777" w:rsidR="0049486A" w:rsidRDefault="0044774C">
      <w:pPr>
        <w:keepNext/>
        <w:jc w:val="center"/>
      </w:pPr>
      <w:r>
        <w:rPr>
          <w:noProof/>
          <w:color w:val="FF0000"/>
        </w:rPr>
        <w:drawing>
          <wp:inline distT="0" distB="0" distL="0" distR="0" wp14:anchorId="3080B2E6" wp14:editId="3080B2E7">
            <wp:extent cx="3823970" cy="3204845"/>
            <wp:effectExtent l="0" t="0" r="5080" b="0"/>
            <wp:docPr id="102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7" cstate="print"/>
                    <a:srcRect/>
                    <a:stretch/>
                  </pic:blipFill>
                  <pic:spPr>
                    <a:xfrm>
                      <a:off x="0" y="0"/>
                      <a:ext cx="3823970" cy="3204845"/>
                    </a:xfrm>
                    <a:prstGeom prst="rect">
                      <a:avLst/>
                    </a:prstGeom>
                  </pic:spPr>
                </pic:pic>
              </a:graphicData>
            </a:graphic>
          </wp:inline>
        </w:drawing>
      </w:r>
    </w:p>
    <w:p w14:paraId="3080B2B5" w14:textId="77777777" w:rsidR="0049486A" w:rsidRDefault="0044774C">
      <w:pPr>
        <w:pStyle w:val="Caption"/>
        <w:rPr>
          <w:color w:val="FF0000"/>
        </w:rPr>
      </w:pPr>
      <w:r>
        <w:t xml:space="preserve">Figure </w:t>
      </w:r>
      <w:r>
        <w:fldChar w:fldCharType="begin"/>
      </w:r>
      <w:r>
        <w:instrText xml:space="preserve"> SEQ Figure \* ARABIC </w:instrText>
      </w:r>
      <w:r>
        <w:fldChar w:fldCharType="separate"/>
      </w:r>
      <w:r>
        <w:rPr>
          <w:noProof/>
        </w:rPr>
        <w:t>1</w:t>
      </w:r>
      <w:r>
        <w:fldChar w:fldCharType="end"/>
      </w:r>
      <w:r>
        <w:t xml:space="preserve">: Supply Chain Demand </w:t>
      </w:r>
      <w:proofErr w:type="spellStart"/>
      <w:r>
        <w:t>Analsyis</w:t>
      </w:r>
      <w:proofErr w:type="spellEnd"/>
      <w:r>
        <w:t xml:space="preserve"> (Xuan, 2022)</w:t>
      </w:r>
    </w:p>
    <w:p w14:paraId="3080B2B6" w14:textId="77777777" w:rsidR="0049486A" w:rsidRDefault="0044774C">
      <w:pPr>
        <w:pStyle w:val="Heading2"/>
      </w:pPr>
      <w:bookmarkStart w:id="11" w:name="_Toc159845923"/>
      <w:r>
        <w:lastRenderedPageBreak/>
        <w:t>3.2 Market Positioning using Bowman's Strategy Clock</w:t>
      </w:r>
      <w:bookmarkEnd w:id="11"/>
    </w:p>
    <w:p w14:paraId="3080B2B7" w14:textId="77777777" w:rsidR="0049486A" w:rsidRDefault="0044774C">
      <w:pPr>
        <w:rPr>
          <w:color w:val="36363D"/>
        </w:rPr>
      </w:pPr>
      <w:r>
        <w:rPr>
          <w:color w:val="36363D"/>
        </w:rPr>
        <w:t xml:space="preserve">Seaview Resort </w:t>
      </w:r>
      <w:proofErr w:type="gramStart"/>
      <w:r>
        <w:rPr>
          <w:color w:val="36363D"/>
        </w:rPr>
        <w:t>has to</w:t>
      </w:r>
      <w:proofErr w:type="gramEnd"/>
      <w:r>
        <w:rPr>
          <w:color w:val="36363D"/>
        </w:rPr>
        <w:t xml:space="preserve"> examine Bowman's Strategy Clock thoroughly if it wants to strengthen its position in the market. </w:t>
      </w:r>
      <w:proofErr w:type="gramStart"/>
      <w:r>
        <w:rPr>
          <w:color w:val="36363D"/>
        </w:rPr>
        <w:t>In order to</w:t>
      </w:r>
      <w:proofErr w:type="gramEnd"/>
      <w:r>
        <w:rPr>
          <w:color w:val="36363D"/>
        </w:rPr>
        <w:t xml:space="preserve"> stop the decline in ARR and Occupancy Rate, the resort may use this framework to assess how competitive it is in </w:t>
      </w:r>
      <w:r>
        <w:rPr>
          <w:color w:val="36363D"/>
        </w:rPr>
        <w:t>terms of price and perceived value, and then formulate a pricing strategy accordingly. The resort may decide to enhance revenue and tourist numbers, emphasize economical prices, or stand out based on its existing circumstances. It may also opt to utilize a hybrid method.</w:t>
      </w:r>
    </w:p>
    <w:p w14:paraId="3080B2B8" w14:textId="77777777" w:rsidR="0049486A" w:rsidRDefault="0044774C">
      <w:pPr>
        <w:keepNext/>
        <w:jc w:val="center"/>
      </w:pPr>
      <w:r>
        <w:rPr>
          <w:noProof/>
        </w:rPr>
        <w:drawing>
          <wp:inline distT="0" distB="0" distL="0" distR="0" wp14:anchorId="3080B2E8" wp14:editId="3080B2E9">
            <wp:extent cx="4410075" cy="2897645"/>
            <wp:effectExtent l="0" t="0" r="0" b="0"/>
            <wp:docPr id="1028" name="Picture 3" descr="Bowman's Strategy Clock - What is Bowman's Strategy Cloc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3"/>
                    <pic:cNvPicPr/>
                  </pic:nvPicPr>
                  <pic:blipFill>
                    <a:blip r:embed="rId8" cstate="print"/>
                    <a:srcRect t="12393"/>
                    <a:stretch/>
                  </pic:blipFill>
                  <pic:spPr>
                    <a:xfrm>
                      <a:off x="0" y="0"/>
                      <a:ext cx="4410075" cy="2897645"/>
                    </a:xfrm>
                    <a:prstGeom prst="rect">
                      <a:avLst/>
                    </a:prstGeom>
                    <a:ln>
                      <a:noFill/>
                    </a:ln>
                  </pic:spPr>
                </pic:pic>
              </a:graphicData>
            </a:graphic>
          </wp:inline>
        </w:drawing>
      </w:r>
    </w:p>
    <w:p w14:paraId="3080B2B9" w14:textId="77777777" w:rsidR="0049486A" w:rsidRDefault="0044774C">
      <w:pPr>
        <w:pStyle w:val="Caption"/>
        <w:rPr>
          <w:color w:val="FF0000"/>
        </w:rPr>
      </w:pPr>
      <w:r>
        <w:t xml:space="preserve">Figure </w:t>
      </w:r>
      <w:r>
        <w:fldChar w:fldCharType="begin"/>
      </w:r>
      <w:r>
        <w:instrText xml:space="preserve"> SEQ Figure \* ARABIC </w:instrText>
      </w:r>
      <w:r>
        <w:fldChar w:fldCharType="separate"/>
      </w:r>
      <w:r>
        <w:rPr>
          <w:noProof/>
        </w:rPr>
        <w:t>2</w:t>
      </w:r>
      <w:r>
        <w:fldChar w:fldCharType="end"/>
      </w:r>
      <w:r>
        <w:t>: Bowman's Strategy Clock (Campos, 2023)</w:t>
      </w:r>
    </w:p>
    <w:p w14:paraId="3080B2BA" w14:textId="77777777" w:rsidR="0049486A" w:rsidRDefault="0044774C">
      <w:pPr>
        <w:pStyle w:val="Heading2"/>
      </w:pPr>
      <w:bookmarkStart w:id="12" w:name="_Toc159845924"/>
      <w:r>
        <w:t>3.3 Growth Strategy with Ansoff Matrix</w:t>
      </w:r>
      <w:bookmarkEnd w:id="12"/>
    </w:p>
    <w:p w14:paraId="3080B2BB" w14:textId="30E48475" w:rsidR="0049486A" w:rsidRDefault="0044774C">
      <w:pPr>
        <w:rPr>
          <w:color w:val="36363D"/>
        </w:rPr>
      </w:pPr>
      <w:r>
        <w:rPr>
          <w:color w:val="36363D"/>
        </w:rPr>
        <w:t xml:space="preserve">The resort's financial assessments and growth initiatives might benefit greatly from the Ansoff Matrix. This approach categorizes growth strategies into four main areas: product development, market development, market </w:t>
      </w:r>
      <w:r w:rsidR="00E66CC0">
        <w:rPr>
          <w:color w:val="36363D"/>
        </w:rPr>
        <w:t>penetration</w:t>
      </w:r>
      <w:r>
        <w:rPr>
          <w:color w:val="36363D"/>
        </w:rPr>
        <w:t xml:space="preserve"> and diversification (Dawes, 2021). The declining occupancy and revenue make it </w:t>
      </w:r>
      <w:r w:rsidR="00E66CC0">
        <w:rPr>
          <w:color w:val="36363D"/>
        </w:rPr>
        <w:t>even more</w:t>
      </w:r>
      <w:r>
        <w:rPr>
          <w:color w:val="36363D"/>
        </w:rPr>
        <w:t xml:space="preserve"> important to use the Ansoff Matrix to thoroughly evaluate all possible expansion strategies. Reaching previously unreachable populations is known as market development, while increasing marketing efforts to gain new customers is called market penetration. By following the above tow </w:t>
      </w:r>
      <w:r w:rsidR="00E66CC0">
        <w:rPr>
          <w:color w:val="36363D"/>
        </w:rPr>
        <w:t>framework</w:t>
      </w:r>
      <w:r>
        <w:rPr>
          <w:color w:val="36363D"/>
        </w:rPr>
        <w:t>, The Seaview Resort can find the key reasons behind the decline in profitability.</w:t>
      </w:r>
    </w:p>
    <w:p w14:paraId="3080B2BC" w14:textId="77777777" w:rsidR="0049486A" w:rsidRDefault="0044774C">
      <w:pPr>
        <w:keepNext/>
        <w:jc w:val="center"/>
      </w:pPr>
      <w:r>
        <w:rPr>
          <w:noProof/>
        </w:rPr>
        <w:lastRenderedPageBreak/>
        <w:drawing>
          <wp:inline distT="0" distB="0" distL="0" distR="0" wp14:anchorId="3080B2EA" wp14:editId="3080B2EB">
            <wp:extent cx="4585548" cy="3096260"/>
            <wp:effectExtent l="0" t="0" r="5715" b="8890"/>
            <wp:docPr id="1029" name="Picture 4" descr="A4 Ansoff Matrix — Your Business Roo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9" cstate="print"/>
                    <a:srcRect/>
                    <a:stretch/>
                  </pic:blipFill>
                  <pic:spPr>
                    <a:xfrm>
                      <a:off x="0" y="0"/>
                      <a:ext cx="4585548" cy="3096260"/>
                    </a:xfrm>
                    <a:prstGeom prst="rect">
                      <a:avLst/>
                    </a:prstGeom>
                    <a:ln>
                      <a:noFill/>
                    </a:ln>
                  </pic:spPr>
                </pic:pic>
              </a:graphicData>
            </a:graphic>
          </wp:inline>
        </w:drawing>
      </w:r>
    </w:p>
    <w:p w14:paraId="3080B2BD" w14:textId="77777777" w:rsidR="0049486A" w:rsidRDefault="0044774C">
      <w:pPr>
        <w:pStyle w:val="Caption"/>
        <w:rPr>
          <w:color w:val="FF0000"/>
        </w:rPr>
      </w:pPr>
      <w:r>
        <w:t xml:space="preserve">Figure </w:t>
      </w:r>
      <w:r>
        <w:fldChar w:fldCharType="begin"/>
      </w:r>
      <w:r>
        <w:instrText xml:space="preserve"> SEQ Figure \* ARABIC </w:instrText>
      </w:r>
      <w:r>
        <w:fldChar w:fldCharType="separate"/>
      </w:r>
      <w:r>
        <w:rPr>
          <w:noProof/>
        </w:rPr>
        <w:t>3</w:t>
      </w:r>
      <w:r>
        <w:fldChar w:fldCharType="end"/>
      </w:r>
      <w:r>
        <w:t>: Ansoff Matrix (Dawes, 2021)</w:t>
      </w:r>
    </w:p>
    <w:p w14:paraId="3080B2BE" w14:textId="77777777" w:rsidR="0049486A" w:rsidRDefault="0044774C">
      <w:pPr>
        <w:pStyle w:val="Heading2"/>
        <w:rPr>
          <w:rFonts w:ascii="Arial" w:hAnsi="Arial" w:cs="Arial"/>
          <w:sz w:val="24"/>
          <w:szCs w:val="24"/>
        </w:rPr>
      </w:pPr>
      <w:bookmarkStart w:id="13" w:name="_Toc159845925"/>
      <w:r>
        <w:rPr>
          <w:rFonts w:ascii="Arial" w:hAnsi="Arial" w:cs="Arial"/>
          <w:sz w:val="24"/>
          <w:szCs w:val="24"/>
        </w:rPr>
        <w:t>3.4 Declining Revenue and Rising Expenses</w:t>
      </w:r>
      <w:bookmarkEnd w:id="13"/>
    </w:p>
    <w:p w14:paraId="3080B2BF" w14:textId="32E6F289" w:rsidR="0049486A" w:rsidRDefault="0044774C">
      <w:pPr>
        <w:rPr>
          <w:rFonts w:ascii="Arial" w:hAnsi="Arial" w:cs="Arial"/>
          <w:color w:val="36363D"/>
          <w:szCs w:val="24"/>
        </w:rPr>
      </w:pPr>
      <w:r>
        <w:rPr>
          <w:rFonts w:ascii="Arial" w:hAnsi="Arial" w:cs="Arial"/>
          <w:color w:val="36363D"/>
          <w:szCs w:val="24"/>
        </w:rPr>
        <w:t xml:space="preserve">The major cause of The Seaview Resort’s declining clientele and lackluster </w:t>
      </w:r>
      <w:r>
        <w:rPr>
          <w:rFonts w:ascii="Arial" w:hAnsi="Arial" w:cs="Arial"/>
          <w:color w:val="36363D"/>
          <w:szCs w:val="24"/>
        </w:rPr>
        <w:t xml:space="preserve">financial health is the reduction of its </w:t>
      </w:r>
      <w:proofErr w:type="gramStart"/>
      <w:r>
        <w:rPr>
          <w:rFonts w:ascii="Arial" w:hAnsi="Arial" w:cs="Arial"/>
          <w:color w:val="36363D"/>
          <w:szCs w:val="24"/>
        </w:rPr>
        <w:t>clients</w:t>
      </w:r>
      <w:proofErr w:type="gramEnd"/>
      <w:r>
        <w:rPr>
          <w:rFonts w:ascii="Arial" w:hAnsi="Arial" w:cs="Arial"/>
          <w:color w:val="36363D"/>
          <w:szCs w:val="24"/>
        </w:rPr>
        <w:t xml:space="preserve"> numbers over the last three years. The local resort collected £520,000 in 2020, however in the beginning of the pandemic the amount declined from £520,000 to £480,000 and even to £430,000. This precipitous decline in revenue is a sign that the lodge failed in its attempts to bring in clients and is heading for </w:t>
      </w:r>
      <w:proofErr w:type="spellStart"/>
      <w:r>
        <w:rPr>
          <w:rFonts w:ascii="Arial" w:hAnsi="Arial" w:cs="Arial"/>
          <w:color w:val="36363D"/>
          <w:szCs w:val="24"/>
        </w:rPr>
        <w:t>nonprofitability</w:t>
      </w:r>
      <w:proofErr w:type="spellEnd"/>
      <w:r>
        <w:rPr>
          <w:rFonts w:ascii="Arial" w:hAnsi="Arial" w:cs="Arial"/>
          <w:color w:val="36363D"/>
          <w:szCs w:val="24"/>
        </w:rPr>
        <w:t xml:space="preserve">. Furthermore, the resorts’ cost of operations consistently rises thus leading to </w:t>
      </w:r>
      <w:proofErr w:type="gramStart"/>
      <w:r>
        <w:rPr>
          <w:rFonts w:ascii="Arial" w:hAnsi="Arial" w:cs="Arial"/>
          <w:color w:val="36363D"/>
          <w:szCs w:val="24"/>
        </w:rPr>
        <w:t>decline</w:t>
      </w:r>
      <w:proofErr w:type="gramEnd"/>
      <w:r>
        <w:rPr>
          <w:rFonts w:ascii="Arial" w:hAnsi="Arial" w:cs="Arial"/>
          <w:color w:val="36363D"/>
          <w:szCs w:val="24"/>
        </w:rPr>
        <w:t xml:space="preserve"> in its profits. In 2020, it cost £390,000 to </w:t>
      </w:r>
      <w:r>
        <w:rPr>
          <w:rFonts w:ascii="Arial" w:hAnsi="Arial" w:cs="Arial"/>
          <w:color w:val="36363D"/>
          <w:szCs w:val="24"/>
        </w:rPr>
        <w:t xml:space="preserve">run the resort. The next year, the cost </w:t>
      </w:r>
      <w:proofErr w:type="gramStart"/>
      <w:r>
        <w:rPr>
          <w:rFonts w:ascii="Arial" w:hAnsi="Arial" w:cs="Arial"/>
          <w:color w:val="36363D"/>
          <w:szCs w:val="24"/>
        </w:rPr>
        <w:t>has jumped</w:t>
      </w:r>
      <w:proofErr w:type="gramEnd"/>
      <w:r>
        <w:rPr>
          <w:rFonts w:ascii="Arial" w:hAnsi="Arial" w:cs="Arial"/>
          <w:color w:val="36363D"/>
          <w:szCs w:val="24"/>
        </w:rPr>
        <w:t xml:space="preserve"> to £400,000, whereas, in 2022, the resort had to spend £450,000 which is 15.4% more than the previous year. The blend of falling income from previous level and increasing payroll, material, and maintenance expenditures is a warning signal of financial strain in the resort (Kashyap, 2021). To be successful the Seaview Resort has the need to go through a meticulous expense analysis and find ways</w:t>
      </w:r>
      <w:r>
        <w:rPr>
          <w:rFonts w:ascii="Arial" w:hAnsi="Arial" w:cs="Arial"/>
          <w:color w:val="36363D"/>
          <w:szCs w:val="24"/>
        </w:rPr>
        <w:t xml:space="preserve"> to save the money.</w:t>
      </w:r>
    </w:p>
    <w:p w14:paraId="3080B2C0" w14:textId="77777777" w:rsidR="0049486A" w:rsidRDefault="0044774C">
      <w:pPr>
        <w:pStyle w:val="Heading2"/>
        <w:rPr>
          <w:rFonts w:ascii="Arial" w:hAnsi="Arial" w:cs="Arial"/>
          <w:sz w:val="24"/>
          <w:szCs w:val="24"/>
        </w:rPr>
      </w:pPr>
      <w:bookmarkStart w:id="14" w:name="_Toc159845926"/>
      <w:r>
        <w:rPr>
          <w:rFonts w:ascii="Arial" w:hAnsi="Arial" w:cs="Arial"/>
          <w:sz w:val="24"/>
          <w:szCs w:val="24"/>
        </w:rPr>
        <w:t>3.5 Plummeting Gross Profit and Net Profit</w:t>
      </w:r>
      <w:bookmarkEnd w:id="14"/>
    </w:p>
    <w:p w14:paraId="3080B2C1" w14:textId="77777777" w:rsidR="0049486A" w:rsidRDefault="0044774C">
      <w:pPr>
        <w:rPr>
          <w:rFonts w:ascii="Arial" w:hAnsi="Arial" w:cs="Arial"/>
          <w:szCs w:val="24"/>
        </w:rPr>
      </w:pPr>
      <w:r>
        <w:rPr>
          <w:rFonts w:ascii="Arial" w:hAnsi="Arial" w:cs="Arial"/>
          <w:szCs w:val="24"/>
        </w:rPr>
        <w:t xml:space="preserve">The company's net profit and net profit margin fell dramatically along with the company's gross profit, which fell from £130,000 in 2020 to £80,000 in 2021 and a loss </w:t>
      </w:r>
      <w:r>
        <w:rPr>
          <w:rFonts w:ascii="Arial" w:hAnsi="Arial" w:cs="Arial"/>
          <w:szCs w:val="24"/>
        </w:rPr>
        <w:lastRenderedPageBreak/>
        <w:t>of £47500 in 2022. With a net profit margin of 15% in 2020, the resort earned £78,000. In 2021, however, it fell to only £40,000, a decline of 8 per cent from the previous year. Things feel worse from there in 2022, with a net loss of £47,500 and a pathetic net profit margin of just -11%.</w:t>
      </w:r>
    </w:p>
    <w:p w14:paraId="3080B2C2" w14:textId="77777777" w:rsidR="0049486A" w:rsidRDefault="0044774C">
      <w:pPr>
        <w:rPr>
          <w:rFonts w:ascii="Arial" w:hAnsi="Arial" w:cs="Arial"/>
          <w:szCs w:val="24"/>
        </w:rPr>
      </w:pPr>
      <w:r>
        <w:rPr>
          <w:rFonts w:ascii="Arial" w:hAnsi="Arial" w:cs="Arial"/>
          <w:szCs w:val="24"/>
        </w:rPr>
        <w:t>Profit for Seaview Resort in 2020 was £78,000 (15.0% of total). A decline of 8% from 2020 brought that figure down to £40,000 in 2021. By 2022, things had become even worse, with a terrible £47,500 in net loss (a negative net profit margin of -11%) being reported. There has been a significant decline in net profit and the net profit margin, indicating that the resort's profitability is fast declining.</w:t>
      </w:r>
    </w:p>
    <w:p w14:paraId="3080B2C3" w14:textId="77777777" w:rsidR="0049486A" w:rsidRDefault="0044774C">
      <w:pPr>
        <w:pStyle w:val="Heading2"/>
        <w:rPr>
          <w:rFonts w:ascii="Arial" w:hAnsi="Arial" w:cs="Arial"/>
          <w:sz w:val="24"/>
          <w:szCs w:val="24"/>
        </w:rPr>
      </w:pPr>
      <w:bookmarkStart w:id="15" w:name="_Toc159845927"/>
      <w:r>
        <w:rPr>
          <w:rFonts w:ascii="Arial" w:hAnsi="Arial" w:cs="Arial"/>
          <w:sz w:val="24"/>
          <w:szCs w:val="24"/>
        </w:rPr>
        <w:t>3.6 Average Room Rate and Occupancy Rate Decline</w:t>
      </w:r>
      <w:bookmarkEnd w:id="15"/>
    </w:p>
    <w:p w14:paraId="3080B2C4" w14:textId="7071D3CC" w:rsidR="0049486A" w:rsidRDefault="0044774C">
      <w:pPr>
        <w:rPr>
          <w:rFonts w:ascii="Arial" w:hAnsi="Arial" w:cs="Arial"/>
          <w:color w:val="36363D"/>
          <w:szCs w:val="24"/>
        </w:rPr>
      </w:pPr>
      <w:r>
        <w:rPr>
          <w:rFonts w:ascii="Arial" w:hAnsi="Arial" w:cs="Arial"/>
          <w:color w:val="36363D"/>
          <w:szCs w:val="24"/>
        </w:rPr>
        <w:t xml:space="preserve">Resort has other obstacles too, such as Aggregate Room Rate and Occupancy Rate, which are exactly the ones which determine the profitability of the organization. In 2020 the ANR was £250 but, now in 2022 it is £210. This means that either the rival resorts are undercutting them on </w:t>
      </w:r>
      <w:proofErr w:type="gramStart"/>
      <w:r>
        <w:rPr>
          <w:rFonts w:ascii="Arial" w:hAnsi="Arial" w:cs="Arial"/>
          <w:color w:val="36363D"/>
          <w:szCs w:val="24"/>
        </w:rPr>
        <w:t>price</w:t>
      </w:r>
      <w:proofErr w:type="gramEnd"/>
      <w:r>
        <w:rPr>
          <w:rFonts w:ascii="Arial" w:hAnsi="Arial" w:cs="Arial"/>
          <w:color w:val="36363D"/>
          <w:szCs w:val="24"/>
        </w:rPr>
        <w:t xml:space="preserve"> or they are not offering good value to their clients. On </w:t>
      </w:r>
      <w:proofErr w:type="gramStart"/>
      <w:r>
        <w:rPr>
          <w:rFonts w:ascii="Arial" w:hAnsi="Arial" w:cs="Arial"/>
          <w:color w:val="36363D"/>
          <w:szCs w:val="24"/>
        </w:rPr>
        <w:t>the top</w:t>
      </w:r>
      <w:proofErr w:type="gramEnd"/>
      <w:r>
        <w:rPr>
          <w:rFonts w:ascii="Arial" w:hAnsi="Arial" w:cs="Arial"/>
          <w:color w:val="36363D"/>
          <w:szCs w:val="24"/>
        </w:rPr>
        <w:t xml:space="preserve"> of this, the number of people coming to the resort nose-dives from 70% in 2020 to 60% in 2022 which can be seen as a negative tendency for the resort’s fill rates. Due to this reduced occupancy, airline companies have fewer passengers to fly, and thus, earnings and revenue are greatly cut off. Resort should set clear strategies in place to enhance critical marks such as customer satisfaction and occupancy rates to flip the situation. You</w:t>
      </w:r>
      <w:r>
        <w:rPr>
          <w:rFonts w:ascii="Arial" w:hAnsi="Arial" w:cs="Arial"/>
          <w:color w:val="36363D"/>
          <w:szCs w:val="24"/>
        </w:rPr>
        <w:t xml:space="preserve"> can do that by implementing better campaigning, upgrading the accommodation</w:t>
      </w:r>
      <w:r>
        <w:rPr>
          <w:rFonts w:ascii="Arial" w:hAnsi="Arial" w:cs="Arial"/>
          <w:color w:val="36363D"/>
          <w:szCs w:val="24"/>
        </w:rPr>
        <w:t xml:space="preserve"> to offer more alluring </w:t>
      </w:r>
      <w:proofErr w:type="gramStart"/>
      <w:r>
        <w:rPr>
          <w:rFonts w:ascii="Arial" w:hAnsi="Arial" w:cs="Arial"/>
          <w:color w:val="36363D"/>
          <w:szCs w:val="24"/>
        </w:rPr>
        <w:t>packages</w:t>
      </w:r>
      <w:proofErr w:type="gramEnd"/>
      <w:r>
        <w:rPr>
          <w:rFonts w:ascii="Arial" w:hAnsi="Arial" w:cs="Arial"/>
          <w:color w:val="36363D"/>
          <w:szCs w:val="24"/>
        </w:rPr>
        <w:t xml:space="preserve"> and widening the range of customers.</w:t>
      </w:r>
    </w:p>
    <w:p w14:paraId="3080B2C5" w14:textId="77777777" w:rsidR="0049486A" w:rsidRDefault="0044774C">
      <w:pPr>
        <w:pStyle w:val="Heading2"/>
        <w:rPr>
          <w:rFonts w:ascii="Arial" w:hAnsi="Arial" w:cs="Arial"/>
          <w:sz w:val="24"/>
          <w:szCs w:val="24"/>
        </w:rPr>
      </w:pPr>
      <w:bookmarkStart w:id="16" w:name="_Toc159845928"/>
      <w:r>
        <w:rPr>
          <w:rFonts w:ascii="Arial" w:hAnsi="Arial" w:cs="Arial"/>
          <w:sz w:val="24"/>
          <w:szCs w:val="24"/>
        </w:rPr>
        <w:t>3.7 Financial Debt Burden and Negative Cash Flow</w:t>
      </w:r>
      <w:bookmarkEnd w:id="16"/>
    </w:p>
    <w:p w14:paraId="3080B2C6" w14:textId="77777777" w:rsidR="0049486A" w:rsidRDefault="0044774C">
      <w:pPr>
        <w:rPr>
          <w:rFonts w:ascii="Arial" w:hAnsi="Arial" w:cs="Arial"/>
          <w:szCs w:val="24"/>
        </w:rPr>
      </w:pPr>
      <w:r>
        <w:rPr>
          <w:rFonts w:ascii="Arial" w:hAnsi="Arial" w:cs="Arial"/>
          <w:szCs w:val="24"/>
        </w:rPr>
        <w:t>The resort's financial statements show a concerning amount of debt. The present obligations are £180,000, and the long-term debt is £500,000, for a total of £750,000 in debt (Park, 2022). The paltry sum of £450,000 in equity significantly compromises the resort's financial security. When a business has too much debt, it may hurt its bottom line and prevent it from making growth investments.</w:t>
      </w:r>
    </w:p>
    <w:p w14:paraId="3080B2C7" w14:textId="77777777" w:rsidR="0049486A" w:rsidRDefault="0044774C">
      <w:pPr>
        <w:rPr>
          <w:rFonts w:ascii="Arial" w:hAnsi="Arial" w:cs="Arial"/>
          <w:szCs w:val="24"/>
        </w:rPr>
      </w:pPr>
      <w:r>
        <w:rPr>
          <w:rFonts w:ascii="Arial" w:hAnsi="Arial" w:cs="Arial"/>
          <w:szCs w:val="24"/>
        </w:rPr>
        <w:t xml:space="preserve">With an operational cash flow of -£80,000, capital expenditures of £30,000, and a net cash flow of -£110,000 in 2021, The Seaview Resort faced a significant financial cash flow deficit. Having a negative cash flow shows that the resort's activities were not </w:t>
      </w:r>
      <w:r>
        <w:rPr>
          <w:rFonts w:ascii="Arial" w:hAnsi="Arial" w:cs="Arial"/>
          <w:szCs w:val="24"/>
        </w:rPr>
        <w:lastRenderedPageBreak/>
        <w:t xml:space="preserve">profitable enough to cover </w:t>
      </w:r>
      <w:proofErr w:type="gramStart"/>
      <w:r>
        <w:rPr>
          <w:rFonts w:ascii="Arial" w:hAnsi="Arial" w:cs="Arial"/>
          <w:szCs w:val="24"/>
        </w:rPr>
        <w:t>all of</w:t>
      </w:r>
      <w:proofErr w:type="gramEnd"/>
      <w:r>
        <w:rPr>
          <w:rFonts w:ascii="Arial" w:hAnsi="Arial" w:cs="Arial"/>
          <w:szCs w:val="24"/>
        </w:rPr>
        <w:t xml:space="preserve"> the resort's costs, including capital expenditures (Patten, 2018). As a result, it is more important than ever to find ways to boost profits by streamlining processes and reducing expenses.</w:t>
      </w:r>
    </w:p>
    <w:p w14:paraId="3080B2C8" w14:textId="4D1E87F3" w:rsidR="0049486A" w:rsidRDefault="0044774C">
      <w:pPr>
        <w:pStyle w:val="Heading1"/>
        <w:pBdr>
          <w:bottom w:val="single" w:sz="4" w:space="1" w:color="auto"/>
        </w:pBdr>
        <w:rPr>
          <w:rFonts w:ascii="Arial" w:hAnsi="Arial" w:cs="Arial"/>
          <w:sz w:val="24"/>
          <w:szCs w:val="24"/>
        </w:rPr>
      </w:pPr>
      <w:bookmarkStart w:id="17" w:name="_Toc159845929"/>
      <w:r>
        <w:rPr>
          <w:rFonts w:ascii="Arial" w:hAnsi="Arial" w:cs="Arial"/>
          <w:sz w:val="24"/>
          <w:szCs w:val="24"/>
        </w:rPr>
        <w:t>4.0 A complete turnaround strategy to revitalize</w:t>
      </w:r>
      <w:r>
        <w:rPr>
          <w:rFonts w:ascii="Arial" w:hAnsi="Arial" w:cs="Arial"/>
          <w:sz w:val="24"/>
          <w:szCs w:val="24"/>
        </w:rPr>
        <w:t xml:space="preserve"> the Seaview Resort's financial health and restore its </w:t>
      </w:r>
      <w:bookmarkEnd w:id="17"/>
      <w:r>
        <w:rPr>
          <w:rFonts w:ascii="Arial" w:hAnsi="Arial" w:cs="Arial"/>
          <w:sz w:val="24"/>
          <w:szCs w:val="24"/>
        </w:rPr>
        <w:t>reputation.</w:t>
      </w:r>
    </w:p>
    <w:p w14:paraId="3080B2C9" w14:textId="77777777" w:rsidR="0049486A" w:rsidRDefault="0044774C">
      <w:pPr>
        <w:pStyle w:val="Heading2"/>
        <w:rPr>
          <w:rFonts w:ascii="Arial" w:hAnsi="Arial" w:cs="Arial"/>
          <w:sz w:val="24"/>
          <w:szCs w:val="24"/>
        </w:rPr>
      </w:pPr>
      <w:bookmarkStart w:id="18" w:name="_Toc159845930"/>
      <w:r>
        <w:rPr>
          <w:rFonts w:ascii="Arial" w:hAnsi="Arial" w:cs="Arial"/>
          <w:sz w:val="24"/>
          <w:szCs w:val="24"/>
        </w:rPr>
        <w:t>4.1 Revenue Enhancement Strategy</w:t>
      </w:r>
      <w:bookmarkEnd w:id="18"/>
    </w:p>
    <w:p w14:paraId="3080B2CA" w14:textId="77777777" w:rsidR="0049486A" w:rsidRDefault="0044774C">
      <w:pPr>
        <w:rPr>
          <w:rFonts w:ascii="Arial" w:hAnsi="Arial" w:cs="Arial"/>
          <w:szCs w:val="24"/>
        </w:rPr>
      </w:pPr>
      <w:r>
        <w:rPr>
          <w:rFonts w:ascii="Arial" w:hAnsi="Arial" w:cs="Arial"/>
          <w:szCs w:val="24"/>
        </w:rPr>
        <w:t xml:space="preserve">The Seaview Resort </w:t>
      </w:r>
      <w:proofErr w:type="gramStart"/>
      <w:r>
        <w:rPr>
          <w:rFonts w:ascii="Arial" w:hAnsi="Arial" w:cs="Arial"/>
          <w:szCs w:val="24"/>
        </w:rPr>
        <w:t>has to</w:t>
      </w:r>
      <w:proofErr w:type="gramEnd"/>
      <w:r>
        <w:rPr>
          <w:rFonts w:ascii="Arial" w:hAnsi="Arial" w:cs="Arial"/>
          <w:szCs w:val="24"/>
        </w:rPr>
        <w:t xml:space="preserve"> develop a revenue expansion strategy to reverse the trend of falling revenues. This necessitates a rise in average hotel prices and an increase in occupancy levels. The resort would be good to put effort into advertising if it wants to increase visitor numbers by appealing to a smaller audience and highlighting its special features (Menon, 2022). To increase demand and justify increased customer costs, the resort may also decide to make improvements and upgrade its rooms and services. Guests might be</w:t>
      </w:r>
      <w:r>
        <w:rPr>
          <w:rFonts w:ascii="Arial" w:hAnsi="Arial" w:cs="Arial"/>
          <w:szCs w:val="24"/>
        </w:rPr>
        <w:t xml:space="preserve"> encouraged to choose The Seaview Resort over competitors by offering a variety of tempting packages and experiences.</w:t>
      </w:r>
    </w:p>
    <w:p w14:paraId="3080B2CB" w14:textId="1DFC6931" w:rsidR="0049486A" w:rsidRDefault="0044774C">
      <w:pPr>
        <w:pStyle w:val="Heading2"/>
        <w:rPr>
          <w:rFonts w:ascii="Arial" w:hAnsi="Arial" w:cs="Arial"/>
          <w:sz w:val="24"/>
          <w:szCs w:val="24"/>
        </w:rPr>
      </w:pPr>
      <w:bookmarkStart w:id="19" w:name="_Toc159845931"/>
      <w:r>
        <w:rPr>
          <w:rFonts w:ascii="Arial" w:hAnsi="Arial" w:cs="Arial"/>
          <w:sz w:val="24"/>
          <w:szCs w:val="24"/>
        </w:rPr>
        <w:t>4.2 Cost Optimization</w:t>
      </w:r>
      <w:r>
        <w:rPr>
          <w:rFonts w:ascii="Arial" w:hAnsi="Arial" w:cs="Arial"/>
          <w:sz w:val="24"/>
          <w:szCs w:val="24"/>
        </w:rPr>
        <w:t xml:space="preserve"> Strategy</w:t>
      </w:r>
      <w:bookmarkEnd w:id="19"/>
    </w:p>
    <w:p w14:paraId="3080B2CC" w14:textId="2722208D" w:rsidR="0049486A" w:rsidRDefault="0044774C">
      <w:pPr>
        <w:rPr>
          <w:rFonts w:ascii="Arial" w:hAnsi="Arial" w:cs="Arial"/>
          <w:szCs w:val="24"/>
        </w:rPr>
      </w:pPr>
      <w:r>
        <w:rPr>
          <w:rFonts w:ascii="Arial" w:hAnsi="Arial" w:cs="Arial"/>
          <w:szCs w:val="24"/>
        </w:rPr>
        <w:t>With increasing operating expenses, the resort must find ways to cut down wherever possible. A comprehensive cost analysis should be performed to find ways in which efficiency may be increased and costs lowered (Zhao, 2021). This involves looking for ways to reduce labor</w:t>
      </w:r>
      <w:r>
        <w:rPr>
          <w:rFonts w:ascii="Arial" w:hAnsi="Arial" w:cs="Arial"/>
          <w:szCs w:val="24"/>
        </w:rPr>
        <w:t xml:space="preserve"> costs, such as cross-training workers and adjusting schedules. Preventative maintenance practices and supplier agreements may help keep repair costs in check. The resort might also look at buying in bulk to save money on supplies.</w:t>
      </w:r>
    </w:p>
    <w:p w14:paraId="3080B2CD" w14:textId="77777777" w:rsidR="0049486A" w:rsidRDefault="0044774C">
      <w:pPr>
        <w:pStyle w:val="Heading2"/>
        <w:rPr>
          <w:rFonts w:ascii="Arial" w:hAnsi="Arial" w:cs="Arial"/>
          <w:sz w:val="24"/>
          <w:szCs w:val="24"/>
        </w:rPr>
      </w:pPr>
      <w:bookmarkStart w:id="20" w:name="_Toc159845932"/>
      <w:r>
        <w:rPr>
          <w:rFonts w:ascii="Arial" w:hAnsi="Arial" w:cs="Arial"/>
          <w:sz w:val="24"/>
          <w:szCs w:val="24"/>
        </w:rPr>
        <w:t>4.3 Debt Reduction and Equity Raising</w:t>
      </w:r>
      <w:bookmarkEnd w:id="20"/>
    </w:p>
    <w:p w14:paraId="3080B2CE" w14:textId="77777777" w:rsidR="0049486A" w:rsidRDefault="0044774C">
      <w:pPr>
        <w:rPr>
          <w:rFonts w:ascii="Arial" w:hAnsi="Arial" w:cs="Arial"/>
          <w:szCs w:val="24"/>
        </w:rPr>
      </w:pPr>
      <w:r>
        <w:rPr>
          <w:rFonts w:ascii="Arial" w:hAnsi="Arial" w:cs="Arial"/>
          <w:szCs w:val="24"/>
        </w:rPr>
        <w:t xml:space="preserve">The resort's massive debt must be resolved as quickly as possible. The ratio of debt to equity </w:t>
      </w:r>
      <w:proofErr w:type="gramStart"/>
      <w:r>
        <w:rPr>
          <w:rFonts w:ascii="Arial" w:hAnsi="Arial" w:cs="Arial"/>
          <w:szCs w:val="24"/>
        </w:rPr>
        <w:t>has to</w:t>
      </w:r>
      <w:proofErr w:type="gramEnd"/>
      <w:r>
        <w:rPr>
          <w:rFonts w:ascii="Arial" w:hAnsi="Arial" w:cs="Arial"/>
          <w:szCs w:val="24"/>
        </w:rPr>
        <w:t xml:space="preserve"> be lowered. Debt consolidation, better terms, and/or debt restructuring might all be part of the solution (Corrado, 2018). Equity funding may be attained via a variety of channels, including investments, partnerships, or the sale of ancillary assets. Reducing debt and increasing ownership will boost the resort's financial stability and development prospects.</w:t>
      </w:r>
    </w:p>
    <w:p w14:paraId="3080B2CF" w14:textId="77777777" w:rsidR="0049486A" w:rsidRDefault="0044774C">
      <w:pPr>
        <w:pStyle w:val="Heading2"/>
        <w:rPr>
          <w:rFonts w:ascii="Arial" w:hAnsi="Arial" w:cs="Arial"/>
          <w:sz w:val="24"/>
          <w:szCs w:val="24"/>
        </w:rPr>
      </w:pPr>
      <w:bookmarkStart w:id="21" w:name="_Toc159845933"/>
      <w:r>
        <w:rPr>
          <w:rFonts w:ascii="Arial" w:hAnsi="Arial" w:cs="Arial"/>
          <w:sz w:val="24"/>
          <w:szCs w:val="24"/>
        </w:rPr>
        <w:lastRenderedPageBreak/>
        <w:t>4.4 Enhanced Customer Experience</w:t>
      </w:r>
      <w:bookmarkEnd w:id="21"/>
    </w:p>
    <w:p w14:paraId="3080B2D0" w14:textId="77777777" w:rsidR="0049486A" w:rsidRDefault="0044774C">
      <w:pPr>
        <w:rPr>
          <w:rFonts w:ascii="Arial" w:hAnsi="Arial" w:cs="Arial"/>
          <w:szCs w:val="24"/>
        </w:rPr>
      </w:pPr>
      <w:r>
        <w:rPr>
          <w:rFonts w:ascii="Arial" w:hAnsi="Arial" w:cs="Arial"/>
          <w:szCs w:val="24"/>
        </w:rPr>
        <w:t xml:space="preserve">Improving the customer experience is essential for retaining and attracting new customers. The Seaview Resort must place a premium on enhancing the quality of service it provides to guests. For this reason, </w:t>
      </w:r>
      <w:r>
        <w:rPr>
          <w:rFonts w:ascii="Arial" w:hAnsi="Arial" w:cs="Arial"/>
          <w:szCs w:val="24"/>
        </w:rPr>
        <w:t>firms need to implement customer satisfaction survey methods, train personnel to consistently exceed customers' expectations, and address issues as soon as they emerge (Joshi, 2023). The resort may also use technological amenities, such as online check-in and booking systems, to improve customers' experiences.</w:t>
      </w:r>
    </w:p>
    <w:p w14:paraId="3080B2D1" w14:textId="77777777" w:rsidR="0049486A" w:rsidRDefault="0044774C">
      <w:pPr>
        <w:pStyle w:val="Heading2"/>
        <w:rPr>
          <w:rFonts w:ascii="Arial" w:hAnsi="Arial" w:cs="Arial"/>
          <w:sz w:val="24"/>
          <w:szCs w:val="24"/>
        </w:rPr>
      </w:pPr>
      <w:bookmarkStart w:id="22" w:name="_Toc159845934"/>
      <w:r>
        <w:rPr>
          <w:rFonts w:ascii="Arial" w:hAnsi="Arial" w:cs="Arial"/>
          <w:sz w:val="24"/>
          <w:szCs w:val="24"/>
        </w:rPr>
        <w:t>4.5 Diversification and Innovation</w:t>
      </w:r>
      <w:bookmarkEnd w:id="22"/>
    </w:p>
    <w:p w14:paraId="3080B2D2" w14:textId="77777777" w:rsidR="0049486A" w:rsidRDefault="0044774C">
      <w:pPr>
        <w:rPr>
          <w:rFonts w:ascii="Arial" w:hAnsi="Arial" w:cs="Arial"/>
          <w:szCs w:val="24"/>
        </w:rPr>
      </w:pPr>
      <w:r>
        <w:rPr>
          <w:rFonts w:ascii="Arial" w:hAnsi="Arial" w:cs="Arial"/>
          <w:szCs w:val="24"/>
        </w:rPr>
        <w:t>The resort's long-term survival and the variety of customers it can accommodate depend on its ability to diversify its sources of revenue (François, 2020). The Seaview Resort is considering expanding its business model to include wedding and conference services. Introducing innovative elements, such as eco-friendly policies, wellness and spa offers, and recreational activities, may help the resort stand out from the competition and cater to the evolving demands of its clientele.</w:t>
      </w:r>
    </w:p>
    <w:p w14:paraId="3080B2D3" w14:textId="77777777" w:rsidR="0049486A" w:rsidRDefault="0044774C">
      <w:pPr>
        <w:pStyle w:val="Heading2"/>
        <w:rPr>
          <w:rFonts w:ascii="Arial" w:hAnsi="Arial" w:cs="Arial"/>
          <w:sz w:val="24"/>
          <w:szCs w:val="24"/>
        </w:rPr>
      </w:pPr>
      <w:bookmarkStart w:id="23" w:name="_Toc159845935"/>
      <w:r>
        <w:rPr>
          <w:rFonts w:ascii="Arial" w:hAnsi="Arial" w:cs="Arial"/>
          <w:sz w:val="24"/>
          <w:szCs w:val="24"/>
        </w:rPr>
        <w:t>4.6 Regular Performance Monitoring</w:t>
      </w:r>
      <w:bookmarkEnd w:id="23"/>
    </w:p>
    <w:p w14:paraId="3080B2D4" w14:textId="77777777" w:rsidR="0049486A" w:rsidRDefault="0044774C">
      <w:pPr>
        <w:rPr>
          <w:rFonts w:ascii="Arial" w:hAnsi="Arial" w:cs="Arial"/>
          <w:szCs w:val="24"/>
        </w:rPr>
      </w:pPr>
      <w:r>
        <w:rPr>
          <w:rFonts w:ascii="Arial" w:hAnsi="Arial" w:cs="Arial"/>
          <w:szCs w:val="24"/>
        </w:rPr>
        <w:t>Constantly monitoring progress is crucial for the turnaround plan to succeed. Establishing and reviewing key performance indicators (KPIs) is essential (Harrison, 2021). The approach may be modified based on the information gleaned from this monitoring. Keeping abreast of developments in one's field and adjusting to shifting market circumstances are also important.</w:t>
      </w:r>
    </w:p>
    <w:p w14:paraId="3080B2D5" w14:textId="77777777" w:rsidR="0049486A" w:rsidRDefault="0044774C">
      <w:pPr>
        <w:spacing w:line="259" w:lineRule="auto"/>
        <w:jc w:val="left"/>
        <w:rPr>
          <w:rFonts w:ascii="Arial" w:hAnsi="Arial" w:cs="Arial"/>
          <w:szCs w:val="24"/>
        </w:rPr>
      </w:pPr>
      <w:r>
        <w:rPr>
          <w:rFonts w:ascii="Arial" w:hAnsi="Arial" w:cs="Arial"/>
          <w:szCs w:val="24"/>
        </w:rPr>
        <w:br w:type="page"/>
      </w:r>
    </w:p>
    <w:p w14:paraId="3080B2D6" w14:textId="77777777" w:rsidR="0049486A" w:rsidRDefault="0044774C">
      <w:pPr>
        <w:pStyle w:val="Heading1"/>
        <w:pBdr>
          <w:bottom w:val="single" w:sz="4" w:space="1" w:color="auto"/>
        </w:pBdr>
        <w:rPr>
          <w:rFonts w:ascii="Arial" w:hAnsi="Arial" w:cs="Arial"/>
          <w:sz w:val="24"/>
          <w:szCs w:val="24"/>
        </w:rPr>
      </w:pPr>
      <w:bookmarkStart w:id="24" w:name="_Toc159845936"/>
      <w:r>
        <w:rPr>
          <w:rFonts w:ascii="Arial" w:hAnsi="Arial" w:cs="Arial"/>
          <w:sz w:val="24"/>
          <w:szCs w:val="24"/>
        </w:rPr>
        <w:lastRenderedPageBreak/>
        <w:t>5.0 Conclusion</w:t>
      </w:r>
      <w:bookmarkEnd w:id="24"/>
    </w:p>
    <w:p w14:paraId="3080B2D7" w14:textId="4C8A8CB1" w:rsidR="0049486A" w:rsidRDefault="0044774C">
      <w:pPr>
        <w:rPr>
          <w:rFonts w:ascii="Arial" w:hAnsi="Arial" w:cs="Arial"/>
          <w:szCs w:val="24"/>
        </w:rPr>
      </w:pPr>
      <w:r>
        <w:rPr>
          <w:rFonts w:ascii="Arial" w:hAnsi="Arial" w:cs="Arial"/>
          <w:szCs w:val="24"/>
        </w:rPr>
        <w:t>In conclusion, the resort's profitability and competitive advantage may be restored by implementing the following measures: increased revenue, optimized</w:t>
      </w:r>
      <w:r>
        <w:rPr>
          <w:rFonts w:ascii="Arial" w:hAnsi="Arial" w:cs="Arial"/>
          <w:szCs w:val="24"/>
        </w:rPr>
        <w:t xml:space="preserve"> costs, decreased debt, improved client experiences, diversified income streams, and continuous performance monitoring. The resort is attempting to broaden its customer base via advertising, updated rooms, and special offers. If it can reduce expenses and control its debt, it will be more secure financially. Long-term success may be ensured by focusing on providing first-rate service to customers and developing novel products. The sustained revival of the resort depends on constant monitoring of performance</w:t>
      </w:r>
      <w:r>
        <w:rPr>
          <w:rFonts w:ascii="Arial" w:hAnsi="Arial" w:cs="Arial"/>
          <w:szCs w:val="24"/>
        </w:rPr>
        <w:t xml:space="preserve"> and the incorporation of market changes.</w:t>
      </w:r>
      <w:r>
        <w:rPr>
          <w:rFonts w:ascii="Arial" w:hAnsi="Arial" w:cs="Arial"/>
          <w:szCs w:val="24"/>
        </w:rPr>
        <w:br w:type="page"/>
      </w:r>
    </w:p>
    <w:p w14:paraId="3080B2D8" w14:textId="77777777" w:rsidR="0049486A" w:rsidRDefault="0044774C">
      <w:pPr>
        <w:pStyle w:val="Heading1"/>
        <w:pBdr>
          <w:bottom w:val="single" w:sz="4" w:space="1" w:color="auto"/>
        </w:pBdr>
        <w:rPr>
          <w:rFonts w:ascii="Arial" w:hAnsi="Arial" w:cs="Arial"/>
          <w:sz w:val="24"/>
          <w:szCs w:val="24"/>
        </w:rPr>
      </w:pPr>
      <w:bookmarkStart w:id="25" w:name="_Toc159845937"/>
      <w:r>
        <w:rPr>
          <w:rFonts w:ascii="Arial" w:hAnsi="Arial" w:cs="Arial"/>
          <w:sz w:val="24"/>
          <w:szCs w:val="24"/>
        </w:rPr>
        <w:lastRenderedPageBreak/>
        <w:t>6.0 References</w:t>
      </w:r>
      <w:bookmarkEnd w:id="25"/>
    </w:p>
    <w:p w14:paraId="3080B2D9" w14:textId="77777777" w:rsidR="0049486A" w:rsidRDefault="0044774C">
      <w:pPr>
        <w:rPr>
          <w:rFonts w:ascii="Arial" w:hAnsi="Arial" w:cs="Arial"/>
          <w:color w:val="000000"/>
          <w:szCs w:val="24"/>
        </w:rPr>
      </w:pPr>
      <w:r>
        <w:rPr>
          <w:rFonts w:ascii="Arial" w:hAnsi="Arial" w:cs="Arial"/>
          <w:color w:val="000000"/>
          <w:szCs w:val="24"/>
        </w:rPr>
        <w:t xml:space="preserve">Bondarenko, O.V. (2021). THE AUTOMATION OF ACCOUNTING OF OPERATING </w:t>
      </w:r>
      <w:r>
        <w:rPr>
          <w:rFonts w:ascii="Arial" w:hAnsi="Arial" w:cs="Arial"/>
          <w:color w:val="000000"/>
          <w:szCs w:val="24"/>
        </w:rPr>
        <w:t xml:space="preserve">EXPENSES FOR HOTEL INDUSTRIES. Economy and Society, 3(19). </w:t>
      </w:r>
      <w:proofErr w:type="spellStart"/>
      <w:proofErr w:type="gramStart"/>
      <w:r>
        <w:rPr>
          <w:rFonts w:ascii="Arial" w:hAnsi="Arial" w:cs="Arial"/>
          <w:color w:val="000000"/>
          <w:szCs w:val="24"/>
        </w:rPr>
        <w:t>doi:https</w:t>
      </w:r>
      <w:proofErr w:type="spellEnd"/>
      <w:r>
        <w:rPr>
          <w:rFonts w:ascii="Arial" w:hAnsi="Arial" w:cs="Arial"/>
          <w:color w:val="000000"/>
          <w:szCs w:val="24"/>
        </w:rPr>
        <w:t>://doi.org/10.32782/2524-0072/2018-19-212</w:t>
      </w:r>
      <w:proofErr w:type="gramEnd"/>
      <w:r>
        <w:rPr>
          <w:rFonts w:ascii="Arial" w:hAnsi="Arial" w:cs="Arial"/>
          <w:color w:val="000000"/>
          <w:szCs w:val="24"/>
        </w:rPr>
        <w:t>.</w:t>
      </w:r>
    </w:p>
    <w:p w14:paraId="3080B2DA" w14:textId="77777777" w:rsidR="0049486A" w:rsidRDefault="0044774C">
      <w:pPr>
        <w:rPr>
          <w:rFonts w:ascii="Arial" w:hAnsi="Arial" w:cs="Arial"/>
          <w:color w:val="000000"/>
          <w:szCs w:val="24"/>
        </w:rPr>
      </w:pPr>
      <w:r>
        <w:rPr>
          <w:rFonts w:ascii="Arial" w:hAnsi="Arial" w:cs="Arial"/>
          <w:color w:val="000000"/>
          <w:szCs w:val="24"/>
        </w:rPr>
        <w:t>Brammer, J. (2019). </w:t>
      </w:r>
      <w:r>
        <w:rPr>
          <w:rFonts w:ascii="Arial" w:hAnsi="Arial" w:cs="Arial"/>
          <w:i/>
          <w:iCs/>
          <w:color w:val="000000"/>
          <w:szCs w:val="24"/>
        </w:rPr>
        <w:t>Financial performance</w:t>
      </w:r>
      <w:r>
        <w:rPr>
          <w:rFonts w:ascii="Arial" w:hAnsi="Arial" w:cs="Arial"/>
          <w:color w:val="000000"/>
          <w:szCs w:val="24"/>
        </w:rPr>
        <w:t>. Worcester: Osborne.</w:t>
      </w:r>
    </w:p>
    <w:p w14:paraId="3080B2DB" w14:textId="77777777" w:rsidR="0049486A" w:rsidRDefault="0044774C">
      <w:pPr>
        <w:rPr>
          <w:rFonts w:ascii="Arial" w:hAnsi="Arial" w:cs="Arial"/>
          <w:color w:val="000000"/>
          <w:szCs w:val="24"/>
        </w:rPr>
      </w:pPr>
      <w:r>
        <w:rPr>
          <w:rFonts w:ascii="Arial" w:hAnsi="Arial" w:cs="Arial"/>
          <w:color w:val="000000"/>
          <w:szCs w:val="24"/>
        </w:rPr>
        <w:t>Campos, B.S. (2023). STRATEGY CLOCK-DRAWING TEST CONSTRUCTION. </w:t>
      </w:r>
      <w:r>
        <w:rPr>
          <w:rFonts w:ascii="Arial" w:hAnsi="Arial" w:cs="Arial"/>
          <w:i/>
          <w:iCs/>
          <w:color w:val="000000"/>
          <w:szCs w:val="24"/>
        </w:rPr>
        <w:t>Alzheimer’s &amp; Dementia</w:t>
      </w:r>
      <w:r>
        <w:rPr>
          <w:rFonts w:ascii="Arial" w:hAnsi="Arial" w:cs="Arial"/>
          <w:color w:val="000000"/>
          <w:szCs w:val="24"/>
        </w:rPr>
        <w:t xml:space="preserve">, 13(7), </w:t>
      </w:r>
      <w:proofErr w:type="gramStart"/>
      <w:r>
        <w:rPr>
          <w:rFonts w:ascii="Arial" w:hAnsi="Arial" w:cs="Arial"/>
          <w:color w:val="000000"/>
          <w:szCs w:val="24"/>
        </w:rPr>
        <w:t>pp.P</w:t>
      </w:r>
      <w:proofErr w:type="gramEnd"/>
      <w:r>
        <w:rPr>
          <w:rFonts w:ascii="Arial" w:hAnsi="Arial" w:cs="Arial"/>
          <w:color w:val="000000"/>
          <w:szCs w:val="24"/>
        </w:rPr>
        <w:t xml:space="preserve">1400–P1401. </w:t>
      </w:r>
      <w:proofErr w:type="spellStart"/>
      <w:proofErr w:type="gramStart"/>
      <w:r>
        <w:rPr>
          <w:rFonts w:ascii="Arial" w:hAnsi="Arial" w:cs="Arial"/>
          <w:color w:val="000000"/>
          <w:szCs w:val="24"/>
        </w:rPr>
        <w:t>doi:https</w:t>
      </w:r>
      <w:proofErr w:type="spellEnd"/>
      <w:r>
        <w:rPr>
          <w:rFonts w:ascii="Arial" w:hAnsi="Arial" w:cs="Arial"/>
          <w:color w:val="000000"/>
          <w:szCs w:val="24"/>
        </w:rPr>
        <w:t>://doi.org/10.1016/j.jalz.2017.06.2162</w:t>
      </w:r>
      <w:proofErr w:type="gramEnd"/>
      <w:r>
        <w:rPr>
          <w:rFonts w:ascii="Arial" w:hAnsi="Arial" w:cs="Arial"/>
          <w:color w:val="000000"/>
          <w:szCs w:val="24"/>
        </w:rPr>
        <w:t>.</w:t>
      </w:r>
    </w:p>
    <w:p w14:paraId="3080B2DC" w14:textId="77777777" w:rsidR="0049486A" w:rsidRDefault="0044774C">
      <w:pPr>
        <w:rPr>
          <w:rFonts w:ascii="Arial" w:hAnsi="Arial" w:cs="Arial"/>
          <w:color w:val="000000"/>
          <w:szCs w:val="24"/>
        </w:rPr>
      </w:pPr>
      <w:r>
        <w:rPr>
          <w:rFonts w:ascii="Arial" w:hAnsi="Arial" w:cs="Arial"/>
          <w:color w:val="000000"/>
          <w:szCs w:val="24"/>
        </w:rPr>
        <w:t>Corrado, L. (2018). Fiscal Compact and Debt Consolidation Dynamics. </w:t>
      </w:r>
      <w:r>
        <w:rPr>
          <w:rFonts w:ascii="Arial" w:hAnsi="Arial" w:cs="Arial"/>
          <w:i/>
          <w:iCs/>
          <w:color w:val="000000"/>
          <w:szCs w:val="24"/>
        </w:rPr>
        <w:t>SSRN Electronic Journal</w:t>
      </w:r>
      <w:r>
        <w:rPr>
          <w:rFonts w:ascii="Arial" w:hAnsi="Arial" w:cs="Arial"/>
          <w:color w:val="000000"/>
          <w:szCs w:val="24"/>
        </w:rPr>
        <w:t xml:space="preserve">, 48(8). </w:t>
      </w:r>
      <w:proofErr w:type="spellStart"/>
      <w:proofErr w:type="gramStart"/>
      <w:r>
        <w:rPr>
          <w:rFonts w:ascii="Arial" w:hAnsi="Arial" w:cs="Arial"/>
          <w:color w:val="000000"/>
          <w:szCs w:val="24"/>
        </w:rPr>
        <w:t>doi:https</w:t>
      </w:r>
      <w:proofErr w:type="spellEnd"/>
      <w:r>
        <w:rPr>
          <w:rFonts w:ascii="Arial" w:hAnsi="Arial" w:cs="Arial"/>
          <w:color w:val="000000"/>
          <w:szCs w:val="24"/>
        </w:rPr>
        <w:t>://doi.org/10.2139/ssrn.3192941</w:t>
      </w:r>
      <w:proofErr w:type="gramEnd"/>
      <w:r>
        <w:rPr>
          <w:rFonts w:ascii="Arial" w:hAnsi="Arial" w:cs="Arial"/>
          <w:color w:val="000000"/>
          <w:szCs w:val="24"/>
        </w:rPr>
        <w:t>.</w:t>
      </w:r>
    </w:p>
    <w:p w14:paraId="3080B2DD" w14:textId="77777777" w:rsidR="0049486A" w:rsidRDefault="0044774C">
      <w:pPr>
        <w:rPr>
          <w:rFonts w:ascii="Arial" w:hAnsi="Arial" w:cs="Arial"/>
          <w:color w:val="000000"/>
          <w:szCs w:val="24"/>
        </w:rPr>
      </w:pPr>
      <w:r>
        <w:rPr>
          <w:rFonts w:ascii="Arial" w:hAnsi="Arial" w:cs="Arial"/>
          <w:color w:val="000000"/>
          <w:szCs w:val="24"/>
        </w:rPr>
        <w:t>Dawes, J. (2021). The Ansoff Matrix: A Legendary Tool, But with Two Logical Problems. SSRN Electronic Journal, [online] 1(1). Available at: https://papers.ssrn.com/sol3/papers.cfm?abstract_id=3130530.</w:t>
      </w:r>
    </w:p>
    <w:p w14:paraId="3080B2DE" w14:textId="77777777" w:rsidR="0049486A" w:rsidRDefault="0044774C">
      <w:pPr>
        <w:rPr>
          <w:rFonts w:ascii="Arial" w:hAnsi="Arial" w:cs="Arial"/>
          <w:color w:val="000000"/>
          <w:szCs w:val="24"/>
        </w:rPr>
      </w:pPr>
      <w:r>
        <w:rPr>
          <w:rFonts w:ascii="Arial" w:hAnsi="Arial" w:cs="Arial"/>
          <w:color w:val="000000"/>
          <w:szCs w:val="24"/>
        </w:rPr>
        <w:t xml:space="preserve">Edwards, J.B. (2023). Gross Profit Analysis of the Seaview Resort. Journal of Corporate Accounting &amp; Finance, [online] 27(4), pp.45–55. </w:t>
      </w:r>
      <w:proofErr w:type="spellStart"/>
      <w:proofErr w:type="gramStart"/>
      <w:r>
        <w:rPr>
          <w:rFonts w:ascii="Arial" w:hAnsi="Arial" w:cs="Arial"/>
          <w:color w:val="000000"/>
          <w:szCs w:val="24"/>
        </w:rPr>
        <w:t>doi:https</w:t>
      </w:r>
      <w:proofErr w:type="spellEnd"/>
      <w:r>
        <w:rPr>
          <w:rFonts w:ascii="Arial" w:hAnsi="Arial" w:cs="Arial"/>
          <w:color w:val="000000"/>
          <w:szCs w:val="24"/>
        </w:rPr>
        <w:t>://doi.org/10.1002/jcaf.22160</w:t>
      </w:r>
      <w:proofErr w:type="gramEnd"/>
      <w:r>
        <w:rPr>
          <w:rFonts w:ascii="Arial" w:hAnsi="Arial" w:cs="Arial"/>
          <w:color w:val="000000"/>
          <w:szCs w:val="24"/>
        </w:rPr>
        <w:t>.</w:t>
      </w:r>
    </w:p>
    <w:p w14:paraId="3080B2DF" w14:textId="77777777" w:rsidR="0049486A" w:rsidRDefault="0044774C">
      <w:pPr>
        <w:rPr>
          <w:rFonts w:ascii="Arial" w:hAnsi="Arial" w:cs="Arial"/>
          <w:color w:val="000000"/>
          <w:szCs w:val="24"/>
        </w:rPr>
      </w:pPr>
      <w:r>
        <w:rPr>
          <w:rFonts w:ascii="Arial" w:hAnsi="Arial" w:cs="Arial"/>
          <w:color w:val="000000"/>
          <w:szCs w:val="24"/>
        </w:rPr>
        <w:t>Ferranti, K. (2021). Digging deep into derivatives: balance sheet management – making strategic decision</w:t>
      </w:r>
      <w:r>
        <w:rPr>
          <w:rFonts w:ascii="Cambria Math" w:hAnsi="Cambria Math" w:cs="Cambria Math"/>
          <w:color w:val="000000"/>
          <w:szCs w:val="24"/>
        </w:rPr>
        <w:t>‐</w:t>
      </w:r>
      <w:r>
        <w:rPr>
          <w:rFonts w:ascii="Arial" w:hAnsi="Arial" w:cs="Arial"/>
          <w:color w:val="000000"/>
          <w:szCs w:val="24"/>
        </w:rPr>
        <w:t xml:space="preserve">making better. Balance Sheet, 11(3), pp.20–22. </w:t>
      </w:r>
      <w:proofErr w:type="spellStart"/>
      <w:proofErr w:type="gramStart"/>
      <w:r>
        <w:rPr>
          <w:rFonts w:ascii="Arial" w:hAnsi="Arial" w:cs="Arial"/>
          <w:color w:val="000000"/>
          <w:szCs w:val="24"/>
        </w:rPr>
        <w:t>doi:https</w:t>
      </w:r>
      <w:proofErr w:type="spellEnd"/>
      <w:r>
        <w:rPr>
          <w:rFonts w:ascii="Arial" w:hAnsi="Arial" w:cs="Arial"/>
          <w:color w:val="000000"/>
          <w:szCs w:val="24"/>
        </w:rPr>
        <w:t>://doi.org/10.1108/09657960310491154</w:t>
      </w:r>
      <w:proofErr w:type="gramEnd"/>
      <w:r>
        <w:rPr>
          <w:rFonts w:ascii="Arial" w:hAnsi="Arial" w:cs="Arial"/>
          <w:color w:val="000000"/>
          <w:szCs w:val="24"/>
        </w:rPr>
        <w:t>.</w:t>
      </w:r>
    </w:p>
    <w:p w14:paraId="3080B2E0" w14:textId="77777777" w:rsidR="0049486A" w:rsidRDefault="0044774C">
      <w:pPr>
        <w:rPr>
          <w:rFonts w:ascii="Arial" w:hAnsi="Arial" w:cs="Arial"/>
          <w:color w:val="000000"/>
          <w:szCs w:val="24"/>
        </w:rPr>
      </w:pPr>
      <w:proofErr w:type="gramStart"/>
      <w:r>
        <w:rPr>
          <w:rFonts w:ascii="Arial" w:hAnsi="Arial" w:cs="Arial"/>
          <w:color w:val="000000"/>
          <w:szCs w:val="24"/>
        </w:rPr>
        <w:t>François ,</w:t>
      </w:r>
      <w:proofErr w:type="gramEnd"/>
      <w:r>
        <w:rPr>
          <w:rFonts w:ascii="Arial" w:hAnsi="Arial" w:cs="Arial"/>
          <w:color w:val="000000"/>
          <w:szCs w:val="24"/>
        </w:rPr>
        <w:t xml:space="preserve"> T. (2020). </w:t>
      </w:r>
      <w:r>
        <w:rPr>
          <w:rFonts w:ascii="Arial" w:hAnsi="Arial" w:cs="Arial"/>
          <w:i/>
          <w:iCs/>
          <w:color w:val="000000"/>
          <w:szCs w:val="24"/>
        </w:rPr>
        <w:t>Industrial diversification and innovation</w:t>
      </w:r>
      <w:r>
        <w:rPr>
          <w:rFonts w:ascii="Arial" w:hAnsi="Arial" w:cs="Arial"/>
          <w:color w:val="000000"/>
          <w:szCs w:val="24"/>
        </w:rPr>
        <w:t>. Edward Elgar Publishing.</w:t>
      </w:r>
    </w:p>
    <w:p w14:paraId="3080B2E1" w14:textId="77777777" w:rsidR="0049486A" w:rsidRDefault="0044774C">
      <w:pPr>
        <w:rPr>
          <w:rFonts w:ascii="Arial" w:hAnsi="Arial" w:cs="Arial"/>
          <w:color w:val="000000"/>
          <w:szCs w:val="24"/>
        </w:rPr>
      </w:pPr>
      <w:r>
        <w:rPr>
          <w:rFonts w:ascii="Arial" w:hAnsi="Arial" w:cs="Arial"/>
          <w:color w:val="000000"/>
          <w:szCs w:val="24"/>
        </w:rPr>
        <w:t>Harrison, J. (2021). Key performance indicators for clinical pharmacy services in New Zealand public hospitals: stakeholder perspectives. </w:t>
      </w:r>
      <w:r>
        <w:rPr>
          <w:rFonts w:ascii="Arial" w:hAnsi="Arial" w:cs="Arial"/>
          <w:i/>
          <w:iCs/>
          <w:color w:val="000000"/>
          <w:szCs w:val="24"/>
        </w:rPr>
        <w:t>Journal of Pharmaceutical Health Services Research</w:t>
      </w:r>
      <w:r>
        <w:rPr>
          <w:rFonts w:ascii="Arial" w:hAnsi="Arial" w:cs="Arial"/>
          <w:color w:val="000000"/>
          <w:szCs w:val="24"/>
        </w:rPr>
        <w:t xml:space="preserve">, 1(2), pp.75–84. </w:t>
      </w:r>
      <w:proofErr w:type="spellStart"/>
      <w:r>
        <w:rPr>
          <w:rFonts w:ascii="Arial" w:hAnsi="Arial" w:cs="Arial"/>
          <w:color w:val="000000"/>
          <w:szCs w:val="24"/>
        </w:rPr>
        <w:t>doi</w:t>
      </w:r>
      <w:proofErr w:type="spellEnd"/>
      <w:r>
        <w:rPr>
          <w:rFonts w:ascii="Arial" w:hAnsi="Arial" w:cs="Arial"/>
          <w:color w:val="000000"/>
          <w:szCs w:val="24"/>
        </w:rPr>
        <w:t xml:space="preserve"> https://doi.org/10.1111/j.1759-8893.2010.00001.x.</w:t>
      </w:r>
    </w:p>
    <w:p w14:paraId="3080B2E2" w14:textId="77777777" w:rsidR="0049486A" w:rsidRDefault="0044774C">
      <w:pPr>
        <w:rPr>
          <w:rFonts w:ascii="Arial" w:hAnsi="Arial" w:cs="Arial"/>
          <w:color w:val="000000"/>
          <w:szCs w:val="24"/>
        </w:rPr>
      </w:pPr>
      <w:r>
        <w:rPr>
          <w:rFonts w:ascii="Arial" w:hAnsi="Arial" w:cs="Arial"/>
          <w:color w:val="000000"/>
          <w:szCs w:val="24"/>
        </w:rPr>
        <w:t xml:space="preserve">Hoover, A.D. (2023). Average Room Rate and Occupancy Rate of Hotel Industry. IEEE Transactions on Medical Imaging, 19(3), pp.203–210. </w:t>
      </w:r>
      <w:proofErr w:type="spellStart"/>
      <w:proofErr w:type="gramStart"/>
      <w:r>
        <w:rPr>
          <w:rFonts w:ascii="Arial" w:hAnsi="Arial" w:cs="Arial"/>
          <w:color w:val="000000"/>
          <w:szCs w:val="24"/>
        </w:rPr>
        <w:t>doi:https</w:t>
      </w:r>
      <w:proofErr w:type="spellEnd"/>
      <w:r>
        <w:rPr>
          <w:rFonts w:ascii="Arial" w:hAnsi="Arial" w:cs="Arial"/>
          <w:color w:val="000000"/>
          <w:szCs w:val="24"/>
        </w:rPr>
        <w:t>://doi.org/10.1109/42.845178</w:t>
      </w:r>
      <w:proofErr w:type="gramEnd"/>
      <w:r>
        <w:rPr>
          <w:rFonts w:ascii="Arial" w:hAnsi="Arial" w:cs="Arial"/>
          <w:color w:val="000000"/>
          <w:szCs w:val="24"/>
        </w:rPr>
        <w:t>.</w:t>
      </w:r>
    </w:p>
    <w:p w14:paraId="3080B2E3" w14:textId="77777777" w:rsidR="0049486A" w:rsidRDefault="0044774C">
      <w:pPr>
        <w:rPr>
          <w:rFonts w:ascii="Arial" w:hAnsi="Arial" w:cs="Arial"/>
          <w:color w:val="000000"/>
          <w:szCs w:val="24"/>
        </w:rPr>
      </w:pPr>
      <w:r>
        <w:rPr>
          <w:noProof/>
        </w:rPr>
        <w:lastRenderedPageBreak/>
        <w:drawing>
          <wp:inline distT="0" distB="0" distL="0" distR="0" wp14:anchorId="3080B2EC" wp14:editId="3080B2ED">
            <wp:extent cx="5943600" cy="7472045"/>
            <wp:effectExtent l="0" t="0" r="0" b="0"/>
            <wp:docPr id="103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2"/>
                    <pic:cNvPicPr/>
                  </pic:nvPicPr>
                  <pic:blipFill>
                    <a:blip r:embed="rId10" cstate="print"/>
                    <a:srcRect/>
                    <a:stretch/>
                  </pic:blipFill>
                  <pic:spPr>
                    <a:xfrm>
                      <a:off x="0" y="0"/>
                      <a:ext cx="5943600" cy="7472045"/>
                    </a:xfrm>
                    <a:prstGeom prst="rect">
                      <a:avLst/>
                    </a:prstGeom>
                  </pic:spPr>
                </pic:pic>
              </a:graphicData>
            </a:graphic>
          </wp:inline>
        </w:drawing>
      </w:r>
      <w:r>
        <w:rPr>
          <w:noProof/>
        </w:rPr>
        <w:lastRenderedPageBreak/>
        <w:drawing>
          <wp:inline distT="0" distB="0" distL="0" distR="0" wp14:anchorId="3080B2EE" wp14:editId="3080B2EF">
            <wp:extent cx="5943600" cy="3164840"/>
            <wp:effectExtent l="0" t="0" r="0" b="0"/>
            <wp:docPr id="103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11" cstate="print"/>
                    <a:srcRect/>
                    <a:stretch/>
                  </pic:blipFill>
                  <pic:spPr>
                    <a:xfrm>
                      <a:off x="0" y="0"/>
                      <a:ext cx="5943600" cy="3164840"/>
                    </a:xfrm>
                    <a:prstGeom prst="rect">
                      <a:avLst/>
                    </a:prstGeom>
                  </pic:spPr>
                </pic:pic>
              </a:graphicData>
            </a:graphic>
          </wp:inline>
        </w:drawing>
      </w:r>
    </w:p>
    <w:sectPr w:rsidR="0049486A">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0B2F6" w14:textId="77777777" w:rsidR="0044774C" w:rsidRDefault="0044774C">
      <w:pPr>
        <w:spacing w:after="0" w:line="240" w:lineRule="auto"/>
      </w:pPr>
      <w:r>
        <w:separator/>
      </w:r>
    </w:p>
  </w:endnote>
  <w:endnote w:type="continuationSeparator" w:id="0">
    <w:p w14:paraId="3080B2F8" w14:textId="77777777" w:rsidR="0044774C" w:rsidRDefault="00447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0B2F0" w14:textId="77777777" w:rsidR="0049486A" w:rsidRDefault="0044774C">
    <w:pPr>
      <w:pStyle w:val="Footer"/>
      <w:jc w:val="right"/>
    </w:pPr>
    <w:r>
      <w:fldChar w:fldCharType="begin"/>
    </w:r>
    <w:r>
      <w:instrText xml:space="preserve"> PAGE   \* MERGEFORMAT </w:instrText>
    </w:r>
    <w:r>
      <w:fldChar w:fldCharType="separate"/>
    </w:r>
    <w:r>
      <w:rPr>
        <w:noProof/>
      </w:rPr>
      <w:t>15</w:t>
    </w:r>
    <w:r>
      <w:rPr>
        <w:noProof/>
      </w:rPr>
      <w:fldChar w:fldCharType="end"/>
    </w:r>
  </w:p>
  <w:p w14:paraId="3080B2F1" w14:textId="77777777" w:rsidR="0049486A" w:rsidRDefault="004948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0B2F2" w14:textId="77777777" w:rsidR="0044774C" w:rsidRDefault="0044774C">
      <w:pPr>
        <w:spacing w:after="0" w:line="240" w:lineRule="auto"/>
      </w:pPr>
      <w:r>
        <w:separator/>
      </w:r>
    </w:p>
  </w:footnote>
  <w:footnote w:type="continuationSeparator" w:id="0">
    <w:p w14:paraId="3080B2F4" w14:textId="77777777" w:rsidR="0044774C" w:rsidRDefault="004477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486A"/>
    <w:rsid w:val="00243ED9"/>
    <w:rsid w:val="00433BE8"/>
    <w:rsid w:val="0044774C"/>
    <w:rsid w:val="0049486A"/>
    <w:rsid w:val="00B2567A"/>
    <w:rsid w:val="00E66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0B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jc w:val="center"/>
      <w:outlineLvl w:val="0"/>
    </w:pPr>
    <w:rPr>
      <w:rFonts w:eastAsia="SimSun"/>
      <w:b/>
      <w:color w:val="1F3864"/>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b/>
      <w:color w:val="2F5496"/>
      <w:sz w:val="28"/>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eastAsia="SimSun"/>
      <w:b/>
      <w:color w:val="4472C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color w:val="1F3864"/>
      <w:sz w:val="32"/>
      <w:szCs w:val="32"/>
    </w:rPr>
  </w:style>
  <w:style w:type="character" w:customStyle="1" w:styleId="Heading2Char">
    <w:name w:val="Heading 2 Char"/>
    <w:basedOn w:val="DefaultParagraphFont"/>
    <w:link w:val="Heading2"/>
    <w:uiPriority w:val="9"/>
    <w:rPr>
      <w:rFonts w:ascii="Times New Roman" w:eastAsia="SimSun" w:hAnsi="Times New Roman" w:cs="SimSun"/>
      <w:b/>
      <w:color w:val="2F5496"/>
      <w:sz w:val="28"/>
      <w:szCs w:val="26"/>
    </w:rPr>
  </w:style>
  <w:style w:type="character" w:customStyle="1" w:styleId="Heading3Char">
    <w:name w:val="Heading 3 Char"/>
    <w:basedOn w:val="DefaultParagraphFont"/>
    <w:link w:val="Heading3"/>
    <w:uiPriority w:val="9"/>
    <w:rPr>
      <w:rFonts w:ascii="Times New Roman" w:eastAsia="SimSun" w:hAnsi="Times New Roman" w:cs="SimSun"/>
      <w:b/>
      <w:color w:val="4472C4"/>
      <w:sz w:val="24"/>
      <w:szCs w:val="24"/>
      <w:lang w:eastAsia="zh-CN"/>
    </w:rPr>
  </w:style>
  <w:style w:type="paragraph" w:styleId="Caption">
    <w:name w:val="caption"/>
    <w:basedOn w:val="Normal"/>
    <w:next w:val="Normal"/>
    <w:uiPriority w:val="35"/>
    <w:qFormat/>
    <w:pPr>
      <w:spacing w:after="200" w:line="240" w:lineRule="auto"/>
      <w:jc w:val="center"/>
    </w:pPr>
    <w:rPr>
      <w:i/>
      <w:iCs/>
      <w:color w:val="44546A"/>
      <w:sz w:val="18"/>
      <w:szCs w:val="18"/>
    </w:rPr>
  </w:style>
  <w:style w:type="paragraph" w:styleId="TOCHeading">
    <w:name w:val="TOC Heading"/>
    <w:basedOn w:val="Heading1"/>
    <w:next w:val="Normal"/>
    <w:uiPriority w:val="39"/>
    <w:qFormat/>
    <w:pPr>
      <w:spacing w:line="259" w:lineRule="auto"/>
      <w:jc w:val="left"/>
      <w:outlineLvl w:val="9"/>
    </w:pPr>
    <w:rPr>
      <w:color w:val="4472C4"/>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UnresolvedMention1">
    <w:name w:val="Unresolved Mention1"/>
    <w:basedOn w:val="DefaultParagraphFon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63309-CEE4-4421-A7EB-467B5EA37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3087</Words>
  <Characters>17600</Characters>
  <Application>Microsoft Office Word</Application>
  <DocSecurity>0</DocSecurity>
  <Lines>146</Lines>
  <Paragraphs>41</Paragraphs>
  <ScaleCrop>false</ScaleCrop>
  <LinksUpToDate>false</LinksUpToDate>
  <CharactersWithSpaces>20646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2023-10-19T14:27:00Z</dcterms:created>
  <dcterms:modified xsi:type="dcterms:W3CDTF">2024-03-01T18:32:00Z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a23b859f27b24a95ac77746e7957c09d</vt:lpwstr>
  </property>
</Properties>
</file>