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354CD" w:rsidRDefault="001354CD" w:rsidP="005B5ADA">
      <w:pPr>
        <w:jc w:val="center"/>
      </w:pPr>
      <w:r>
        <w:t xml:space="preserve">Explore ways in which the sacred and secular parts of </w:t>
      </w:r>
      <w:r w:rsidRPr="001354CD">
        <w:rPr>
          <w:i/>
        </w:rPr>
        <w:t>The Second Shepherd’s Pageant</w:t>
      </w:r>
      <w:r>
        <w:t xml:space="preserve"> relate to each other. In the light of your observations, what, in your view, is the purpose of the play?</w:t>
      </w:r>
    </w:p>
    <w:p w:rsidR="005B5ADA" w:rsidRPr="0083737C" w:rsidRDefault="005B5ADA" w:rsidP="001354CD">
      <w:pPr>
        <w:rPr>
          <w:color w:val="000000" w:themeColor="text1"/>
        </w:rPr>
      </w:pPr>
    </w:p>
    <w:p w:rsidR="001354CD" w:rsidRDefault="001354CD" w:rsidP="001354CD">
      <w:r>
        <w:t xml:space="preserve">In this essay I will be exploring how the </w:t>
      </w:r>
      <w:r w:rsidR="00C75648">
        <w:t xml:space="preserve">secular and sacred </w:t>
      </w:r>
      <w:r>
        <w:t xml:space="preserve">sections of </w:t>
      </w:r>
      <w:r w:rsidRPr="00563D9A">
        <w:rPr>
          <w:i/>
        </w:rPr>
        <w:t>The Second Shepherd’s Pageant</w:t>
      </w:r>
      <w:r>
        <w:t xml:space="preserve"> correlate with one and other and why that may be telling of the aim of the play as a whole.</w:t>
      </w:r>
    </w:p>
    <w:p w:rsidR="00224B8E" w:rsidRDefault="00C75648" w:rsidP="001B2315">
      <w:r>
        <w:t xml:space="preserve">Firstly, the secular </w:t>
      </w:r>
      <w:r w:rsidR="0006734D">
        <w:t xml:space="preserve">section of the play </w:t>
      </w:r>
      <w:r>
        <w:t>mirrors the sacre</w:t>
      </w:r>
      <w:r w:rsidR="000D2074">
        <w:t>d in the theme of the nativity</w:t>
      </w:r>
      <w:r w:rsidR="00551CC2">
        <w:t>. A prime example of this is</w:t>
      </w:r>
      <w:r w:rsidR="00DF53B8">
        <w:t xml:space="preserve"> the image of the Shepherds gathered around </w:t>
      </w:r>
      <w:proofErr w:type="spellStart"/>
      <w:r w:rsidR="00DF53B8">
        <w:t>Mak’s</w:t>
      </w:r>
      <w:proofErr w:type="spellEnd"/>
      <w:r w:rsidR="00DF53B8">
        <w:t xml:space="preserve"> child</w:t>
      </w:r>
      <w:r w:rsidR="00320B5E">
        <w:t xml:space="preserve"> in the secular part of the play</w:t>
      </w:r>
      <w:r w:rsidR="00DD062E">
        <w:rPr>
          <w:rStyle w:val="FootnoteReference"/>
        </w:rPr>
        <w:footnoteReference w:id="1"/>
      </w:r>
      <w:r w:rsidR="00DF53B8">
        <w:t>, compared to their gathering around Mary’s child</w:t>
      </w:r>
      <w:r w:rsidR="00320B5E">
        <w:t xml:space="preserve"> in the sacred</w:t>
      </w:r>
      <w:r w:rsidR="00FC3406">
        <w:t>.</w:t>
      </w:r>
      <w:r w:rsidR="00594394">
        <w:rPr>
          <w:rStyle w:val="FootnoteReference"/>
        </w:rPr>
        <w:footnoteReference w:id="2"/>
      </w:r>
      <w:r w:rsidR="004409A5">
        <w:t xml:space="preserve"> </w:t>
      </w:r>
      <w:r w:rsidR="0093720E">
        <w:t xml:space="preserve">Another instance of a specific connection between the two sections is </w:t>
      </w:r>
      <w:r w:rsidR="007D2452">
        <w:t>t</w:t>
      </w:r>
      <w:r w:rsidR="004A3490">
        <w:t>he Shepherds</w:t>
      </w:r>
      <w:r w:rsidR="007D2452">
        <w:t>’</w:t>
      </w:r>
      <w:r w:rsidR="004A3490">
        <w:t xml:space="preserve"> </w:t>
      </w:r>
      <w:r w:rsidR="00CA527B">
        <w:t xml:space="preserve">impatience </w:t>
      </w:r>
      <w:r w:rsidR="007D2452">
        <w:t xml:space="preserve">to reach both </w:t>
      </w:r>
      <w:proofErr w:type="spellStart"/>
      <w:r w:rsidR="007D2452">
        <w:t>Mak’s</w:t>
      </w:r>
      <w:proofErr w:type="spellEnd"/>
      <w:r w:rsidR="007D2452">
        <w:t xml:space="preserve"> cottage and Bethlehem.</w:t>
      </w:r>
      <w:r w:rsidR="00977381">
        <w:t xml:space="preserve"> The shepherds would not rest until they had reached their suspect’s cottage, as displayed by the third shepherd stating, “I will rest in no place [</w:t>
      </w:r>
      <w:r w:rsidR="00977381" w:rsidRPr="00973DF0">
        <w:rPr>
          <w:i/>
        </w:rPr>
        <w:t>stead</w:t>
      </w:r>
      <w:r w:rsidR="004F1E85">
        <w:t>] until I greet him”</w:t>
      </w:r>
      <w:r w:rsidR="00FC3406">
        <w:t>.</w:t>
      </w:r>
      <w:r w:rsidR="004F1E85">
        <w:rPr>
          <w:rStyle w:val="FootnoteReference"/>
        </w:rPr>
        <w:footnoteReference w:id="3"/>
      </w:r>
      <w:r w:rsidR="00FC3406">
        <w:t xml:space="preserve"> </w:t>
      </w:r>
      <w:r w:rsidR="00977381">
        <w:t xml:space="preserve">This notion is strengthened by </w:t>
      </w:r>
      <w:proofErr w:type="spellStart"/>
      <w:r w:rsidR="00977381">
        <w:t>Mak</w:t>
      </w:r>
      <w:proofErr w:type="spellEnd"/>
      <w:r w:rsidR="00977381">
        <w:t xml:space="preserve"> himself, noting</w:t>
      </w:r>
      <w:r w:rsidR="00CE3131">
        <w:t>,</w:t>
      </w:r>
      <w:r w:rsidR="00977381">
        <w:t xml:space="preserve"> “you have run through the bog [</w:t>
      </w:r>
      <w:r w:rsidR="00977381" w:rsidRPr="00762856">
        <w:rPr>
          <w:i/>
        </w:rPr>
        <w:t>mire</w:t>
      </w:r>
      <w:r w:rsidR="009A3C10">
        <w:t>], and are still wet”</w:t>
      </w:r>
      <w:r w:rsidR="005D3485">
        <w:rPr>
          <w:rStyle w:val="FootnoteReference"/>
        </w:rPr>
        <w:footnoteReference w:id="4"/>
      </w:r>
      <w:r w:rsidR="009A3C10">
        <w:t xml:space="preserve"> when they arrive. </w:t>
      </w:r>
      <w:r w:rsidR="000A2E96">
        <w:t>Later, they have the same agitation t</w:t>
      </w:r>
      <w:r w:rsidR="00762856">
        <w:t xml:space="preserve">o arrive at Bethlehem after </w:t>
      </w:r>
      <w:r w:rsidR="000A2E96">
        <w:t>Gabriel visits them.</w:t>
      </w:r>
      <w:r w:rsidR="003544B8">
        <w:t xml:space="preserve"> Contrasting to </w:t>
      </w:r>
      <w:proofErr w:type="spellStart"/>
      <w:r w:rsidR="003544B8">
        <w:t>Mak’s</w:t>
      </w:r>
      <w:proofErr w:type="spellEnd"/>
      <w:r w:rsidR="003544B8">
        <w:t xml:space="preserve"> line, the first Shepherd </w:t>
      </w:r>
      <w:r w:rsidR="005D3E40">
        <w:t>instructs the other Shepherds to,</w:t>
      </w:r>
      <w:r w:rsidR="007A3572">
        <w:t xml:space="preserve"> “hasten [</w:t>
      </w:r>
      <w:proofErr w:type="spellStart"/>
      <w:r w:rsidR="007A3572" w:rsidRPr="00587FD1">
        <w:rPr>
          <w:i/>
        </w:rPr>
        <w:t>Hie</w:t>
      </w:r>
      <w:proofErr w:type="spellEnd"/>
      <w:r w:rsidR="007A3572">
        <w:t xml:space="preserve">] to that place, even </w:t>
      </w:r>
      <w:r w:rsidR="008E13CB">
        <w:t>if [</w:t>
      </w:r>
      <w:r w:rsidR="008E13CB" w:rsidRPr="00587FD1">
        <w:rPr>
          <w:i/>
        </w:rPr>
        <w:t>if</w:t>
      </w:r>
      <w:r w:rsidR="004B4BB3">
        <w:t>] we are wet and weary”.</w:t>
      </w:r>
      <w:r w:rsidR="0051331E">
        <w:rPr>
          <w:rStyle w:val="FootnoteReference"/>
        </w:rPr>
        <w:footnoteReference w:id="5"/>
      </w:r>
      <w:r w:rsidR="008E13CB">
        <w:t xml:space="preserve"> </w:t>
      </w:r>
      <w:r w:rsidR="00DB1F47" w:rsidRPr="00DB1F47">
        <w:rPr>
          <w:color w:val="000000" w:themeColor="text1"/>
        </w:rPr>
        <w:t>There is also</w:t>
      </w:r>
      <w:r w:rsidR="00DF53B8" w:rsidRPr="00DB1F47">
        <w:rPr>
          <w:color w:val="000000" w:themeColor="text1"/>
        </w:rPr>
        <w:t xml:space="preserve"> </w:t>
      </w:r>
      <w:r w:rsidR="004262D3" w:rsidRPr="00DB1F47">
        <w:rPr>
          <w:color w:val="000000" w:themeColor="text1"/>
        </w:rPr>
        <w:t xml:space="preserve">a </w:t>
      </w:r>
      <w:r w:rsidR="004262D3">
        <w:t xml:space="preserve">correlation </w:t>
      </w:r>
      <w:r w:rsidR="00B56B08">
        <w:t xml:space="preserve">in how the </w:t>
      </w:r>
      <w:r w:rsidR="00A2128D">
        <w:t xml:space="preserve">differing </w:t>
      </w:r>
      <w:r w:rsidR="00B56B08">
        <w:t>babies are addressed by the Shepherds.</w:t>
      </w:r>
      <w:r w:rsidR="004262D3">
        <w:t xml:space="preserve"> </w:t>
      </w:r>
      <w:r w:rsidR="00AF15DF">
        <w:t xml:space="preserve">The sheep masquerading as </w:t>
      </w:r>
      <w:proofErr w:type="spellStart"/>
      <w:r w:rsidR="00AF15DF">
        <w:t>Mak’s</w:t>
      </w:r>
      <w:proofErr w:type="spellEnd"/>
      <w:r w:rsidR="00AF15DF">
        <w:t xml:space="preserve"> child </w:t>
      </w:r>
      <w:r w:rsidR="00B56B08">
        <w:t>is addressed as “that little star [</w:t>
      </w:r>
      <w:r w:rsidR="00B56B08" w:rsidRPr="003E177E">
        <w:rPr>
          <w:i/>
        </w:rPr>
        <w:t>day-</w:t>
      </w:r>
      <w:proofErr w:type="spellStart"/>
      <w:r w:rsidR="00B56B08" w:rsidRPr="003E177E">
        <w:rPr>
          <w:i/>
        </w:rPr>
        <w:t>starn</w:t>
      </w:r>
      <w:proofErr w:type="spellEnd"/>
      <w:r w:rsidR="00DB25FF">
        <w:t>]”</w:t>
      </w:r>
      <w:r w:rsidR="00AA6456">
        <w:rPr>
          <w:rStyle w:val="FootnoteReference"/>
        </w:rPr>
        <w:footnoteReference w:id="6"/>
      </w:r>
      <w:r w:rsidR="00DB25FF">
        <w:t xml:space="preserve"> by the S</w:t>
      </w:r>
      <w:r w:rsidR="00AF15DF">
        <w:t>hepherds</w:t>
      </w:r>
      <w:r w:rsidR="00B56B08">
        <w:t>. Likewise</w:t>
      </w:r>
      <w:r w:rsidR="00EF6F2D">
        <w:t>,</w:t>
      </w:r>
      <w:r w:rsidR="00B56B08">
        <w:t xml:space="preserve"> the child of Bethlehem is addressed in the exact</w:t>
      </w:r>
      <w:r w:rsidR="00587FD1">
        <w:t xml:space="preserve"> same manner, “little day-star”</w:t>
      </w:r>
      <w:r w:rsidR="00C33B53">
        <w:rPr>
          <w:rStyle w:val="FootnoteReference"/>
        </w:rPr>
        <w:footnoteReference w:id="7"/>
      </w:r>
      <w:r w:rsidR="00587FD1">
        <w:t xml:space="preserve"> </w:t>
      </w:r>
      <w:r w:rsidR="00587FD1">
        <w:t xml:space="preserve">- presumably pertaining </w:t>
      </w:r>
      <w:r w:rsidR="008F4BD4">
        <w:t xml:space="preserve">here </w:t>
      </w:r>
      <w:r w:rsidR="00587FD1">
        <w:t>to the star of Bethlehem</w:t>
      </w:r>
      <w:r w:rsidR="00587FD1">
        <w:t xml:space="preserve">. </w:t>
      </w:r>
      <w:r w:rsidR="00DB25FF">
        <w:t xml:space="preserve">The effect of this </w:t>
      </w:r>
      <w:r w:rsidR="008E13CB">
        <w:t xml:space="preserve">striking </w:t>
      </w:r>
      <w:r w:rsidR="005604AD">
        <w:t xml:space="preserve">parody </w:t>
      </w:r>
      <w:r w:rsidR="00DB25FF">
        <w:t>on</w:t>
      </w:r>
      <w:r w:rsidR="00224B8E">
        <w:t xml:space="preserve"> the audience is one of comedy.</w:t>
      </w:r>
      <w:r w:rsidR="00753552" w:rsidRPr="00753552">
        <w:t xml:space="preserve"> </w:t>
      </w:r>
      <w:r w:rsidR="00753552">
        <w:t xml:space="preserve">Mystery plays were performed </w:t>
      </w:r>
      <w:r w:rsidR="00830E03">
        <w:t>on</w:t>
      </w:r>
      <w:r w:rsidR="00753552">
        <w:t xml:space="preserve"> the Christian feas</w:t>
      </w:r>
      <w:r w:rsidR="00B14AF4">
        <w:t>ts of Corpus Christi or Whitsun</w:t>
      </w:r>
      <w:r w:rsidR="00665F57">
        <w:t>tide</w:t>
      </w:r>
      <w:r w:rsidR="00830E03">
        <w:t>,</w:t>
      </w:r>
      <w:r w:rsidR="00B14AF4">
        <w:t xml:space="preserve"> which were both a </w:t>
      </w:r>
      <w:r w:rsidR="003F3D79">
        <w:t>mix of celebration and</w:t>
      </w:r>
      <w:r w:rsidR="00B14AF4">
        <w:t xml:space="preserve"> “religious instruction”</w:t>
      </w:r>
      <w:r w:rsidR="003F3D79">
        <w:t>.</w:t>
      </w:r>
      <w:r w:rsidR="0095265C">
        <w:rPr>
          <w:rStyle w:val="FootnoteReference"/>
        </w:rPr>
        <w:footnoteReference w:id="8"/>
      </w:r>
      <w:r w:rsidR="00225540">
        <w:t xml:space="preserve"> </w:t>
      </w:r>
      <w:r w:rsidR="00753552">
        <w:t>Arnold Williams explains that we may not go wrong in supposing most</w:t>
      </w:r>
      <w:r w:rsidR="0063203F">
        <w:t xml:space="preserve"> of the “great farce situations in the cycles”</w:t>
      </w:r>
      <w:r w:rsidR="00AF4F8A">
        <w:rPr>
          <w:rStyle w:val="FootnoteReference"/>
        </w:rPr>
        <w:footnoteReference w:id="9"/>
      </w:r>
      <w:r w:rsidR="00753552">
        <w:t xml:space="preserve"> to be in the name of festivity. </w:t>
      </w:r>
      <w:r w:rsidR="00F8612D">
        <w:t>“Life in medieval times was much more orientated towards religion”</w:t>
      </w:r>
      <w:r w:rsidR="00AF4F8A">
        <w:rPr>
          <w:rStyle w:val="FootnoteReference"/>
        </w:rPr>
        <w:footnoteReference w:id="10"/>
      </w:r>
      <w:r w:rsidR="0004730F">
        <w:t xml:space="preserve"> </w:t>
      </w:r>
      <w:r w:rsidR="009D0E5C">
        <w:t>and since there was an</w:t>
      </w:r>
      <w:r w:rsidR="0058262F">
        <w:t xml:space="preserve"> annual performance in York on C</w:t>
      </w:r>
      <w:r w:rsidR="009D0E5C">
        <w:t>orpus Christi</w:t>
      </w:r>
      <w:r w:rsidR="00AF4F8A">
        <w:rPr>
          <w:rStyle w:val="FootnoteReference"/>
        </w:rPr>
        <w:footnoteReference w:id="11"/>
      </w:r>
      <w:r w:rsidR="0004730F">
        <w:t>,</w:t>
      </w:r>
      <w:r w:rsidR="009D0E5C">
        <w:t xml:space="preserve"> the audience will be well </w:t>
      </w:r>
      <w:r w:rsidR="00862205">
        <w:t>versed in the Nativity</w:t>
      </w:r>
      <w:r w:rsidR="00674795">
        <w:t xml:space="preserve">. </w:t>
      </w:r>
      <w:r w:rsidR="00F8612D">
        <w:t xml:space="preserve">Therefore, the </w:t>
      </w:r>
      <w:r w:rsidR="00862205">
        <w:t>audience will laugh at the Shepherds as</w:t>
      </w:r>
      <w:r w:rsidR="00125258">
        <w:t xml:space="preserve"> they</w:t>
      </w:r>
      <w:r w:rsidR="00862205">
        <w:t xml:space="preserve"> </w:t>
      </w:r>
      <w:r w:rsidR="006C37FD">
        <w:t xml:space="preserve">race towards their destination, or as </w:t>
      </w:r>
      <w:r w:rsidR="009C09AF">
        <w:t xml:space="preserve">they fuss over </w:t>
      </w:r>
      <w:proofErr w:type="spellStart"/>
      <w:r w:rsidR="009C09AF">
        <w:t>Mak’s</w:t>
      </w:r>
      <w:proofErr w:type="spellEnd"/>
      <w:r w:rsidR="00862205">
        <w:t xml:space="preserve"> “child”</w:t>
      </w:r>
      <w:r w:rsidR="000C423B">
        <w:t>, because they will recognise the mock Nativity</w:t>
      </w:r>
      <w:r w:rsidR="00862205">
        <w:t xml:space="preserve">. </w:t>
      </w:r>
      <w:r w:rsidR="00753552">
        <w:t xml:space="preserve">In this </w:t>
      </w:r>
      <w:r w:rsidR="00862205">
        <w:t>manner</w:t>
      </w:r>
      <w:r w:rsidR="00142FAF">
        <w:t xml:space="preserve">, </w:t>
      </w:r>
      <w:r w:rsidR="00753552">
        <w:t xml:space="preserve">the </w:t>
      </w:r>
      <w:r w:rsidR="00862205">
        <w:t>resemblance of the sacred and the secular parts</w:t>
      </w:r>
      <w:r w:rsidR="00753552">
        <w:t xml:space="preserve"> </w:t>
      </w:r>
      <w:r w:rsidR="00862205">
        <w:t>is done for the purpose of making the audience laugh, thus providing</w:t>
      </w:r>
      <w:r w:rsidR="00753552">
        <w:t xml:space="preserve"> entertainment for a day of celebration.</w:t>
      </w:r>
    </w:p>
    <w:p w:rsidR="00211264" w:rsidRDefault="00747C80" w:rsidP="006C1658">
      <w:r>
        <w:t>Moreover, the secular does not merely mirror the sacred to create farce.</w:t>
      </w:r>
      <w:r w:rsidR="005A08FC">
        <w:t xml:space="preserve"> Comic situations take their place in the sac</w:t>
      </w:r>
      <w:r w:rsidR="00B82D8C">
        <w:t>red sections as well, spanning</w:t>
      </w:r>
      <w:r w:rsidR="005A08FC">
        <w:t xml:space="preserve"> comedy over the whole length of the play.</w:t>
      </w:r>
      <w:r w:rsidR="0089261B">
        <w:t xml:space="preserve"> During the </w:t>
      </w:r>
      <w:r w:rsidR="0089261B">
        <w:lastRenderedPageBreak/>
        <w:t xml:space="preserve">final scene, the </w:t>
      </w:r>
      <w:r w:rsidR="00BD0F89">
        <w:t>third Shepherd adds comedy to the</w:t>
      </w:r>
      <w:r w:rsidR="0088000E">
        <w:t xml:space="preserve"> true</w:t>
      </w:r>
      <w:r w:rsidR="00BD0F89">
        <w:t xml:space="preserve"> </w:t>
      </w:r>
      <w:r w:rsidR="00C348F0">
        <w:t>Nativity with his line,</w:t>
      </w:r>
      <w:r w:rsidR="005C46EA">
        <w:t xml:space="preserve"> “Truly, already it seems to be told very often.”</w:t>
      </w:r>
      <w:r w:rsidR="0088000E">
        <w:rPr>
          <w:rStyle w:val="FootnoteReference"/>
        </w:rPr>
        <w:footnoteReference w:id="12"/>
      </w:r>
      <w:r w:rsidR="005C46EA">
        <w:t xml:space="preserve"> </w:t>
      </w:r>
      <w:r w:rsidR="00951E41">
        <w:t>Whilst this</w:t>
      </w:r>
      <w:r w:rsidR="005C46EA">
        <w:t xml:space="preserve"> could be an allusion to the fact that word has </w:t>
      </w:r>
      <w:r w:rsidR="0057237A">
        <w:t xml:space="preserve">already </w:t>
      </w:r>
      <w:r w:rsidR="00424069">
        <w:t>spread of the M</w:t>
      </w:r>
      <w:r w:rsidR="005C46EA">
        <w:t xml:space="preserve">essiah, </w:t>
      </w:r>
      <w:r w:rsidR="00951E41">
        <w:t xml:space="preserve">the humour of it </w:t>
      </w:r>
      <w:r w:rsidR="00941A8C">
        <w:t>stems from the</w:t>
      </w:r>
      <w:r w:rsidR="005C46EA">
        <w:t xml:space="preserve"> </w:t>
      </w:r>
      <w:r w:rsidR="00941A8C">
        <w:t>r</w:t>
      </w:r>
      <w:r w:rsidR="00494673">
        <w:t xml:space="preserve">eference </w:t>
      </w:r>
      <w:r w:rsidR="00941A8C">
        <w:t xml:space="preserve">it also makes </w:t>
      </w:r>
      <w:r w:rsidR="005C46EA">
        <w:t>to</w:t>
      </w:r>
      <w:r w:rsidR="0057237A">
        <w:t>wards</w:t>
      </w:r>
      <w:r w:rsidR="005C46EA">
        <w:t xml:space="preserve"> the </w:t>
      </w:r>
      <w:r w:rsidR="00494673">
        <w:t xml:space="preserve">secular </w:t>
      </w:r>
      <w:r w:rsidR="005C46EA">
        <w:t xml:space="preserve">scenes </w:t>
      </w:r>
      <w:r w:rsidR="00494673">
        <w:t xml:space="preserve">with </w:t>
      </w:r>
      <w:proofErr w:type="spellStart"/>
      <w:r w:rsidR="00494673">
        <w:t>Mak</w:t>
      </w:r>
      <w:proofErr w:type="spellEnd"/>
      <w:r w:rsidR="00494673">
        <w:t xml:space="preserve"> and Gill.</w:t>
      </w:r>
      <w:r w:rsidR="00801D6E">
        <w:t xml:space="preserve"> Furthermore, </w:t>
      </w:r>
      <w:r w:rsidR="00E17E26">
        <w:t xml:space="preserve">the gifts the </w:t>
      </w:r>
      <w:r w:rsidR="00E849BD">
        <w:t xml:space="preserve">Shepherds bestow upon the baby </w:t>
      </w:r>
      <w:r w:rsidR="0088056A">
        <w:t>are comedic</w:t>
      </w:r>
      <w:r w:rsidR="006C1658">
        <w:t xml:space="preserve">. </w:t>
      </w:r>
      <w:r w:rsidR="00DC782F">
        <w:t>Though t</w:t>
      </w:r>
      <w:r w:rsidR="006C1658">
        <w:t xml:space="preserve">he gifts of the Shepherds are another example of </w:t>
      </w:r>
      <w:r w:rsidR="0064128C">
        <w:t xml:space="preserve">the </w:t>
      </w:r>
      <w:r w:rsidR="006C1658">
        <w:t>sacred and the secular mirroring one and other</w:t>
      </w:r>
      <w:r w:rsidR="005740B6">
        <w:rPr>
          <w:rStyle w:val="FootnoteReference"/>
        </w:rPr>
        <w:footnoteReference w:id="13"/>
      </w:r>
      <w:r w:rsidR="00DC782F">
        <w:t>,</w:t>
      </w:r>
      <w:r w:rsidR="00F1304D">
        <w:t xml:space="preserve"> </w:t>
      </w:r>
      <w:r w:rsidR="00DC782F">
        <w:t>in the sacred part of the play</w:t>
      </w:r>
      <w:r w:rsidR="006C1658">
        <w:t xml:space="preserve"> the gifts become </w:t>
      </w:r>
      <w:r w:rsidR="00F1304D">
        <w:t>more specific.</w:t>
      </w:r>
      <w:r w:rsidR="00365945">
        <w:t xml:space="preserve"> They include a bob of cherries, a bird and a ball</w:t>
      </w:r>
      <w:r w:rsidR="009F5588">
        <w:t>.</w:t>
      </w:r>
      <w:r w:rsidR="009F5588">
        <w:rPr>
          <w:rStyle w:val="FootnoteReference"/>
        </w:rPr>
        <w:footnoteReference w:id="14"/>
      </w:r>
      <w:r w:rsidR="009F5588">
        <w:t xml:space="preserve"> </w:t>
      </w:r>
      <w:r w:rsidR="00211264">
        <w:t>These gifts, according to Williams, are a common occurrence in other cycle plays too, asserting, “Authors seem to vie with one and other to see who can invent the most outrageous gifts.”</w:t>
      </w:r>
      <w:r w:rsidR="000D3C17">
        <w:rPr>
          <w:rStyle w:val="FootnoteReference"/>
        </w:rPr>
        <w:footnoteReference w:id="15"/>
      </w:r>
      <w:r w:rsidR="00982A85">
        <w:t xml:space="preserve"> </w:t>
      </w:r>
      <w:r w:rsidR="00094D1C">
        <w:t>The t</w:t>
      </w:r>
      <w:r w:rsidR="00211264">
        <w:t>hird Shepherd’</w:t>
      </w:r>
      <w:r w:rsidR="00271747">
        <w:t xml:space="preserve">s </w:t>
      </w:r>
      <w:r w:rsidR="00094D1C">
        <w:t xml:space="preserve">gift of a </w:t>
      </w:r>
      <w:r w:rsidR="00211264">
        <w:t xml:space="preserve">ball </w:t>
      </w:r>
      <w:r w:rsidR="00271747">
        <w:t>for the</w:t>
      </w:r>
      <w:r w:rsidR="00211264">
        <w:t xml:space="preserve"> baby Jesus </w:t>
      </w:r>
      <w:r w:rsidR="00094D1C">
        <w:t xml:space="preserve">to </w:t>
      </w:r>
      <w:r w:rsidR="00271747">
        <w:t>“</w:t>
      </w:r>
      <w:r w:rsidR="00DA5924">
        <w:t>go to the tennis”</w:t>
      </w:r>
      <w:r w:rsidR="00E33124">
        <w:rPr>
          <w:rStyle w:val="FootnoteReference"/>
        </w:rPr>
        <w:footnoteReference w:id="16"/>
      </w:r>
      <w:r w:rsidR="002E7899">
        <w:t xml:space="preserve"> </w:t>
      </w:r>
      <w:r w:rsidR="00271747">
        <w:t xml:space="preserve">with </w:t>
      </w:r>
      <w:r w:rsidR="00211264">
        <w:t xml:space="preserve">certainly seems to </w:t>
      </w:r>
      <w:r w:rsidR="00514E5F">
        <w:t xml:space="preserve">pander to the idea of </w:t>
      </w:r>
      <w:r w:rsidR="000C5DA4">
        <w:t>the presents</w:t>
      </w:r>
      <w:r w:rsidR="00514E5F">
        <w:t xml:space="preserve"> being </w:t>
      </w:r>
      <w:r w:rsidR="00B22072">
        <w:t>purely for the audience’s entertainment</w:t>
      </w:r>
      <w:r w:rsidR="00514E5F">
        <w:t>.</w:t>
      </w:r>
      <w:r w:rsidR="007E0331">
        <w:t xml:space="preserve"> </w:t>
      </w:r>
      <w:r w:rsidR="00E4550D">
        <w:t xml:space="preserve">Thus, the comedy is not limited to the secular </w:t>
      </w:r>
      <w:r w:rsidR="008310FD">
        <w:t xml:space="preserve">playing off of the sacred; rather, </w:t>
      </w:r>
      <w:r w:rsidR="00A51ED2">
        <w:t>humour</w:t>
      </w:r>
      <w:r w:rsidR="008310FD">
        <w:t xml:space="preserve"> integrates itself throughout the play. In this case, it would appear t</w:t>
      </w:r>
      <w:r w:rsidR="00355CDE">
        <w:t xml:space="preserve">hat </w:t>
      </w:r>
      <w:r w:rsidR="008310FD">
        <w:t xml:space="preserve">the main purpose </w:t>
      </w:r>
      <w:r w:rsidR="00355CDE">
        <w:t xml:space="preserve">across both the secular and the sacred sections of the play is </w:t>
      </w:r>
      <w:r w:rsidR="007D6852">
        <w:t>entertainment.</w:t>
      </w:r>
    </w:p>
    <w:p w:rsidR="00563D9A" w:rsidRDefault="006706B8" w:rsidP="001B2315">
      <w:r>
        <w:t>However,</w:t>
      </w:r>
      <w:r w:rsidR="00B13FE5">
        <w:t xml:space="preserve"> </w:t>
      </w:r>
      <w:r>
        <w:t>Williams later bring</w:t>
      </w:r>
      <w:r w:rsidR="00F1074C">
        <w:t>s his own point into disrepute, going</w:t>
      </w:r>
      <w:r>
        <w:t xml:space="preserve"> on to </w:t>
      </w:r>
      <w:r w:rsidR="00774047">
        <w:t>wonder if the Shepherd’s gifts are actually meant to be funny.</w:t>
      </w:r>
      <w:r w:rsidR="00F1074C">
        <w:rPr>
          <w:rStyle w:val="FootnoteReference"/>
        </w:rPr>
        <w:footnoteReference w:id="17"/>
      </w:r>
      <w:r w:rsidR="00236152">
        <w:t xml:space="preserve"> </w:t>
      </w:r>
      <w:r w:rsidR="00C7530A">
        <w:t xml:space="preserve">There is much more emphasis on the gifts given to the </w:t>
      </w:r>
      <w:r w:rsidR="00E153D5">
        <w:t>child of Mary</w:t>
      </w:r>
      <w:r w:rsidR="00323B3A">
        <w:t xml:space="preserve"> than the child of </w:t>
      </w:r>
      <w:proofErr w:type="spellStart"/>
      <w:r w:rsidR="00323B3A">
        <w:t>Mak</w:t>
      </w:r>
      <w:proofErr w:type="spellEnd"/>
      <w:r w:rsidR="00323B3A">
        <w:t xml:space="preserve">. </w:t>
      </w:r>
      <w:r w:rsidR="00BE2C6B">
        <w:t>In the sacred section e</w:t>
      </w:r>
      <w:r w:rsidR="00323B3A">
        <w:t>ach Shepherd emits a speech as he be</w:t>
      </w:r>
      <w:r w:rsidR="00CD71B4">
        <w:t>stows his gift -</w:t>
      </w:r>
      <w:r w:rsidR="003A5F09">
        <w:t xml:space="preserve"> illustrating the</w:t>
      </w:r>
      <w:r w:rsidR="00323B3A">
        <w:t xml:space="preserve"> importance </w:t>
      </w:r>
      <w:r w:rsidR="003A5F09">
        <w:t>of the moment</w:t>
      </w:r>
      <w:r w:rsidR="00323B3A">
        <w:t>.</w:t>
      </w:r>
      <w:r w:rsidR="00FC3ABA">
        <w:rPr>
          <w:rStyle w:val="FootnoteReference"/>
        </w:rPr>
        <w:footnoteReference w:id="18"/>
      </w:r>
      <w:r w:rsidR="009E43BD">
        <w:t xml:space="preserve"> </w:t>
      </w:r>
      <w:r w:rsidR="00323B3A">
        <w:t xml:space="preserve">Back in the secular section of the play, </w:t>
      </w:r>
      <w:r w:rsidR="00797648">
        <w:t>the gift of “sixpence”</w:t>
      </w:r>
      <w:r w:rsidR="009E43BD">
        <w:rPr>
          <w:rStyle w:val="FootnoteReference"/>
        </w:rPr>
        <w:footnoteReference w:id="19"/>
      </w:r>
      <w:r w:rsidR="00D55065">
        <w:t xml:space="preserve"> </w:t>
      </w:r>
      <w:r w:rsidR="000305E3">
        <w:t>is</w:t>
      </w:r>
      <w:r w:rsidR="00323B3A">
        <w:t xml:space="preserve"> an afterthought, displayed by the third Shepherd </w:t>
      </w:r>
      <w:r w:rsidR="003A5F09">
        <w:t xml:space="preserve">running back in </w:t>
      </w:r>
      <w:r w:rsidR="000305E3">
        <w:t>again.</w:t>
      </w:r>
      <w:r w:rsidR="00995FB2">
        <w:t xml:space="preserve"> </w:t>
      </w:r>
      <w:r w:rsidR="00B80019">
        <w:t>As Wi</w:t>
      </w:r>
      <w:r w:rsidR="00C559D2">
        <w:t xml:space="preserve">lliams says, “[the Shepherds] are </w:t>
      </w:r>
      <w:r w:rsidR="00B80019">
        <w:t>poor men”.</w:t>
      </w:r>
      <w:r w:rsidR="00EB7F79">
        <w:rPr>
          <w:rStyle w:val="FootnoteReference"/>
        </w:rPr>
        <w:footnoteReference w:id="20"/>
      </w:r>
      <w:r w:rsidR="00B80019">
        <w:t xml:space="preserve"> </w:t>
      </w:r>
      <w:r w:rsidR="00FC47FB">
        <w:t xml:space="preserve">Excepting </w:t>
      </w:r>
      <w:r w:rsidR="009F6A02">
        <w:t xml:space="preserve">the </w:t>
      </w:r>
      <w:r w:rsidR="00B648AF">
        <w:t xml:space="preserve">comment on </w:t>
      </w:r>
      <w:r w:rsidR="00FC47FB">
        <w:t>the ball, the</w:t>
      </w:r>
      <w:r w:rsidR="009D2AD9">
        <w:t xml:space="preserve"> ball itself, the</w:t>
      </w:r>
      <w:r w:rsidR="00FC47FB">
        <w:t xml:space="preserve"> cherries and the bird are </w:t>
      </w:r>
      <w:r w:rsidR="00B648AF">
        <w:t>humble, but not ludicrous.</w:t>
      </w:r>
      <w:r w:rsidR="00077DDF">
        <w:t xml:space="preserve"> </w:t>
      </w:r>
      <w:r w:rsidR="00274E11">
        <w:t>Given the weight of the scene, especially with it being the last, the religious education provided by the play suddenly outranks the comedy</w:t>
      </w:r>
      <w:r w:rsidR="00274E11">
        <w:t xml:space="preserve"> in the secular. This gives the impression, as </w:t>
      </w:r>
      <w:proofErr w:type="spellStart"/>
      <w:r w:rsidR="00A54C12">
        <w:t>Happe</w:t>
      </w:r>
      <w:proofErr w:type="spellEnd"/>
      <w:r w:rsidR="00A54C12">
        <w:t xml:space="preserve"> </w:t>
      </w:r>
      <w:r w:rsidR="00557B7C">
        <w:t>claims</w:t>
      </w:r>
      <w:r w:rsidR="00274E11">
        <w:t>,</w:t>
      </w:r>
      <w:r w:rsidR="00557B7C">
        <w:t xml:space="preserve"> </w:t>
      </w:r>
      <w:r w:rsidR="00077DDF">
        <w:t xml:space="preserve">that </w:t>
      </w:r>
      <w:r w:rsidR="00557B7C">
        <w:t>“morally and p</w:t>
      </w:r>
      <w:r w:rsidR="00E9264A">
        <w:t>sychologically the way for the A</w:t>
      </w:r>
      <w:r w:rsidR="00557B7C">
        <w:t>doratio</w:t>
      </w:r>
      <w:r w:rsidR="009A1D1B">
        <w:t>n of the real baby is prepared.”</w:t>
      </w:r>
      <w:r w:rsidR="00274E11">
        <w:rPr>
          <w:rStyle w:val="FootnoteReference"/>
        </w:rPr>
        <w:footnoteReference w:id="21"/>
      </w:r>
      <w:r w:rsidR="00274E11">
        <w:t xml:space="preserve"> </w:t>
      </w:r>
      <w:proofErr w:type="gramStart"/>
      <w:r w:rsidR="005430EE">
        <w:t>by</w:t>
      </w:r>
      <w:proofErr w:type="gramEnd"/>
      <w:r w:rsidR="005430EE">
        <w:t xml:space="preserve"> </w:t>
      </w:r>
      <w:r w:rsidR="00E44D81">
        <w:t>said</w:t>
      </w:r>
      <w:r w:rsidR="009A1D1B">
        <w:t xml:space="preserve"> comedy. </w:t>
      </w:r>
      <w:r w:rsidR="00AB0319">
        <w:t xml:space="preserve">Yet, the comedy </w:t>
      </w:r>
      <w:r w:rsidR="00F34388">
        <w:t xml:space="preserve">provided </w:t>
      </w:r>
      <w:r w:rsidR="00AB0319">
        <w:t xml:space="preserve">in the sacred </w:t>
      </w:r>
      <w:r w:rsidR="00B93DF9">
        <w:t xml:space="preserve">does not diminish with </w:t>
      </w:r>
      <w:r w:rsidR="00F34388">
        <w:t xml:space="preserve">the </w:t>
      </w:r>
      <w:r w:rsidR="00427FBA">
        <w:t>“sentimentality”</w:t>
      </w:r>
      <w:r w:rsidR="002F16CA">
        <w:rPr>
          <w:rStyle w:val="FootnoteReference"/>
        </w:rPr>
        <w:footnoteReference w:id="22"/>
      </w:r>
      <w:r w:rsidR="007D6867">
        <w:t xml:space="preserve"> created by the </w:t>
      </w:r>
      <w:r w:rsidR="00026E03">
        <w:t xml:space="preserve">modesty of the gifts. </w:t>
      </w:r>
      <w:r w:rsidR="00D4400D">
        <w:t>“Go to the tennis”</w:t>
      </w:r>
      <w:r w:rsidR="003C3FCD">
        <w:rPr>
          <w:rStyle w:val="FootnoteReference"/>
        </w:rPr>
        <w:footnoteReference w:id="23"/>
      </w:r>
      <w:r w:rsidR="00557B7C">
        <w:t xml:space="preserve"> </w:t>
      </w:r>
      <w:r w:rsidR="000D4F04">
        <w:t xml:space="preserve">and “Truly, already </w:t>
      </w:r>
      <w:r w:rsidR="00D4400D">
        <w:t>it seems to be told very often”</w:t>
      </w:r>
      <w:r w:rsidR="003C3FCD">
        <w:rPr>
          <w:rStyle w:val="FootnoteReference"/>
        </w:rPr>
        <w:footnoteReference w:id="24"/>
      </w:r>
      <w:r w:rsidR="00D4400D">
        <w:t xml:space="preserve"> </w:t>
      </w:r>
      <w:r w:rsidR="00557B7C">
        <w:t xml:space="preserve">may be a lasting effort to keep </w:t>
      </w:r>
      <w:r w:rsidR="00026E03">
        <w:t>up</w:t>
      </w:r>
      <w:r w:rsidR="00557B7C">
        <w:t xml:space="preserve"> the light tone of</w:t>
      </w:r>
      <w:r w:rsidR="000D4F04">
        <w:t xml:space="preserve"> the secular parts of the play</w:t>
      </w:r>
      <w:r w:rsidR="00DD4FF1">
        <w:t xml:space="preserve"> within the sacred</w:t>
      </w:r>
      <w:r w:rsidR="000D4F04">
        <w:t>.</w:t>
      </w:r>
      <w:r w:rsidR="000D4F04" w:rsidRPr="000D4F04">
        <w:t xml:space="preserve"> </w:t>
      </w:r>
      <w:r w:rsidR="000D4F04">
        <w:t>As Thomas P. Campbell says, “</w:t>
      </w:r>
      <w:r w:rsidR="0082121A">
        <w:t>the Wakefield M</w:t>
      </w:r>
      <w:r w:rsidR="00237112">
        <w:t xml:space="preserve">aster is able </w:t>
      </w:r>
      <w:r w:rsidR="000D4F04">
        <w:t>simultaneously to communicate</w:t>
      </w:r>
      <w:r w:rsidR="00F72FB9">
        <w:t xml:space="preserve"> both hu</w:t>
      </w:r>
      <w:r w:rsidR="00040295">
        <w:t>mour and reverence.”</w:t>
      </w:r>
      <w:r w:rsidR="00F72FB9">
        <w:rPr>
          <w:rStyle w:val="FootnoteReference"/>
        </w:rPr>
        <w:footnoteReference w:id="25"/>
      </w:r>
      <w:r w:rsidR="003B3AA7">
        <w:t xml:space="preserve"> </w:t>
      </w:r>
      <w:r w:rsidR="00705090">
        <w:t xml:space="preserve">The continuous string of comedy throughout the whole of the play, strengthening the connection between the sacred and the secular, connotes that the </w:t>
      </w:r>
      <w:r w:rsidR="003246F0">
        <w:t>comedy and entertainment</w:t>
      </w:r>
      <w:r w:rsidR="00705090">
        <w:t xml:space="preserve"> of the play</w:t>
      </w:r>
      <w:r w:rsidR="003246F0">
        <w:t xml:space="preserve"> is as </w:t>
      </w:r>
      <w:r w:rsidR="003246F0">
        <w:lastRenderedPageBreak/>
        <w:t>equally important to that of the reverence paid to the holy child.</w:t>
      </w:r>
      <w:r w:rsidR="00B367A6">
        <w:t xml:space="preserve"> Due to this, it can be assumed both entertainment and </w:t>
      </w:r>
      <w:r w:rsidR="00794474">
        <w:t>“religious instruction”</w:t>
      </w:r>
      <w:r w:rsidR="00566976">
        <w:rPr>
          <w:rStyle w:val="FootnoteReference"/>
        </w:rPr>
        <w:footnoteReference w:id="26"/>
      </w:r>
      <w:r w:rsidR="00F5514C">
        <w:t xml:space="preserve"> are key objectives of the play.</w:t>
      </w:r>
    </w:p>
    <w:p w:rsidR="00906003" w:rsidRDefault="00B367A6" w:rsidP="00BB1D85">
      <w:r>
        <w:t>As well as comedy, t</w:t>
      </w:r>
      <w:r w:rsidR="00E312CA">
        <w:t>he</w:t>
      </w:r>
      <w:r w:rsidR="00AD791B">
        <w:t xml:space="preserve"> theme of redemption links both sections together. </w:t>
      </w:r>
      <w:r w:rsidR="00C827A5">
        <w:t>For instance, in the final scene the second Shepherd cries</w:t>
      </w:r>
      <w:r w:rsidR="00E8075D">
        <w:t>, “now we are redeemed</w:t>
      </w:r>
      <w:r w:rsidR="00354C53">
        <w:t xml:space="preserve"> [</w:t>
      </w:r>
      <w:r w:rsidR="00354C53">
        <w:rPr>
          <w:i/>
        </w:rPr>
        <w:t>won</w:t>
      </w:r>
      <w:r w:rsidR="00354C53">
        <w:t>]!</w:t>
      </w:r>
      <w:proofErr w:type="gramStart"/>
      <w:r w:rsidR="00E8075D">
        <w:t>”</w:t>
      </w:r>
      <w:r w:rsidR="00B92039">
        <w:t>.</w:t>
      </w:r>
      <w:proofErr w:type="gramEnd"/>
      <w:r w:rsidR="005E6CA7">
        <w:rPr>
          <w:rStyle w:val="FootnoteReference"/>
        </w:rPr>
        <w:footnoteReference w:id="27"/>
      </w:r>
      <w:r w:rsidR="00713442">
        <w:t xml:space="preserve"> </w:t>
      </w:r>
      <w:r w:rsidR="00BB1D85">
        <w:t xml:space="preserve">On one hand, his outcry is a reference to the </w:t>
      </w:r>
      <w:r w:rsidR="007376B5">
        <w:t>absolution of</w:t>
      </w:r>
      <w:r w:rsidR="00BB1D85">
        <w:t xml:space="preserve"> their own sins from the secular sections of the play; on the other, it refers to the salvation the child will bestow upon humanity as a whole. </w:t>
      </w:r>
      <w:r w:rsidR="000B4C47">
        <w:t>W</w:t>
      </w:r>
      <w:r w:rsidR="00253ECA">
        <w:t xml:space="preserve">hilst </w:t>
      </w:r>
      <w:proofErr w:type="spellStart"/>
      <w:r w:rsidR="00253ECA">
        <w:t>Mak</w:t>
      </w:r>
      <w:proofErr w:type="spellEnd"/>
      <w:r w:rsidR="00253ECA">
        <w:t xml:space="preserve"> is displayed as the “V</w:t>
      </w:r>
      <w:r w:rsidR="000B4C47">
        <w:t>illain”</w:t>
      </w:r>
      <w:r w:rsidR="00253ECA">
        <w:rPr>
          <w:rStyle w:val="FootnoteReference"/>
        </w:rPr>
        <w:footnoteReference w:id="28"/>
      </w:r>
      <w:r w:rsidR="000B4C47">
        <w:t xml:space="preserve">, the Shepherds </w:t>
      </w:r>
      <w:r w:rsidR="00751832">
        <w:t xml:space="preserve">are not particularly </w:t>
      </w:r>
      <w:r w:rsidR="002950F7">
        <w:t xml:space="preserve">pious themselves. </w:t>
      </w:r>
      <w:r w:rsidR="00E241E2">
        <w:t xml:space="preserve">One </w:t>
      </w:r>
      <w:r w:rsidR="00522312">
        <w:t xml:space="preserve">particular aspect of the shortcomings of the Shepherds is the hypocrisy of first Shepherd towards the third. </w:t>
      </w:r>
      <w:r w:rsidR="00B92039">
        <w:t xml:space="preserve">The play </w:t>
      </w:r>
      <w:r w:rsidR="007907D8">
        <w:t>ope</w:t>
      </w:r>
      <w:r w:rsidR="000E109F">
        <w:t xml:space="preserve">ns on </w:t>
      </w:r>
      <w:r w:rsidR="00113D52">
        <w:t>the w</w:t>
      </w:r>
      <w:r w:rsidR="00151082">
        <w:t xml:space="preserve">oes of the first Shepherd, the main being </w:t>
      </w:r>
      <w:r w:rsidR="00D00092">
        <w:t xml:space="preserve">the way Landlords </w:t>
      </w:r>
      <w:r w:rsidR="00F764B3">
        <w:t>treat their tenants</w:t>
      </w:r>
      <w:r w:rsidR="00E30FC6">
        <w:t>: “</w:t>
      </w:r>
      <w:r w:rsidR="00BB4F2A">
        <w:t xml:space="preserve">We are so crippled, [...] reduced to submission [made hand-tamed] </w:t>
      </w:r>
      <w:proofErr w:type="gramStart"/>
      <w:r w:rsidR="00BB4F2A">
        <w:t>By</w:t>
      </w:r>
      <w:proofErr w:type="gramEnd"/>
      <w:r w:rsidR="00BB4F2A">
        <w:t xml:space="preserve"> these gentry landowners.”</w:t>
      </w:r>
      <w:r w:rsidR="00240D35">
        <w:rPr>
          <w:rStyle w:val="FootnoteReference"/>
        </w:rPr>
        <w:footnoteReference w:id="29"/>
      </w:r>
      <w:r w:rsidR="00331360">
        <w:t xml:space="preserve"> In Matthew 7:13, Jesus teaches against judgement and hypocrisy</w:t>
      </w:r>
      <w:r w:rsidR="00821D1E">
        <w:rPr>
          <w:rStyle w:val="FootnoteReference"/>
        </w:rPr>
        <w:footnoteReference w:id="30"/>
      </w:r>
      <w:r w:rsidR="00331360">
        <w:t xml:space="preserve">, yet when the third Shepherd arrives </w:t>
      </w:r>
      <w:r w:rsidR="00DB74BB">
        <w:t>the other</w:t>
      </w:r>
      <w:r w:rsidR="005678AC">
        <w:t xml:space="preserve"> Shepherds </w:t>
      </w:r>
      <w:r w:rsidR="00447BCA">
        <w:t>abuse</w:t>
      </w:r>
      <w:r w:rsidR="005678AC">
        <w:t xml:space="preserve"> him</w:t>
      </w:r>
      <w:r w:rsidR="00447BCA">
        <w:t xml:space="preserve">: </w:t>
      </w:r>
      <w:r w:rsidR="005678AC">
        <w:t>“By the curse of Christ, my boy, you are a lazy hind!”</w:t>
      </w:r>
      <w:r w:rsidR="00702EF1">
        <w:rPr>
          <w:rStyle w:val="FootnoteReference"/>
        </w:rPr>
        <w:footnoteReference w:id="31"/>
      </w:r>
      <w:r w:rsidR="004C6430">
        <w:t xml:space="preserve"> </w:t>
      </w:r>
      <w:r w:rsidR="005B6F3F">
        <w:t xml:space="preserve">The </w:t>
      </w:r>
      <w:r w:rsidR="00447BCA">
        <w:t>“</w:t>
      </w:r>
      <w:r w:rsidR="005628A9">
        <w:t>boy</w:t>
      </w:r>
      <w:r w:rsidR="00447BCA">
        <w:t>”</w:t>
      </w:r>
      <w:r w:rsidR="009D6912">
        <w:rPr>
          <w:rStyle w:val="FootnoteReference"/>
        </w:rPr>
        <w:footnoteReference w:id="32"/>
      </w:r>
      <w:r w:rsidR="005628A9">
        <w:t xml:space="preserve"> calls the first Shepherd “master”</w:t>
      </w:r>
      <w:r w:rsidR="00702EF1">
        <w:rPr>
          <w:rStyle w:val="FootnoteReference"/>
        </w:rPr>
        <w:footnoteReference w:id="33"/>
      </w:r>
      <w:r w:rsidR="00C22571">
        <w:t xml:space="preserve"> giving him </w:t>
      </w:r>
      <w:r w:rsidR="00143B38">
        <w:t>the same relationship to that of the first Shephe</w:t>
      </w:r>
      <w:r w:rsidR="008E65D0">
        <w:t>rd and the “</w:t>
      </w:r>
      <w:proofErr w:type="gramStart"/>
      <w:r w:rsidR="008E65D0">
        <w:t>gentry</w:t>
      </w:r>
      <w:proofErr w:type="gramEnd"/>
      <w:r w:rsidR="008E65D0">
        <w:t xml:space="preserve"> landowners.”</w:t>
      </w:r>
      <w:r w:rsidR="008E65D0">
        <w:rPr>
          <w:rStyle w:val="FootnoteReference"/>
        </w:rPr>
        <w:footnoteReference w:id="34"/>
      </w:r>
      <w:r w:rsidR="008E65D0">
        <w:t xml:space="preserve"> </w:t>
      </w:r>
      <w:r w:rsidR="00D900A5">
        <w:t>In light of this,</w:t>
      </w:r>
      <w:r w:rsidR="00FE40FA">
        <w:t xml:space="preserve"> </w:t>
      </w:r>
      <w:r w:rsidR="003B21C8">
        <w:t>there is a link made from the secular to the sacred part of the play, as the first Shepherd atones</w:t>
      </w:r>
      <w:r w:rsidR="00FE40FA">
        <w:t xml:space="preserve"> for </w:t>
      </w:r>
      <w:r w:rsidR="00E124B3">
        <w:t xml:space="preserve">his </w:t>
      </w:r>
      <w:r w:rsidR="003B21C8">
        <w:t xml:space="preserve">previous </w:t>
      </w:r>
      <w:r w:rsidR="00E124B3">
        <w:t>hypocrisy whe</w:t>
      </w:r>
      <w:r w:rsidR="00987ED3">
        <w:t>n he pays reverence at the end.</w:t>
      </w:r>
      <w:r w:rsidR="00CF0BB8">
        <w:t xml:space="preserve"> </w:t>
      </w:r>
      <w:r w:rsidR="00057D08">
        <w:t xml:space="preserve">Murray </w:t>
      </w:r>
      <w:proofErr w:type="spellStart"/>
      <w:r w:rsidR="00057D08">
        <w:t>Roston</w:t>
      </w:r>
      <w:proofErr w:type="spellEnd"/>
      <w:r w:rsidR="0093108F">
        <w:t xml:space="preserve"> takes o</w:t>
      </w:r>
      <w:r w:rsidR="0041288D">
        <w:t>n this line of thinking as well,</w:t>
      </w:r>
      <w:r w:rsidR="0093108F">
        <w:t xml:space="preserve"> </w:t>
      </w:r>
      <w:r w:rsidR="0041288D">
        <w:t xml:space="preserve">declaring, </w:t>
      </w:r>
      <w:r w:rsidR="00196AC8">
        <w:rPr>
          <w:color w:val="000000" w:themeColor="text1"/>
        </w:rPr>
        <w:t>“</w:t>
      </w:r>
      <w:proofErr w:type="gramStart"/>
      <w:r w:rsidR="00196AC8">
        <w:rPr>
          <w:color w:val="000000" w:themeColor="text1"/>
        </w:rPr>
        <w:t>t</w:t>
      </w:r>
      <w:r w:rsidR="00D7759F" w:rsidRPr="00D7759F">
        <w:rPr>
          <w:color w:val="000000" w:themeColor="text1"/>
        </w:rPr>
        <w:t>he</w:t>
      </w:r>
      <w:proofErr w:type="gramEnd"/>
      <w:r w:rsidR="00D7759F" w:rsidRPr="00D7759F">
        <w:rPr>
          <w:color w:val="000000" w:themeColor="text1"/>
        </w:rPr>
        <w:t xml:space="preserve"> coarse</w:t>
      </w:r>
      <w:r w:rsidR="006C5ED7">
        <w:rPr>
          <w:color w:val="000000" w:themeColor="text1"/>
        </w:rPr>
        <w:t>,</w:t>
      </w:r>
      <w:r w:rsidR="00D7759F" w:rsidRPr="00D7759F">
        <w:rPr>
          <w:color w:val="000000" w:themeColor="text1"/>
        </w:rPr>
        <w:t xml:space="preserve"> ignorant shepherds […</w:t>
      </w:r>
      <w:r w:rsidR="0041288D">
        <w:rPr>
          <w:color w:val="000000" w:themeColor="text1"/>
        </w:rPr>
        <w:t>]</w:t>
      </w:r>
      <w:r w:rsidR="00D7759F" w:rsidRPr="00D7759F">
        <w:rPr>
          <w:color w:val="000000" w:themeColor="text1"/>
        </w:rPr>
        <w:t xml:space="preserve"> walked in darkness before they saw the great light.”</w:t>
      </w:r>
      <w:r w:rsidR="001F2E35">
        <w:rPr>
          <w:rStyle w:val="FootnoteReference"/>
          <w:color w:val="000000" w:themeColor="text1"/>
        </w:rPr>
        <w:footnoteReference w:id="35"/>
      </w:r>
      <w:r w:rsidR="003F44AF">
        <w:rPr>
          <w:color w:val="000000" w:themeColor="text1"/>
        </w:rPr>
        <w:t xml:space="preserve"> </w:t>
      </w:r>
      <w:r w:rsidR="00BE214C">
        <w:t xml:space="preserve">The redemption of the Shepherds is a cause for </w:t>
      </w:r>
      <w:r w:rsidR="00DD6FD3">
        <w:t>merriment</w:t>
      </w:r>
      <w:r w:rsidR="00BE214C">
        <w:t xml:space="preserve">, </w:t>
      </w:r>
      <w:r w:rsidR="00DD6FD3">
        <w:t xml:space="preserve">emphasised by the third Shepherd’s line: </w:t>
      </w:r>
      <w:r w:rsidR="00833CE6">
        <w:t>“our song is of joy</w:t>
      </w:r>
      <w:r w:rsidR="000A5253">
        <w:t>!</w:t>
      </w:r>
      <w:r w:rsidR="00833CE6">
        <w:t>”</w:t>
      </w:r>
      <w:r w:rsidR="00027740">
        <w:rPr>
          <w:rStyle w:val="FootnoteReference"/>
        </w:rPr>
        <w:footnoteReference w:id="36"/>
      </w:r>
      <w:r w:rsidR="009B2351">
        <w:t xml:space="preserve"> </w:t>
      </w:r>
      <w:r w:rsidR="007E2C82">
        <w:t>As such</w:t>
      </w:r>
      <w:r w:rsidR="00616EC4">
        <w:t xml:space="preserve">, the </w:t>
      </w:r>
      <w:r w:rsidR="003C7786">
        <w:t xml:space="preserve">play’s intentions can be inferred to be </w:t>
      </w:r>
      <w:r w:rsidR="000B4EB2">
        <w:t xml:space="preserve">a </w:t>
      </w:r>
      <w:r w:rsidR="00FA10B7">
        <w:t xml:space="preserve">reminder </w:t>
      </w:r>
      <w:r w:rsidR="00CF1563">
        <w:t>of why the feasts of Corpus Christi and Whitsuntide are celebrated</w:t>
      </w:r>
      <w:r w:rsidR="003C7786">
        <w:t>. The saving of the Shepherds</w:t>
      </w:r>
      <w:r w:rsidR="00CF1563">
        <w:t xml:space="preserve"> demonstrates</w:t>
      </w:r>
      <w:r w:rsidR="00616EC4">
        <w:t xml:space="preserve"> that </w:t>
      </w:r>
      <w:r w:rsidR="009E6278">
        <w:t xml:space="preserve">humanity </w:t>
      </w:r>
      <w:r w:rsidR="00616EC4">
        <w:t xml:space="preserve">will receive redemption </w:t>
      </w:r>
      <w:r w:rsidR="00CF1563">
        <w:t xml:space="preserve">in the afterlife </w:t>
      </w:r>
      <w:r w:rsidR="00616EC4">
        <w:t xml:space="preserve">and </w:t>
      </w:r>
      <w:r w:rsidR="003C7786">
        <w:t xml:space="preserve">the subsequent merriment befits the </w:t>
      </w:r>
      <w:r w:rsidR="00CF1563">
        <w:t>atmosphere for these festivities.</w:t>
      </w:r>
    </w:p>
    <w:p w:rsidR="00DE0099" w:rsidRDefault="00DE0099" w:rsidP="00BB1D85">
      <w:r>
        <w:t>On a similar strain, In Scene VII, the second Shepherd describes that the birth of the Saviour will “relieve [</w:t>
      </w:r>
      <w:r w:rsidRPr="00FC4C1E">
        <w:rPr>
          <w:i/>
        </w:rPr>
        <w:t>slake</w:t>
      </w:r>
      <w:r>
        <w:t>] it, our race [</w:t>
      </w:r>
      <w:r w:rsidRPr="00980A86">
        <w:rPr>
          <w:i/>
        </w:rPr>
        <w:t>kind</w:t>
      </w:r>
      <w:r>
        <w:t>], from misery”.</w:t>
      </w:r>
      <w:r w:rsidR="00D46CC3">
        <w:rPr>
          <w:rStyle w:val="FootnoteReference"/>
        </w:rPr>
        <w:footnoteReference w:id="37"/>
      </w:r>
      <w:r w:rsidR="00C06FC5">
        <w:t xml:space="preserve"> </w:t>
      </w:r>
      <w:r w:rsidR="00B74308">
        <w:t>The notion of</w:t>
      </w:r>
      <w:r w:rsidR="00FF5773">
        <w:t xml:space="preserve"> </w:t>
      </w:r>
      <w:r w:rsidR="00846253">
        <w:t xml:space="preserve">the </w:t>
      </w:r>
      <w:r w:rsidR="00FF766E">
        <w:t>“</w:t>
      </w:r>
      <w:r w:rsidR="00FF5773">
        <w:t>m</w:t>
      </w:r>
      <w:r>
        <w:t>isery</w:t>
      </w:r>
      <w:r w:rsidR="00FF766E">
        <w:t>”</w:t>
      </w:r>
      <w:r w:rsidR="00605A40">
        <w:rPr>
          <w:rStyle w:val="FootnoteReference"/>
        </w:rPr>
        <w:footnoteReference w:id="38"/>
      </w:r>
      <w:r w:rsidR="00846253">
        <w:t xml:space="preserve"> they are saved from</w:t>
      </w:r>
      <w:r w:rsidR="00FF766E">
        <w:t xml:space="preserve"> </w:t>
      </w:r>
      <w:r w:rsidR="00FF5773">
        <w:t xml:space="preserve">can </w:t>
      </w:r>
      <w:r w:rsidR="00710F36">
        <w:t>directly link</w:t>
      </w:r>
      <w:r w:rsidR="003A17F6">
        <w:t xml:space="preserve"> back to the </w:t>
      </w:r>
      <w:r w:rsidR="00E65A66">
        <w:t>“grief”</w:t>
      </w:r>
      <w:r w:rsidR="006E1EC8">
        <w:rPr>
          <w:rStyle w:val="FootnoteReference"/>
        </w:rPr>
        <w:footnoteReference w:id="39"/>
      </w:r>
      <w:r w:rsidR="00E65A66">
        <w:t xml:space="preserve"> and “pain”</w:t>
      </w:r>
      <w:r w:rsidR="006E1EC8">
        <w:rPr>
          <w:rStyle w:val="FootnoteReference"/>
        </w:rPr>
        <w:footnoteReference w:id="40"/>
      </w:r>
      <w:r w:rsidR="003A17F6">
        <w:t xml:space="preserve"> the </w:t>
      </w:r>
      <w:r w:rsidR="007F2207">
        <w:t>Shepher</w:t>
      </w:r>
      <w:r w:rsidR="00DD4530">
        <w:t xml:space="preserve">ds </w:t>
      </w:r>
      <w:r w:rsidR="00846253">
        <w:t>suffered</w:t>
      </w:r>
      <w:r w:rsidR="00DD4530">
        <w:t xml:space="preserve"> at the start of the play. </w:t>
      </w:r>
      <w:r w:rsidR="00E72784">
        <w:t xml:space="preserve">By the end of the </w:t>
      </w:r>
      <w:r w:rsidR="00DD00FF">
        <w:t xml:space="preserve">sacred part of the play </w:t>
      </w:r>
      <w:r w:rsidR="00E72784">
        <w:t xml:space="preserve">the Shepherds have had their sins wiped clean and </w:t>
      </w:r>
      <w:r w:rsidR="00D96258">
        <w:t>are promising to spread word of Christ’s birth.</w:t>
      </w:r>
      <w:r w:rsidR="00104A24">
        <w:rPr>
          <w:rStyle w:val="FootnoteReference"/>
        </w:rPr>
        <w:footnoteReference w:id="41"/>
      </w:r>
      <w:r w:rsidR="00104A24">
        <w:t xml:space="preserve"> </w:t>
      </w:r>
      <w:r w:rsidR="00DD00FF">
        <w:t>Their woes are not mentioned from Gabriel’s appearance onwards.</w:t>
      </w:r>
      <w:r w:rsidR="001A5CC0">
        <w:rPr>
          <w:rStyle w:val="FootnoteReference"/>
        </w:rPr>
        <w:footnoteReference w:id="42"/>
      </w:r>
      <w:r w:rsidR="00DD00FF">
        <w:t xml:space="preserve"> </w:t>
      </w:r>
      <w:r w:rsidR="0013038F">
        <w:t xml:space="preserve">This </w:t>
      </w:r>
      <w:r w:rsidR="00C7202A">
        <w:t xml:space="preserve">heavily implies that the </w:t>
      </w:r>
      <w:r w:rsidR="00106DA1">
        <w:t xml:space="preserve">major </w:t>
      </w:r>
      <w:r w:rsidR="009A7E3B">
        <w:t>change in attitude</w:t>
      </w:r>
      <w:r w:rsidR="00C7202A">
        <w:t xml:space="preserve"> is caused by the </w:t>
      </w:r>
      <w:r w:rsidR="005603DF">
        <w:t xml:space="preserve">Shepherds being chosen to visit the newly born child and </w:t>
      </w:r>
      <w:r w:rsidR="00636C06">
        <w:t xml:space="preserve">the salvation that results from it. The effect of this is an uplifting conclusion to the play, whereby the audience is reminded that even in the </w:t>
      </w:r>
      <w:r w:rsidR="00636C06">
        <w:lastRenderedPageBreak/>
        <w:t>darkest hours of their li</w:t>
      </w:r>
      <w:r w:rsidR="00567419">
        <w:t xml:space="preserve">ves, faith can provide comfort. </w:t>
      </w:r>
      <w:r w:rsidR="008D0AC7">
        <w:t xml:space="preserve">This </w:t>
      </w:r>
      <w:r w:rsidR="00092B90">
        <w:t xml:space="preserve">is </w:t>
      </w:r>
      <w:r w:rsidR="008D0AC7">
        <w:t xml:space="preserve">enlightening </w:t>
      </w:r>
      <w:r w:rsidR="00092B90">
        <w:t>and</w:t>
      </w:r>
      <w:r w:rsidR="00BF7B8C">
        <w:t xml:space="preserve"> once again</w:t>
      </w:r>
      <w:r w:rsidR="008D0AC7">
        <w:t xml:space="preserve"> serves to remind the audience of why of Corpus Christi and Whitsun are holidays in the first place. </w:t>
      </w:r>
      <w:r w:rsidR="0055343D">
        <w:t xml:space="preserve">Additionally, Williams declares that </w:t>
      </w:r>
      <w:r w:rsidR="00C33A97">
        <w:t>“</w:t>
      </w:r>
      <w:r>
        <w:t>I</w:t>
      </w:r>
      <w:r w:rsidR="004B70EC">
        <w:t>f, as</w:t>
      </w:r>
      <w:r w:rsidR="00C33A97">
        <w:t xml:space="preserve"> a common medieval belief </w:t>
      </w:r>
      <w:r w:rsidR="004B70EC">
        <w:t xml:space="preserve">[…] held, </w:t>
      </w:r>
      <w:r>
        <w:t>the main requirement of a comedy is a happy ending</w:t>
      </w:r>
      <w:r w:rsidR="003C7BA5">
        <w:t>, the cycle plays are comedy.</w:t>
      </w:r>
      <w:r w:rsidR="00C33A97">
        <w:t>”</w:t>
      </w:r>
      <w:r w:rsidR="00DD34F5">
        <w:rPr>
          <w:rStyle w:val="FootnoteReference"/>
        </w:rPr>
        <w:footnoteReference w:id="43"/>
      </w:r>
      <w:r w:rsidR="00764987">
        <w:t xml:space="preserve"> Taking that into consideration, it </w:t>
      </w:r>
      <w:r w:rsidR="000C39C4">
        <w:t>means that</w:t>
      </w:r>
      <w:r w:rsidR="003D74EE">
        <w:t xml:space="preserve"> the happy ending of the sacred part of the play relates to the comedy that has happened throughout the secular</w:t>
      </w:r>
      <w:r w:rsidR="008D466D">
        <w:t xml:space="preserve"> and sacred parts</w:t>
      </w:r>
      <w:r w:rsidR="003D74EE">
        <w:t xml:space="preserve">. Thereby, </w:t>
      </w:r>
      <w:r w:rsidR="00BC5F90" w:rsidRPr="00BC5F90">
        <w:rPr>
          <w:i/>
        </w:rPr>
        <w:t>The Second Shepherd’s Pageant</w:t>
      </w:r>
      <w:r w:rsidR="00BC5F90">
        <w:t xml:space="preserve"> </w:t>
      </w:r>
      <w:r w:rsidR="003D74EE">
        <w:t xml:space="preserve">overall </w:t>
      </w:r>
      <w:r w:rsidR="00E235C4">
        <w:t xml:space="preserve">purpose </w:t>
      </w:r>
      <w:r w:rsidR="003D74EE">
        <w:t>is actually a comedy.</w:t>
      </w:r>
    </w:p>
    <w:p w:rsidR="006E600F" w:rsidRDefault="007B0664" w:rsidP="002D3CCA">
      <w:r>
        <w:t>Then again</w:t>
      </w:r>
      <w:r w:rsidR="009B5D93">
        <w:t>,</w:t>
      </w:r>
      <w:r w:rsidR="00BC5855">
        <w:t xml:space="preserve"> </w:t>
      </w:r>
      <w:r w:rsidR="00E65F28">
        <w:t>an</w:t>
      </w:r>
      <w:r w:rsidR="00D3269F">
        <w:t>other</w:t>
      </w:r>
      <w:r w:rsidR="00E65F28">
        <w:t xml:space="preserve"> explanation </w:t>
      </w:r>
      <w:r w:rsidR="00C15746">
        <w:t xml:space="preserve">as to the purpose of the play </w:t>
      </w:r>
      <w:r w:rsidR="00D3269F">
        <w:t xml:space="preserve">is that </w:t>
      </w:r>
      <w:r w:rsidR="00C15746">
        <w:t xml:space="preserve">it </w:t>
      </w:r>
      <w:r w:rsidR="00D3269F">
        <w:t>is a reflection on contemporary medieval society in Yorkshire</w:t>
      </w:r>
      <w:r w:rsidR="00C240B2">
        <w:t xml:space="preserve">. </w:t>
      </w:r>
      <w:r w:rsidR="004D4E0B">
        <w:t>At multiple points during the secular part of the</w:t>
      </w:r>
      <w:r w:rsidR="00800EF5">
        <w:t xml:space="preserve"> play, the Shepherds blasph</w:t>
      </w:r>
      <w:r w:rsidR="009810CC">
        <w:t xml:space="preserve">eme, </w:t>
      </w:r>
      <w:r w:rsidR="00800EF5">
        <w:t>“Lord”</w:t>
      </w:r>
      <w:r w:rsidR="0087188B">
        <w:rPr>
          <w:rStyle w:val="FootnoteReference"/>
        </w:rPr>
        <w:footnoteReference w:id="44"/>
      </w:r>
      <w:r w:rsidR="00800EF5">
        <w:t xml:space="preserve"> and “Christ”</w:t>
      </w:r>
      <w:r w:rsidR="009810CC">
        <w:t>.</w:t>
      </w:r>
      <w:r w:rsidR="0087188B">
        <w:rPr>
          <w:rStyle w:val="FootnoteReference"/>
        </w:rPr>
        <w:footnoteReference w:id="45"/>
      </w:r>
      <w:r w:rsidR="009810CC">
        <w:t xml:space="preserve"> These words take on a new meaning </w:t>
      </w:r>
      <w:r w:rsidR="006F3480">
        <w:t xml:space="preserve">in the sacred part of the play. </w:t>
      </w:r>
      <w:r w:rsidR="00952533">
        <w:t xml:space="preserve">When Gabriel appears, </w:t>
      </w:r>
      <w:r w:rsidR="00115065">
        <w:t xml:space="preserve">the flippancy of </w:t>
      </w:r>
      <w:r w:rsidR="006F3480">
        <w:t>“Lord”</w:t>
      </w:r>
      <w:r w:rsidR="00162C46">
        <w:rPr>
          <w:rStyle w:val="FootnoteReference"/>
        </w:rPr>
        <w:footnoteReference w:id="46"/>
      </w:r>
      <w:r w:rsidR="006F3480">
        <w:t xml:space="preserve"> is</w:t>
      </w:r>
      <w:r w:rsidR="00952533">
        <w:t xml:space="preserve"> abruptly</w:t>
      </w:r>
      <w:r w:rsidR="006F3480">
        <w:t xml:space="preserve"> </w:t>
      </w:r>
      <w:r w:rsidR="00115065">
        <w:t>dropped and takes on a new</w:t>
      </w:r>
      <w:r w:rsidR="006F3480">
        <w:t xml:space="preserve"> respect </w:t>
      </w:r>
      <w:r w:rsidR="00A73512">
        <w:t>as t</w:t>
      </w:r>
      <w:r w:rsidR="000E1485">
        <w:t xml:space="preserve">he third Shepherd </w:t>
      </w:r>
      <w:r w:rsidR="00732DF2">
        <w:t>asks to visit the holy child</w:t>
      </w:r>
      <w:r w:rsidR="00162C46">
        <w:t>.</w:t>
      </w:r>
      <w:r w:rsidR="00732DF2">
        <w:t xml:space="preserve"> </w:t>
      </w:r>
      <w:r w:rsidR="00DA5365">
        <w:t>“Christ” is the same, g</w:t>
      </w:r>
      <w:r w:rsidR="00800EF5">
        <w:t xml:space="preserve">iven that </w:t>
      </w:r>
      <w:r w:rsidR="005362C5">
        <w:t xml:space="preserve">the Shepherds </w:t>
      </w:r>
      <w:r w:rsidR="00DA5365">
        <w:t>pay</w:t>
      </w:r>
      <w:r w:rsidR="00800EF5">
        <w:t xml:space="preserve"> reverence to </w:t>
      </w:r>
      <w:r w:rsidR="00DA5365">
        <w:t>his birth in the final scene</w:t>
      </w:r>
      <w:r w:rsidR="00952DC4">
        <w:t xml:space="preserve"> and </w:t>
      </w:r>
      <w:proofErr w:type="gramStart"/>
      <w:r w:rsidR="00952DC4">
        <w:t>are</w:t>
      </w:r>
      <w:proofErr w:type="gramEnd"/>
      <w:r w:rsidR="00952DC4">
        <w:t xml:space="preserve"> redeemed for doing so</w:t>
      </w:r>
      <w:r w:rsidR="00800EF5">
        <w:t>.</w:t>
      </w:r>
      <w:r w:rsidR="00162C46">
        <w:rPr>
          <w:rStyle w:val="FootnoteReference"/>
        </w:rPr>
        <w:footnoteReference w:id="47"/>
      </w:r>
      <w:r w:rsidR="00DA5365">
        <w:t xml:space="preserve"> </w:t>
      </w:r>
      <w:r w:rsidR="006F66B2">
        <w:t>Since the Shepherds take on the personas of Yorkshire farmers more than that of Shepherds in Jerusalem</w:t>
      </w:r>
      <w:r w:rsidR="009F79F6">
        <w:rPr>
          <w:rStyle w:val="FootnoteReference"/>
        </w:rPr>
        <w:footnoteReference w:id="48"/>
      </w:r>
      <w:r w:rsidR="006F66B2">
        <w:t xml:space="preserve">, </w:t>
      </w:r>
      <w:r w:rsidR="004660B8">
        <w:t>the Wakefield Master may be using his play</w:t>
      </w:r>
      <w:r w:rsidR="00F805E4">
        <w:t xml:space="preserve"> to make a statement about the </w:t>
      </w:r>
      <w:r w:rsidR="004660B8">
        <w:t>state of medieval life and worship</w:t>
      </w:r>
      <w:r w:rsidR="00F805E4">
        <w:t xml:space="preserve"> in his time</w:t>
      </w:r>
      <w:r w:rsidR="004660B8">
        <w:t xml:space="preserve">. </w:t>
      </w:r>
      <w:r w:rsidR="008849CD">
        <w:t>Admittedly, the likeness of the Shepherds to their audience could merely be for comedic effect during the secular, and then the change in weight could go to promote the reverence of the Shepherds in the sacred part.</w:t>
      </w:r>
      <w:r w:rsidR="008849CD" w:rsidRPr="0096511E">
        <w:t xml:space="preserve"> </w:t>
      </w:r>
      <w:r w:rsidR="008849CD">
        <w:t>Nevertheless, by making the Shepherds recognisable characters from the audience’s everyday lives the Wakefield Master is placing the Shepherd’s sins of blasphemy</w:t>
      </w:r>
      <w:r w:rsidR="003C310E">
        <w:rPr>
          <w:rStyle w:val="FootnoteReference"/>
        </w:rPr>
        <w:footnoteReference w:id="49"/>
      </w:r>
      <w:r w:rsidR="008849CD">
        <w:t xml:space="preserve"> – and the hypocrisy previously mentioned</w:t>
      </w:r>
      <w:r w:rsidR="003C310E">
        <w:rPr>
          <w:rStyle w:val="FootnoteReference"/>
        </w:rPr>
        <w:footnoteReference w:id="50"/>
      </w:r>
      <w:r w:rsidR="008849CD">
        <w:t xml:space="preserve"> - onto the </w:t>
      </w:r>
      <w:r w:rsidR="004F7C91">
        <w:t xml:space="preserve">image of the </w:t>
      </w:r>
      <w:proofErr w:type="gramStart"/>
      <w:r w:rsidR="004F7C91">
        <w:t>Yorkshireman</w:t>
      </w:r>
      <w:r w:rsidR="008849CD">
        <w:t>.</w:t>
      </w:r>
      <w:proofErr w:type="gramEnd"/>
      <w:r w:rsidR="008849CD" w:rsidRPr="008849CD">
        <w:t xml:space="preserve"> </w:t>
      </w:r>
      <w:r w:rsidR="004F7C91">
        <w:t xml:space="preserve">This connotes that the audience will recognise these faults in either themselves or people around them. </w:t>
      </w:r>
      <w:r w:rsidR="008849CD">
        <w:t>I</w:t>
      </w:r>
      <w:r w:rsidR="001702B7">
        <w:t xml:space="preserve">nstead of </w:t>
      </w:r>
      <w:r w:rsidR="0017345F">
        <w:t xml:space="preserve">the play simply </w:t>
      </w:r>
      <w:r w:rsidR="001702B7">
        <w:t xml:space="preserve">being a celebration of the redemption that </w:t>
      </w:r>
      <w:r w:rsidR="002D1AD7">
        <w:t>humanity</w:t>
      </w:r>
      <w:r w:rsidR="001702B7">
        <w:t xml:space="preserve"> will gain in heaven, the </w:t>
      </w:r>
      <w:r w:rsidR="00F0430E">
        <w:t xml:space="preserve">purpose could be to </w:t>
      </w:r>
      <w:r w:rsidR="008849CD">
        <w:t xml:space="preserve">actively </w:t>
      </w:r>
      <w:r w:rsidR="00F0430E">
        <w:t>remind the audience</w:t>
      </w:r>
      <w:r w:rsidR="0017345F">
        <w:t xml:space="preserve"> </w:t>
      </w:r>
      <w:r w:rsidR="007D72C5">
        <w:t>to reflect on their faults</w:t>
      </w:r>
      <w:r w:rsidR="00B02881">
        <w:t xml:space="preserve">. As with the Shepherds, they must </w:t>
      </w:r>
      <w:r w:rsidR="007D72C5">
        <w:t>thus</w:t>
      </w:r>
      <w:r w:rsidR="0017345F">
        <w:t xml:space="preserve"> redeem themselves by paying </w:t>
      </w:r>
      <w:r w:rsidR="008F43A9">
        <w:t>homage</w:t>
      </w:r>
      <w:r w:rsidR="0017345F">
        <w:t xml:space="preserve"> on days such as Corpus Christi and </w:t>
      </w:r>
      <w:r w:rsidR="00CB52C9">
        <w:t>Whitsuntide.</w:t>
      </w:r>
    </w:p>
    <w:p w:rsidR="00B531A5" w:rsidRDefault="00C01392" w:rsidP="00FC512A">
      <w:pPr>
        <w:tabs>
          <w:tab w:val="left" w:pos="3867"/>
        </w:tabs>
      </w:pPr>
      <w:r>
        <w:t>In my view</w:t>
      </w:r>
      <w:r w:rsidR="00972FB3">
        <w:t>,</w:t>
      </w:r>
      <w:r>
        <w:t xml:space="preserve"> the play </w:t>
      </w:r>
      <w:r w:rsidR="00C272A2">
        <w:t>encompasses</w:t>
      </w:r>
      <w:r w:rsidR="00972FB3">
        <w:t xml:space="preserve"> an equal mixture</w:t>
      </w:r>
      <w:r w:rsidR="00F35B6B">
        <w:t xml:space="preserve"> of purposes.</w:t>
      </w:r>
      <w:r w:rsidR="00972FB3">
        <w:t xml:space="preserve"> </w:t>
      </w:r>
      <w:r w:rsidR="00862A99">
        <w:t>It</w:t>
      </w:r>
      <w:r w:rsidR="00F35B6B">
        <w:t xml:space="preserve"> provides the entertainment and c</w:t>
      </w:r>
      <w:r w:rsidR="008D11D9">
        <w:t>elebration</w:t>
      </w:r>
      <w:r w:rsidR="00F35B6B" w:rsidRPr="00F35B6B">
        <w:t xml:space="preserve"> </w:t>
      </w:r>
      <w:r w:rsidR="00F35B6B">
        <w:t>that characterises the festivity of Corpus Christi and Whitsuntide through its comedy</w:t>
      </w:r>
      <w:r w:rsidR="001E1FFA">
        <w:t xml:space="preserve"> in both sections of the play</w:t>
      </w:r>
      <w:r w:rsidR="00F35B6B">
        <w:t xml:space="preserve"> and</w:t>
      </w:r>
      <w:r w:rsidR="001E1FFA">
        <w:t xml:space="preserve"> then</w:t>
      </w:r>
      <w:r w:rsidR="00862A99">
        <w:t xml:space="preserve"> </w:t>
      </w:r>
      <w:r w:rsidR="002B02B3">
        <w:t xml:space="preserve">again </w:t>
      </w:r>
      <w:r w:rsidR="00862A99">
        <w:t>through</w:t>
      </w:r>
      <w:r w:rsidR="001E1FFA">
        <w:t xml:space="preserve"> its</w:t>
      </w:r>
      <w:r w:rsidR="00F35B6B">
        <w:t xml:space="preserve"> happy ending. </w:t>
      </w:r>
      <w:r w:rsidR="001E1FFA">
        <w:t xml:space="preserve">It </w:t>
      </w:r>
      <w:r w:rsidR="00564771">
        <w:t xml:space="preserve">also </w:t>
      </w:r>
      <w:r w:rsidR="00862A99">
        <w:t>incorporates</w:t>
      </w:r>
      <w:r w:rsidR="001E1FFA">
        <w:t xml:space="preserve"> reverence and moral teaching by showing the growth of the Shepherds </w:t>
      </w:r>
      <w:r w:rsidR="00564771">
        <w:t>from sinners</w:t>
      </w:r>
      <w:r w:rsidR="00DA2EBF">
        <w:t xml:space="preserve"> in the secular part of the play</w:t>
      </w:r>
      <w:r w:rsidR="00862A99">
        <w:t xml:space="preserve">, then to </w:t>
      </w:r>
      <w:r w:rsidR="00FC512A">
        <w:t>being chosen to visit the Messiah’s birth</w:t>
      </w:r>
      <w:r w:rsidR="00DA2EBF">
        <w:t xml:space="preserve"> in the sacred</w:t>
      </w:r>
      <w:r w:rsidR="00FC512A">
        <w:t xml:space="preserve">. </w:t>
      </w:r>
      <w:r w:rsidR="00DA2EBF">
        <w:t xml:space="preserve">Finally, </w:t>
      </w:r>
      <w:r w:rsidR="00314D8A">
        <w:t xml:space="preserve">the portrayal of the Yorkshire Shepherds sinning and then receiving redemption reminds the audience of </w:t>
      </w:r>
      <w:r w:rsidR="00F82132">
        <w:t xml:space="preserve">their own errors </w:t>
      </w:r>
      <w:r w:rsidR="00E0432C">
        <w:t xml:space="preserve">and how they must redeem these </w:t>
      </w:r>
      <w:r w:rsidR="00F82132">
        <w:t xml:space="preserve">with </w:t>
      </w:r>
      <w:r w:rsidR="00CA20D9">
        <w:t>reverence towards their Saviour:</w:t>
      </w:r>
      <w:r w:rsidR="00F82132">
        <w:t xml:space="preserve"> Christ.</w:t>
      </w:r>
    </w:p>
    <w:p w:rsidR="00B531A5" w:rsidRDefault="00B531A5">
      <w:r>
        <w:br w:type="page"/>
      </w:r>
    </w:p>
    <w:p w:rsidR="009E16E8" w:rsidRDefault="00B531A5" w:rsidP="00FC512A">
      <w:pPr>
        <w:tabs>
          <w:tab w:val="left" w:pos="3867"/>
        </w:tabs>
        <w:rPr>
          <w:color w:val="000000" w:themeColor="text1"/>
          <w:u w:val="single"/>
        </w:rPr>
      </w:pPr>
      <w:r w:rsidRPr="00B531A5">
        <w:rPr>
          <w:color w:val="000000" w:themeColor="text1"/>
          <w:u w:val="single"/>
        </w:rPr>
        <w:lastRenderedPageBreak/>
        <w:t>Bibliography</w:t>
      </w:r>
    </w:p>
    <w:p w:rsidR="008A20C3" w:rsidRDefault="008A20C3" w:rsidP="008A20C3">
      <w:r>
        <w:t>Campbell</w:t>
      </w:r>
      <w:r>
        <w:t xml:space="preserve">, </w:t>
      </w:r>
      <w:r>
        <w:t>Thomas P., ‘Why Do the Shepherds Prophesy?</w:t>
      </w:r>
      <w:proofErr w:type="gramStart"/>
      <w:r>
        <w:t>’,</w:t>
      </w:r>
      <w:proofErr w:type="gramEnd"/>
      <w:r>
        <w:t xml:space="preserve"> in </w:t>
      </w:r>
      <w:r>
        <w:rPr>
          <w:i/>
        </w:rPr>
        <w:t xml:space="preserve">THE DRAMA IN THE MIDDLE AGES, </w:t>
      </w:r>
      <w:r>
        <w:t>ed. by Clifford Davidson and others (New York: AMS Press, Inc., 1982)</w:t>
      </w:r>
      <w:r>
        <w:t>.</w:t>
      </w:r>
    </w:p>
    <w:p w:rsidR="008A20C3" w:rsidRDefault="008A20C3" w:rsidP="008A20C3">
      <w:proofErr w:type="spellStart"/>
      <w:r>
        <w:t>Happe</w:t>
      </w:r>
      <w:proofErr w:type="spellEnd"/>
      <w:r>
        <w:t>,</w:t>
      </w:r>
      <w:r>
        <w:t xml:space="preserve"> P</w:t>
      </w:r>
      <w:r w:rsidR="009D6E7A">
        <w:t>.</w:t>
      </w:r>
      <w:r>
        <w:t>,</w:t>
      </w:r>
      <w:r>
        <w:t xml:space="preserve"> </w:t>
      </w:r>
      <w:r>
        <w:rPr>
          <w:i/>
        </w:rPr>
        <w:t xml:space="preserve">English Drama </w:t>
      </w:r>
      <w:proofErr w:type="gramStart"/>
      <w:r>
        <w:rPr>
          <w:i/>
        </w:rPr>
        <w:t>Before</w:t>
      </w:r>
      <w:proofErr w:type="gramEnd"/>
      <w:r>
        <w:rPr>
          <w:i/>
        </w:rPr>
        <w:t xml:space="preserve"> Shakespeare</w:t>
      </w:r>
      <w:r>
        <w:t xml:space="preserve"> (New York: Addison Wesley Longman Inc., 1999)</w:t>
      </w:r>
    </w:p>
    <w:p w:rsidR="006E21BD" w:rsidRPr="00130BBE" w:rsidRDefault="006E21BD" w:rsidP="006E21BD">
      <w:r w:rsidRPr="00130BBE">
        <w:rPr>
          <w:i/>
        </w:rPr>
        <w:t>The Holy Bible: New International Version</w:t>
      </w:r>
      <w:r>
        <w:t xml:space="preserve"> (London: Hodder and Stoughton, 1979; </w:t>
      </w:r>
      <w:proofErr w:type="spellStart"/>
      <w:r>
        <w:t>repr</w:t>
      </w:r>
      <w:proofErr w:type="spellEnd"/>
      <w:r>
        <w:t>. 1990).</w:t>
      </w:r>
    </w:p>
    <w:p w:rsidR="002B2229" w:rsidRDefault="002B2229" w:rsidP="002B2229">
      <w:r>
        <w:t>Marx, W</w:t>
      </w:r>
      <w:r w:rsidR="009D6E7A">
        <w:t>.</w:t>
      </w:r>
      <w:r>
        <w:t xml:space="preserve">, </w:t>
      </w:r>
      <w:r w:rsidR="00AE7136">
        <w:t xml:space="preserve">trans., </w:t>
      </w:r>
      <w:r>
        <w:rPr>
          <w:i/>
        </w:rPr>
        <w:t xml:space="preserve">The Second Shepherds’ Play, </w:t>
      </w:r>
      <w:r>
        <w:t>(Unpublished manuscript, University of Wales Trinity Saint David)</w:t>
      </w:r>
    </w:p>
    <w:p w:rsidR="008A20C3" w:rsidRDefault="009D6E7A" w:rsidP="009D6E7A">
      <w:r>
        <w:t>Mitchell, P.,</w:t>
      </w:r>
      <w:r>
        <w:t xml:space="preserve"> </w:t>
      </w:r>
      <w:r>
        <w:rPr>
          <w:i/>
        </w:rPr>
        <w:t xml:space="preserve">Lecture: The Second Shepherds’ Pageant </w:t>
      </w:r>
      <w:r>
        <w:t>(Unpublished Lecture and Seminar, University of Wales Trinity Saint David, 2019),</w:t>
      </w:r>
    </w:p>
    <w:p w:rsidR="00CC64E0" w:rsidRDefault="00CC64E0" w:rsidP="00CC64E0">
      <w:proofErr w:type="spellStart"/>
      <w:proofErr w:type="gramStart"/>
      <w:r>
        <w:t>Roston</w:t>
      </w:r>
      <w:proofErr w:type="spellEnd"/>
      <w:r>
        <w:t xml:space="preserve">, </w:t>
      </w:r>
      <w:r>
        <w:t>M.</w:t>
      </w:r>
      <w:r>
        <w:t xml:space="preserve">, </w:t>
      </w:r>
      <w:r>
        <w:rPr>
          <w:i/>
        </w:rPr>
        <w:t>BIBLICAL DRAMA IN ENGLAND</w:t>
      </w:r>
      <w:r>
        <w:t xml:space="preserve"> (London: Faber and Faber Limited, 1968).</w:t>
      </w:r>
      <w:proofErr w:type="gramEnd"/>
    </w:p>
    <w:p w:rsidR="00F76A41" w:rsidRDefault="00F76A41" w:rsidP="00F76A41">
      <w:r>
        <w:t>Williams</w:t>
      </w:r>
      <w:r w:rsidR="00CC64E0">
        <w:t>, A.</w:t>
      </w:r>
      <w:r>
        <w:t xml:space="preserve">, ‘The Comic in the Cycles’, in </w:t>
      </w:r>
      <w:r>
        <w:rPr>
          <w:i/>
        </w:rPr>
        <w:t xml:space="preserve">STRATFORD-UPON-AVON STUDIES 16: MEDIEVAL DRAMA, </w:t>
      </w:r>
      <w:r>
        <w:t>ed. by Malcolm Bradbury and David Palmer (London: Edward Arnold, 1973)</w:t>
      </w:r>
    </w:p>
    <w:p w:rsidR="00F76A41" w:rsidRDefault="00CC64E0" w:rsidP="008A20C3">
      <w:r>
        <w:t>Woolf, R.</w:t>
      </w:r>
      <w:r w:rsidR="00F76A41">
        <w:t xml:space="preserve">, </w:t>
      </w:r>
      <w:r w:rsidR="00F76A41">
        <w:rPr>
          <w:i/>
        </w:rPr>
        <w:t>The English Mystery Plays</w:t>
      </w:r>
      <w:r w:rsidR="00F76A41">
        <w:t xml:space="preserve"> (London: Routledge &amp; Kegan Paul Ltd, 1972)</w:t>
      </w:r>
      <w:bookmarkStart w:id="0" w:name="_GoBack"/>
      <w:bookmarkEnd w:id="0"/>
    </w:p>
    <w:p w:rsidR="00B531A5" w:rsidRPr="00B531A5" w:rsidRDefault="00B531A5" w:rsidP="00FC512A">
      <w:pPr>
        <w:tabs>
          <w:tab w:val="left" w:pos="3867"/>
        </w:tabs>
        <w:rPr>
          <w:color w:val="000000" w:themeColor="text1"/>
        </w:rPr>
      </w:pPr>
    </w:p>
    <w:sectPr w:rsidR="00B531A5" w:rsidRPr="00B531A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1622" w:rsidRDefault="005C1622" w:rsidP="001354CD">
      <w:pPr>
        <w:spacing w:after="0" w:line="240" w:lineRule="auto"/>
      </w:pPr>
      <w:r>
        <w:separator/>
      </w:r>
    </w:p>
  </w:endnote>
  <w:endnote w:type="continuationSeparator" w:id="0">
    <w:p w:rsidR="005C1622" w:rsidRDefault="005C1622" w:rsidP="00135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1622" w:rsidRDefault="005C1622" w:rsidP="001354CD">
      <w:pPr>
        <w:spacing w:after="0" w:line="240" w:lineRule="auto"/>
      </w:pPr>
      <w:r>
        <w:separator/>
      </w:r>
    </w:p>
  </w:footnote>
  <w:footnote w:type="continuationSeparator" w:id="0">
    <w:p w:rsidR="005C1622" w:rsidRDefault="005C1622" w:rsidP="001354CD">
      <w:pPr>
        <w:spacing w:after="0" w:line="240" w:lineRule="auto"/>
      </w:pPr>
      <w:r>
        <w:continuationSeparator/>
      </w:r>
    </w:p>
  </w:footnote>
  <w:footnote w:id="1">
    <w:p w:rsidR="00E25DAA" w:rsidRPr="00DD062E" w:rsidRDefault="00DD062E">
      <w:pPr>
        <w:pStyle w:val="FootnoteText"/>
      </w:pPr>
      <w:r>
        <w:rPr>
          <w:rStyle w:val="FootnoteReference"/>
        </w:rPr>
        <w:footnoteRef/>
      </w:r>
      <w:r>
        <w:t xml:space="preserve"> </w:t>
      </w:r>
      <w:proofErr w:type="gramStart"/>
      <w:r>
        <w:rPr>
          <w:i/>
        </w:rPr>
        <w:t xml:space="preserve">The Second Shepherds’ Play, </w:t>
      </w:r>
      <w:r>
        <w:t xml:space="preserve">trans. William Marx (Unpublished manuscript, University of Wales Trinity Saint David), </w:t>
      </w:r>
      <w:r w:rsidR="00AD183A">
        <w:t>pp. 14-15.</w:t>
      </w:r>
      <w:proofErr w:type="gramEnd"/>
    </w:p>
  </w:footnote>
  <w:footnote w:id="2">
    <w:p w:rsidR="00594394" w:rsidRPr="00594394" w:rsidRDefault="00594394">
      <w:pPr>
        <w:pStyle w:val="FootnoteText"/>
      </w:pPr>
      <w:r>
        <w:rPr>
          <w:rStyle w:val="FootnoteReference"/>
        </w:rPr>
        <w:footnoteRef/>
      </w:r>
      <w:r>
        <w:t xml:space="preserve"> </w:t>
      </w:r>
      <w:r>
        <w:rPr>
          <w:i/>
        </w:rPr>
        <w:t>The Second Shepherds’ Play</w:t>
      </w:r>
      <w:r>
        <w:rPr>
          <w:i/>
        </w:rPr>
        <w:t xml:space="preserve">, </w:t>
      </w:r>
      <w:r>
        <w:t>pp. 18-19.</w:t>
      </w:r>
    </w:p>
  </w:footnote>
  <w:footnote w:id="3">
    <w:p w:rsidR="004F1E85" w:rsidRPr="004F1E85" w:rsidRDefault="004F1E85">
      <w:pPr>
        <w:pStyle w:val="FootnoteText"/>
      </w:pPr>
      <w:r>
        <w:rPr>
          <w:rStyle w:val="FootnoteReference"/>
        </w:rPr>
        <w:footnoteRef/>
      </w:r>
      <w:r>
        <w:t xml:space="preserve"> </w:t>
      </w:r>
      <w:r>
        <w:rPr>
          <w:i/>
        </w:rPr>
        <w:t>The Second Shepherds’ Play</w:t>
      </w:r>
      <w:r>
        <w:rPr>
          <w:i/>
        </w:rPr>
        <w:t xml:space="preserve">, </w:t>
      </w:r>
      <w:r>
        <w:t>p. 12.</w:t>
      </w:r>
    </w:p>
  </w:footnote>
  <w:footnote w:id="4">
    <w:p w:rsidR="005D3485" w:rsidRPr="005D3485" w:rsidRDefault="005D3485">
      <w:pPr>
        <w:pStyle w:val="FootnoteText"/>
      </w:pPr>
      <w:r>
        <w:rPr>
          <w:rStyle w:val="FootnoteReference"/>
        </w:rPr>
        <w:footnoteRef/>
      </w:r>
      <w:r>
        <w:t xml:space="preserve"> </w:t>
      </w:r>
      <w:r>
        <w:rPr>
          <w:i/>
        </w:rPr>
        <w:t>The Second Shepherds’ Play</w:t>
      </w:r>
      <w:r>
        <w:rPr>
          <w:i/>
        </w:rPr>
        <w:t xml:space="preserve">, </w:t>
      </w:r>
      <w:r>
        <w:t>p. 13.</w:t>
      </w:r>
    </w:p>
  </w:footnote>
  <w:footnote w:id="5">
    <w:p w:rsidR="0051331E" w:rsidRPr="0051331E" w:rsidRDefault="0051331E">
      <w:pPr>
        <w:pStyle w:val="FootnoteText"/>
      </w:pPr>
      <w:r>
        <w:rPr>
          <w:rStyle w:val="FootnoteReference"/>
        </w:rPr>
        <w:footnoteRef/>
      </w:r>
      <w:r>
        <w:t xml:space="preserve"> </w:t>
      </w:r>
      <w:r>
        <w:rPr>
          <w:i/>
        </w:rPr>
        <w:t>The Second Shepherds’ Play</w:t>
      </w:r>
      <w:r>
        <w:rPr>
          <w:i/>
        </w:rPr>
        <w:t xml:space="preserve">, </w:t>
      </w:r>
      <w:r>
        <w:t>p. 17.</w:t>
      </w:r>
    </w:p>
  </w:footnote>
  <w:footnote w:id="6">
    <w:p w:rsidR="00AA6456" w:rsidRPr="00AA6456" w:rsidRDefault="00AA6456">
      <w:pPr>
        <w:pStyle w:val="FootnoteText"/>
      </w:pPr>
      <w:r>
        <w:rPr>
          <w:rStyle w:val="FootnoteReference"/>
        </w:rPr>
        <w:footnoteRef/>
      </w:r>
      <w:r>
        <w:t xml:space="preserve"> </w:t>
      </w:r>
      <w:r>
        <w:rPr>
          <w:i/>
        </w:rPr>
        <w:t>The Second Shepherds’ Play</w:t>
      </w:r>
      <w:r>
        <w:rPr>
          <w:i/>
        </w:rPr>
        <w:t xml:space="preserve">, </w:t>
      </w:r>
      <w:r>
        <w:t>p.</w:t>
      </w:r>
      <w:r w:rsidR="000617B6">
        <w:t xml:space="preserve"> 15.</w:t>
      </w:r>
    </w:p>
  </w:footnote>
  <w:footnote w:id="7">
    <w:p w:rsidR="00C33B53" w:rsidRPr="00C33B53" w:rsidRDefault="00C33B53">
      <w:pPr>
        <w:pStyle w:val="FootnoteText"/>
      </w:pPr>
      <w:r>
        <w:rPr>
          <w:rStyle w:val="FootnoteReference"/>
        </w:rPr>
        <w:footnoteRef/>
      </w:r>
      <w:r>
        <w:t xml:space="preserve"> </w:t>
      </w:r>
      <w:r>
        <w:rPr>
          <w:i/>
        </w:rPr>
        <w:t>The Second Shepherds’ Play</w:t>
      </w:r>
      <w:r>
        <w:rPr>
          <w:i/>
        </w:rPr>
        <w:t xml:space="preserve">, </w:t>
      </w:r>
      <w:r>
        <w:t>p. 19.</w:t>
      </w:r>
    </w:p>
  </w:footnote>
  <w:footnote w:id="8">
    <w:p w:rsidR="0095265C" w:rsidRPr="00126327" w:rsidRDefault="0095265C">
      <w:pPr>
        <w:pStyle w:val="FootnoteText"/>
      </w:pPr>
      <w:r>
        <w:rPr>
          <w:rStyle w:val="FootnoteReference"/>
        </w:rPr>
        <w:footnoteRef/>
      </w:r>
      <w:r>
        <w:t xml:space="preserve"> </w:t>
      </w:r>
      <w:r w:rsidR="00A65F32">
        <w:t xml:space="preserve">Dr Peter Mitchell, </w:t>
      </w:r>
      <w:r w:rsidR="00BA50FD">
        <w:rPr>
          <w:i/>
        </w:rPr>
        <w:t>Lecture: The Second Shepherds’</w:t>
      </w:r>
      <w:r w:rsidR="00126327">
        <w:rPr>
          <w:i/>
        </w:rPr>
        <w:t xml:space="preserve"> Pageant </w:t>
      </w:r>
      <w:r w:rsidR="00032FF4">
        <w:t xml:space="preserve">(Unpublished Lecture and Seminar, </w:t>
      </w:r>
      <w:r w:rsidR="00BE700D">
        <w:t>University of Wales Trinity Saint David</w:t>
      </w:r>
      <w:r w:rsidR="00FF7622">
        <w:t>, 2019</w:t>
      </w:r>
      <w:r w:rsidR="00BE700D">
        <w:t>)</w:t>
      </w:r>
      <w:r w:rsidR="00FF7622">
        <w:t xml:space="preserve">, </w:t>
      </w:r>
      <w:r w:rsidR="00D21AC6">
        <w:t>p. 2.</w:t>
      </w:r>
    </w:p>
  </w:footnote>
  <w:footnote w:id="9">
    <w:p w:rsidR="00AF4F8A" w:rsidRPr="00F54BAA" w:rsidRDefault="00AF4F8A">
      <w:pPr>
        <w:pStyle w:val="FootnoteText"/>
      </w:pPr>
      <w:r>
        <w:rPr>
          <w:rStyle w:val="FootnoteReference"/>
        </w:rPr>
        <w:footnoteRef/>
      </w:r>
      <w:r>
        <w:t xml:space="preserve"> </w:t>
      </w:r>
      <w:r w:rsidR="00CB58A3">
        <w:t xml:space="preserve">Arnold Williams, </w:t>
      </w:r>
      <w:r w:rsidR="00FA7594">
        <w:t xml:space="preserve">‘The Comic in the Cycles’, in </w:t>
      </w:r>
      <w:r w:rsidR="001709FE">
        <w:rPr>
          <w:i/>
        </w:rPr>
        <w:t xml:space="preserve">STRATFORD-UPON-AVON STUDIES 16: MEDIEVAL DRAMA, </w:t>
      </w:r>
      <w:r w:rsidR="00B601DF">
        <w:t xml:space="preserve">ed. </w:t>
      </w:r>
      <w:r w:rsidR="004B0C62">
        <w:t>b</w:t>
      </w:r>
      <w:r w:rsidR="00B601DF">
        <w:t xml:space="preserve">y Malcolm Bradbury and David Palmer </w:t>
      </w:r>
      <w:r w:rsidR="00D64154">
        <w:t>(</w:t>
      </w:r>
      <w:r w:rsidR="003F75DC">
        <w:t>London: Edward Arnold, 1973</w:t>
      </w:r>
      <w:r w:rsidR="00916B8F">
        <w:t xml:space="preserve">), </w:t>
      </w:r>
      <w:r w:rsidR="000D145C">
        <w:t>pp. 109-124 (</w:t>
      </w:r>
      <w:r w:rsidR="00916B8F">
        <w:t xml:space="preserve">p. </w:t>
      </w:r>
      <w:r w:rsidR="00685B3D">
        <w:t>113</w:t>
      </w:r>
      <w:r w:rsidR="000D145C">
        <w:t>)</w:t>
      </w:r>
      <w:r w:rsidR="00685B3D">
        <w:t>.</w:t>
      </w:r>
    </w:p>
  </w:footnote>
  <w:footnote w:id="10">
    <w:p w:rsidR="00AF4F8A" w:rsidRPr="00484DC5" w:rsidRDefault="00AF4F8A">
      <w:pPr>
        <w:pStyle w:val="FootnoteText"/>
      </w:pPr>
      <w:r>
        <w:rPr>
          <w:rStyle w:val="FootnoteReference"/>
        </w:rPr>
        <w:footnoteRef/>
      </w:r>
      <w:r>
        <w:t xml:space="preserve"> </w:t>
      </w:r>
      <w:r w:rsidR="00BA4B3A">
        <w:t xml:space="preserve">Peter </w:t>
      </w:r>
      <w:proofErr w:type="spellStart"/>
      <w:r w:rsidR="00BA4B3A">
        <w:t>Happe</w:t>
      </w:r>
      <w:proofErr w:type="spellEnd"/>
      <w:r w:rsidR="00BA4B3A">
        <w:t xml:space="preserve">, </w:t>
      </w:r>
      <w:r w:rsidR="00484DC5">
        <w:rPr>
          <w:i/>
        </w:rPr>
        <w:t xml:space="preserve">English Drama </w:t>
      </w:r>
      <w:proofErr w:type="gramStart"/>
      <w:r w:rsidR="00484DC5">
        <w:rPr>
          <w:i/>
        </w:rPr>
        <w:t>Before</w:t>
      </w:r>
      <w:proofErr w:type="gramEnd"/>
      <w:r w:rsidR="00484DC5">
        <w:rPr>
          <w:i/>
        </w:rPr>
        <w:t xml:space="preserve"> Shakespeare</w:t>
      </w:r>
      <w:r w:rsidR="00484DC5">
        <w:t xml:space="preserve"> (</w:t>
      </w:r>
      <w:r w:rsidR="00BD5A4A">
        <w:t>New York</w:t>
      </w:r>
      <w:r w:rsidR="00A37040">
        <w:t xml:space="preserve">: </w:t>
      </w:r>
      <w:r w:rsidR="001B4294">
        <w:t xml:space="preserve">Addison Wesley Longman </w:t>
      </w:r>
      <w:r w:rsidR="00BD5A4A">
        <w:t>Inc.</w:t>
      </w:r>
      <w:r w:rsidR="001B4294">
        <w:t xml:space="preserve">, </w:t>
      </w:r>
      <w:r w:rsidR="00206955">
        <w:t>1999), p. 25</w:t>
      </w:r>
      <w:r w:rsidR="009E467C">
        <w:t>.</w:t>
      </w:r>
    </w:p>
  </w:footnote>
  <w:footnote w:id="11">
    <w:p w:rsidR="00AF4F8A" w:rsidRDefault="00AF4F8A">
      <w:pPr>
        <w:pStyle w:val="FootnoteText"/>
      </w:pPr>
      <w:r>
        <w:rPr>
          <w:rStyle w:val="FootnoteReference"/>
        </w:rPr>
        <w:footnoteRef/>
      </w:r>
      <w:r>
        <w:t xml:space="preserve"> </w:t>
      </w:r>
      <w:proofErr w:type="spellStart"/>
      <w:r w:rsidR="00F6510C">
        <w:t>Happe</w:t>
      </w:r>
      <w:proofErr w:type="spellEnd"/>
      <w:r w:rsidR="00F6510C">
        <w:t>, pp. 36-37.</w:t>
      </w:r>
    </w:p>
  </w:footnote>
  <w:footnote w:id="12">
    <w:p w:rsidR="0088000E" w:rsidRDefault="0088000E">
      <w:pPr>
        <w:pStyle w:val="FootnoteText"/>
      </w:pPr>
      <w:r>
        <w:rPr>
          <w:rStyle w:val="FootnoteReference"/>
        </w:rPr>
        <w:footnoteRef/>
      </w:r>
      <w:r>
        <w:t xml:space="preserve"> </w:t>
      </w:r>
      <w:r>
        <w:rPr>
          <w:i/>
        </w:rPr>
        <w:t xml:space="preserve">The Second Shepherds’ Play, </w:t>
      </w:r>
      <w:r>
        <w:t>p. 19.</w:t>
      </w:r>
    </w:p>
  </w:footnote>
  <w:footnote w:id="13">
    <w:p w:rsidR="005740B6" w:rsidRDefault="005740B6">
      <w:pPr>
        <w:pStyle w:val="FootnoteText"/>
      </w:pPr>
      <w:r>
        <w:rPr>
          <w:rStyle w:val="FootnoteReference"/>
        </w:rPr>
        <w:footnoteRef/>
      </w:r>
      <w:r>
        <w:t xml:space="preserve"> </w:t>
      </w:r>
      <w:r>
        <w:rPr>
          <w:i/>
        </w:rPr>
        <w:t xml:space="preserve">The Second Shepherds’ Play, </w:t>
      </w:r>
      <w:r w:rsidR="00E324A8">
        <w:t xml:space="preserve">p. </w:t>
      </w:r>
      <w:r w:rsidR="00EB6856">
        <w:t>15</w:t>
      </w:r>
      <w:r w:rsidR="00E324A8">
        <w:t>,</w:t>
      </w:r>
      <w:r w:rsidR="00EB6856">
        <w:t xml:space="preserve"> </w:t>
      </w:r>
      <w:r w:rsidR="00E324A8">
        <w:t>pp.</w:t>
      </w:r>
      <w:r w:rsidR="005F15EA">
        <w:t xml:space="preserve"> </w:t>
      </w:r>
      <w:r w:rsidR="00E324A8">
        <w:t>18-19.</w:t>
      </w:r>
    </w:p>
  </w:footnote>
  <w:footnote w:id="14">
    <w:p w:rsidR="009F5588" w:rsidRDefault="009F5588">
      <w:pPr>
        <w:pStyle w:val="FootnoteText"/>
      </w:pPr>
      <w:r>
        <w:rPr>
          <w:rStyle w:val="FootnoteReference"/>
        </w:rPr>
        <w:footnoteRef/>
      </w:r>
      <w:r>
        <w:t xml:space="preserve"> </w:t>
      </w:r>
      <w:r w:rsidR="00461916">
        <w:rPr>
          <w:i/>
        </w:rPr>
        <w:t xml:space="preserve">The Second Shepherds’ Play, </w:t>
      </w:r>
      <w:r w:rsidR="00461916">
        <w:t>p</w:t>
      </w:r>
      <w:r w:rsidR="00461916">
        <w:t>p</w:t>
      </w:r>
      <w:r w:rsidR="00461916">
        <w:t xml:space="preserve">. </w:t>
      </w:r>
      <w:r w:rsidR="00461916">
        <w:t>18-</w:t>
      </w:r>
      <w:r w:rsidR="00461916">
        <w:t>19.</w:t>
      </w:r>
    </w:p>
  </w:footnote>
  <w:footnote w:id="15">
    <w:p w:rsidR="000D3C17" w:rsidRDefault="000D3C17">
      <w:pPr>
        <w:pStyle w:val="FootnoteText"/>
      </w:pPr>
      <w:r>
        <w:rPr>
          <w:rStyle w:val="FootnoteReference"/>
        </w:rPr>
        <w:footnoteRef/>
      </w:r>
      <w:r>
        <w:t xml:space="preserve"> </w:t>
      </w:r>
      <w:r w:rsidR="00F35BE1">
        <w:t xml:space="preserve">Williams, </w:t>
      </w:r>
      <w:r w:rsidR="003A2ACF">
        <w:t>p.</w:t>
      </w:r>
      <w:r w:rsidR="00F1074C">
        <w:t xml:space="preserve"> </w:t>
      </w:r>
      <w:r w:rsidR="003A2ACF">
        <w:t>117.</w:t>
      </w:r>
    </w:p>
  </w:footnote>
  <w:footnote w:id="16">
    <w:p w:rsidR="00E33124" w:rsidRDefault="00E33124">
      <w:pPr>
        <w:pStyle w:val="FootnoteText"/>
      </w:pPr>
      <w:r>
        <w:rPr>
          <w:rStyle w:val="FootnoteReference"/>
        </w:rPr>
        <w:footnoteRef/>
      </w:r>
      <w:r>
        <w:t xml:space="preserve"> </w:t>
      </w:r>
      <w:r>
        <w:rPr>
          <w:i/>
        </w:rPr>
        <w:t xml:space="preserve">The Second Shepherds’ Play, </w:t>
      </w:r>
      <w:r>
        <w:t>p. 19.</w:t>
      </w:r>
    </w:p>
  </w:footnote>
  <w:footnote w:id="17">
    <w:p w:rsidR="00F1074C" w:rsidRDefault="00F1074C">
      <w:pPr>
        <w:pStyle w:val="FootnoteText"/>
      </w:pPr>
      <w:r>
        <w:rPr>
          <w:rStyle w:val="FootnoteReference"/>
        </w:rPr>
        <w:footnoteRef/>
      </w:r>
      <w:r>
        <w:t xml:space="preserve"> Williams, p. 118.</w:t>
      </w:r>
    </w:p>
  </w:footnote>
  <w:footnote w:id="18">
    <w:p w:rsidR="00FC3ABA" w:rsidRDefault="00FC3ABA">
      <w:pPr>
        <w:pStyle w:val="FootnoteText"/>
      </w:pPr>
      <w:r>
        <w:rPr>
          <w:rStyle w:val="FootnoteReference"/>
        </w:rPr>
        <w:footnoteRef/>
      </w:r>
      <w:r>
        <w:t xml:space="preserve"> </w:t>
      </w:r>
      <w:r>
        <w:rPr>
          <w:i/>
        </w:rPr>
        <w:t>The Second Shepherds’ Play</w:t>
      </w:r>
      <w:r w:rsidR="001552D1">
        <w:rPr>
          <w:i/>
        </w:rPr>
        <w:t>,</w:t>
      </w:r>
      <w:r>
        <w:t xml:space="preserve"> pp.</w:t>
      </w:r>
      <w:r w:rsidR="005F15EA">
        <w:t xml:space="preserve"> </w:t>
      </w:r>
      <w:r>
        <w:t>18-19.</w:t>
      </w:r>
    </w:p>
  </w:footnote>
  <w:footnote w:id="19">
    <w:p w:rsidR="009E43BD" w:rsidRDefault="009E43BD">
      <w:pPr>
        <w:pStyle w:val="FootnoteText"/>
      </w:pPr>
      <w:r>
        <w:rPr>
          <w:rStyle w:val="FootnoteReference"/>
        </w:rPr>
        <w:footnoteRef/>
      </w:r>
      <w:r>
        <w:t xml:space="preserve"> </w:t>
      </w:r>
      <w:r w:rsidR="001552D1">
        <w:rPr>
          <w:i/>
        </w:rPr>
        <w:t xml:space="preserve">The Second Shepherds’ Play, </w:t>
      </w:r>
      <w:r w:rsidR="001552D1">
        <w:t>p. 15</w:t>
      </w:r>
      <w:r w:rsidR="001552D1">
        <w:t>.</w:t>
      </w:r>
    </w:p>
  </w:footnote>
  <w:footnote w:id="20">
    <w:p w:rsidR="00EB7F79" w:rsidRDefault="00EB7F79">
      <w:pPr>
        <w:pStyle w:val="FootnoteText"/>
      </w:pPr>
      <w:r>
        <w:rPr>
          <w:rStyle w:val="FootnoteReference"/>
        </w:rPr>
        <w:footnoteRef/>
      </w:r>
      <w:r>
        <w:t xml:space="preserve"> </w:t>
      </w:r>
      <w:r>
        <w:t>Williams, p. 118.</w:t>
      </w:r>
    </w:p>
  </w:footnote>
  <w:footnote w:id="21">
    <w:p w:rsidR="00274E11" w:rsidRDefault="00274E11">
      <w:pPr>
        <w:pStyle w:val="FootnoteText"/>
      </w:pPr>
      <w:r>
        <w:rPr>
          <w:rStyle w:val="FootnoteReference"/>
        </w:rPr>
        <w:footnoteRef/>
      </w:r>
      <w:r>
        <w:t xml:space="preserve"> </w:t>
      </w:r>
      <w:proofErr w:type="spellStart"/>
      <w:r>
        <w:t>H</w:t>
      </w:r>
      <w:r w:rsidR="00190CA1">
        <w:t>appe</w:t>
      </w:r>
      <w:proofErr w:type="spellEnd"/>
      <w:r w:rsidR="00190CA1">
        <w:t xml:space="preserve">, p. </w:t>
      </w:r>
      <w:r w:rsidR="00427FBA">
        <w:t>74.</w:t>
      </w:r>
    </w:p>
  </w:footnote>
  <w:footnote w:id="22">
    <w:p w:rsidR="002F16CA" w:rsidRDefault="002F16CA">
      <w:pPr>
        <w:pStyle w:val="FootnoteText"/>
      </w:pPr>
      <w:r>
        <w:rPr>
          <w:rStyle w:val="FootnoteReference"/>
        </w:rPr>
        <w:footnoteRef/>
      </w:r>
      <w:r>
        <w:t xml:space="preserve"> </w:t>
      </w:r>
      <w:r>
        <w:t>Williams, p. 118.</w:t>
      </w:r>
    </w:p>
  </w:footnote>
  <w:footnote w:id="23">
    <w:p w:rsidR="003C3FCD" w:rsidRDefault="003C3FCD">
      <w:pPr>
        <w:pStyle w:val="FootnoteText"/>
      </w:pPr>
      <w:r>
        <w:rPr>
          <w:rStyle w:val="FootnoteReference"/>
        </w:rPr>
        <w:footnoteRef/>
      </w:r>
      <w:r>
        <w:t xml:space="preserve"> </w:t>
      </w:r>
      <w:r>
        <w:rPr>
          <w:i/>
        </w:rPr>
        <w:t xml:space="preserve">The Second Shepherds’ Play, </w:t>
      </w:r>
      <w:r>
        <w:t>p. 19.</w:t>
      </w:r>
    </w:p>
  </w:footnote>
  <w:footnote w:id="24">
    <w:p w:rsidR="003C3FCD" w:rsidRDefault="003C3FCD">
      <w:pPr>
        <w:pStyle w:val="FootnoteText"/>
      </w:pPr>
      <w:r>
        <w:rPr>
          <w:rStyle w:val="FootnoteReference"/>
        </w:rPr>
        <w:footnoteRef/>
      </w:r>
      <w:r>
        <w:t xml:space="preserve"> </w:t>
      </w:r>
      <w:r>
        <w:rPr>
          <w:i/>
        </w:rPr>
        <w:t xml:space="preserve">The Second Shepherds’ Play, </w:t>
      </w:r>
      <w:r>
        <w:t>p. 19.</w:t>
      </w:r>
    </w:p>
  </w:footnote>
  <w:footnote w:id="25">
    <w:p w:rsidR="00310478" w:rsidRPr="00D462D9" w:rsidRDefault="00F72FB9">
      <w:pPr>
        <w:pStyle w:val="FootnoteText"/>
      </w:pPr>
      <w:r>
        <w:rPr>
          <w:rStyle w:val="FootnoteReference"/>
        </w:rPr>
        <w:footnoteRef/>
      </w:r>
      <w:r>
        <w:t xml:space="preserve"> </w:t>
      </w:r>
      <w:r w:rsidR="00D53ECF">
        <w:t xml:space="preserve">Thomas P. Campbell, </w:t>
      </w:r>
      <w:r w:rsidR="0026539B">
        <w:t xml:space="preserve">‘Why Do the Shepherds Prophesy?’, </w:t>
      </w:r>
      <w:r w:rsidR="00D462D9">
        <w:t xml:space="preserve">in </w:t>
      </w:r>
      <w:r w:rsidR="00D462D9">
        <w:rPr>
          <w:i/>
        </w:rPr>
        <w:t xml:space="preserve">THE DRAMA IN THE MIDDLE AGES, </w:t>
      </w:r>
      <w:r w:rsidR="00D462D9">
        <w:t xml:space="preserve">ed. by </w:t>
      </w:r>
      <w:r w:rsidR="00CA5689">
        <w:t xml:space="preserve">Clifford Davidson </w:t>
      </w:r>
      <w:r w:rsidR="0032706B">
        <w:t>and others</w:t>
      </w:r>
      <w:r w:rsidR="00310478">
        <w:t xml:space="preserve"> (</w:t>
      </w:r>
      <w:r w:rsidR="006D032C">
        <w:t xml:space="preserve">New York: </w:t>
      </w:r>
      <w:r w:rsidR="00986EC3">
        <w:t>AMS Press, Inc</w:t>
      </w:r>
      <w:r w:rsidR="00BA7A01">
        <w:t>.</w:t>
      </w:r>
      <w:r w:rsidR="00986EC3">
        <w:t xml:space="preserve">, </w:t>
      </w:r>
      <w:r w:rsidR="00BA7A01">
        <w:t xml:space="preserve">1982), </w:t>
      </w:r>
      <w:r w:rsidR="00524B4C">
        <w:t xml:space="preserve">pp. 169-182 </w:t>
      </w:r>
      <w:r w:rsidR="008B133D">
        <w:t>(p. 169).</w:t>
      </w:r>
    </w:p>
  </w:footnote>
  <w:footnote w:id="26">
    <w:p w:rsidR="00566976" w:rsidRDefault="00566976">
      <w:pPr>
        <w:pStyle w:val="FootnoteText"/>
      </w:pPr>
      <w:r>
        <w:rPr>
          <w:rStyle w:val="FootnoteReference"/>
        </w:rPr>
        <w:footnoteRef/>
      </w:r>
      <w:r>
        <w:t xml:space="preserve"> </w:t>
      </w:r>
      <w:r w:rsidR="00AD6212">
        <w:t>Mitchell, p.</w:t>
      </w:r>
      <w:r w:rsidR="00741DB8">
        <w:t xml:space="preserve"> </w:t>
      </w:r>
      <w:r w:rsidR="00AD6212">
        <w:t>2.</w:t>
      </w:r>
    </w:p>
  </w:footnote>
  <w:footnote w:id="27">
    <w:p w:rsidR="005E6CA7" w:rsidRDefault="005E6CA7">
      <w:pPr>
        <w:pStyle w:val="FootnoteText"/>
      </w:pPr>
      <w:r>
        <w:rPr>
          <w:rStyle w:val="FootnoteReference"/>
        </w:rPr>
        <w:footnoteRef/>
      </w:r>
      <w:r>
        <w:t xml:space="preserve"> </w:t>
      </w:r>
      <w:r>
        <w:rPr>
          <w:i/>
        </w:rPr>
        <w:t xml:space="preserve">The Second Shepherds’ Play, </w:t>
      </w:r>
      <w:r>
        <w:t>p. 19.</w:t>
      </w:r>
    </w:p>
  </w:footnote>
  <w:footnote w:id="28">
    <w:p w:rsidR="00253ECA" w:rsidRDefault="00253ECA">
      <w:pPr>
        <w:pStyle w:val="FootnoteText"/>
      </w:pPr>
      <w:r>
        <w:rPr>
          <w:rStyle w:val="FootnoteReference"/>
        </w:rPr>
        <w:footnoteRef/>
      </w:r>
      <w:r>
        <w:t xml:space="preserve"> </w:t>
      </w:r>
      <w:r>
        <w:rPr>
          <w:i/>
        </w:rPr>
        <w:t xml:space="preserve">The Second Shepherds’ Play, </w:t>
      </w:r>
      <w:r>
        <w:t>p. 6.</w:t>
      </w:r>
    </w:p>
  </w:footnote>
  <w:footnote w:id="29">
    <w:p w:rsidR="00240D35" w:rsidRDefault="00240D35">
      <w:pPr>
        <w:pStyle w:val="FootnoteText"/>
      </w:pPr>
      <w:r>
        <w:rPr>
          <w:rStyle w:val="FootnoteReference"/>
        </w:rPr>
        <w:footnoteRef/>
      </w:r>
      <w:r>
        <w:t xml:space="preserve"> </w:t>
      </w:r>
      <w:r w:rsidR="00B91CE4">
        <w:rPr>
          <w:i/>
        </w:rPr>
        <w:t xml:space="preserve">The Second Shepherds’ Play, </w:t>
      </w:r>
      <w:r w:rsidR="00B91CE4">
        <w:t>p. 1.</w:t>
      </w:r>
    </w:p>
  </w:footnote>
  <w:footnote w:id="30">
    <w:p w:rsidR="00821D1E" w:rsidRDefault="00821D1E">
      <w:pPr>
        <w:pStyle w:val="FootnoteText"/>
      </w:pPr>
      <w:r>
        <w:rPr>
          <w:rStyle w:val="FootnoteReference"/>
        </w:rPr>
        <w:footnoteRef/>
      </w:r>
      <w:r w:rsidR="0061616A">
        <w:t xml:space="preserve"> Matthew 7.</w:t>
      </w:r>
      <w:r>
        <w:t xml:space="preserve"> 13.</w:t>
      </w:r>
    </w:p>
  </w:footnote>
  <w:footnote w:id="31">
    <w:p w:rsidR="00702EF1" w:rsidRDefault="00702EF1">
      <w:pPr>
        <w:pStyle w:val="FootnoteText"/>
      </w:pPr>
      <w:r>
        <w:rPr>
          <w:rStyle w:val="FootnoteReference"/>
        </w:rPr>
        <w:footnoteRef/>
      </w:r>
      <w:r>
        <w:t xml:space="preserve"> </w:t>
      </w:r>
      <w:r>
        <w:rPr>
          <w:i/>
        </w:rPr>
        <w:t xml:space="preserve">The Second Shepherds’ Play, </w:t>
      </w:r>
      <w:r>
        <w:t xml:space="preserve">p. </w:t>
      </w:r>
      <w:r w:rsidR="00A36566">
        <w:t>4.</w:t>
      </w:r>
    </w:p>
  </w:footnote>
  <w:footnote w:id="32">
    <w:p w:rsidR="009D6912" w:rsidRDefault="009D6912">
      <w:pPr>
        <w:pStyle w:val="FootnoteText"/>
      </w:pPr>
      <w:r>
        <w:rPr>
          <w:rStyle w:val="FootnoteReference"/>
        </w:rPr>
        <w:footnoteRef/>
      </w:r>
      <w:r>
        <w:t xml:space="preserve"> </w:t>
      </w:r>
      <w:r>
        <w:rPr>
          <w:i/>
        </w:rPr>
        <w:t xml:space="preserve">The Second Shepherds’ Play, </w:t>
      </w:r>
      <w:r>
        <w:t>p. 4.</w:t>
      </w:r>
    </w:p>
  </w:footnote>
  <w:footnote w:id="33">
    <w:p w:rsidR="00702EF1" w:rsidRDefault="00702EF1">
      <w:pPr>
        <w:pStyle w:val="FootnoteText"/>
      </w:pPr>
      <w:r>
        <w:rPr>
          <w:rStyle w:val="FootnoteReference"/>
        </w:rPr>
        <w:footnoteRef/>
      </w:r>
      <w:r>
        <w:t xml:space="preserve"> </w:t>
      </w:r>
      <w:r w:rsidR="00A36566">
        <w:rPr>
          <w:i/>
        </w:rPr>
        <w:t xml:space="preserve">The Second Shepherds’ Play, </w:t>
      </w:r>
      <w:r w:rsidR="00A36566">
        <w:t>p. 4.</w:t>
      </w:r>
    </w:p>
  </w:footnote>
  <w:footnote w:id="34">
    <w:p w:rsidR="008E65D0" w:rsidRDefault="008E65D0">
      <w:pPr>
        <w:pStyle w:val="FootnoteText"/>
      </w:pPr>
      <w:r>
        <w:rPr>
          <w:rStyle w:val="FootnoteReference"/>
        </w:rPr>
        <w:footnoteRef/>
      </w:r>
      <w:r>
        <w:t xml:space="preserve"> </w:t>
      </w:r>
      <w:r>
        <w:rPr>
          <w:i/>
        </w:rPr>
        <w:t xml:space="preserve">The Second Shepherds’ Play, </w:t>
      </w:r>
      <w:r>
        <w:t>p. 1.</w:t>
      </w:r>
    </w:p>
  </w:footnote>
  <w:footnote w:id="35">
    <w:p w:rsidR="001F2E35" w:rsidRPr="00BB2FBD" w:rsidRDefault="001F2E35">
      <w:pPr>
        <w:pStyle w:val="FootnoteText"/>
      </w:pPr>
      <w:r>
        <w:rPr>
          <w:rStyle w:val="FootnoteReference"/>
        </w:rPr>
        <w:footnoteRef/>
      </w:r>
      <w:r>
        <w:t xml:space="preserve"> </w:t>
      </w:r>
      <w:r w:rsidR="00FA3511">
        <w:t xml:space="preserve">Murray </w:t>
      </w:r>
      <w:proofErr w:type="spellStart"/>
      <w:r w:rsidR="00FA3511">
        <w:t>Roston</w:t>
      </w:r>
      <w:proofErr w:type="spellEnd"/>
      <w:r w:rsidR="00FA3511">
        <w:t xml:space="preserve">, </w:t>
      </w:r>
      <w:r w:rsidR="00BB2FBD">
        <w:rPr>
          <w:i/>
        </w:rPr>
        <w:t>BIBLICAL DRAMA IN ENGLAND</w:t>
      </w:r>
      <w:r w:rsidR="00691382">
        <w:t xml:space="preserve"> (London: </w:t>
      </w:r>
      <w:r w:rsidR="006A7A62">
        <w:t>Faber and Faber</w:t>
      </w:r>
      <w:r w:rsidR="00AC2419">
        <w:t xml:space="preserve"> Limited</w:t>
      </w:r>
      <w:r w:rsidR="006A7A62">
        <w:t xml:space="preserve">, </w:t>
      </w:r>
      <w:r w:rsidR="00AA32E0">
        <w:t xml:space="preserve">1968), </w:t>
      </w:r>
      <w:r w:rsidR="00BE2D90">
        <w:t>p. 41.</w:t>
      </w:r>
    </w:p>
  </w:footnote>
  <w:footnote w:id="36">
    <w:p w:rsidR="00027740" w:rsidRDefault="00027740">
      <w:pPr>
        <w:pStyle w:val="FootnoteText"/>
      </w:pPr>
      <w:r>
        <w:rPr>
          <w:rStyle w:val="FootnoteReference"/>
        </w:rPr>
        <w:footnoteRef/>
      </w:r>
      <w:r>
        <w:t xml:space="preserve"> </w:t>
      </w:r>
      <w:r>
        <w:rPr>
          <w:i/>
        </w:rPr>
        <w:t xml:space="preserve">The Second Shepherds’ Play, </w:t>
      </w:r>
      <w:r>
        <w:t xml:space="preserve">p. </w:t>
      </w:r>
      <w:r w:rsidR="006B634F">
        <w:t>17.</w:t>
      </w:r>
    </w:p>
  </w:footnote>
  <w:footnote w:id="37">
    <w:p w:rsidR="00D46CC3" w:rsidRDefault="00D46CC3">
      <w:pPr>
        <w:pStyle w:val="FootnoteText"/>
      </w:pPr>
      <w:r>
        <w:rPr>
          <w:rStyle w:val="FootnoteReference"/>
        </w:rPr>
        <w:footnoteRef/>
      </w:r>
      <w:r>
        <w:t xml:space="preserve"> </w:t>
      </w:r>
      <w:r>
        <w:rPr>
          <w:i/>
        </w:rPr>
        <w:t xml:space="preserve">The Second Shepherds’ Play, </w:t>
      </w:r>
      <w:r w:rsidR="00616880">
        <w:t>p. 17.</w:t>
      </w:r>
    </w:p>
  </w:footnote>
  <w:footnote w:id="38">
    <w:p w:rsidR="00605A40" w:rsidRDefault="00605A40">
      <w:pPr>
        <w:pStyle w:val="FootnoteText"/>
      </w:pPr>
      <w:r>
        <w:rPr>
          <w:rStyle w:val="FootnoteReference"/>
        </w:rPr>
        <w:footnoteRef/>
      </w:r>
      <w:r>
        <w:t xml:space="preserve"> </w:t>
      </w:r>
      <w:r>
        <w:rPr>
          <w:i/>
        </w:rPr>
        <w:t xml:space="preserve">The Second Shepherds’ Play, </w:t>
      </w:r>
      <w:r>
        <w:t>p. 17.</w:t>
      </w:r>
    </w:p>
  </w:footnote>
  <w:footnote w:id="39">
    <w:p w:rsidR="006E1EC8" w:rsidRDefault="006E1EC8">
      <w:pPr>
        <w:pStyle w:val="FootnoteText"/>
      </w:pPr>
      <w:r>
        <w:rPr>
          <w:rStyle w:val="FootnoteReference"/>
        </w:rPr>
        <w:footnoteRef/>
      </w:r>
      <w:r>
        <w:t xml:space="preserve"> </w:t>
      </w:r>
      <w:r w:rsidR="005E12F8">
        <w:rPr>
          <w:i/>
        </w:rPr>
        <w:t xml:space="preserve">The Second Shepherds’ Play, </w:t>
      </w:r>
      <w:r w:rsidR="005E12F8">
        <w:t xml:space="preserve">p. </w:t>
      </w:r>
      <w:r w:rsidR="009838AC">
        <w:t>1.</w:t>
      </w:r>
    </w:p>
  </w:footnote>
  <w:footnote w:id="40">
    <w:p w:rsidR="006E1EC8" w:rsidRDefault="006E1EC8">
      <w:pPr>
        <w:pStyle w:val="FootnoteText"/>
      </w:pPr>
      <w:r>
        <w:rPr>
          <w:rStyle w:val="FootnoteReference"/>
        </w:rPr>
        <w:footnoteRef/>
      </w:r>
      <w:r>
        <w:t xml:space="preserve"> </w:t>
      </w:r>
      <w:r w:rsidR="00E1729B">
        <w:rPr>
          <w:i/>
        </w:rPr>
        <w:t xml:space="preserve">The Second Shepherds’ Play, </w:t>
      </w:r>
      <w:r w:rsidR="00E1729B">
        <w:t xml:space="preserve">p. </w:t>
      </w:r>
      <w:r w:rsidR="009838AC">
        <w:t>1.</w:t>
      </w:r>
    </w:p>
  </w:footnote>
  <w:footnote w:id="41">
    <w:p w:rsidR="00104A24" w:rsidRDefault="00104A24">
      <w:pPr>
        <w:pStyle w:val="FootnoteText"/>
      </w:pPr>
      <w:r>
        <w:rPr>
          <w:rStyle w:val="FootnoteReference"/>
        </w:rPr>
        <w:footnoteRef/>
      </w:r>
      <w:r>
        <w:t xml:space="preserve"> </w:t>
      </w:r>
      <w:r w:rsidR="005D3664">
        <w:rPr>
          <w:i/>
        </w:rPr>
        <w:t xml:space="preserve">The Second Shepherds’ Play, </w:t>
      </w:r>
      <w:r w:rsidR="005D3664">
        <w:t>p. 19.</w:t>
      </w:r>
    </w:p>
  </w:footnote>
  <w:footnote w:id="42">
    <w:p w:rsidR="001A5CC0" w:rsidRDefault="001A5CC0">
      <w:pPr>
        <w:pStyle w:val="FootnoteText"/>
      </w:pPr>
      <w:r>
        <w:rPr>
          <w:rStyle w:val="FootnoteReference"/>
        </w:rPr>
        <w:footnoteRef/>
      </w:r>
      <w:r>
        <w:t xml:space="preserve"> </w:t>
      </w:r>
      <w:r>
        <w:rPr>
          <w:i/>
        </w:rPr>
        <w:t xml:space="preserve">The Second Shepherds’ Play, </w:t>
      </w:r>
      <w:r w:rsidR="00BE01FF" w:rsidRPr="00BE01FF">
        <w:t>p</w:t>
      </w:r>
      <w:r w:rsidR="008E453B" w:rsidRPr="00BE01FF">
        <w:t>p</w:t>
      </w:r>
      <w:r w:rsidR="008E453B">
        <w:t>. 17-19.</w:t>
      </w:r>
    </w:p>
  </w:footnote>
  <w:footnote w:id="43">
    <w:p w:rsidR="00DD34F5" w:rsidRDefault="00DD34F5">
      <w:pPr>
        <w:pStyle w:val="FootnoteText"/>
      </w:pPr>
      <w:r>
        <w:rPr>
          <w:rStyle w:val="FootnoteReference"/>
        </w:rPr>
        <w:footnoteRef/>
      </w:r>
      <w:r>
        <w:t xml:space="preserve"> Williams, p. 110.</w:t>
      </w:r>
    </w:p>
  </w:footnote>
  <w:footnote w:id="44">
    <w:p w:rsidR="0087188B" w:rsidRDefault="0087188B">
      <w:pPr>
        <w:pStyle w:val="FootnoteText"/>
      </w:pPr>
      <w:r>
        <w:rPr>
          <w:rStyle w:val="FootnoteReference"/>
        </w:rPr>
        <w:footnoteRef/>
      </w:r>
      <w:r>
        <w:t xml:space="preserve"> </w:t>
      </w:r>
      <w:r w:rsidR="00162C46">
        <w:rPr>
          <w:i/>
        </w:rPr>
        <w:t xml:space="preserve">The Second Shepherds’ Play, </w:t>
      </w:r>
      <w:r w:rsidR="00162C46">
        <w:t>p. 1.</w:t>
      </w:r>
    </w:p>
  </w:footnote>
  <w:footnote w:id="45">
    <w:p w:rsidR="0087188B" w:rsidRDefault="0087188B">
      <w:pPr>
        <w:pStyle w:val="FootnoteText"/>
      </w:pPr>
      <w:r>
        <w:rPr>
          <w:rStyle w:val="FootnoteReference"/>
        </w:rPr>
        <w:footnoteRef/>
      </w:r>
      <w:r>
        <w:t xml:space="preserve"> </w:t>
      </w:r>
      <w:r w:rsidR="00FB7F17">
        <w:rPr>
          <w:i/>
        </w:rPr>
        <w:t xml:space="preserve">The Second Shepherds’ Play, </w:t>
      </w:r>
      <w:r w:rsidR="00FB7F17">
        <w:t>p. 4.</w:t>
      </w:r>
    </w:p>
  </w:footnote>
  <w:footnote w:id="46">
    <w:p w:rsidR="00162C46" w:rsidRDefault="00162C46">
      <w:pPr>
        <w:pStyle w:val="FootnoteText"/>
      </w:pPr>
      <w:r>
        <w:rPr>
          <w:rStyle w:val="FootnoteReference"/>
        </w:rPr>
        <w:footnoteRef/>
      </w:r>
      <w:r>
        <w:t xml:space="preserve"> </w:t>
      </w:r>
      <w:r w:rsidR="00961E79">
        <w:rPr>
          <w:i/>
        </w:rPr>
        <w:t xml:space="preserve">The Second Shepherds’ Play, </w:t>
      </w:r>
      <w:r w:rsidR="00961E79">
        <w:t xml:space="preserve">p. </w:t>
      </w:r>
      <w:r w:rsidR="00D1629F">
        <w:t>18.</w:t>
      </w:r>
    </w:p>
  </w:footnote>
  <w:footnote w:id="47">
    <w:p w:rsidR="00162C46" w:rsidRDefault="00162C46">
      <w:pPr>
        <w:pStyle w:val="FootnoteText"/>
      </w:pPr>
      <w:r>
        <w:rPr>
          <w:rStyle w:val="FootnoteReference"/>
        </w:rPr>
        <w:footnoteRef/>
      </w:r>
      <w:r>
        <w:t xml:space="preserve"> </w:t>
      </w:r>
      <w:r w:rsidR="00961E79">
        <w:rPr>
          <w:i/>
        </w:rPr>
        <w:t xml:space="preserve">The Second Shepherds’ Play, </w:t>
      </w:r>
      <w:r w:rsidR="00556BF7">
        <w:t>p</w:t>
      </w:r>
      <w:r w:rsidR="00961E79">
        <w:t>p.</w:t>
      </w:r>
      <w:r w:rsidR="00556BF7">
        <w:t xml:space="preserve"> 18-19.</w:t>
      </w:r>
    </w:p>
  </w:footnote>
  <w:footnote w:id="48">
    <w:p w:rsidR="009F79F6" w:rsidRPr="00E54F68" w:rsidRDefault="009F79F6">
      <w:pPr>
        <w:pStyle w:val="FootnoteText"/>
      </w:pPr>
      <w:r>
        <w:rPr>
          <w:rStyle w:val="FootnoteReference"/>
        </w:rPr>
        <w:footnoteRef/>
      </w:r>
      <w:r>
        <w:t xml:space="preserve"> </w:t>
      </w:r>
      <w:r w:rsidR="00E54F68">
        <w:t xml:space="preserve">Rosemary Woolf, </w:t>
      </w:r>
      <w:r w:rsidR="00E54F68">
        <w:rPr>
          <w:i/>
        </w:rPr>
        <w:t>The English Mystery Plays</w:t>
      </w:r>
      <w:r w:rsidR="0034747E">
        <w:t xml:space="preserve"> (London: </w:t>
      </w:r>
      <w:r w:rsidR="005D20DB">
        <w:t xml:space="preserve">Routledge &amp; Kegan Paul Ltd, </w:t>
      </w:r>
      <w:r w:rsidR="00365282">
        <w:t xml:space="preserve">1972), pp. </w:t>
      </w:r>
      <w:r w:rsidR="00261875">
        <w:t>192-193.</w:t>
      </w:r>
    </w:p>
  </w:footnote>
  <w:footnote w:id="49">
    <w:p w:rsidR="003C310E" w:rsidRDefault="003C310E">
      <w:pPr>
        <w:pStyle w:val="FootnoteText"/>
      </w:pPr>
      <w:r>
        <w:rPr>
          <w:rStyle w:val="FootnoteReference"/>
        </w:rPr>
        <w:footnoteRef/>
      </w:r>
      <w:r>
        <w:t xml:space="preserve"> Matthew 12. 31.</w:t>
      </w:r>
    </w:p>
  </w:footnote>
  <w:footnote w:id="50">
    <w:p w:rsidR="003C310E" w:rsidRDefault="003C310E">
      <w:pPr>
        <w:pStyle w:val="FootnoteText"/>
      </w:pPr>
      <w:r>
        <w:rPr>
          <w:rStyle w:val="FootnoteReference"/>
        </w:rPr>
        <w:footnoteRef/>
      </w:r>
      <w:r>
        <w:t xml:space="preserve"> Matthew 7. 13.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354CD" w:rsidRDefault="001354CD" w:rsidP="001354CD">
    <w:pPr>
      <w:pStyle w:val="Header"/>
      <w:jc w:val="right"/>
    </w:pPr>
    <w:r>
      <w:t>Abbie Ena-Smith (1902082)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54CD"/>
    <w:rsid w:val="00001FF6"/>
    <w:rsid w:val="000020BB"/>
    <w:rsid w:val="00005C36"/>
    <w:rsid w:val="00007F55"/>
    <w:rsid w:val="000105AA"/>
    <w:rsid w:val="0001126D"/>
    <w:rsid w:val="000117ED"/>
    <w:rsid w:val="000137E1"/>
    <w:rsid w:val="00015292"/>
    <w:rsid w:val="00015E6A"/>
    <w:rsid w:val="0001628F"/>
    <w:rsid w:val="000207A4"/>
    <w:rsid w:val="00020941"/>
    <w:rsid w:val="00021C96"/>
    <w:rsid w:val="00022517"/>
    <w:rsid w:val="0002480C"/>
    <w:rsid w:val="000261EA"/>
    <w:rsid w:val="00026E03"/>
    <w:rsid w:val="00026E0F"/>
    <w:rsid w:val="00027368"/>
    <w:rsid w:val="00027740"/>
    <w:rsid w:val="00027D3F"/>
    <w:rsid w:val="000305E3"/>
    <w:rsid w:val="0003106C"/>
    <w:rsid w:val="0003166F"/>
    <w:rsid w:val="000323F9"/>
    <w:rsid w:val="00032776"/>
    <w:rsid w:val="0003286F"/>
    <w:rsid w:val="00032FF4"/>
    <w:rsid w:val="0003456F"/>
    <w:rsid w:val="000345CE"/>
    <w:rsid w:val="00034934"/>
    <w:rsid w:val="00034FFC"/>
    <w:rsid w:val="000353B6"/>
    <w:rsid w:val="0003754F"/>
    <w:rsid w:val="000379FB"/>
    <w:rsid w:val="00040295"/>
    <w:rsid w:val="00040B7E"/>
    <w:rsid w:val="0004102C"/>
    <w:rsid w:val="00042091"/>
    <w:rsid w:val="00042A38"/>
    <w:rsid w:val="00043891"/>
    <w:rsid w:val="00044924"/>
    <w:rsid w:val="0004730F"/>
    <w:rsid w:val="000477DA"/>
    <w:rsid w:val="00047AE3"/>
    <w:rsid w:val="00047F8E"/>
    <w:rsid w:val="0005352E"/>
    <w:rsid w:val="00053F71"/>
    <w:rsid w:val="0005456A"/>
    <w:rsid w:val="00054BEE"/>
    <w:rsid w:val="00054CE5"/>
    <w:rsid w:val="00054F10"/>
    <w:rsid w:val="000566B0"/>
    <w:rsid w:val="00056F4F"/>
    <w:rsid w:val="00057D08"/>
    <w:rsid w:val="0006147B"/>
    <w:rsid w:val="000614CD"/>
    <w:rsid w:val="000617B6"/>
    <w:rsid w:val="00061D8C"/>
    <w:rsid w:val="00065B7E"/>
    <w:rsid w:val="0006734D"/>
    <w:rsid w:val="0007022A"/>
    <w:rsid w:val="00072289"/>
    <w:rsid w:val="00074BE4"/>
    <w:rsid w:val="00074E64"/>
    <w:rsid w:val="00077DDF"/>
    <w:rsid w:val="00080FB7"/>
    <w:rsid w:val="000866BA"/>
    <w:rsid w:val="000870AC"/>
    <w:rsid w:val="00087290"/>
    <w:rsid w:val="00091FC5"/>
    <w:rsid w:val="00092B90"/>
    <w:rsid w:val="00094015"/>
    <w:rsid w:val="0009446E"/>
    <w:rsid w:val="00094D1C"/>
    <w:rsid w:val="00097228"/>
    <w:rsid w:val="000A2CFE"/>
    <w:rsid w:val="000A2E96"/>
    <w:rsid w:val="000A345C"/>
    <w:rsid w:val="000A37C7"/>
    <w:rsid w:val="000A3E7E"/>
    <w:rsid w:val="000A5253"/>
    <w:rsid w:val="000A7BF3"/>
    <w:rsid w:val="000B00D7"/>
    <w:rsid w:val="000B0B20"/>
    <w:rsid w:val="000B19A2"/>
    <w:rsid w:val="000B2B96"/>
    <w:rsid w:val="000B4C47"/>
    <w:rsid w:val="000B4D89"/>
    <w:rsid w:val="000B4EB2"/>
    <w:rsid w:val="000B554A"/>
    <w:rsid w:val="000B6ABB"/>
    <w:rsid w:val="000B7D44"/>
    <w:rsid w:val="000C2F60"/>
    <w:rsid w:val="000C368E"/>
    <w:rsid w:val="000C393A"/>
    <w:rsid w:val="000C39C4"/>
    <w:rsid w:val="000C423B"/>
    <w:rsid w:val="000C50D5"/>
    <w:rsid w:val="000C5B7B"/>
    <w:rsid w:val="000C5DA4"/>
    <w:rsid w:val="000C6B16"/>
    <w:rsid w:val="000D145C"/>
    <w:rsid w:val="000D19E6"/>
    <w:rsid w:val="000D1E02"/>
    <w:rsid w:val="000D2074"/>
    <w:rsid w:val="000D3448"/>
    <w:rsid w:val="000D3635"/>
    <w:rsid w:val="000D3C17"/>
    <w:rsid w:val="000D4F04"/>
    <w:rsid w:val="000D547E"/>
    <w:rsid w:val="000D701D"/>
    <w:rsid w:val="000E0B3A"/>
    <w:rsid w:val="000E109F"/>
    <w:rsid w:val="000E1485"/>
    <w:rsid w:val="000E175A"/>
    <w:rsid w:val="000E3995"/>
    <w:rsid w:val="000E43BD"/>
    <w:rsid w:val="000E4A72"/>
    <w:rsid w:val="000E4D60"/>
    <w:rsid w:val="000E55D1"/>
    <w:rsid w:val="000E576E"/>
    <w:rsid w:val="000E79C5"/>
    <w:rsid w:val="000E7EF9"/>
    <w:rsid w:val="000F0F75"/>
    <w:rsid w:val="000F2C0E"/>
    <w:rsid w:val="000F7AC9"/>
    <w:rsid w:val="00101109"/>
    <w:rsid w:val="00101276"/>
    <w:rsid w:val="00102705"/>
    <w:rsid w:val="001029DD"/>
    <w:rsid w:val="00104A24"/>
    <w:rsid w:val="00105BEF"/>
    <w:rsid w:val="00106DA1"/>
    <w:rsid w:val="00110F6A"/>
    <w:rsid w:val="0011178A"/>
    <w:rsid w:val="00112F25"/>
    <w:rsid w:val="0011372E"/>
    <w:rsid w:val="00113B1E"/>
    <w:rsid w:val="00113D52"/>
    <w:rsid w:val="00113E5F"/>
    <w:rsid w:val="00115065"/>
    <w:rsid w:val="0012066E"/>
    <w:rsid w:val="001207DE"/>
    <w:rsid w:val="00120E69"/>
    <w:rsid w:val="00121150"/>
    <w:rsid w:val="001214B6"/>
    <w:rsid w:val="001220E4"/>
    <w:rsid w:val="0012423E"/>
    <w:rsid w:val="00124E79"/>
    <w:rsid w:val="00125258"/>
    <w:rsid w:val="00126327"/>
    <w:rsid w:val="0013021A"/>
    <w:rsid w:val="0013038F"/>
    <w:rsid w:val="00130434"/>
    <w:rsid w:val="0013184A"/>
    <w:rsid w:val="00131AAD"/>
    <w:rsid w:val="00133AB4"/>
    <w:rsid w:val="001354CD"/>
    <w:rsid w:val="00135610"/>
    <w:rsid w:val="00137A3A"/>
    <w:rsid w:val="00140E0A"/>
    <w:rsid w:val="001410C9"/>
    <w:rsid w:val="001422F1"/>
    <w:rsid w:val="00142FAF"/>
    <w:rsid w:val="00143B38"/>
    <w:rsid w:val="00143E14"/>
    <w:rsid w:val="00143E30"/>
    <w:rsid w:val="00145E3A"/>
    <w:rsid w:val="001466DD"/>
    <w:rsid w:val="001468E6"/>
    <w:rsid w:val="0014794C"/>
    <w:rsid w:val="00151082"/>
    <w:rsid w:val="00151C8B"/>
    <w:rsid w:val="00152F2A"/>
    <w:rsid w:val="00153E50"/>
    <w:rsid w:val="00154D33"/>
    <w:rsid w:val="001552D1"/>
    <w:rsid w:val="00156CA5"/>
    <w:rsid w:val="00156F93"/>
    <w:rsid w:val="00162924"/>
    <w:rsid w:val="00162C46"/>
    <w:rsid w:val="0016484B"/>
    <w:rsid w:val="0016580A"/>
    <w:rsid w:val="00167EC7"/>
    <w:rsid w:val="00167F4B"/>
    <w:rsid w:val="001702B7"/>
    <w:rsid w:val="001702BE"/>
    <w:rsid w:val="001708C9"/>
    <w:rsid w:val="001709FE"/>
    <w:rsid w:val="00171FA2"/>
    <w:rsid w:val="0017345F"/>
    <w:rsid w:val="001735E6"/>
    <w:rsid w:val="00175C31"/>
    <w:rsid w:val="00176241"/>
    <w:rsid w:val="00176BE6"/>
    <w:rsid w:val="00180597"/>
    <w:rsid w:val="0018126C"/>
    <w:rsid w:val="00181C93"/>
    <w:rsid w:val="001827CB"/>
    <w:rsid w:val="001839F8"/>
    <w:rsid w:val="00183E05"/>
    <w:rsid w:val="001843E6"/>
    <w:rsid w:val="001852C3"/>
    <w:rsid w:val="00185453"/>
    <w:rsid w:val="00190927"/>
    <w:rsid w:val="00190CA1"/>
    <w:rsid w:val="00193FB5"/>
    <w:rsid w:val="0019420D"/>
    <w:rsid w:val="00194A5D"/>
    <w:rsid w:val="001961AA"/>
    <w:rsid w:val="00196977"/>
    <w:rsid w:val="00196AC8"/>
    <w:rsid w:val="001A0D5E"/>
    <w:rsid w:val="001A0F63"/>
    <w:rsid w:val="001A10FA"/>
    <w:rsid w:val="001A190D"/>
    <w:rsid w:val="001A1A29"/>
    <w:rsid w:val="001A3B8F"/>
    <w:rsid w:val="001A5004"/>
    <w:rsid w:val="001A5CC0"/>
    <w:rsid w:val="001A5EC7"/>
    <w:rsid w:val="001B05B5"/>
    <w:rsid w:val="001B1800"/>
    <w:rsid w:val="001B18BE"/>
    <w:rsid w:val="001B2315"/>
    <w:rsid w:val="001B30EE"/>
    <w:rsid w:val="001B4294"/>
    <w:rsid w:val="001B5E20"/>
    <w:rsid w:val="001B6674"/>
    <w:rsid w:val="001C1F7F"/>
    <w:rsid w:val="001C256B"/>
    <w:rsid w:val="001C299E"/>
    <w:rsid w:val="001C3396"/>
    <w:rsid w:val="001C3ED8"/>
    <w:rsid w:val="001C42F2"/>
    <w:rsid w:val="001C4ED7"/>
    <w:rsid w:val="001C6DE9"/>
    <w:rsid w:val="001D113D"/>
    <w:rsid w:val="001D29A0"/>
    <w:rsid w:val="001D4FDC"/>
    <w:rsid w:val="001D6DF2"/>
    <w:rsid w:val="001E03A0"/>
    <w:rsid w:val="001E066E"/>
    <w:rsid w:val="001E0936"/>
    <w:rsid w:val="001E0AA7"/>
    <w:rsid w:val="001E1333"/>
    <w:rsid w:val="001E1FFA"/>
    <w:rsid w:val="001E3B83"/>
    <w:rsid w:val="001E4307"/>
    <w:rsid w:val="001E4605"/>
    <w:rsid w:val="001E59A3"/>
    <w:rsid w:val="001E6233"/>
    <w:rsid w:val="001E623F"/>
    <w:rsid w:val="001E76A8"/>
    <w:rsid w:val="001E7A55"/>
    <w:rsid w:val="001F1B5E"/>
    <w:rsid w:val="001F2E35"/>
    <w:rsid w:val="001F3D71"/>
    <w:rsid w:val="001F4065"/>
    <w:rsid w:val="001F563A"/>
    <w:rsid w:val="001F694E"/>
    <w:rsid w:val="001F7792"/>
    <w:rsid w:val="00200B14"/>
    <w:rsid w:val="00201A40"/>
    <w:rsid w:val="00203558"/>
    <w:rsid w:val="002046F3"/>
    <w:rsid w:val="002056A2"/>
    <w:rsid w:val="00206955"/>
    <w:rsid w:val="0020790E"/>
    <w:rsid w:val="00210F05"/>
    <w:rsid w:val="00211264"/>
    <w:rsid w:val="00211E83"/>
    <w:rsid w:val="00212CEF"/>
    <w:rsid w:val="00212F6F"/>
    <w:rsid w:val="00215608"/>
    <w:rsid w:val="00215E0F"/>
    <w:rsid w:val="00215F20"/>
    <w:rsid w:val="00216BCC"/>
    <w:rsid w:val="00216F83"/>
    <w:rsid w:val="00224B8E"/>
    <w:rsid w:val="002252C3"/>
    <w:rsid w:val="00225540"/>
    <w:rsid w:val="0022556B"/>
    <w:rsid w:val="00225970"/>
    <w:rsid w:val="00232878"/>
    <w:rsid w:val="00233C19"/>
    <w:rsid w:val="00233DA2"/>
    <w:rsid w:val="00236152"/>
    <w:rsid w:val="002364D6"/>
    <w:rsid w:val="00237112"/>
    <w:rsid w:val="00240D35"/>
    <w:rsid w:val="002416F9"/>
    <w:rsid w:val="00241A05"/>
    <w:rsid w:val="002453F3"/>
    <w:rsid w:val="002455A3"/>
    <w:rsid w:val="00245AA2"/>
    <w:rsid w:val="0024635F"/>
    <w:rsid w:val="00247912"/>
    <w:rsid w:val="00250D6F"/>
    <w:rsid w:val="00252002"/>
    <w:rsid w:val="00253471"/>
    <w:rsid w:val="00253ECA"/>
    <w:rsid w:val="00254B29"/>
    <w:rsid w:val="0025615F"/>
    <w:rsid w:val="0026124C"/>
    <w:rsid w:val="00261875"/>
    <w:rsid w:val="00264D66"/>
    <w:rsid w:val="0026539B"/>
    <w:rsid w:val="0026569F"/>
    <w:rsid w:val="00265B9A"/>
    <w:rsid w:val="0026755B"/>
    <w:rsid w:val="002704C7"/>
    <w:rsid w:val="00271267"/>
    <w:rsid w:val="00271747"/>
    <w:rsid w:val="00271C02"/>
    <w:rsid w:val="00273A72"/>
    <w:rsid w:val="00273D4D"/>
    <w:rsid w:val="00274E11"/>
    <w:rsid w:val="0027543D"/>
    <w:rsid w:val="00276250"/>
    <w:rsid w:val="00276608"/>
    <w:rsid w:val="00276D79"/>
    <w:rsid w:val="00277F84"/>
    <w:rsid w:val="0028077E"/>
    <w:rsid w:val="002808F7"/>
    <w:rsid w:val="0028194C"/>
    <w:rsid w:val="00281C91"/>
    <w:rsid w:val="00281F68"/>
    <w:rsid w:val="0028481A"/>
    <w:rsid w:val="002864CB"/>
    <w:rsid w:val="00286706"/>
    <w:rsid w:val="00286FD1"/>
    <w:rsid w:val="00291422"/>
    <w:rsid w:val="00291A60"/>
    <w:rsid w:val="0029253F"/>
    <w:rsid w:val="002929CB"/>
    <w:rsid w:val="002950F7"/>
    <w:rsid w:val="00296DEB"/>
    <w:rsid w:val="002A3141"/>
    <w:rsid w:val="002A51B3"/>
    <w:rsid w:val="002A6CE6"/>
    <w:rsid w:val="002A7B3F"/>
    <w:rsid w:val="002B00C0"/>
    <w:rsid w:val="002B02B3"/>
    <w:rsid w:val="002B2229"/>
    <w:rsid w:val="002B24CC"/>
    <w:rsid w:val="002B2A9B"/>
    <w:rsid w:val="002B2E41"/>
    <w:rsid w:val="002B2FFC"/>
    <w:rsid w:val="002B5953"/>
    <w:rsid w:val="002B5981"/>
    <w:rsid w:val="002B7126"/>
    <w:rsid w:val="002B769A"/>
    <w:rsid w:val="002C0CCF"/>
    <w:rsid w:val="002C121D"/>
    <w:rsid w:val="002C1696"/>
    <w:rsid w:val="002C412D"/>
    <w:rsid w:val="002C49FA"/>
    <w:rsid w:val="002C4DE6"/>
    <w:rsid w:val="002C5DED"/>
    <w:rsid w:val="002C6FE6"/>
    <w:rsid w:val="002D13B7"/>
    <w:rsid w:val="002D1AD7"/>
    <w:rsid w:val="002D3470"/>
    <w:rsid w:val="002D35B3"/>
    <w:rsid w:val="002D3CCA"/>
    <w:rsid w:val="002D4812"/>
    <w:rsid w:val="002D496F"/>
    <w:rsid w:val="002D5C72"/>
    <w:rsid w:val="002E0298"/>
    <w:rsid w:val="002E3D83"/>
    <w:rsid w:val="002E7899"/>
    <w:rsid w:val="002F16CA"/>
    <w:rsid w:val="002F1770"/>
    <w:rsid w:val="002F4C82"/>
    <w:rsid w:val="002F583C"/>
    <w:rsid w:val="002F7815"/>
    <w:rsid w:val="002F7ED7"/>
    <w:rsid w:val="003007B2"/>
    <w:rsid w:val="00300820"/>
    <w:rsid w:val="00301620"/>
    <w:rsid w:val="00302A09"/>
    <w:rsid w:val="00303765"/>
    <w:rsid w:val="003051E5"/>
    <w:rsid w:val="00305BF5"/>
    <w:rsid w:val="0030626B"/>
    <w:rsid w:val="00310478"/>
    <w:rsid w:val="003104C0"/>
    <w:rsid w:val="003117AD"/>
    <w:rsid w:val="00314D8A"/>
    <w:rsid w:val="0031765A"/>
    <w:rsid w:val="003205BE"/>
    <w:rsid w:val="00320B5E"/>
    <w:rsid w:val="00321D53"/>
    <w:rsid w:val="003234D7"/>
    <w:rsid w:val="00323AE5"/>
    <w:rsid w:val="00323B3A"/>
    <w:rsid w:val="00324332"/>
    <w:rsid w:val="003246F0"/>
    <w:rsid w:val="00324F68"/>
    <w:rsid w:val="0032583C"/>
    <w:rsid w:val="0032706B"/>
    <w:rsid w:val="00327819"/>
    <w:rsid w:val="00331360"/>
    <w:rsid w:val="0033183C"/>
    <w:rsid w:val="00332D56"/>
    <w:rsid w:val="00333641"/>
    <w:rsid w:val="00334B08"/>
    <w:rsid w:val="00336E6E"/>
    <w:rsid w:val="003377F1"/>
    <w:rsid w:val="00340304"/>
    <w:rsid w:val="003403AC"/>
    <w:rsid w:val="00344CDC"/>
    <w:rsid w:val="0034577C"/>
    <w:rsid w:val="00345D1D"/>
    <w:rsid w:val="00345FDE"/>
    <w:rsid w:val="0034747E"/>
    <w:rsid w:val="00347867"/>
    <w:rsid w:val="00350EF9"/>
    <w:rsid w:val="0035281E"/>
    <w:rsid w:val="00353713"/>
    <w:rsid w:val="003543DB"/>
    <w:rsid w:val="003544B8"/>
    <w:rsid w:val="00354C53"/>
    <w:rsid w:val="0035535E"/>
    <w:rsid w:val="00355CDE"/>
    <w:rsid w:val="00356F1D"/>
    <w:rsid w:val="00360CFE"/>
    <w:rsid w:val="00360D9A"/>
    <w:rsid w:val="0036280F"/>
    <w:rsid w:val="00363DB7"/>
    <w:rsid w:val="00365282"/>
    <w:rsid w:val="00365945"/>
    <w:rsid w:val="00366E8C"/>
    <w:rsid w:val="00370371"/>
    <w:rsid w:val="00373683"/>
    <w:rsid w:val="003743B3"/>
    <w:rsid w:val="003816FF"/>
    <w:rsid w:val="003819B3"/>
    <w:rsid w:val="003847F6"/>
    <w:rsid w:val="00391012"/>
    <w:rsid w:val="00393042"/>
    <w:rsid w:val="0039366E"/>
    <w:rsid w:val="00394739"/>
    <w:rsid w:val="003958EB"/>
    <w:rsid w:val="00395956"/>
    <w:rsid w:val="003969BF"/>
    <w:rsid w:val="00396A53"/>
    <w:rsid w:val="00397C43"/>
    <w:rsid w:val="003A128B"/>
    <w:rsid w:val="003A17ED"/>
    <w:rsid w:val="003A17F6"/>
    <w:rsid w:val="003A2ACF"/>
    <w:rsid w:val="003A3E17"/>
    <w:rsid w:val="003A4976"/>
    <w:rsid w:val="003A4F80"/>
    <w:rsid w:val="003A5F09"/>
    <w:rsid w:val="003A666A"/>
    <w:rsid w:val="003A754D"/>
    <w:rsid w:val="003B1461"/>
    <w:rsid w:val="003B21C8"/>
    <w:rsid w:val="003B263F"/>
    <w:rsid w:val="003B3AA7"/>
    <w:rsid w:val="003B3B09"/>
    <w:rsid w:val="003B3FF7"/>
    <w:rsid w:val="003B76C8"/>
    <w:rsid w:val="003C1423"/>
    <w:rsid w:val="003C310E"/>
    <w:rsid w:val="003C3FCD"/>
    <w:rsid w:val="003C4AAE"/>
    <w:rsid w:val="003C50CA"/>
    <w:rsid w:val="003C5BAE"/>
    <w:rsid w:val="003C6831"/>
    <w:rsid w:val="003C6BDE"/>
    <w:rsid w:val="003C7786"/>
    <w:rsid w:val="003C7BA5"/>
    <w:rsid w:val="003D1E43"/>
    <w:rsid w:val="003D41B7"/>
    <w:rsid w:val="003D4AC9"/>
    <w:rsid w:val="003D62DB"/>
    <w:rsid w:val="003D74EE"/>
    <w:rsid w:val="003E0E4C"/>
    <w:rsid w:val="003E177E"/>
    <w:rsid w:val="003E38A4"/>
    <w:rsid w:val="003E5388"/>
    <w:rsid w:val="003E784A"/>
    <w:rsid w:val="003E7CA5"/>
    <w:rsid w:val="003F0FAB"/>
    <w:rsid w:val="003F10AB"/>
    <w:rsid w:val="003F11F3"/>
    <w:rsid w:val="003F1964"/>
    <w:rsid w:val="003F3D79"/>
    <w:rsid w:val="003F44AF"/>
    <w:rsid w:val="003F75DC"/>
    <w:rsid w:val="0040292A"/>
    <w:rsid w:val="004043D4"/>
    <w:rsid w:val="00405026"/>
    <w:rsid w:val="00406434"/>
    <w:rsid w:val="004103A9"/>
    <w:rsid w:val="00411AEA"/>
    <w:rsid w:val="0041288D"/>
    <w:rsid w:val="00414F97"/>
    <w:rsid w:val="00416FC2"/>
    <w:rsid w:val="004179C4"/>
    <w:rsid w:val="00417B64"/>
    <w:rsid w:val="00420C6E"/>
    <w:rsid w:val="00424069"/>
    <w:rsid w:val="00425276"/>
    <w:rsid w:val="004262D3"/>
    <w:rsid w:val="00427FBA"/>
    <w:rsid w:val="00427FEE"/>
    <w:rsid w:val="004335E4"/>
    <w:rsid w:val="00434D5D"/>
    <w:rsid w:val="004365CB"/>
    <w:rsid w:val="00436632"/>
    <w:rsid w:val="00436EF8"/>
    <w:rsid w:val="00436F0F"/>
    <w:rsid w:val="004409A5"/>
    <w:rsid w:val="004443B7"/>
    <w:rsid w:val="004463C2"/>
    <w:rsid w:val="0044759F"/>
    <w:rsid w:val="00447AE6"/>
    <w:rsid w:val="00447BCA"/>
    <w:rsid w:val="00453E4B"/>
    <w:rsid w:val="00454808"/>
    <w:rsid w:val="00457544"/>
    <w:rsid w:val="00460B2A"/>
    <w:rsid w:val="00461916"/>
    <w:rsid w:val="0046297E"/>
    <w:rsid w:val="00463429"/>
    <w:rsid w:val="004637ED"/>
    <w:rsid w:val="00463B9A"/>
    <w:rsid w:val="00463D34"/>
    <w:rsid w:val="0046510D"/>
    <w:rsid w:val="00465BA4"/>
    <w:rsid w:val="00465F23"/>
    <w:rsid w:val="004660B8"/>
    <w:rsid w:val="004675E2"/>
    <w:rsid w:val="00467C3B"/>
    <w:rsid w:val="004708DD"/>
    <w:rsid w:val="00473EF8"/>
    <w:rsid w:val="00477AF6"/>
    <w:rsid w:val="00480840"/>
    <w:rsid w:val="00480D9B"/>
    <w:rsid w:val="00480DD0"/>
    <w:rsid w:val="00481CCF"/>
    <w:rsid w:val="00481EA6"/>
    <w:rsid w:val="00482C81"/>
    <w:rsid w:val="00483274"/>
    <w:rsid w:val="00484145"/>
    <w:rsid w:val="004843AA"/>
    <w:rsid w:val="00484DC5"/>
    <w:rsid w:val="00487674"/>
    <w:rsid w:val="004906BE"/>
    <w:rsid w:val="00493E37"/>
    <w:rsid w:val="00494673"/>
    <w:rsid w:val="00497012"/>
    <w:rsid w:val="00497F2C"/>
    <w:rsid w:val="004A0077"/>
    <w:rsid w:val="004A3490"/>
    <w:rsid w:val="004A47A8"/>
    <w:rsid w:val="004A4FE1"/>
    <w:rsid w:val="004A63DC"/>
    <w:rsid w:val="004A6D58"/>
    <w:rsid w:val="004A7390"/>
    <w:rsid w:val="004A78B5"/>
    <w:rsid w:val="004B0499"/>
    <w:rsid w:val="004B0C62"/>
    <w:rsid w:val="004B0EC4"/>
    <w:rsid w:val="004B1015"/>
    <w:rsid w:val="004B1E69"/>
    <w:rsid w:val="004B37C2"/>
    <w:rsid w:val="004B426E"/>
    <w:rsid w:val="004B4BB3"/>
    <w:rsid w:val="004B4D16"/>
    <w:rsid w:val="004B6231"/>
    <w:rsid w:val="004B70EC"/>
    <w:rsid w:val="004B781D"/>
    <w:rsid w:val="004B7A82"/>
    <w:rsid w:val="004C06F2"/>
    <w:rsid w:val="004C2208"/>
    <w:rsid w:val="004C22A2"/>
    <w:rsid w:val="004C2699"/>
    <w:rsid w:val="004C4C0E"/>
    <w:rsid w:val="004C4E3D"/>
    <w:rsid w:val="004C56F9"/>
    <w:rsid w:val="004C6430"/>
    <w:rsid w:val="004C69CB"/>
    <w:rsid w:val="004C7896"/>
    <w:rsid w:val="004C7F01"/>
    <w:rsid w:val="004D18B6"/>
    <w:rsid w:val="004D28D5"/>
    <w:rsid w:val="004D2AE9"/>
    <w:rsid w:val="004D4E0B"/>
    <w:rsid w:val="004D54DA"/>
    <w:rsid w:val="004D654C"/>
    <w:rsid w:val="004D740E"/>
    <w:rsid w:val="004E1CD8"/>
    <w:rsid w:val="004E2B99"/>
    <w:rsid w:val="004E4C53"/>
    <w:rsid w:val="004E5689"/>
    <w:rsid w:val="004E589B"/>
    <w:rsid w:val="004F0E04"/>
    <w:rsid w:val="004F1E85"/>
    <w:rsid w:val="004F2BD6"/>
    <w:rsid w:val="004F2EA9"/>
    <w:rsid w:val="004F30F4"/>
    <w:rsid w:val="004F6DAA"/>
    <w:rsid w:val="004F7739"/>
    <w:rsid w:val="004F7C91"/>
    <w:rsid w:val="00500277"/>
    <w:rsid w:val="0050091A"/>
    <w:rsid w:val="00500AAA"/>
    <w:rsid w:val="00502070"/>
    <w:rsid w:val="0050354E"/>
    <w:rsid w:val="0050639F"/>
    <w:rsid w:val="00506B39"/>
    <w:rsid w:val="005102B7"/>
    <w:rsid w:val="0051198C"/>
    <w:rsid w:val="0051331E"/>
    <w:rsid w:val="00514589"/>
    <w:rsid w:val="00514E5F"/>
    <w:rsid w:val="005153C3"/>
    <w:rsid w:val="005202C7"/>
    <w:rsid w:val="005209CC"/>
    <w:rsid w:val="00521DB9"/>
    <w:rsid w:val="00522312"/>
    <w:rsid w:val="005224C3"/>
    <w:rsid w:val="005240BF"/>
    <w:rsid w:val="005247DA"/>
    <w:rsid w:val="0052494A"/>
    <w:rsid w:val="00524B4C"/>
    <w:rsid w:val="005250DA"/>
    <w:rsid w:val="00525844"/>
    <w:rsid w:val="00526150"/>
    <w:rsid w:val="00533B57"/>
    <w:rsid w:val="00534363"/>
    <w:rsid w:val="005362C5"/>
    <w:rsid w:val="00536B76"/>
    <w:rsid w:val="00537F9A"/>
    <w:rsid w:val="005404AC"/>
    <w:rsid w:val="005406C4"/>
    <w:rsid w:val="005430EE"/>
    <w:rsid w:val="00543FF5"/>
    <w:rsid w:val="005442D5"/>
    <w:rsid w:val="00547401"/>
    <w:rsid w:val="00550514"/>
    <w:rsid w:val="00550642"/>
    <w:rsid w:val="00550AB0"/>
    <w:rsid w:val="00551CC2"/>
    <w:rsid w:val="0055268C"/>
    <w:rsid w:val="0055343D"/>
    <w:rsid w:val="00556BF7"/>
    <w:rsid w:val="00557B7C"/>
    <w:rsid w:val="005603DF"/>
    <w:rsid w:val="005604AD"/>
    <w:rsid w:val="005614AD"/>
    <w:rsid w:val="005623FE"/>
    <w:rsid w:val="005628A9"/>
    <w:rsid w:val="00563113"/>
    <w:rsid w:val="005639AD"/>
    <w:rsid w:val="00563D9A"/>
    <w:rsid w:val="00564771"/>
    <w:rsid w:val="00566976"/>
    <w:rsid w:val="00566E80"/>
    <w:rsid w:val="00567419"/>
    <w:rsid w:val="005678AC"/>
    <w:rsid w:val="0057237A"/>
    <w:rsid w:val="005729DF"/>
    <w:rsid w:val="005734B9"/>
    <w:rsid w:val="00573ADD"/>
    <w:rsid w:val="005740B6"/>
    <w:rsid w:val="00575589"/>
    <w:rsid w:val="00575E7F"/>
    <w:rsid w:val="00576DD1"/>
    <w:rsid w:val="00577343"/>
    <w:rsid w:val="00577980"/>
    <w:rsid w:val="005812A9"/>
    <w:rsid w:val="0058262F"/>
    <w:rsid w:val="0058341C"/>
    <w:rsid w:val="005859A9"/>
    <w:rsid w:val="00586854"/>
    <w:rsid w:val="0058725B"/>
    <w:rsid w:val="00587748"/>
    <w:rsid w:val="00587FD1"/>
    <w:rsid w:val="00591285"/>
    <w:rsid w:val="005912AD"/>
    <w:rsid w:val="005916B7"/>
    <w:rsid w:val="00593646"/>
    <w:rsid w:val="0059381E"/>
    <w:rsid w:val="00593C32"/>
    <w:rsid w:val="00593E4B"/>
    <w:rsid w:val="00594394"/>
    <w:rsid w:val="005948E7"/>
    <w:rsid w:val="00596312"/>
    <w:rsid w:val="005965D7"/>
    <w:rsid w:val="00597486"/>
    <w:rsid w:val="005A0452"/>
    <w:rsid w:val="005A08FC"/>
    <w:rsid w:val="005A1266"/>
    <w:rsid w:val="005A15B5"/>
    <w:rsid w:val="005A369C"/>
    <w:rsid w:val="005A48C6"/>
    <w:rsid w:val="005B1977"/>
    <w:rsid w:val="005B54FA"/>
    <w:rsid w:val="005B5ADA"/>
    <w:rsid w:val="005B6F3F"/>
    <w:rsid w:val="005C01D1"/>
    <w:rsid w:val="005C1622"/>
    <w:rsid w:val="005C2C7D"/>
    <w:rsid w:val="005C419B"/>
    <w:rsid w:val="005C46EA"/>
    <w:rsid w:val="005C4AF1"/>
    <w:rsid w:val="005C4D7D"/>
    <w:rsid w:val="005C5328"/>
    <w:rsid w:val="005C6104"/>
    <w:rsid w:val="005C7893"/>
    <w:rsid w:val="005C7F39"/>
    <w:rsid w:val="005D20DB"/>
    <w:rsid w:val="005D3485"/>
    <w:rsid w:val="005D3628"/>
    <w:rsid w:val="005D3664"/>
    <w:rsid w:val="005D3E40"/>
    <w:rsid w:val="005D79E0"/>
    <w:rsid w:val="005E0D5A"/>
    <w:rsid w:val="005E12F8"/>
    <w:rsid w:val="005E1CFC"/>
    <w:rsid w:val="005E35D0"/>
    <w:rsid w:val="005E4016"/>
    <w:rsid w:val="005E5481"/>
    <w:rsid w:val="005E6CA7"/>
    <w:rsid w:val="005F0E09"/>
    <w:rsid w:val="005F15EA"/>
    <w:rsid w:val="005F2557"/>
    <w:rsid w:val="005F3708"/>
    <w:rsid w:val="005F4EFB"/>
    <w:rsid w:val="005F5F4C"/>
    <w:rsid w:val="005F6290"/>
    <w:rsid w:val="005F65BD"/>
    <w:rsid w:val="006005FC"/>
    <w:rsid w:val="00601A69"/>
    <w:rsid w:val="00605A40"/>
    <w:rsid w:val="00605A9D"/>
    <w:rsid w:val="006062CB"/>
    <w:rsid w:val="00607756"/>
    <w:rsid w:val="006100C8"/>
    <w:rsid w:val="006106DB"/>
    <w:rsid w:val="00612777"/>
    <w:rsid w:val="0061616A"/>
    <w:rsid w:val="00616880"/>
    <w:rsid w:val="00616EC4"/>
    <w:rsid w:val="0062024A"/>
    <w:rsid w:val="0062061F"/>
    <w:rsid w:val="00621B81"/>
    <w:rsid w:val="0062218A"/>
    <w:rsid w:val="0062276E"/>
    <w:rsid w:val="00622B2C"/>
    <w:rsid w:val="006232E7"/>
    <w:rsid w:val="00623418"/>
    <w:rsid w:val="006276A2"/>
    <w:rsid w:val="0063035F"/>
    <w:rsid w:val="00631AAB"/>
    <w:rsid w:val="0063203F"/>
    <w:rsid w:val="006324C5"/>
    <w:rsid w:val="00633142"/>
    <w:rsid w:val="006336BB"/>
    <w:rsid w:val="00635939"/>
    <w:rsid w:val="0063648A"/>
    <w:rsid w:val="00636C06"/>
    <w:rsid w:val="00636EF8"/>
    <w:rsid w:val="00637A4D"/>
    <w:rsid w:val="00637AC1"/>
    <w:rsid w:val="0064128C"/>
    <w:rsid w:val="0064174B"/>
    <w:rsid w:val="00641FE9"/>
    <w:rsid w:val="006432C0"/>
    <w:rsid w:val="0064544B"/>
    <w:rsid w:val="0064595D"/>
    <w:rsid w:val="0065017C"/>
    <w:rsid w:val="00650560"/>
    <w:rsid w:val="00651186"/>
    <w:rsid w:val="00651311"/>
    <w:rsid w:val="00651E92"/>
    <w:rsid w:val="00652809"/>
    <w:rsid w:val="006528C3"/>
    <w:rsid w:val="00652EBD"/>
    <w:rsid w:val="00652FF1"/>
    <w:rsid w:val="00653C6B"/>
    <w:rsid w:val="0065529F"/>
    <w:rsid w:val="00655F1B"/>
    <w:rsid w:val="00656D1F"/>
    <w:rsid w:val="00657D6B"/>
    <w:rsid w:val="006638A1"/>
    <w:rsid w:val="0066591B"/>
    <w:rsid w:val="00665F57"/>
    <w:rsid w:val="00666D9F"/>
    <w:rsid w:val="00667AA5"/>
    <w:rsid w:val="006706B8"/>
    <w:rsid w:val="00674363"/>
    <w:rsid w:val="00674527"/>
    <w:rsid w:val="00674795"/>
    <w:rsid w:val="00675260"/>
    <w:rsid w:val="006755C8"/>
    <w:rsid w:val="00675BB1"/>
    <w:rsid w:val="0068041A"/>
    <w:rsid w:val="0068176E"/>
    <w:rsid w:val="00682C77"/>
    <w:rsid w:val="00685B3D"/>
    <w:rsid w:val="00691010"/>
    <w:rsid w:val="006911BD"/>
    <w:rsid w:val="00691382"/>
    <w:rsid w:val="006913B7"/>
    <w:rsid w:val="0069218D"/>
    <w:rsid w:val="00692268"/>
    <w:rsid w:val="00692466"/>
    <w:rsid w:val="00694BAD"/>
    <w:rsid w:val="00694DE5"/>
    <w:rsid w:val="00697B6C"/>
    <w:rsid w:val="006A21BF"/>
    <w:rsid w:val="006A3537"/>
    <w:rsid w:val="006A38CD"/>
    <w:rsid w:val="006A5761"/>
    <w:rsid w:val="006A664E"/>
    <w:rsid w:val="006A7A62"/>
    <w:rsid w:val="006A7F83"/>
    <w:rsid w:val="006B458F"/>
    <w:rsid w:val="006B4AE6"/>
    <w:rsid w:val="006B4D6D"/>
    <w:rsid w:val="006B53F2"/>
    <w:rsid w:val="006B58BA"/>
    <w:rsid w:val="006B5BFB"/>
    <w:rsid w:val="006B634F"/>
    <w:rsid w:val="006B6B3C"/>
    <w:rsid w:val="006C1658"/>
    <w:rsid w:val="006C297D"/>
    <w:rsid w:val="006C37FD"/>
    <w:rsid w:val="006C4054"/>
    <w:rsid w:val="006C40FC"/>
    <w:rsid w:val="006C4C44"/>
    <w:rsid w:val="006C5EC8"/>
    <w:rsid w:val="006C5ED7"/>
    <w:rsid w:val="006C6460"/>
    <w:rsid w:val="006C7FA4"/>
    <w:rsid w:val="006D032C"/>
    <w:rsid w:val="006D07CB"/>
    <w:rsid w:val="006D0EF2"/>
    <w:rsid w:val="006D18D4"/>
    <w:rsid w:val="006D1CD7"/>
    <w:rsid w:val="006D478E"/>
    <w:rsid w:val="006D52CF"/>
    <w:rsid w:val="006D5F73"/>
    <w:rsid w:val="006E05AC"/>
    <w:rsid w:val="006E1EC8"/>
    <w:rsid w:val="006E21BD"/>
    <w:rsid w:val="006E409E"/>
    <w:rsid w:val="006E4954"/>
    <w:rsid w:val="006E5539"/>
    <w:rsid w:val="006E600F"/>
    <w:rsid w:val="006E7498"/>
    <w:rsid w:val="006F07D5"/>
    <w:rsid w:val="006F0F96"/>
    <w:rsid w:val="006F13B5"/>
    <w:rsid w:val="006F24B7"/>
    <w:rsid w:val="006F2CF8"/>
    <w:rsid w:val="006F3480"/>
    <w:rsid w:val="006F39C1"/>
    <w:rsid w:val="006F467F"/>
    <w:rsid w:val="006F66B2"/>
    <w:rsid w:val="006F7771"/>
    <w:rsid w:val="0070109B"/>
    <w:rsid w:val="00702EF1"/>
    <w:rsid w:val="0070378A"/>
    <w:rsid w:val="00704AEA"/>
    <w:rsid w:val="00705090"/>
    <w:rsid w:val="00706336"/>
    <w:rsid w:val="007066C6"/>
    <w:rsid w:val="00706B32"/>
    <w:rsid w:val="007076B7"/>
    <w:rsid w:val="00710795"/>
    <w:rsid w:val="00710F36"/>
    <w:rsid w:val="00711BA2"/>
    <w:rsid w:val="00712B60"/>
    <w:rsid w:val="0071330F"/>
    <w:rsid w:val="00713442"/>
    <w:rsid w:val="007163A7"/>
    <w:rsid w:val="00717390"/>
    <w:rsid w:val="007205FB"/>
    <w:rsid w:val="00724DF5"/>
    <w:rsid w:val="00726A7F"/>
    <w:rsid w:val="0073125D"/>
    <w:rsid w:val="00731BA3"/>
    <w:rsid w:val="00732DF2"/>
    <w:rsid w:val="007343CF"/>
    <w:rsid w:val="00734C77"/>
    <w:rsid w:val="00734ECE"/>
    <w:rsid w:val="007369DC"/>
    <w:rsid w:val="007376B5"/>
    <w:rsid w:val="0074069C"/>
    <w:rsid w:val="00740795"/>
    <w:rsid w:val="007408DD"/>
    <w:rsid w:val="00741DB8"/>
    <w:rsid w:val="007443DE"/>
    <w:rsid w:val="00746758"/>
    <w:rsid w:val="00747C80"/>
    <w:rsid w:val="00751832"/>
    <w:rsid w:val="00753552"/>
    <w:rsid w:val="00753955"/>
    <w:rsid w:val="0075445E"/>
    <w:rsid w:val="00754D2C"/>
    <w:rsid w:val="00755C81"/>
    <w:rsid w:val="00757D9E"/>
    <w:rsid w:val="00761B57"/>
    <w:rsid w:val="00762856"/>
    <w:rsid w:val="007628CA"/>
    <w:rsid w:val="00764987"/>
    <w:rsid w:val="00764E65"/>
    <w:rsid w:val="0076525A"/>
    <w:rsid w:val="007667DC"/>
    <w:rsid w:val="007669A2"/>
    <w:rsid w:val="00766B13"/>
    <w:rsid w:val="00770ED8"/>
    <w:rsid w:val="00774047"/>
    <w:rsid w:val="00775AD0"/>
    <w:rsid w:val="00776C17"/>
    <w:rsid w:val="00777D31"/>
    <w:rsid w:val="007811AB"/>
    <w:rsid w:val="007819D1"/>
    <w:rsid w:val="00784D74"/>
    <w:rsid w:val="0078543F"/>
    <w:rsid w:val="00785564"/>
    <w:rsid w:val="00785F50"/>
    <w:rsid w:val="00786E75"/>
    <w:rsid w:val="00787B27"/>
    <w:rsid w:val="007907D8"/>
    <w:rsid w:val="007923CF"/>
    <w:rsid w:val="00792E6D"/>
    <w:rsid w:val="007930D7"/>
    <w:rsid w:val="007938D6"/>
    <w:rsid w:val="00793F6C"/>
    <w:rsid w:val="00794142"/>
    <w:rsid w:val="00794474"/>
    <w:rsid w:val="00797648"/>
    <w:rsid w:val="007A039F"/>
    <w:rsid w:val="007A1376"/>
    <w:rsid w:val="007A3572"/>
    <w:rsid w:val="007A3902"/>
    <w:rsid w:val="007A4970"/>
    <w:rsid w:val="007A57A5"/>
    <w:rsid w:val="007A6C27"/>
    <w:rsid w:val="007A6D17"/>
    <w:rsid w:val="007A6F9C"/>
    <w:rsid w:val="007A7D89"/>
    <w:rsid w:val="007B0664"/>
    <w:rsid w:val="007B0C04"/>
    <w:rsid w:val="007B1EA8"/>
    <w:rsid w:val="007B2F71"/>
    <w:rsid w:val="007B30CA"/>
    <w:rsid w:val="007B5722"/>
    <w:rsid w:val="007B673F"/>
    <w:rsid w:val="007B6CA9"/>
    <w:rsid w:val="007C1221"/>
    <w:rsid w:val="007C411A"/>
    <w:rsid w:val="007C6B56"/>
    <w:rsid w:val="007C7495"/>
    <w:rsid w:val="007D2452"/>
    <w:rsid w:val="007D2699"/>
    <w:rsid w:val="007D270B"/>
    <w:rsid w:val="007D27C5"/>
    <w:rsid w:val="007D2FDF"/>
    <w:rsid w:val="007D3C66"/>
    <w:rsid w:val="007D44F7"/>
    <w:rsid w:val="007D48C0"/>
    <w:rsid w:val="007D6852"/>
    <w:rsid w:val="007D6867"/>
    <w:rsid w:val="007D72C5"/>
    <w:rsid w:val="007D7BF8"/>
    <w:rsid w:val="007E0331"/>
    <w:rsid w:val="007E2C82"/>
    <w:rsid w:val="007E3BC4"/>
    <w:rsid w:val="007E4C0F"/>
    <w:rsid w:val="007E5633"/>
    <w:rsid w:val="007E7FA9"/>
    <w:rsid w:val="007F0CEA"/>
    <w:rsid w:val="007F0F39"/>
    <w:rsid w:val="007F157F"/>
    <w:rsid w:val="007F2207"/>
    <w:rsid w:val="007F317E"/>
    <w:rsid w:val="007F6CB4"/>
    <w:rsid w:val="00800EF5"/>
    <w:rsid w:val="00801D6E"/>
    <w:rsid w:val="008026F0"/>
    <w:rsid w:val="00803262"/>
    <w:rsid w:val="008063B4"/>
    <w:rsid w:val="00807162"/>
    <w:rsid w:val="00807AFA"/>
    <w:rsid w:val="00807BBD"/>
    <w:rsid w:val="00807DBF"/>
    <w:rsid w:val="00811447"/>
    <w:rsid w:val="008118DD"/>
    <w:rsid w:val="00813809"/>
    <w:rsid w:val="00814612"/>
    <w:rsid w:val="00815913"/>
    <w:rsid w:val="0082121A"/>
    <w:rsid w:val="0082128B"/>
    <w:rsid w:val="00821D1E"/>
    <w:rsid w:val="00821EAD"/>
    <w:rsid w:val="0082216A"/>
    <w:rsid w:val="00822306"/>
    <w:rsid w:val="00822E8D"/>
    <w:rsid w:val="008230B3"/>
    <w:rsid w:val="008255EA"/>
    <w:rsid w:val="00825814"/>
    <w:rsid w:val="00825CAF"/>
    <w:rsid w:val="00825F0E"/>
    <w:rsid w:val="00826016"/>
    <w:rsid w:val="00830E03"/>
    <w:rsid w:val="008310FD"/>
    <w:rsid w:val="00832793"/>
    <w:rsid w:val="008331D3"/>
    <w:rsid w:val="00833CE6"/>
    <w:rsid w:val="00835A0C"/>
    <w:rsid w:val="0083737C"/>
    <w:rsid w:val="00837AD3"/>
    <w:rsid w:val="00840885"/>
    <w:rsid w:val="00840F30"/>
    <w:rsid w:val="00841305"/>
    <w:rsid w:val="00841896"/>
    <w:rsid w:val="00841E5F"/>
    <w:rsid w:val="00842A7E"/>
    <w:rsid w:val="00842ED1"/>
    <w:rsid w:val="00845833"/>
    <w:rsid w:val="00845E22"/>
    <w:rsid w:val="00846253"/>
    <w:rsid w:val="00846A23"/>
    <w:rsid w:val="0085009B"/>
    <w:rsid w:val="008506A5"/>
    <w:rsid w:val="00851BBB"/>
    <w:rsid w:val="00852D5C"/>
    <w:rsid w:val="00852DB2"/>
    <w:rsid w:val="00856EC3"/>
    <w:rsid w:val="008619EC"/>
    <w:rsid w:val="00862205"/>
    <w:rsid w:val="00862A99"/>
    <w:rsid w:val="00863340"/>
    <w:rsid w:val="00863862"/>
    <w:rsid w:val="00864A84"/>
    <w:rsid w:val="00865D53"/>
    <w:rsid w:val="0086755A"/>
    <w:rsid w:val="00867ED2"/>
    <w:rsid w:val="0087188B"/>
    <w:rsid w:val="00871E48"/>
    <w:rsid w:val="0087536A"/>
    <w:rsid w:val="00875596"/>
    <w:rsid w:val="00876589"/>
    <w:rsid w:val="0088000E"/>
    <w:rsid w:val="0088056A"/>
    <w:rsid w:val="00882645"/>
    <w:rsid w:val="00882C7D"/>
    <w:rsid w:val="0088317F"/>
    <w:rsid w:val="008849CD"/>
    <w:rsid w:val="00885616"/>
    <w:rsid w:val="0089106F"/>
    <w:rsid w:val="00891BAF"/>
    <w:rsid w:val="0089261B"/>
    <w:rsid w:val="00893755"/>
    <w:rsid w:val="00894337"/>
    <w:rsid w:val="00894B21"/>
    <w:rsid w:val="00897CF4"/>
    <w:rsid w:val="008A170B"/>
    <w:rsid w:val="008A188C"/>
    <w:rsid w:val="008A20C3"/>
    <w:rsid w:val="008A245F"/>
    <w:rsid w:val="008A257D"/>
    <w:rsid w:val="008A4B3E"/>
    <w:rsid w:val="008A4FC9"/>
    <w:rsid w:val="008A65D5"/>
    <w:rsid w:val="008A6870"/>
    <w:rsid w:val="008A7932"/>
    <w:rsid w:val="008B133D"/>
    <w:rsid w:val="008B3429"/>
    <w:rsid w:val="008B3525"/>
    <w:rsid w:val="008B4163"/>
    <w:rsid w:val="008B4749"/>
    <w:rsid w:val="008B52A3"/>
    <w:rsid w:val="008B5C66"/>
    <w:rsid w:val="008C04D6"/>
    <w:rsid w:val="008C34C2"/>
    <w:rsid w:val="008C4B4D"/>
    <w:rsid w:val="008C5834"/>
    <w:rsid w:val="008C5A08"/>
    <w:rsid w:val="008C6FFC"/>
    <w:rsid w:val="008C766D"/>
    <w:rsid w:val="008C7A15"/>
    <w:rsid w:val="008D0AC7"/>
    <w:rsid w:val="008D11D9"/>
    <w:rsid w:val="008D2C0A"/>
    <w:rsid w:val="008D3631"/>
    <w:rsid w:val="008D466D"/>
    <w:rsid w:val="008D4C4C"/>
    <w:rsid w:val="008D6DF4"/>
    <w:rsid w:val="008D6E28"/>
    <w:rsid w:val="008D7563"/>
    <w:rsid w:val="008E0AC1"/>
    <w:rsid w:val="008E13CB"/>
    <w:rsid w:val="008E3506"/>
    <w:rsid w:val="008E3E17"/>
    <w:rsid w:val="008E4063"/>
    <w:rsid w:val="008E453B"/>
    <w:rsid w:val="008E6066"/>
    <w:rsid w:val="008E61D9"/>
    <w:rsid w:val="008E65D0"/>
    <w:rsid w:val="008F0787"/>
    <w:rsid w:val="008F2365"/>
    <w:rsid w:val="008F2480"/>
    <w:rsid w:val="008F2952"/>
    <w:rsid w:val="008F2DBA"/>
    <w:rsid w:val="008F3A0C"/>
    <w:rsid w:val="008F43A9"/>
    <w:rsid w:val="008F4BD4"/>
    <w:rsid w:val="008F6FFA"/>
    <w:rsid w:val="00900A95"/>
    <w:rsid w:val="00901E34"/>
    <w:rsid w:val="009045BF"/>
    <w:rsid w:val="00904A1E"/>
    <w:rsid w:val="00906003"/>
    <w:rsid w:val="009078AB"/>
    <w:rsid w:val="00911877"/>
    <w:rsid w:val="009132B3"/>
    <w:rsid w:val="00914BA1"/>
    <w:rsid w:val="00915E9B"/>
    <w:rsid w:val="00916B8F"/>
    <w:rsid w:val="00920B83"/>
    <w:rsid w:val="00920E32"/>
    <w:rsid w:val="00926AF1"/>
    <w:rsid w:val="00927117"/>
    <w:rsid w:val="00927B65"/>
    <w:rsid w:val="00930D3C"/>
    <w:rsid w:val="0093108F"/>
    <w:rsid w:val="00931119"/>
    <w:rsid w:val="0093347B"/>
    <w:rsid w:val="00933F40"/>
    <w:rsid w:val="0093720E"/>
    <w:rsid w:val="00937E15"/>
    <w:rsid w:val="009400F0"/>
    <w:rsid w:val="00941A8C"/>
    <w:rsid w:val="009428ED"/>
    <w:rsid w:val="00942EB3"/>
    <w:rsid w:val="00942F81"/>
    <w:rsid w:val="00943150"/>
    <w:rsid w:val="0094391D"/>
    <w:rsid w:val="00945906"/>
    <w:rsid w:val="00945B08"/>
    <w:rsid w:val="00947B95"/>
    <w:rsid w:val="0095008A"/>
    <w:rsid w:val="00950DE5"/>
    <w:rsid w:val="009511F0"/>
    <w:rsid w:val="00951B22"/>
    <w:rsid w:val="00951E41"/>
    <w:rsid w:val="00952421"/>
    <w:rsid w:val="00952533"/>
    <w:rsid w:val="0095265C"/>
    <w:rsid w:val="00952DC4"/>
    <w:rsid w:val="00953B0F"/>
    <w:rsid w:val="0095493C"/>
    <w:rsid w:val="0095503B"/>
    <w:rsid w:val="00956C6F"/>
    <w:rsid w:val="00957C11"/>
    <w:rsid w:val="00961E79"/>
    <w:rsid w:val="009639C9"/>
    <w:rsid w:val="00963BAF"/>
    <w:rsid w:val="00964C72"/>
    <w:rsid w:val="0096511E"/>
    <w:rsid w:val="00966602"/>
    <w:rsid w:val="00966995"/>
    <w:rsid w:val="0097199A"/>
    <w:rsid w:val="0097234C"/>
    <w:rsid w:val="0097288C"/>
    <w:rsid w:val="00972969"/>
    <w:rsid w:val="00972FB3"/>
    <w:rsid w:val="00973DF0"/>
    <w:rsid w:val="009745DC"/>
    <w:rsid w:val="00977381"/>
    <w:rsid w:val="00977722"/>
    <w:rsid w:val="00977A3D"/>
    <w:rsid w:val="0098009B"/>
    <w:rsid w:val="00980A86"/>
    <w:rsid w:val="00980F39"/>
    <w:rsid w:val="00980FDC"/>
    <w:rsid w:val="009810CC"/>
    <w:rsid w:val="00981AF2"/>
    <w:rsid w:val="009826C6"/>
    <w:rsid w:val="00982A85"/>
    <w:rsid w:val="009838AC"/>
    <w:rsid w:val="00986EC3"/>
    <w:rsid w:val="00987ED3"/>
    <w:rsid w:val="00987EDE"/>
    <w:rsid w:val="0099274E"/>
    <w:rsid w:val="00994078"/>
    <w:rsid w:val="00995495"/>
    <w:rsid w:val="00995A85"/>
    <w:rsid w:val="00995FB2"/>
    <w:rsid w:val="00996F3E"/>
    <w:rsid w:val="009A0892"/>
    <w:rsid w:val="009A14AE"/>
    <w:rsid w:val="009A1D1B"/>
    <w:rsid w:val="009A2421"/>
    <w:rsid w:val="009A311D"/>
    <w:rsid w:val="009A3C10"/>
    <w:rsid w:val="009A3EAB"/>
    <w:rsid w:val="009A762A"/>
    <w:rsid w:val="009A787C"/>
    <w:rsid w:val="009A7E3B"/>
    <w:rsid w:val="009B2351"/>
    <w:rsid w:val="009B5011"/>
    <w:rsid w:val="009B5D93"/>
    <w:rsid w:val="009B6043"/>
    <w:rsid w:val="009B6570"/>
    <w:rsid w:val="009B713E"/>
    <w:rsid w:val="009C09AF"/>
    <w:rsid w:val="009C3CF3"/>
    <w:rsid w:val="009D0E5C"/>
    <w:rsid w:val="009D1292"/>
    <w:rsid w:val="009D1412"/>
    <w:rsid w:val="009D2AD9"/>
    <w:rsid w:val="009D2ECA"/>
    <w:rsid w:val="009D3B34"/>
    <w:rsid w:val="009D4E42"/>
    <w:rsid w:val="009D6912"/>
    <w:rsid w:val="009D6E7A"/>
    <w:rsid w:val="009D78A4"/>
    <w:rsid w:val="009E1246"/>
    <w:rsid w:val="009E159C"/>
    <w:rsid w:val="009E163A"/>
    <w:rsid w:val="009E16E8"/>
    <w:rsid w:val="009E1D80"/>
    <w:rsid w:val="009E294C"/>
    <w:rsid w:val="009E29D4"/>
    <w:rsid w:val="009E43BD"/>
    <w:rsid w:val="009E467C"/>
    <w:rsid w:val="009E54B8"/>
    <w:rsid w:val="009E6278"/>
    <w:rsid w:val="009F0178"/>
    <w:rsid w:val="009F04E0"/>
    <w:rsid w:val="009F0522"/>
    <w:rsid w:val="009F0BC2"/>
    <w:rsid w:val="009F0DDD"/>
    <w:rsid w:val="009F27D0"/>
    <w:rsid w:val="009F2FB1"/>
    <w:rsid w:val="009F467B"/>
    <w:rsid w:val="009F4DFC"/>
    <w:rsid w:val="009F5588"/>
    <w:rsid w:val="009F5744"/>
    <w:rsid w:val="009F6515"/>
    <w:rsid w:val="009F6A02"/>
    <w:rsid w:val="009F79F6"/>
    <w:rsid w:val="00A01376"/>
    <w:rsid w:val="00A02CE6"/>
    <w:rsid w:val="00A0311E"/>
    <w:rsid w:val="00A03AFF"/>
    <w:rsid w:val="00A046AC"/>
    <w:rsid w:val="00A10045"/>
    <w:rsid w:val="00A13165"/>
    <w:rsid w:val="00A13AE1"/>
    <w:rsid w:val="00A13D1B"/>
    <w:rsid w:val="00A1401B"/>
    <w:rsid w:val="00A158C9"/>
    <w:rsid w:val="00A16B2D"/>
    <w:rsid w:val="00A170E7"/>
    <w:rsid w:val="00A20AA0"/>
    <w:rsid w:val="00A2128D"/>
    <w:rsid w:val="00A21726"/>
    <w:rsid w:val="00A25593"/>
    <w:rsid w:val="00A255B1"/>
    <w:rsid w:val="00A30921"/>
    <w:rsid w:val="00A30A31"/>
    <w:rsid w:val="00A30B30"/>
    <w:rsid w:val="00A32DB4"/>
    <w:rsid w:val="00A3541F"/>
    <w:rsid w:val="00A3651A"/>
    <w:rsid w:val="00A36566"/>
    <w:rsid w:val="00A37040"/>
    <w:rsid w:val="00A3788E"/>
    <w:rsid w:val="00A37F88"/>
    <w:rsid w:val="00A4003E"/>
    <w:rsid w:val="00A400BF"/>
    <w:rsid w:val="00A41F43"/>
    <w:rsid w:val="00A42448"/>
    <w:rsid w:val="00A42DCE"/>
    <w:rsid w:val="00A437A9"/>
    <w:rsid w:val="00A43BC0"/>
    <w:rsid w:val="00A447A4"/>
    <w:rsid w:val="00A46086"/>
    <w:rsid w:val="00A47AD5"/>
    <w:rsid w:val="00A50514"/>
    <w:rsid w:val="00A5093C"/>
    <w:rsid w:val="00A51ED2"/>
    <w:rsid w:val="00A54C12"/>
    <w:rsid w:val="00A562F6"/>
    <w:rsid w:val="00A5729A"/>
    <w:rsid w:val="00A57ACE"/>
    <w:rsid w:val="00A60364"/>
    <w:rsid w:val="00A61B10"/>
    <w:rsid w:val="00A61C22"/>
    <w:rsid w:val="00A61E80"/>
    <w:rsid w:val="00A62079"/>
    <w:rsid w:val="00A624BE"/>
    <w:rsid w:val="00A638AF"/>
    <w:rsid w:val="00A65011"/>
    <w:rsid w:val="00A65F32"/>
    <w:rsid w:val="00A66923"/>
    <w:rsid w:val="00A66E77"/>
    <w:rsid w:val="00A67EB3"/>
    <w:rsid w:val="00A7005B"/>
    <w:rsid w:val="00A71753"/>
    <w:rsid w:val="00A733DF"/>
    <w:rsid w:val="00A73512"/>
    <w:rsid w:val="00A76076"/>
    <w:rsid w:val="00A808A5"/>
    <w:rsid w:val="00A818F6"/>
    <w:rsid w:val="00A81F38"/>
    <w:rsid w:val="00A8302B"/>
    <w:rsid w:val="00A83728"/>
    <w:rsid w:val="00A841C7"/>
    <w:rsid w:val="00A843A0"/>
    <w:rsid w:val="00A84B96"/>
    <w:rsid w:val="00A84D25"/>
    <w:rsid w:val="00A8701E"/>
    <w:rsid w:val="00A873A7"/>
    <w:rsid w:val="00A90683"/>
    <w:rsid w:val="00A9519F"/>
    <w:rsid w:val="00A9648C"/>
    <w:rsid w:val="00AA1F39"/>
    <w:rsid w:val="00AA2009"/>
    <w:rsid w:val="00AA32E0"/>
    <w:rsid w:val="00AA5475"/>
    <w:rsid w:val="00AA6456"/>
    <w:rsid w:val="00AA6FA2"/>
    <w:rsid w:val="00AA7A90"/>
    <w:rsid w:val="00AB0319"/>
    <w:rsid w:val="00AB03F9"/>
    <w:rsid w:val="00AB41DE"/>
    <w:rsid w:val="00AB48CE"/>
    <w:rsid w:val="00AB5547"/>
    <w:rsid w:val="00AB71AC"/>
    <w:rsid w:val="00AB72B0"/>
    <w:rsid w:val="00AC005E"/>
    <w:rsid w:val="00AC1731"/>
    <w:rsid w:val="00AC2350"/>
    <w:rsid w:val="00AC2419"/>
    <w:rsid w:val="00AC42C7"/>
    <w:rsid w:val="00AC50F3"/>
    <w:rsid w:val="00AC76FF"/>
    <w:rsid w:val="00AD03E4"/>
    <w:rsid w:val="00AD0444"/>
    <w:rsid w:val="00AD07E3"/>
    <w:rsid w:val="00AD183A"/>
    <w:rsid w:val="00AD183F"/>
    <w:rsid w:val="00AD2554"/>
    <w:rsid w:val="00AD6212"/>
    <w:rsid w:val="00AD791B"/>
    <w:rsid w:val="00AD7D85"/>
    <w:rsid w:val="00AE1586"/>
    <w:rsid w:val="00AE1995"/>
    <w:rsid w:val="00AE1A24"/>
    <w:rsid w:val="00AE28B6"/>
    <w:rsid w:val="00AE2FF2"/>
    <w:rsid w:val="00AE5444"/>
    <w:rsid w:val="00AE5BEB"/>
    <w:rsid w:val="00AE5CEB"/>
    <w:rsid w:val="00AE5DB5"/>
    <w:rsid w:val="00AE63E0"/>
    <w:rsid w:val="00AE69E6"/>
    <w:rsid w:val="00AE7136"/>
    <w:rsid w:val="00AF15DF"/>
    <w:rsid w:val="00AF260A"/>
    <w:rsid w:val="00AF386B"/>
    <w:rsid w:val="00AF41DE"/>
    <w:rsid w:val="00AF46EF"/>
    <w:rsid w:val="00AF4F8A"/>
    <w:rsid w:val="00AF5C91"/>
    <w:rsid w:val="00AF74B5"/>
    <w:rsid w:val="00B002DF"/>
    <w:rsid w:val="00B01B0F"/>
    <w:rsid w:val="00B01DBB"/>
    <w:rsid w:val="00B02881"/>
    <w:rsid w:val="00B02FF9"/>
    <w:rsid w:val="00B03678"/>
    <w:rsid w:val="00B03DE3"/>
    <w:rsid w:val="00B03E5B"/>
    <w:rsid w:val="00B03ED0"/>
    <w:rsid w:val="00B07D59"/>
    <w:rsid w:val="00B1102B"/>
    <w:rsid w:val="00B11323"/>
    <w:rsid w:val="00B116EA"/>
    <w:rsid w:val="00B12E7C"/>
    <w:rsid w:val="00B130DA"/>
    <w:rsid w:val="00B13353"/>
    <w:rsid w:val="00B13FE5"/>
    <w:rsid w:val="00B14A0E"/>
    <w:rsid w:val="00B14AF4"/>
    <w:rsid w:val="00B17308"/>
    <w:rsid w:val="00B178FF"/>
    <w:rsid w:val="00B1794F"/>
    <w:rsid w:val="00B22072"/>
    <w:rsid w:val="00B22FE9"/>
    <w:rsid w:val="00B23DC4"/>
    <w:rsid w:val="00B258D3"/>
    <w:rsid w:val="00B25B1B"/>
    <w:rsid w:val="00B2790D"/>
    <w:rsid w:val="00B3014F"/>
    <w:rsid w:val="00B343D4"/>
    <w:rsid w:val="00B34794"/>
    <w:rsid w:val="00B359C6"/>
    <w:rsid w:val="00B367A6"/>
    <w:rsid w:val="00B374B5"/>
    <w:rsid w:val="00B41ACB"/>
    <w:rsid w:val="00B41BDE"/>
    <w:rsid w:val="00B41EBE"/>
    <w:rsid w:val="00B42668"/>
    <w:rsid w:val="00B43DF5"/>
    <w:rsid w:val="00B4781D"/>
    <w:rsid w:val="00B503A5"/>
    <w:rsid w:val="00B51349"/>
    <w:rsid w:val="00B51CCA"/>
    <w:rsid w:val="00B52671"/>
    <w:rsid w:val="00B531A5"/>
    <w:rsid w:val="00B53AA7"/>
    <w:rsid w:val="00B5437B"/>
    <w:rsid w:val="00B551C0"/>
    <w:rsid w:val="00B56B08"/>
    <w:rsid w:val="00B601DF"/>
    <w:rsid w:val="00B61A1B"/>
    <w:rsid w:val="00B6251E"/>
    <w:rsid w:val="00B6330B"/>
    <w:rsid w:val="00B6396B"/>
    <w:rsid w:val="00B648AF"/>
    <w:rsid w:val="00B663A4"/>
    <w:rsid w:val="00B67263"/>
    <w:rsid w:val="00B70355"/>
    <w:rsid w:val="00B703F7"/>
    <w:rsid w:val="00B731A0"/>
    <w:rsid w:val="00B732B8"/>
    <w:rsid w:val="00B73725"/>
    <w:rsid w:val="00B74308"/>
    <w:rsid w:val="00B7599A"/>
    <w:rsid w:val="00B80019"/>
    <w:rsid w:val="00B82D8C"/>
    <w:rsid w:val="00B83803"/>
    <w:rsid w:val="00B85E16"/>
    <w:rsid w:val="00B87736"/>
    <w:rsid w:val="00B8773C"/>
    <w:rsid w:val="00B90077"/>
    <w:rsid w:val="00B900DE"/>
    <w:rsid w:val="00B91C61"/>
    <w:rsid w:val="00B91CE4"/>
    <w:rsid w:val="00B92039"/>
    <w:rsid w:val="00B93DF9"/>
    <w:rsid w:val="00B940C9"/>
    <w:rsid w:val="00B9489E"/>
    <w:rsid w:val="00B952D6"/>
    <w:rsid w:val="00B95412"/>
    <w:rsid w:val="00B9589C"/>
    <w:rsid w:val="00B9720A"/>
    <w:rsid w:val="00BA09E3"/>
    <w:rsid w:val="00BA0C51"/>
    <w:rsid w:val="00BA0CD5"/>
    <w:rsid w:val="00BA28F9"/>
    <w:rsid w:val="00BA4B3A"/>
    <w:rsid w:val="00BA50FD"/>
    <w:rsid w:val="00BA5AB4"/>
    <w:rsid w:val="00BA5FF4"/>
    <w:rsid w:val="00BA7A01"/>
    <w:rsid w:val="00BB0064"/>
    <w:rsid w:val="00BB0580"/>
    <w:rsid w:val="00BB1D85"/>
    <w:rsid w:val="00BB24DC"/>
    <w:rsid w:val="00BB2FBD"/>
    <w:rsid w:val="00BB36A2"/>
    <w:rsid w:val="00BB4F2A"/>
    <w:rsid w:val="00BB51C8"/>
    <w:rsid w:val="00BB5965"/>
    <w:rsid w:val="00BB6F9C"/>
    <w:rsid w:val="00BB726F"/>
    <w:rsid w:val="00BC0A8B"/>
    <w:rsid w:val="00BC3485"/>
    <w:rsid w:val="00BC3737"/>
    <w:rsid w:val="00BC43ED"/>
    <w:rsid w:val="00BC461B"/>
    <w:rsid w:val="00BC5384"/>
    <w:rsid w:val="00BC5855"/>
    <w:rsid w:val="00BC5CE4"/>
    <w:rsid w:val="00BC5F90"/>
    <w:rsid w:val="00BC65C3"/>
    <w:rsid w:val="00BD0F89"/>
    <w:rsid w:val="00BD11D3"/>
    <w:rsid w:val="00BD5185"/>
    <w:rsid w:val="00BD5A4A"/>
    <w:rsid w:val="00BD71EA"/>
    <w:rsid w:val="00BE01FF"/>
    <w:rsid w:val="00BE0B6F"/>
    <w:rsid w:val="00BE0CC8"/>
    <w:rsid w:val="00BE1860"/>
    <w:rsid w:val="00BE214C"/>
    <w:rsid w:val="00BE2304"/>
    <w:rsid w:val="00BE2C6B"/>
    <w:rsid w:val="00BE2D90"/>
    <w:rsid w:val="00BE44DE"/>
    <w:rsid w:val="00BE4E4C"/>
    <w:rsid w:val="00BE64DE"/>
    <w:rsid w:val="00BE700D"/>
    <w:rsid w:val="00BF055C"/>
    <w:rsid w:val="00BF3841"/>
    <w:rsid w:val="00BF5213"/>
    <w:rsid w:val="00BF5E08"/>
    <w:rsid w:val="00BF77EB"/>
    <w:rsid w:val="00BF7B8C"/>
    <w:rsid w:val="00C007CB"/>
    <w:rsid w:val="00C01392"/>
    <w:rsid w:val="00C015F5"/>
    <w:rsid w:val="00C01BCF"/>
    <w:rsid w:val="00C024B7"/>
    <w:rsid w:val="00C02E65"/>
    <w:rsid w:val="00C0380D"/>
    <w:rsid w:val="00C03A9B"/>
    <w:rsid w:val="00C04997"/>
    <w:rsid w:val="00C04CB8"/>
    <w:rsid w:val="00C065DC"/>
    <w:rsid w:val="00C06728"/>
    <w:rsid w:val="00C06908"/>
    <w:rsid w:val="00C06FC5"/>
    <w:rsid w:val="00C103FF"/>
    <w:rsid w:val="00C11FEF"/>
    <w:rsid w:val="00C120DB"/>
    <w:rsid w:val="00C15746"/>
    <w:rsid w:val="00C17D75"/>
    <w:rsid w:val="00C17E1F"/>
    <w:rsid w:val="00C17FA8"/>
    <w:rsid w:val="00C20326"/>
    <w:rsid w:val="00C2110D"/>
    <w:rsid w:val="00C21D26"/>
    <w:rsid w:val="00C22315"/>
    <w:rsid w:val="00C22571"/>
    <w:rsid w:val="00C226A3"/>
    <w:rsid w:val="00C23E89"/>
    <w:rsid w:val="00C240B2"/>
    <w:rsid w:val="00C24746"/>
    <w:rsid w:val="00C25614"/>
    <w:rsid w:val="00C25677"/>
    <w:rsid w:val="00C25C17"/>
    <w:rsid w:val="00C25F07"/>
    <w:rsid w:val="00C2612C"/>
    <w:rsid w:val="00C26163"/>
    <w:rsid w:val="00C26A2A"/>
    <w:rsid w:val="00C272A2"/>
    <w:rsid w:val="00C27AF6"/>
    <w:rsid w:val="00C30C11"/>
    <w:rsid w:val="00C31637"/>
    <w:rsid w:val="00C32468"/>
    <w:rsid w:val="00C327F6"/>
    <w:rsid w:val="00C3327F"/>
    <w:rsid w:val="00C33A97"/>
    <w:rsid w:val="00C33B53"/>
    <w:rsid w:val="00C348F0"/>
    <w:rsid w:val="00C3497F"/>
    <w:rsid w:val="00C36F3C"/>
    <w:rsid w:val="00C37718"/>
    <w:rsid w:val="00C43807"/>
    <w:rsid w:val="00C43E01"/>
    <w:rsid w:val="00C44C37"/>
    <w:rsid w:val="00C45046"/>
    <w:rsid w:val="00C451D8"/>
    <w:rsid w:val="00C45A24"/>
    <w:rsid w:val="00C47C01"/>
    <w:rsid w:val="00C50F06"/>
    <w:rsid w:val="00C50FF9"/>
    <w:rsid w:val="00C518DB"/>
    <w:rsid w:val="00C53DB9"/>
    <w:rsid w:val="00C54224"/>
    <w:rsid w:val="00C5510E"/>
    <w:rsid w:val="00C559D2"/>
    <w:rsid w:val="00C560EE"/>
    <w:rsid w:val="00C5629F"/>
    <w:rsid w:val="00C57D93"/>
    <w:rsid w:val="00C60AB0"/>
    <w:rsid w:val="00C60AF3"/>
    <w:rsid w:val="00C62DFF"/>
    <w:rsid w:val="00C64017"/>
    <w:rsid w:val="00C64350"/>
    <w:rsid w:val="00C6466F"/>
    <w:rsid w:val="00C67598"/>
    <w:rsid w:val="00C7130C"/>
    <w:rsid w:val="00C7202A"/>
    <w:rsid w:val="00C7307D"/>
    <w:rsid w:val="00C7530A"/>
    <w:rsid w:val="00C75648"/>
    <w:rsid w:val="00C81BB5"/>
    <w:rsid w:val="00C827A5"/>
    <w:rsid w:val="00C84592"/>
    <w:rsid w:val="00C84E99"/>
    <w:rsid w:val="00C851A3"/>
    <w:rsid w:val="00C86B42"/>
    <w:rsid w:val="00C908DA"/>
    <w:rsid w:val="00C90E46"/>
    <w:rsid w:val="00C917C7"/>
    <w:rsid w:val="00C91CE2"/>
    <w:rsid w:val="00C9204F"/>
    <w:rsid w:val="00C94773"/>
    <w:rsid w:val="00C96AD0"/>
    <w:rsid w:val="00C97CB6"/>
    <w:rsid w:val="00CA1F5A"/>
    <w:rsid w:val="00CA20D9"/>
    <w:rsid w:val="00CA2D9F"/>
    <w:rsid w:val="00CA474F"/>
    <w:rsid w:val="00CA4E9F"/>
    <w:rsid w:val="00CA5157"/>
    <w:rsid w:val="00CA527B"/>
    <w:rsid w:val="00CA5689"/>
    <w:rsid w:val="00CA5967"/>
    <w:rsid w:val="00CA60D1"/>
    <w:rsid w:val="00CA6B96"/>
    <w:rsid w:val="00CB0E46"/>
    <w:rsid w:val="00CB1A57"/>
    <w:rsid w:val="00CB221F"/>
    <w:rsid w:val="00CB3119"/>
    <w:rsid w:val="00CB4E8D"/>
    <w:rsid w:val="00CB52C9"/>
    <w:rsid w:val="00CB58A3"/>
    <w:rsid w:val="00CB5A37"/>
    <w:rsid w:val="00CB5DB1"/>
    <w:rsid w:val="00CB70E2"/>
    <w:rsid w:val="00CC05AE"/>
    <w:rsid w:val="00CC0992"/>
    <w:rsid w:val="00CC0F06"/>
    <w:rsid w:val="00CC1AFE"/>
    <w:rsid w:val="00CC2AF6"/>
    <w:rsid w:val="00CC3E49"/>
    <w:rsid w:val="00CC475E"/>
    <w:rsid w:val="00CC5103"/>
    <w:rsid w:val="00CC5512"/>
    <w:rsid w:val="00CC64E0"/>
    <w:rsid w:val="00CC77F7"/>
    <w:rsid w:val="00CC78F0"/>
    <w:rsid w:val="00CC7D50"/>
    <w:rsid w:val="00CD032F"/>
    <w:rsid w:val="00CD2C9C"/>
    <w:rsid w:val="00CD6072"/>
    <w:rsid w:val="00CD67B3"/>
    <w:rsid w:val="00CD6C1A"/>
    <w:rsid w:val="00CD6D4A"/>
    <w:rsid w:val="00CD71B4"/>
    <w:rsid w:val="00CD77C5"/>
    <w:rsid w:val="00CE0D57"/>
    <w:rsid w:val="00CE189D"/>
    <w:rsid w:val="00CE2AF9"/>
    <w:rsid w:val="00CE2B3B"/>
    <w:rsid w:val="00CE2D02"/>
    <w:rsid w:val="00CE3131"/>
    <w:rsid w:val="00CE38CD"/>
    <w:rsid w:val="00CE5481"/>
    <w:rsid w:val="00CE6A48"/>
    <w:rsid w:val="00CF0BB8"/>
    <w:rsid w:val="00CF0BCD"/>
    <w:rsid w:val="00CF1563"/>
    <w:rsid w:val="00CF4EC9"/>
    <w:rsid w:val="00D00092"/>
    <w:rsid w:val="00D00F04"/>
    <w:rsid w:val="00D0237B"/>
    <w:rsid w:val="00D0245B"/>
    <w:rsid w:val="00D04F4C"/>
    <w:rsid w:val="00D05889"/>
    <w:rsid w:val="00D06120"/>
    <w:rsid w:val="00D078C4"/>
    <w:rsid w:val="00D07B05"/>
    <w:rsid w:val="00D10261"/>
    <w:rsid w:val="00D10C90"/>
    <w:rsid w:val="00D12302"/>
    <w:rsid w:val="00D1268C"/>
    <w:rsid w:val="00D12EC1"/>
    <w:rsid w:val="00D137EF"/>
    <w:rsid w:val="00D13C36"/>
    <w:rsid w:val="00D15DD1"/>
    <w:rsid w:val="00D1629F"/>
    <w:rsid w:val="00D16D29"/>
    <w:rsid w:val="00D17381"/>
    <w:rsid w:val="00D212EF"/>
    <w:rsid w:val="00D21477"/>
    <w:rsid w:val="00D21AC6"/>
    <w:rsid w:val="00D229D6"/>
    <w:rsid w:val="00D22B10"/>
    <w:rsid w:val="00D251E5"/>
    <w:rsid w:val="00D3269F"/>
    <w:rsid w:val="00D32EE2"/>
    <w:rsid w:val="00D36FEA"/>
    <w:rsid w:val="00D40DEA"/>
    <w:rsid w:val="00D4325A"/>
    <w:rsid w:val="00D43622"/>
    <w:rsid w:val="00D4400D"/>
    <w:rsid w:val="00D462D9"/>
    <w:rsid w:val="00D46990"/>
    <w:rsid w:val="00D46CC3"/>
    <w:rsid w:val="00D476C7"/>
    <w:rsid w:val="00D501E3"/>
    <w:rsid w:val="00D507DE"/>
    <w:rsid w:val="00D5205D"/>
    <w:rsid w:val="00D53388"/>
    <w:rsid w:val="00D53ECF"/>
    <w:rsid w:val="00D542B0"/>
    <w:rsid w:val="00D55065"/>
    <w:rsid w:val="00D62CB7"/>
    <w:rsid w:val="00D64154"/>
    <w:rsid w:val="00D65B80"/>
    <w:rsid w:val="00D67542"/>
    <w:rsid w:val="00D712C3"/>
    <w:rsid w:val="00D71516"/>
    <w:rsid w:val="00D71FAF"/>
    <w:rsid w:val="00D7313F"/>
    <w:rsid w:val="00D74417"/>
    <w:rsid w:val="00D7759F"/>
    <w:rsid w:val="00D80DE0"/>
    <w:rsid w:val="00D81044"/>
    <w:rsid w:val="00D839C6"/>
    <w:rsid w:val="00D84AD6"/>
    <w:rsid w:val="00D8518C"/>
    <w:rsid w:val="00D874ED"/>
    <w:rsid w:val="00D900A5"/>
    <w:rsid w:val="00D9018A"/>
    <w:rsid w:val="00D93C91"/>
    <w:rsid w:val="00D96258"/>
    <w:rsid w:val="00DA0989"/>
    <w:rsid w:val="00DA1C23"/>
    <w:rsid w:val="00DA1D27"/>
    <w:rsid w:val="00DA22FF"/>
    <w:rsid w:val="00DA2CB3"/>
    <w:rsid w:val="00DA2EBF"/>
    <w:rsid w:val="00DA3FCC"/>
    <w:rsid w:val="00DA5365"/>
    <w:rsid w:val="00DA5924"/>
    <w:rsid w:val="00DA622A"/>
    <w:rsid w:val="00DA6660"/>
    <w:rsid w:val="00DB1F47"/>
    <w:rsid w:val="00DB25FF"/>
    <w:rsid w:val="00DB35BC"/>
    <w:rsid w:val="00DB4AA6"/>
    <w:rsid w:val="00DB4E60"/>
    <w:rsid w:val="00DB5896"/>
    <w:rsid w:val="00DB65C7"/>
    <w:rsid w:val="00DB742B"/>
    <w:rsid w:val="00DB7468"/>
    <w:rsid w:val="00DB74BB"/>
    <w:rsid w:val="00DB7767"/>
    <w:rsid w:val="00DB7F75"/>
    <w:rsid w:val="00DC0886"/>
    <w:rsid w:val="00DC2CE7"/>
    <w:rsid w:val="00DC60AF"/>
    <w:rsid w:val="00DC72BB"/>
    <w:rsid w:val="00DC782F"/>
    <w:rsid w:val="00DD003C"/>
    <w:rsid w:val="00DD00FF"/>
    <w:rsid w:val="00DD0475"/>
    <w:rsid w:val="00DD062E"/>
    <w:rsid w:val="00DD287C"/>
    <w:rsid w:val="00DD2F7E"/>
    <w:rsid w:val="00DD34F5"/>
    <w:rsid w:val="00DD4530"/>
    <w:rsid w:val="00DD4FF1"/>
    <w:rsid w:val="00DD5AEC"/>
    <w:rsid w:val="00DD5EE6"/>
    <w:rsid w:val="00DD6F38"/>
    <w:rsid w:val="00DD6FD3"/>
    <w:rsid w:val="00DE0099"/>
    <w:rsid w:val="00DE0827"/>
    <w:rsid w:val="00DE172C"/>
    <w:rsid w:val="00DE2A8F"/>
    <w:rsid w:val="00DE3C92"/>
    <w:rsid w:val="00DE3D87"/>
    <w:rsid w:val="00DE6202"/>
    <w:rsid w:val="00DE68BA"/>
    <w:rsid w:val="00DE7A2C"/>
    <w:rsid w:val="00DF1988"/>
    <w:rsid w:val="00DF2870"/>
    <w:rsid w:val="00DF4548"/>
    <w:rsid w:val="00DF53B8"/>
    <w:rsid w:val="00DF58C5"/>
    <w:rsid w:val="00DF6EF4"/>
    <w:rsid w:val="00DF7CB1"/>
    <w:rsid w:val="00E00C9B"/>
    <w:rsid w:val="00E01BD7"/>
    <w:rsid w:val="00E02A6B"/>
    <w:rsid w:val="00E0432C"/>
    <w:rsid w:val="00E05D05"/>
    <w:rsid w:val="00E05F2C"/>
    <w:rsid w:val="00E07822"/>
    <w:rsid w:val="00E07C02"/>
    <w:rsid w:val="00E102EC"/>
    <w:rsid w:val="00E10636"/>
    <w:rsid w:val="00E124B3"/>
    <w:rsid w:val="00E124E2"/>
    <w:rsid w:val="00E13384"/>
    <w:rsid w:val="00E153D5"/>
    <w:rsid w:val="00E15EAA"/>
    <w:rsid w:val="00E1729B"/>
    <w:rsid w:val="00E17D2B"/>
    <w:rsid w:val="00E17E26"/>
    <w:rsid w:val="00E211C8"/>
    <w:rsid w:val="00E235C4"/>
    <w:rsid w:val="00E23886"/>
    <w:rsid w:val="00E241E2"/>
    <w:rsid w:val="00E258B8"/>
    <w:rsid w:val="00E25DAA"/>
    <w:rsid w:val="00E25E50"/>
    <w:rsid w:val="00E26F66"/>
    <w:rsid w:val="00E30FC6"/>
    <w:rsid w:val="00E312CA"/>
    <w:rsid w:val="00E31672"/>
    <w:rsid w:val="00E324A8"/>
    <w:rsid w:val="00E33124"/>
    <w:rsid w:val="00E345BB"/>
    <w:rsid w:val="00E43D2B"/>
    <w:rsid w:val="00E4448A"/>
    <w:rsid w:val="00E44D81"/>
    <w:rsid w:val="00E44E30"/>
    <w:rsid w:val="00E4550D"/>
    <w:rsid w:val="00E459BD"/>
    <w:rsid w:val="00E45ECC"/>
    <w:rsid w:val="00E471D7"/>
    <w:rsid w:val="00E476A9"/>
    <w:rsid w:val="00E47AAF"/>
    <w:rsid w:val="00E47ACD"/>
    <w:rsid w:val="00E505E3"/>
    <w:rsid w:val="00E50799"/>
    <w:rsid w:val="00E52B4A"/>
    <w:rsid w:val="00E542C0"/>
    <w:rsid w:val="00E54EFD"/>
    <w:rsid w:val="00E54F68"/>
    <w:rsid w:val="00E56D2E"/>
    <w:rsid w:val="00E600CE"/>
    <w:rsid w:val="00E6182F"/>
    <w:rsid w:val="00E62F1E"/>
    <w:rsid w:val="00E65A66"/>
    <w:rsid w:val="00E65F28"/>
    <w:rsid w:val="00E66841"/>
    <w:rsid w:val="00E6715A"/>
    <w:rsid w:val="00E676D2"/>
    <w:rsid w:val="00E715EF"/>
    <w:rsid w:val="00E72784"/>
    <w:rsid w:val="00E745A5"/>
    <w:rsid w:val="00E74FD5"/>
    <w:rsid w:val="00E751CC"/>
    <w:rsid w:val="00E75A3C"/>
    <w:rsid w:val="00E75FF5"/>
    <w:rsid w:val="00E76271"/>
    <w:rsid w:val="00E80629"/>
    <w:rsid w:val="00E8075D"/>
    <w:rsid w:val="00E81C9B"/>
    <w:rsid w:val="00E82BA3"/>
    <w:rsid w:val="00E830FB"/>
    <w:rsid w:val="00E849BD"/>
    <w:rsid w:val="00E8534C"/>
    <w:rsid w:val="00E85AC0"/>
    <w:rsid w:val="00E86472"/>
    <w:rsid w:val="00E86B15"/>
    <w:rsid w:val="00E87D58"/>
    <w:rsid w:val="00E903D7"/>
    <w:rsid w:val="00E90FA7"/>
    <w:rsid w:val="00E91EFD"/>
    <w:rsid w:val="00E9264A"/>
    <w:rsid w:val="00E928FD"/>
    <w:rsid w:val="00E92DBC"/>
    <w:rsid w:val="00E92FBD"/>
    <w:rsid w:val="00E93A2E"/>
    <w:rsid w:val="00E95476"/>
    <w:rsid w:val="00E954B7"/>
    <w:rsid w:val="00E961CB"/>
    <w:rsid w:val="00E96298"/>
    <w:rsid w:val="00E96A45"/>
    <w:rsid w:val="00EA10CC"/>
    <w:rsid w:val="00EA453F"/>
    <w:rsid w:val="00EA4FF2"/>
    <w:rsid w:val="00EA513F"/>
    <w:rsid w:val="00EA56C1"/>
    <w:rsid w:val="00EA6F93"/>
    <w:rsid w:val="00EA760B"/>
    <w:rsid w:val="00EA7D22"/>
    <w:rsid w:val="00EA7E1E"/>
    <w:rsid w:val="00EB5085"/>
    <w:rsid w:val="00EB61D1"/>
    <w:rsid w:val="00EB6856"/>
    <w:rsid w:val="00EB69EF"/>
    <w:rsid w:val="00EB6D35"/>
    <w:rsid w:val="00EB6FF4"/>
    <w:rsid w:val="00EB7F79"/>
    <w:rsid w:val="00EC0F95"/>
    <w:rsid w:val="00EC3AFE"/>
    <w:rsid w:val="00EC56BD"/>
    <w:rsid w:val="00EC68FE"/>
    <w:rsid w:val="00ED2222"/>
    <w:rsid w:val="00ED35B7"/>
    <w:rsid w:val="00ED57F7"/>
    <w:rsid w:val="00EE2656"/>
    <w:rsid w:val="00EE51F1"/>
    <w:rsid w:val="00EE5343"/>
    <w:rsid w:val="00EE59D1"/>
    <w:rsid w:val="00EE5F75"/>
    <w:rsid w:val="00EE5FB6"/>
    <w:rsid w:val="00EE6532"/>
    <w:rsid w:val="00EE73E4"/>
    <w:rsid w:val="00EE7615"/>
    <w:rsid w:val="00EF0E22"/>
    <w:rsid w:val="00EF11D6"/>
    <w:rsid w:val="00EF2330"/>
    <w:rsid w:val="00EF3E16"/>
    <w:rsid w:val="00EF4EAB"/>
    <w:rsid w:val="00EF6F2D"/>
    <w:rsid w:val="00EF7841"/>
    <w:rsid w:val="00F00522"/>
    <w:rsid w:val="00F01030"/>
    <w:rsid w:val="00F014B1"/>
    <w:rsid w:val="00F033E1"/>
    <w:rsid w:val="00F0430E"/>
    <w:rsid w:val="00F064AA"/>
    <w:rsid w:val="00F0710A"/>
    <w:rsid w:val="00F0796B"/>
    <w:rsid w:val="00F07A29"/>
    <w:rsid w:val="00F07ACF"/>
    <w:rsid w:val="00F10439"/>
    <w:rsid w:val="00F1074C"/>
    <w:rsid w:val="00F12B07"/>
    <w:rsid w:val="00F12D43"/>
    <w:rsid w:val="00F1304D"/>
    <w:rsid w:val="00F1310A"/>
    <w:rsid w:val="00F15F4C"/>
    <w:rsid w:val="00F16A10"/>
    <w:rsid w:val="00F2063A"/>
    <w:rsid w:val="00F20664"/>
    <w:rsid w:val="00F22600"/>
    <w:rsid w:val="00F23AD9"/>
    <w:rsid w:val="00F23FB9"/>
    <w:rsid w:val="00F25C60"/>
    <w:rsid w:val="00F279DC"/>
    <w:rsid w:val="00F27CDB"/>
    <w:rsid w:val="00F27E24"/>
    <w:rsid w:val="00F31559"/>
    <w:rsid w:val="00F315C8"/>
    <w:rsid w:val="00F32304"/>
    <w:rsid w:val="00F34388"/>
    <w:rsid w:val="00F35431"/>
    <w:rsid w:val="00F35B6B"/>
    <w:rsid w:val="00F35BE1"/>
    <w:rsid w:val="00F36984"/>
    <w:rsid w:val="00F37650"/>
    <w:rsid w:val="00F4159E"/>
    <w:rsid w:val="00F42625"/>
    <w:rsid w:val="00F43AC2"/>
    <w:rsid w:val="00F43F28"/>
    <w:rsid w:val="00F44E49"/>
    <w:rsid w:val="00F452EF"/>
    <w:rsid w:val="00F466E3"/>
    <w:rsid w:val="00F4774D"/>
    <w:rsid w:val="00F505B1"/>
    <w:rsid w:val="00F51428"/>
    <w:rsid w:val="00F52E06"/>
    <w:rsid w:val="00F549F1"/>
    <w:rsid w:val="00F54BAA"/>
    <w:rsid w:val="00F5514C"/>
    <w:rsid w:val="00F55D26"/>
    <w:rsid w:val="00F57140"/>
    <w:rsid w:val="00F60326"/>
    <w:rsid w:val="00F604A5"/>
    <w:rsid w:val="00F61297"/>
    <w:rsid w:val="00F62BC7"/>
    <w:rsid w:val="00F6510C"/>
    <w:rsid w:val="00F72FB9"/>
    <w:rsid w:val="00F73852"/>
    <w:rsid w:val="00F764B3"/>
    <w:rsid w:val="00F76A41"/>
    <w:rsid w:val="00F805E4"/>
    <w:rsid w:val="00F80643"/>
    <w:rsid w:val="00F80789"/>
    <w:rsid w:val="00F82132"/>
    <w:rsid w:val="00F83343"/>
    <w:rsid w:val="00F8352B"/>
    <w:rsid w:val="00F83595"/>
    <w:rsid w:val="00F83772"/>
    <w:rsid w:val="00F83C3D"/>
    <w:rsid w:val="00F845AC"/>
    <w:rsid w:val="00F85FFA"/>
    <w:rsid w:val="00F8612D"/>
    <w:rsid w:val="00F8710B"/>
    <w:rsid w:val="00F90C8D"/>
    <w:rsid w:val="00F91F56"/>
    <w:rsid w:val="00F94CD5"/>
    <w:rsid w:val="00F96E52"/>
    <w:rsid w:val="00FA10B7"/>
    <w:rsid w:val="00FA125A"/>
    <w:rsid w:val="00FA2213"/>
    <w:rsid w:val="00FA259D"/>
    <w:rsid w:val="00FA3511"/>
    <w:rsid w:val="00FA583A"/>
    <w:rsid w:val="00FA6895"/>
    <w:rsid w:val="00FA7594"/>
    <w:rsid w:val="00FA7F82"/>
    <w:rsid w:val="00FB1636"/>
    <w:rsid w:val="00FB18A1"/>
    <w:rsid w:val="00FB496F"/>
    <w:rsid w:val="00FB5129"/>
    <w:rsid w:val="00FB5DB6"/>
    <w:rsid w:val="00FB64E6"/>
    <w:rsid w:val="00FB7F17"/>
    <w:rsid w:val="00FC0DF6"/>
    <w:rsid w:val="00FC1503"/>
    <w:rsid w:val="00FC2FF5"/>
    <w:rsid w:val="00FC3406"/>
    <w:rsid w:val="00FC3ABA"/>
    <w:rsid w:val="00FC47FB"/>
    <w:rsid w:val="00FC4C1E"/>
    <w:rsid w:val="00FC512A"/>
    <w:rsid w:val="00FC570B"/>
    <w:rsid w:val="00FC6971"/>
    <w:rsid w:val="00FC6ECB"/>
    <w:rsid w:val="00FD1CAB"/>
    <w:rsid w:val="00FD1FAC"/>
    <w:rsid w:val="00FD2951"/>
    <w:rsid w:val="00FD4297"/>
    <w:rsid w:val="00FD6734"/>
    <w:rsid w:val="00FD7AF5"/>
    <w:rsid w:val="00FE2609"/>
    <w:rsid w:val="00FE3157"/>
    <w:rsid w:val="00FE3D57"/>
    <w:rsid w:val="00FE40FA"/>
    <w:rsid w:val="00FE4887"/>
    <w:rsid w:val="00FE5596"/>
    <w:rsid w:val="00FE6B31"/>
    <w:rsid w:val="00FF12AA"/>
    <w:rsid w:val="00FF15B3"/>
    <w:rsid w:val="00FF5773"/>
    <w:rsid w:val="00FF6CF2"/>
    <w:rsid w:val="00FF706D"/>
    <w:rsid w:val="00FF7622"/>
    <w:rsid w:val="00FF766E"/>
    <w:rsid w:val="00FF7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4CD"/>
  </w:style>
  <w:style w:type="paragraph" w:styleId="Footer">
    <w:name w:val="footer"/>
    <w:basedOn w:val="Normal"/>
    <w:link w:val="FooterChar"/>
    <w:uiPriority w:val="99"/>
    <w:unhideWhenUsed/>
    <w:rsid w:val="00135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4CD"/>
  </w:style>
  <w:style w:type="paragraph" w:styleId="FootnoteText">
    <w:name w:val="footnote text"/>
    <w:basedOn w:val="Normal"/>
    <w:link w:val="FootnoteTextChar"/>
    <w:uiPriority w:val="99"/>
    <w:semiHidden/>
    <w:unhideWhenUsed/>
    <w:rsid w:val="00DD06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062E"/>
    <w:rPr>
      <w:sz w:val="20"/>
      <w:szCs w:val="20"/>
    </w:rPr>
  </w:style>
  <w:style w:type="character" w:styleId="FootnoteReference">
    <w:name w:val="footnote reference"/>
    <w:basedOn w:val="DefaultParagraphFont"/>
    <w:uiPriority w:val="99"/>
    <w:semiHidden/>
    <w:unhideWhenUsed/>
    <w:rsid w:val="00DD062E"/>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4CD"/>
  </w:style>
  <w:style w:type="paragraph" w:styleId="Footer">
    <w:name w:val="footer"/>
    <w:basedOn w:val="Normal"/>
    <w:link w:val="FooterChar"/>
    <w:uiPriority w:val="99"/>
    <w:unhideWhenUsed/>
    <w:rsid w:val="00135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4CD"/>
  </w:style>
  <w:style w:type="paragraph" w:styleId="FootnoteText">
    <w:name w:val="footnote text"/>
    <w:basedOn w:val="Normal"/>
    <w:link w:val="FootnoteTextChar"/>
    <w:uiPriority w:val="99"/>
    <w:semiHidden/>
    <w:unhideWhenUsed/>
    <w:rsid w:val="00DD06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062E"/>
    <w:rPr>
      <w:sz w:val="20"/>
      <w:szCs w:val="20"/>
    </w:rPr>
  </w:style>
  <w:style w:type="character" w:styleId="FootnoteReference">
    <w:name w:val="footnote reference"/>
    <w:basedOn w:val="DefaultParagraphFont"/>
    <w:uiPriority w:val="99"/>
    <w:semiHidden/>
    <w:unhideWhenUsed/>
    <w:rsid w:val="00DD06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740B06-CD02-4530-9906-20CD75D1B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3244</TotalTime>
  <Pages>5</Pages>
  <Words>2088</Words>
  <Characters>10192</Characters>
  <Application>Microsoft Office Word</Application>
  <DocSecurity>0</DocSecurity>
  <Lines>130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Doogle</dc:creator>
  <cp:lastModifiedBy>Doogle</cp:lastModifiedBy>
  <cp:revision>5806</cp:revision>
  <dcterms:created xsi:type="dcterms:W3CDTF">2019-10-07T11:23:00Z</dcterms:created>
  <dcterms:modified xsi:type="dcterms:W3CDTF">2019-10-13T11:38:00Z</dcterms:modified>
</cp:coreProperties>
</file>