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7E3C5" w14:textId="77777777" w:rsidR="00A2496B" w:rsidRDefault="00000000">
      <w:pPr>
        <w:jc w:val="center"/>
        <w:rPr>
          <w:rStyle w:val="ts-alignment-element"/>
          <w:rFonts w:ascii="Arial Bold" w:hAnsi="Arial Bold" w:cs="Arial Bold"/>
          <w:b/>
          <w:bCs/>
          <w:color w:val="000000"/>
          <w:sz w:val="24"/>
        </w:rPr>
      </w:pPr>
      <w:r>
        <w:rPr>
          <w:rStyle w:val="ts-alignment-element"/>
          <w:rFonts w:ascii="Arial Bold" w:hAnsi="Arial Bold" w:cs="Arial Bold"/>
          <w:b/>
          <w:bCs/>
          <w:color w:val="000000"/>
          <w:sz w:val="24"/>
        </w:rPr>
        <w:t>When</w:t>
      </w:r>
      <w:r>
        <w:rPr>
          <w:rFonts w:ascii="Arial Bold" w:hAnsi="Arial Bold" w:cs="Arial Bold"/>
          <w:b/>
          <w:bCs/>
          <w:color w:val="000000"/>
          <w:sz w:val="24"/>
        </w:rPr>
        <w:t xml:space="preserve"> </w:t>
      </w:r>
      <w:r>
        <w:rPr>
          <w:rStyle w:val="ts-alignment-element"/>
          <w:rFonts w:ascii="Arial Bold" w:hAnsi="Arial Bold" w:cs="Arial Bold"/>
          <w:b/>
          <w:bCs/>
          <w:color w:val="000000"/>
          <w:sz w:val="24"/>
        </w:rPr>
        <w:t>people</w:t>
      </w:r>
      <w:r>
        <w:rPr>
          <w:rFonts w:ascii="Arial Bold" w:hAnsi="Arial Bold" w:cs="Arial Bold"/>
          <w:b/>
          <w:bCs/>
          <w:color w:val="000000"/>
          <w:sz w:val="24"/>
        </w:rPr>
        <w:t xml:space="preserve"> </w:t>
      </w:r>
      <w:r>
        <w:rPr>
          <w:rStyle w:val="ts-alignment-element"/>
          <w:rFonts w:ascii="Arial Bold" w:hAnsi="Arial Bold" w:cs="Arial Bold"/>
          <w:b/>
          <w:bCs/>
          <w:color w:val="000000"/>
          <w:sz w:val="24"/>
        </w:rPr>
        <w:t>immerse</w:t>
      </w:r>
      <w:r>
        <w:rPr>
          <w:rFonts w:ascii="Arial Bold" w:hAnsi="Arial Bold" w:cs="Arial Bold"/>
          <w:b/>
          <w:bCs/>
          <w:color w:val="000000"/>
          <w:sz w:val="24"/>
        </w:rPr>
        <w:t xml:space="preserve"> </w:t>
      </w:r>
      <w:r>
        <w:rPr>
          <w:rStyle w:val="ts-alignment-element"/>
          <w:rFonts w:ascii="Arial Bold" w:hAnsi="Arial Bold" w:cs="Arial Bold"/>
          <w:b/>
          <w:bCs/>
          <w:color w:val="000000"/>
          <w:sz w:val="24"/>
        </w:rPr>
        <w:t>themselves</w:t>
      </w:r>
      <w:r>
        <w:rPr>
          <w:rFonts w:ascii="Arial Bold" w:hAnsi="Arial Bold" w:cs="Arial Bold"/>
          <w:b/>
          <w:bCs/>
          <w:color w:val="000000"/>
          <w:sz w:val="24"/>
        </w:rPr>
        <w:t xml:space="preserve"> </w:t>
      </w:r>
      <w:r>
        <w:rPr>
          <w:rStyle w:val="ts-alignment-element"/>
          <w:rFonts w:ascii="Arial Bold" w:hAnsi="Arial Bold" w:cs="Arial Bold"/>
          <w:b/>
          <w:bCs/>
          <w:color w:val="000000"/>
          <w:sz w:val="24"/>
        </w:rPr>
        <w:t>in</w:t>
      </w:r>
      <w:r>
        <w:rPr>
          <w:rFonts w:ascii="Arial Bold" w:hAnsi="Arial Bold" w:cs="Arial Bold"/>
          <w:b/>
          <w:bCs/>
          <w:color w:val="000000"/>
          <w:sz w:val="24"/>
        </w:rPr>
        <w:t xml:space="preserve"> </w:t>
      </w:r>
      <w:r>
        <w:rPr>
          <w:rStyle w:val="ts-alignment-element"/>
          <w:rFonts w:ascii="Arial Bold" w:hAnsi="Arial Bold" w:cs="Arial Bold"/>
          <w:b/>
          <w:bCs/>
          <w:color w:val="000000"/>
          <w:sz w:val="24"/>
        </w:rPr>
        <w:t>the</w:t>
      </w:r>
      <w:r>
        <w:rPr>
          <w:rFonts w:ascii="Arial Bold" w:hAnsi="Arial Bold" w:cs="Arial Bold"/>
          <w:b/>
          <w:bCs/>
          <w:color w:val="000000"/>
          <w:sz w:val="24"/>
        </w:rPr>
        <w:t xml:space="preserve"> </w:t>
      </w:r>
      <w:r>
        <w:rPr>
          <w:rStyle w:val="ts-alignment-element"/>
          <w:rFonts w:ascii="Arial Bold" w:hAnsi="Arial Bold" w:cs="Arial Bold"/>
          <w:b/>
          <w:bCs/>
          <w:color w:val="000000"/>
          <w:sz w:val="24"/>
        </w:rPr>
        <w:t>cultural</w:t>
      </w:r>
      <w:r>
        <w:rPr>
          <w:rFonts w:ascii="Arial Bold" w:hAnsi="Arial Bold" w:cs="Arial Bold"/>
          <w:b/>
          <w:bCs/>
          <w:color w:val="000000"/>
          <w:sz w:val="24"/>
        </w:rPr>
        <w:t xml:space="preserve"> </w:t>
      </w:r>
      <w:r>
        <w:rPr>
          <w:rStyle w:val="ts-alignment-element"/>
          <w:rFonts w:ascii="Arial Bold" w:hAnsi="Arial Bold" w:cs="Arial Bold"/>
          <w:b/>
          <w:bCs/>
          <w:color w:val="000000"/>
          <w:sz w:val="24"/>
        </w:rPr>
        <w:t>genes</w:t>
      </w:r>
      <w:r>
        <w:rPr>
          <w:rFonts w:ascii="Arial Bold" w:hAnsi="Arial Bold" w:cs="Arial Bold"/>
          <w:b/>
          <w:bCs/>
          <w:color w:val="000000"/>
          <w:sz w:val="24"/>
        </w:rPr>
        <w:t xml:space="preserve"> </w:t>
      </w:r>
      <w:r>
        <w:rPr>
          <w:rStyle w:val="ts-alignment-element"/>
          <w:rFonts w:ascii="Arial Bold" w:hAnsi="Arial Bold" w:cs="Arial Bold"/>
          <w:b/>
          <w:bCs/>
          <w:color w:val="000000"/>
          <w:sz w:val="24"/>
        </w:rPr>
        <w:t>of</w:t>
      </w:r>
      <w:r>
        <w:rPr>
          <w:rFonts w:ascii="Arial Bold" w:hAnsi="Arial Bold" w:cs="Arial Bold"/>
          <w:b/>
          <w:bCs/>
          <w:color w:val="000000"/>
          <w:sz w:val="24"/>
        </w:rPr>
        <w:t xml:space="preserve"> </w:t>
      </w:r>
      <w:r>
        <w:rPr>
          <w:rStyle w:val="ts-alignment-element"/>
          <w:rFonts w:ascii="Arial Bold" w:hAnsi="Arial Bold" w:cs="Arial Bold"/>
          <w:b/>
          <w:bCs/>
          <w:color w:val="000000"/>
          <w:sz w:val="24"/>
        </w:rPr>
        <w:t>industrial</w:t>
      </w:r>
      <w:r>
        <w:rPr>
          <w:rFonts w:ascii="Arial Bold" w:hAnsi="Arial Bold" w:cs="Arial Bold"/>
          <w:b/>
          <w:bCs/>
          <w:color w:val="000000"/>
          <w:sz w:val="24"/>
        </w:rPr>
        <w:t xml:space="preserve"> </w:t>
      </w:r>
      <w:r>
        <w:rPr>
          <w:rStyle w:val="ts-alignment-element"/>
          <w:rFonts w:ascii="Arial Bold" w:hAnsi="Arial Bold" w:cs="Arial Bold"/>
          <w:b/>
          <w:bCs/>
          <w:color w:val="000000"/>
          <w:sz w:val="24"/>
        </w:rPr>
        <w:t>heritage,</w:t>
      </w:r>
      <w:r>
        <w:rPr>
          <w:rFonts w:ascii="Arial Bold" w:hAnsi="Arial Bold" w:cs="Arial Bold"/>
          <w:b/>
          <w:bCs/>
          <w:color w:val="000000"/>
          <w:sz w:val="24"/>
        </w:rPr>
        <w:t xml:space="preserve"> </w:t>
      </w:r>
      <w:r>
        <w:rPr>
          <w:rStyle w:val="ts-alignment-element"/>
          <w:rFonts w:ascii="Arial Bold" w:hAnsi="Arial Bold" w:cs="Arial Bold"/>
          <w:b/>
          <w:bCs/>
          <w:color w:val="000000"/>
          <w:sz w:val="24"/>
        </w:rPr>
        <w:t>the</w:t>
      </w:r>
      <w:r>
        <w:rPr>
          <w:rFonts w:ascii="Arial Bold" w:hAnsi="Arial Bold" w:cs="Arial Bold"/>
          <w:b/>
          <w:bCs/>
          <w:color w:val="000000"/>
          <w:sz w:val="24"/>
        </w:rPr>
        <w:t xml:space="preserve"> </w:t>
      </w:r>
      <w:r>
        <w:rPr>
          <w:rStyle w:val="ts-alignment-element"/>
          <w:rFonts w:ascii="Arial Bold" w:hAnsi="Arial Bold" w:cs="Arial Bold"/>
          <w:b/>
          <w:bCs/>
          <w:color w:val="000000"/>
          <w:sz w:val="24"/>
        </w:rPr>
        <w:t>impact</w:t>
      </w:r>
      <w:r>
        <w:rPr>
          <w:rFonts w:ascii="Arial Bold" w:hAnsi="Arial Bold" w:cs="Arial Bold"/>
          <w:b/>
          <w:bCs/>
          <w:color w:val="000000"/>
          <w:sz w:val="24"/>
        </w:rPr>
        <w:t xml:space="preserve"> </w:t>
      </w:r>
      <w:r>
        <w:rPr>
          <w:rStyle w:val="ts-alignment-element"/>
          <w:rFonts w:ascii="Arial Bold" w:hAnsi="Arial Bold" w:cs="Arial Bold"/>
          <w:b/>
          <w:bCs/>
          <w:color w:val="000000"/>
          <w:sz w:val="24"/>
        </w:rPr>
        <w:t>of</w:t>
      </w:r>
      <w:r>
        <w:rPr>
          <w:rFonts w:ascii="Arial Bold" w:hAnsi="Arial Bold" w:cs="Arial Bold"/>
          <w:b/>
          <w:bCs/>
          <w:color w:val="000000"/>
          <w:sz w:val="24"/>
        </w:rPr>
        <w:t xml:space="preserve"> </w:t>
      </w:r>
      <w:r>
        <w:rPr>
          <w:rStyle w:val="ts-alignment-element"/>
          <w:rFonts w:ascii="Arial Bold" w:hAnsi="Arial Bold" w:cs="Arial Bold"/>
          <w:b/>
          <w:bCs/>
          <w:color w:val="000000"/>
          <w:sz w:val="24"/>
        </w:rPr>
        <w:t>industrial</w:t>
      </w:r>
      <w:r>
        <w:rPr>
          <w:rFonts w:ascii="Arial Bold" w:hAnsi="Arial Bold" w:cs="Arial Bold"/>
          <w:b/>
          <w:bCs/>
          <w:color w:val="000000"/>
          <w:sz w:val="24"/>
        </w:rPr>
        <w:t xml:space="preserve"> </w:t>
      </w:r>
      <w:r>
        <w:rPr>
          <w:rStyle w:val="ts-alignment-element"/>
          <w:rFonts w:ascii="Arial Bold" w:hAnsi="Arial Bold" w:cs="Arial Bold"/>
          <w:b/>
          <w:bCs/>
          <w:color w:val="000000"/>
          <w:sz w:val="24"/>
        </w:rPr>
        <w:t>heritage</w:t>
      </w:r>
      <w:r>
        <w:rPr>
          <w:rFonts w:ascii="Arial Bold" w:hAnsi="Arial Bold" w:cs="Arial Bold"/>
          <w:b/>
          <w:bCs/>
          <w:color w:val="000000"/>
          <w:sz w:val="24"/>
        </w:rPr>
        <w:t xml:space="preserve"> </w:t>
      </w:r>
      <w:r>
        <w:rPr>
          <w:rStyle w:val="ts-alignment-element"/>
          <w:rFonts w:ascii="Arial Bold" w:hAnsi="Arial Bold" w:cs="Arial Bold"/>
          <w:b/>
          <w:bCs/>
          <w:color w:val="000000"/>
          <w:sz w:val="24"/>
        </w:rPr>
        <w:t>cultural</w:t>
      </w:r>
      <w:r>
        <w:rPr>
          <w:rFonts w:ascii="Arial Bold" w:hAnsi="Arial Bold" w:cs="Arial Bold"/>
          <w:b/>
          <w:bCs/>
          <w:color w:val="000000"/>
          <w:sz w:val="24"/>
        </w:rPr>
        <w:t xml:space="preserve"> </w:t>
      </w:r>
      <w:r>
        <w:rPr>
          <w:rStyle w:val="ts-alignment-element"/>
          <w:rFonts w:ascii="Arial Bold" w:hAnsi="Arial Bold" w:cs="Arial Bold"/>
          <w:b/>
          <w:bCs/>
          <w:color w:val="000000"/>
          <w:sz w:val="24"/>
        </w:rPr>
        <w:t>genes</w:t>
      </w:r>
      <w:r>
        <w:rPr>
          <w:rFonts w:ascii="Arial Bold" w:hAnsi="Arial Bold" w:cs="Arial Bold"/>
          <w:b/>
          <w:bCs/>
          <w:color w:val="000000"/>
          <w:sz w:val="24"/>
        </w:rPr>
        <w:t xml:space="preserve"> </w:t>
      </w:r>
      <w:r>
        <w:rPr>
          <w:rStyle w:val="ts-alignment-element"/>
          <w:rFonts w:ascii="Arial Bold" w:hAnsi="Arial Bold" w:cs="Arial Bold"/>
          <w:b/>
          <w:bCs/>
          <w:color w:val="000000"/>
          <w:sz w:val="24"/>
        </w:rPr>
        <w:t>on</w:t>
      </w:r>
      <w:r>
        <w:rPr>
          <w:rFonts w:ascii="Arial Bold" w:hAnsi="Arial Bold" w:cs="Arial Bold"/>
          <w:b/>
          <w:bCs/>
          <w:color w:val="000000"/>
          <w:sz w:val="24"/>
        </w:rPr>
        <w:t xml:space="preserve"> </w:t>
      </w:r>
      <w:r>
        <w:rPr>
          <w:rStyle w:val="ts-alignment-element"/>
          <w:rFonts w:ascii="Arial Bold" w:hAnsi="Arial Bold" w:cs="Arial Bold"/>
          <w:b/>
          <w:bCs/>
          <w:color w:val="000000"/>
          <w:sz w:val="24"/>
        </w:rPr>
        <w:t>people.</w:t>
      </w:r>
    </w:p>
    <w:p w14:paraId="5859CB9D" w14:textId="77777777" w:rsidR="00A2496B" w:rsidRDefault="00000000">
      <w:pPr>
        <w:widowControl/>
        <w:spacing w:before="100" w:beforeAutospacing="1" w:after="100" w:afterAutospacing="1" w:line="240" w:lineRule="auto"/>
        <w:outlineLvl w:val="2"/>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Abstract</w:t>
      </w:r>
    </w:p>
    <w:p w14:paraId="07E53814" w14:textId="77777777" w:rsidR="00A2496B" w:rsidRDefault="00000000">
      <w:pPr>
        <w:ind w:firstLineChars="200" w:firstLine="440"/>
        <w:rPr>
          <w:rFonts w:ascii="Arial" w:hAnsi="Arial" w:cs="Arial"/>
        </w:rPr>
      </w:pPr>
      <w:r>
        <w:rPr>
          <w:rFonts w:ascii="Arial" w:hAnsi="Arial" w:cs="Arial"/>
        </w:rPr>
        <w:t>This research focuses on the theme of exploring the reciprocal and co-creative relationship between individuals and the cultural genes of industrial heritage within immersive experiences. It investigates how immersive technologies such as virtual reality (VR) and augmented reality (AR) shape visitors’ emotional, cognitive, and cultural engagement, while also examining how participants actively influence, reinterpret, and transmit cultural meanings in these settings. Central to this exploration is the idea that individuals are not passive consumers but active agents who co-construct heritage experiences, drawing on their prior knowledge, cognitive schemas (Wagoner, 2013; Sprott, 1933), and worldviews (Sire, 2010).</w:t>
      </w:r>
    </w:p>
    <w:p w14:paraId="7FA51C45" w14:textId="77777777" w:rsidR="00A2496B" w:rsidRDefault="00000000">
      <w:pPr>
        <w:ind w:firstLineChars="200" w:firstLine="440"/>
        <w:rPr>
          <w:rFonts w:ascii="Arial" w:hAnsi="Arial" w:cs="Arial"/>
        </w:rPr>
      </w:pPr>
      <w:r>
        <w:rPr>
          <w:rFonts w:ascii="Arial" w:hAnsi="Arial" w:cs="Arial"/>
        </w:rPr>
        <w:t>The significance of this research lies in its contribution to understanding how immersive industrial heritage experiences create meaningful connections between people and culture, emphasizing mutual influence and transformation. By integrating non-Western and community perspectives (</w:t>
      </w:r>
      <w:proofErr w:type="spellStart"/>
      <w:r>
        <w:rPr>
          <w:rFonts w:ascii="Arial" w:hAnsi="Arial" w:cs="Arial"/>
        </w:rPr>
        <w:t>Labode</w:t>
      </w:r>
      <w:proofErr w:type="spellEnd"/>
      <w:r>
        <w:rPr>
          <w:rFonts w:ascii="Arial" w:hAnsi="Arial" w:cs="Arial"/>
        </w:rPr>
        <w:t xml:space="preserve"> and Braide, 2022; Mukherjee and Banerji, 2025), the study broadens the scope of heritage research, promoting inclusivity and cultural sensitivity. Its findings are expected to provide valuable insights for heritage professionals, curators, and designers, guiding the creation of more engaging and socially relevant immersive experiences that strengthen cultural identity and public participation.</w:t>
      </w:r>
    </w:p>
    <w:p w14:paraId="7C3A8E6E" w14:textId="77777777" w:rsidR="00A2496B" w:rsidRDefault="00000000">
      <w:pPr>
        <w:ind w:firstLineChars="200" w:firstLine="440"/>
        <w:rPr>
          <w:rFonts w:ascii="Arial" w:hAnsi="Arial" w:cs="Arial"/>
        </w:rPr>
      </w:pPr>
      <w:r>
        <w:rPr>
          <w:rFonts w:ascii="Arial" w:hAnsi="Arial" w:cs="Arial"/>
        </w:rPr>
        <w:t>This study will use a mixed-methods approach, combining qualitative methods such as semi-structured interviews, participant observation, and thematic analysis with quantitative surveys to explore patterns and validate findings. This methodological design ensures a comprehensive understanding of the complex interactions between people and cultural heritage in immersive settings.</w:t>
      </w:r>
    </w:p>
    <w:p w14:paraId="6D770C77" w14:textId="77777777" w:rsidR="00A2496B" w:rsidRDefault="00000000">
      <w:pPr>
        <w:autoSpaceDE w:val="0"/>
        <w:autoSpaceDN w:val="0"/>
        <w:adjustRightInd w:val="0"/>
        <w:spacing w:after="0" w:line="240" w:lineRule="auto"/>
        <w:ind w:firstLineChars="200" w:firstLine="520"/>
        <w:jc w:val="both"/>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Introduction</w:t>
      </w:r>
    </w:p>
    <w:p w14:paraId="0B2630D6" w14:textId="77777777" w:rsidR="00A2496B" w:rsidRDefault="00000000">
      <w:pPr>
        <w:autoSpaceDE w:val="0"/>
        <w:autoSpaceDN w:val="0"/>
        <w:adjustRightInd w:val="0"/>
        <w:spacing w:after="0" w:line="240" w:lineRule="auto"/>
        <w:ind w:firstLineChars="200" w:firstLine="520"/>
        <w:jc w:val="both"/>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Background</w:t>
      </w:r>
    </w:p>
    <w:p w14:paraId="532C421B"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hint="eastAsia"/>
        </w:rPr>
        <w:t>I</w:t>
      </w:r>
      <w:r>
        <w:rPr>
          <w:rFonts w:ascii="Arial" w:hAnsi="Arial" w:cs="Arial"/>
        </w:rPr>
        <w:t>ndustrial heritage carries the historical traces of social development, it’</w:t>
      </w:r>
      <w:r>
        <w:rPr>
          <w:rFonts w:ascii="Arial" w:hAnsi="Arial" w:cs="Arial" w:hint="eastAsia"/>
        </w:rPr>
        <w:t xml:space="preserve">s </w:t>
      </w:r>
      <w:r>
        <w:rPr>
          <w:rFonts w:ascii="Arial" w:hAnsi="Arial" w:cs="Arial"/>
        </w:rPr>
        <w:t xml:space="preserve">an important carrier of cultural genes in a specific era. Cultural genes refer to the basic units of culture that can be transmitted, reproduced and inherited, including tangible heritage (e.g., buildings, machines, tools), intangible heritage (e.g., crafts, stories, workers' culture) and symbols (e.g., logos, brands, historical events, etc.). In an industrial heritage environment, people are not only able to experience their cultural </w:t>
      </w:r>
      <w:r>
        <w:rPr>
          <w:rFonts w:ascii="Arial" w:hAnsi="Arial" w:cs="Arial"/>
        </w:rPr>
        <w:lastRenderedPageBreak/>
        <w:t>values through sight, sound and touch, but also to generate emotional resonance and cultural identity in a specific spatial atmosphere.</w:t>
      </w:r>
    </w:p>
    <w:p w14:paraId="63F0E0C5"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 xml:space="preserve">From the perspective of environmental psychology, the environment is not just a passive background, but an important factor in shaping human cognition, emotions and behavior. As a specific environment, industrial heritage not only carries historical information, but also can influence people's memory patterns through immersive experiences, thereby strengthening the connection between people and heritage. </w:t>
      </w:r>
    </w:p>
    <w:p w14:paraId="2AEBD30A"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Memory patterns influence how people perceive and understand cultural heritage. In the immersive experience of industrial heritage, people's memories are influenced not only by personal experiences, but also by Schema Theory. Schema theory holds that people's cognitive processes depend on existing knowledge frameworks (schemas), and new information is often understood by matching or adjusting existing schemas</w:t>
      </w:r>
      <w:r>
        <w:rPr>
          <w:rFonts w:ascii="Arial" w:hAnsi="Arial" w:cs="Arial" w:hint="eastAsia"/>
        </w:rPr>
        <w:t xml:space="preserve"> </w:t>
      </w:r>
      <w:r>
        <w:rPr>
          <w:rFonts w:ascii="Arial" w:hAnsi="Arial" w:cs="Arial" w:hint="eastAsia"/>
        </w:rPr>
        <w:t>（</w:t>
      </w:r>
      <w:r>
        <w:rPr>
          <w:rFonts w:ascii="Arial" w:hAnsi="Arial" w:cs="Arial"/>
        </w:rPr>
        <w:t>Baddeley, et al. 2020</w:t>
      </w:r>
      <w:r>
        <w:rPr>
          <w:rFonts w:ascii="Arial" w:hAnsi="Arial" w:cs="Arial"/>
        </w:rPr>
        <w:t>）</w:t>
      </w:r>
      <w:r>
        <w:rPr>
          <w:rFonts w:ascii="Arial" w:hAnsi="Arial" w:cs="Arial"/>
        </w:rPr>
        <w:t xml:space="preserve">  For example, if a visitor visits an industrial site and has lived in a similar factory environment in his childhood, his memory schema will help him understand and identify with the cultural information carried by the site more quickly. For those who do not have a similar experience, immersive experiences (such as virtual reality recreating factory operations) can help them build new cognitive schemas and make cultural genes more acceptable and disseminated.</w:t>
      </w:r>
    </w:p>
    <w:p w14:paraId="340BE892"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In addition, autoethnography as a research method emphasizes how the researcher's own experience interacts with the cultural environment. In the process of immersion in industrial heritage, people often connect personal experiences with cultural memories through self-ethnography. For example, a visitor to an old textile mill may be reminiscent of his or her ancestors' work experiences, creating a deep emotional connection between the individual and his heritage during the visit. This self-ethnographic experience not only enhances the individual's understanding of cultural genes but also promotes the intergenerational transmission of cultural memory.</w:t>
      </w:r>
    </w:p>
    <w:p w14:paraId="47E5FCE2"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In the dissemination of industrial heritage, immersive experience is becoming an important way to enhance cultural identity. Immersive technologies such as virtual reality (VR), augmented reality (AR), holograms, and interactive exhibitions enable visitors to experience the production and life of the industrial age "first-hand", thereby establishing a deeper cultural connection. This experience affects not only how people acquire knowledge, but also their emotional resonance and social identity.</w:t>
      </w:r>
    </w:p>
    <w:p w14:paraId="5D234DC1"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The immersive experience of industrial heritage is not only a process of interaction between the physical environment and people, but also the result of the combined action of memory patterns, schema theory, and self-ethnography. It enables people to reconstruct memory schemas in their environment and form new cultural understandings based on personal experiences. Therefore, it is of great theoretical and practical value to explore how immersive experience affects people's cognition of the cultural genes of industrial heritage.</w:t>
      </w:r>
    </w:p>
    <w:p w14:paraId="2E6AD548" w14:textId="77777777" w:rsidR="00A2496B" w:rsidRDefault="00000000">
      <w:pPr>
        <w:autoSpaceDE w:val="0"/>
        <w:autoSpaceDN w:val="0"/>
        <w:adjustRightInd w:val="0"/>
        <w:spacing w:after="0" w:line="240" w:lineRule="auto"/>
        <w:jc w:val="both"/>
        <w:rPr>
          <w:rFonts w:ascii="AppleSystemUIFont" w:hAnsi="AppleSystemUIFont" w:cs="AppleSystemUIFont"/>
          <w:b/>
          <w:bCs/>
          <w:color w:val="000000" w:themeColor="text1"/>
          <w:kern w:val="0"/>
          <w:sz w:val="26"/>
          <w:szCs w:val="26"/>
          <w14:ligatures w14:val="none"/>
        </w:rPr>
      </w:pPr>
      <w:r>
        <w:rPr>
          <w:rFonts w:ascii="AppleSystemUIFont" w:hAnsi="AppleSystemUIFont" w:cs="AppleSystemUIFont" w:hint="eastAsia"/>
          <w:b/>
          <w:bCs/>
          <w:color w:val="000000" w:themeColor="text1"/>
          <w:kern w:val="0"/>
          <w:sz w:val="26"/>
          <w:szCs w:val="26"/>
          <w14:ligatures w14:val="none"/>
        </w:rPr>
        <w:t>Research challenges</w:t>
      </w:r>
    </w:p>
    <w:p w14:paraId="538501C6"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 xml:space="preserve">At present, the protection of industrial heritage and the dissemination of culture on a global scale are facing many challenges. On the one hand, rapid urbanization has led to the demolition or transformation of </w:t>
      </w:r>
      <w:proofErr w:type="gramStart"/>
      <w:r>
        <w:rPr>
          <w:rFonts w:ascii="Arial" w:hAnsi="Arial" w:cs="Arial"/>
        </w:rPr>
        <w:t>a large number of</w:t>
      </w:r>
      <w:proofErr w:type="gramEnd"/>
      <w:r>
        <w:rPr>
          <w:rFonts w:ascii="Arial" w:hAnsi="Arial" w:cs="Arial"/>
        </w:rPr>
        <w:t xml:space="preserve"> industrial sites due to land </w:t>
      </w:r>
      <w:r>
        <w:rPr>
          <w:rFonts w:ascii="Arial" w:hAnsi="Arial" w:cs="Arial"/>
        </w:rPr>
        <w:lastRenderedPageBreak/>
        <w:t xml:space="preserve">redevelopment, infrastructure construction and urban expansion, resulting in the gradual disappearance of the physical carrier of cultural genes. Many industrial heritages with historical value, such as factories, mining areas, and railway stations, are at risk of being forgotten or even disappeared due to the lack of effective protection and utilization models. At the same time, industrial heritage often faces practical problems such as high maintenance costs and complex restoration techniques, which makes many cultural institutions and governments hesitate between protection and development. </w:t>
      </w:r>
    </w:p>
    <w:p w14:paraId="30A1E1DF"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 xml:space="preserve">On the other hand, traditional methods of cultural communication (such as static exhibitions, text introductions, and one-way narrative museum displays) are difficult to meet the interests of the younger generation of audiences in the digital age. These methods often lack interactivity and immersion, and it is difficult to stimulate visitors' desire to explore deeply, resulting in the cultural value of industrial heritage being weakened in the process of transmission. Especially for young people who have grown up </w:t>
      </w:r>
      <w:proofErr w:type="gramStart"/>
      <w:r>
        <w:rPr>
          <w:rFonts w:ascii="Arial" w:hAnsi="Arial" w:cs="Arial"/>
        </w:rPr>
        <w:t>in</w:t>
      </w:r>
      <w:proofErr w:type="gramEnd"/>
      <w:r>
        <w:rPr>
          <w:rFonts w:ascii="Arial" w:hAnsi="Arial" w:cs="Arial"/>
        </w:rPr>
        <w:t xml:space="preserve"> the Internet and multimedia environment, a single way of presenting information often fails to attract their attention, which in turn leads to a gradual weakening of cultural identity. </w:t>
      </w:r>
    </w:p>
    <w:p w14:paraId="4D62F2CA" w14:textId="77777777" w:rsidR="00A2496B" w:rsidRDefault="00000000">
      <w:pPr>
        <w:autoSpaceDE w:val="0"/>
        <w:autoSpaceDN w:val="0"/>
        <w:adjustRightInd w:val="0"/>
        <w:spacing w:after="0" w:line="240" w:lineRule="auto"/>
        <w:ind w:firstLineChars="200" w:firstLine="440"/>
        <w:jc w:val="both"/>
        <w:rPr>
          <w:rFonts w:ascii="Arial" w:hAnsi="Arial" w:cs="Arial"/>
        </w:rPr>
      </w:pPr>
      <w:r>
        <w:rPr>
          <w:rFonts w:ascii="Arial" w:hAnsi="Arial" w:cs="Arial"/>
        </w:rPr>
        <w:t xml:space="preserve">The transmission of cultural heritage is not only the transmission of knowledge, but also the process of shaping emotions, identity and values. If people are not able to establish an emotional connection to industrial heritage through experience, the transmission of cultural genes is at risk of a disconnect. In this context, the rise of immersive experience technology provides an innovative way of cultural communication for the protection and dissemination of industrial heritage. With the help of virtual reality (VR), augmented reality (AR), holograms, interactive exhibitions and other technologies, people can "first-hand" enter the industrial production scene of the past, experience the process of workers' labor, and even participate in the recreation of historical stories through interactive design. This approach not only enhances the audience's perception of industrial </w:t>
      </w:r>
      <w:proofErr w:type="gramStart"/>
      <w:r>
        <w:rPr>
          <w:rFonts w:ascii="Arial" w:hAnsi="Arial" w:cs="Arial"/>
        </w:rPr>
        <w:t>heritage, but</w:t>
      </w:r>
      <w:proofErr w:type="gramEnd"/>
      <w:r>
        <w:rPr>
          <w:rFonts w:ascii="Arial" w:hAnsi="Arial" w:cs="Arial"/>
        </w:rPr>
        <w:t xml:space="preserve"> also makes the transmission of cultural genes more vivid and attractive. Compared with the traditional passive reception of information, immersive experiences allow the audience to become participants and creators of cultural communication, allowing them to establish a deeper cultural connection in the interactive process and further strengthen their sense of identity with industrial heritage.</w:t>
      </w:r>
    </w:p>
    <w:p w14:paraId="680913DC" w14:textId="77777777" w:rsidR="00A2496B" w:rsidRDefault="00000000">
      <w:pPr>
        <w:autoSpaceDE w:val="0"/>
        <w:autoSpaceDN w:val="0"/>
        <w:adjustRightInd w:val="0"/>
        <w:spacing w:after="0" w:line="240" w:lineRule="auto"/>
        <w:jc w:val="both"/>
        <w:rPr>
          <w:rFonts w:ascii="AppleSystemUIFont" w:hAnsi="AppleSystemUIFont" w:cs="AppleSystemUIFont"/>
          <w:b/>
          <w:bCs/>
          <w:kern w:val="0"/>
          <w:sz w:val="26"/>
          <w:szCs w:val="26"/>
          <w14:ligatures w14:val="none"/>
        </w:rPr>
      </w:pPr>
      <w:r>
        <w:rPr>
          <w:rFonts w:ascii="AppleSystemUIFont" w:hAnsi="AppleSystemUIFont" w:cs="AppleSystemUIFont" w:hint="eastAsia"/>
          <w:b/>
          <w:bCs/>
          <w:kern w:val="0"/>
          <w:sz w:val="26"/>
          <w:szCs w:val="26"/>
          <w14:ligatures w14:val="none"/>
        </w:rPr>
        <w:t>Purpose and significance of the study</w:t>
      </w:r>
    </w:p>
    <w:p w14:paraId="3F4BCF04" w14:textId="77777777" w:rsidR="00A2496B" w:rsidRDefault="00000000">
      <w:pPr>
        <w:ind w:firstLineChars="200" w:firstLine="440"/>
        <w:jc w:val="both"/>
        <w:rPr>
          <w:rFonts w:ascii="Arial" w:hAnsi="Arial" w:cs="Arial"/>
        </w:rPr>
      </w:pPr>
      <w:r>
        <w:rPr>
          <w:rFonts w:ascii="Arial" w:hAnsi="Arial" w:cs="Arial"/>
        </w:rPr>
        <w:t xml:space="preserve">This study aims to explore how immersive experience affects people's cognition, emotional experience and cultural identity of the cultural genes of industrial heritage. First, by analyzing the interaction between the environment and people, we will study how immersive environments shape people's perceptions, emotions and memories, so that people can understand the historical value of industrial heritage more deeply. Secondly, with the help of memory patterns and schema theory, this paper explores how people understand and absorb new cultural information through existing cognitive frameworks in the process of cultural experience, and how to reshape the memory and </w:t>
      </w:r>
      <w:r>
        <w:rPr>
          <w:rFonts w:ascii="Arial" w:hAnsi="Arial" w:cs="Arial"/>
        </w:rPr>
        <w:lastRenderedPageBreak/>
        <w:t xml:space="preserve">cognition of industrial heritage in immersive scenes. Finally, through the perspective of autoethnography, this paper analyzes how individuals construct the connection between personal and cultural heritage in the immersive experience of industrial </w:t>
      </w:r>
      <w:proofErr w:type="gramStart"/>
      <w:r>
        <w:rPr>
          <w:rFonts w:ascii="Arial" w:hAnsi="Arial" w:cs="Arial"/>
        </w:rPr>
        <w:t>heritage, and</w:t>
      </w:r>
      <w:proofErr w:type="gramEnd"/>
      <w:r>
        <w:rPr>
          <w:rFonts w:ascii="Arial" w:hAnsi="Arial" w:cs="Arial"/>
        </w:rPr>
        <w:t xml:space="preserve"> integrate their own experiences with collective memory. The significance of this research is not limited to academic </w:t>
      </w:r>
      <w:proofErr w:type="gramStart"/>
      <w:r>
        <w:rPr>
          <w:rFonts w:ascii="Arial" w:hAnsi="Arial" w:cs="Arial"/>
        </w:rPr>
        <w:t>discussion, but</w:t>
      </w:r>
      <w:proofErr w:type="gramEnd"/>
      <w:r>
        <w:rPr>
          <w:rFonts w:ascii="Arial" w:hAnsi="Arial" w:cs="Arial"/>
        </w:rPr>
        <w:t xml:space="preserve"> also hopes to provide new theoretical perspectives and practical guidance for the protection and dissemination of industrial heritage. By studying the role of immersive experience technology in cultural communication, the research results can provide practical suggestions for curators, cultural heritage managers, and government cultural institutions to help them design more engaging and educational cultural heritage experience projects, </w:t>
      </w:r>
      <w:proofErr w:type="gramStart"/>
      <w:r>
        <w:rPr>
          <w:rFonts w:ascii="Arial" w:hAnsi="Arial" w:cs="Arial"/>
        </w:rPr>
        <w:t>so as to</w:t>
      </w:r>
      <w:proofErr w:type="gramEnd"/>
      <w:r>
        <w:rPr>
          <w:rFonts w:ascii="Arial" w:hAnsi="Arial" w:cs="Arial"/>
        </w:rPr>
        <w:t xml:space="preserve"> enhance public interest and recognition of industrial heritage and promote the continuous dissemination and inheritance of cultural genes. And provide a broader design idea for the profession of designer.</w:t>
      </w:r>
    </w:p>
    <w:p w14:paraId="5A519C1A" w14:textId="77777777" w:rsidR="00A2496B" w:rsidRDefault="00000000">
      <w:pPr>
        <w:jc w:val="both"/>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Definition and development of cultural gene theory</w:t>
      </w:r>
    </w:p>
    <w:p w14:paraId="07DE6E83" w14:textId="77777777" w:rsidR="00A2496B" w:rsidRDefault="00000000">
      <w:pPr>
        <w:ind w:firstLineChars="150" w:firstLine="330"/>
        <w:jc w:val="both"/>
        <w:rPr>
          <w:rFonts w:ascii="Arial" w:hAnsi="Arial" w:cs="Arial"/>
        </w:rPr>
      </w:pPr>
      <w:r>
        <w:rPr>
          <w:rFonts w:ascii="Arial" w:hAnsi="Arial" w:cs="Arial"/>
        </w:rPr>
        <w:t xml:space="preserve"> In his 1976 book, The Selfish Gene, Richard Dawkins introduced the concept of a "meme" to refer to a thought, behavior, or style that is transmitted through imitation in human culture. He sees memes as the basic unit of cultural transmission, </w:t>
      </w:r>
      <w:proofErr w:type="gramStart"/>
      <w:r>
        <w:rPr>
          <w:rFonts w:ascii="Arial" w:hAnsi="Arial" w:cs="Arial"/>
        </w:rPr>
        <w:t>similar to</w:t>
      </w:r>
      <w:proofErr w:type="gramEnd"/>
      <w:r>
        <w:rPr>
          <w:rFonts w:ascii="Arial" w:hAnsi="Arial" w:cs="Arial"/>
        </w:rPr>
        <w:t xml:space="preserve"> genes in biology, emphasizing the mechanisms of replication and transmission of cultural information. (DAWKINS, R., 1989. The selfish gene. Oxford: Oxford University Press.) This concept is a powerful illustration of the laws contained in the field of culture to the public.</w:t>
      </w:r>
    </w:p>
    <w:p w14:paraId="7B423BA1" w14:textId="77777777" w:rsidR="00A2496B" w:rsidRDefault="00000000">
      <w:pPr>
        <w:ind w:firstLineChars="150" w:firstLine="330"/>
        <w:jc w:val="both"/>
        <w:rPr>
          <w:rFonts w:ascii="Arial" w:hAnsi="Arial" w:cs="Arial"/>
        </w:rPr>
      </w:pPr>
      <w:r>
        <w:rPr>
          <w:rFonts w:ascii="Arial" w:hAnsi="Arial" w:cs="Arial"/>
        </w:rPr>
        <w:t xml:space="preserve">Therefore, from the perspective of memes, the dissemination of cultural genes of industrial heritage not only depends on the preservation of material </w:t>
      </w:r>
      <w:proofErr w:type="gramStart"/>
      <w:r>
        <w:rPr>
          <w:rFonts w:ascii="Arial" w:hAnsi="Arial" w:cs="Arial"/>
        </w:rPr>
        <w:t>forms, but</w:t>
      </w:r>
      <w:proofErr w:type="gramEnd"/>
      <w:r>
        <w:rPr>
          <w:rFonts w:ascii="Arial" w:hAnsi="Arial" w:cs="Arial"/>
        </w:rPr>
        <w:t xml:space="preserve"> also needs to stimulate public participation and imitation behaviors through education, exhibition, art recreation, digital narrative, etc., </w:t>
      </w:r>
      <w:proofErr w:type="gramStart"/>
      <w:r>
        <w:rPr>
          <w:rFonts w:ascii="Arial" w:hAnsi="Arial" w:cs="Arial"/>
        </w:rPr>
        <w:t>so as to</w:t>
      </w:r>
      <w:proofErr w:type="gramEnd"/>
      <w:r>
        <w:rPr>
          <w:rFonts w:ascii="Arial" w:hAnsi="Arial" w:cs="Arial"/>
        </w:rPr>
        <w:t xml:space="preserve"> realize the "replication" of cultural genes. Just as memes compete for space in culture, the cultural genes of industrial heritage are constantly striving for the legitimacy and vitality of their existence in modern urban culture and social discourse. Whether it can be effectively "copied" and "mutated" into a form adapted to the contemporary context determines its ability to survive in the future cultural ecology. Starting from the memetic theory, industrial heritage is not only a material relic, but also a "replica" of cultural significance, and its protection and renewal should focus on stimulating the communication potential of cultural memes, so that they can gain new vitality and regeneration space in public cognition.</w:t>
      </w:r>
    </w:p>
    <w:p w14:paraId="36F6777D" w14:textId="77777777" w:rsidR="00A2496B" w:rsidRDefault="00000000">
      <w:pPr>
        <w:ind w:firstLineChars="150" w:firstLine="330"/>
        <w:jc w:val="both"/>
        <w:rPr>
          <w:rFonts w:ascii="Arial" w:hAnsi="Arial" w:cs="Arial"/>
        </w:rPr>
      </w:pPr>
      <w:r>
        <w:rPr>
          <w:rFonts w:ascii="Arial" w:hAnsi="Arial" w:cs="Arial"/>
        </w:rPr>
        <w:t xml:space="preserve">Industrial heritage as a carrier of cultural genes Industrial heritage, including historic buildings, traditional crafts and symbols, carries a wealth of cultural information </w:t>
      </w:r>
      <w:r>
        <w:rPr>
          <w:rFonts w:ascii="Arial" w:hAnsi="Arial" w:cs="Arial"/>
        </w:rPr>
        <w:lastRenderedPageBreak/>
        <w:t xml:space="preserve">that reflects the social, economic and technological characteristics of a particular period. These legacies are not only physical entities, but also the embodiment of cultural genes, recording the development of industrial civilization and the crystallization of human wisdom. For example, the Beamish Museum in the United Kingdom conveys the essence of industrial culture by preserving and displaying the industrial town style from the late 19th century to the early 20th century, allowing visitors to intuitively feel the living and working environment of the time. In addition, symbols and signs in industrial heritage, such as factory emblems, product trademarks, etc., have a profound symbolic meaning as symbols of cultural genes. These symbols not only represent the identity and values of the </w:t>
      </w:r>
      <w:proofErr w:type="gramStart"/>
      <w:r>
        <w:rPr>
          <w:rFonts w:ascii="Arial" w:hAnsi="Arial" w:cs="Arial"/>
        </w:rPr>
        <w:t>company, but</w:t>
      </w:r>
      <w:proofErr w:type="gramEnd"/>
      <w:r>
        <w:rPr>
          <w:rFonts w:ascii="Arial" w:hAnsi="Arial" w:cs="Arial"/>
        </w:rPr>
        <w:t xml:space="preserve"> also reflect the aesthetic orientation and social identity of a specific historical period. Through the study of these symbols, we can deeply understand the connotation of industrial culture and its evolution. </w:t>
      </w:r>
    </w:p>
    <w:p w14:paraId="2852D4BF" w14:textId="77777777" w:rsidR="00A2496B" w:rsidRDefault="00000000">
      <w:pPr>
        <w:ind w:firstLineChars="150" w:firstLine="330"/>
        <w:jc w:val="both"/>
        <w:rPr>
          <w:rFonts w:ascii="Arial" w:hAnsi="Arial" w:cs="Arial"/>
        </w:rPr>
      </w:pPr>
      <w:r>
        <w:rPr>
          <w:rFonts w:ascii="Arial" w:hAnsi="Arial" w:cs="Arial"/>
        </w:rPr>
        <w:t xml:space="preserve">Under the premise of the invisible industrial heritage cultural gene of so many symbols in the industrial heritage, it indirectly provides designers with a new direction and angle for the design of their works, and these patterns will burst out with infinite possibilities under people's understanding of their profound background culture. Scholars </w:t>
      </w:r>
      <w:proofErr w:type="spellStart"/>
      <w:r>
        <w:rPr>
          <w:rFonts w:ascii="Arial" w:hAnsi="Arial" w:cs="Arial"/>
        </w:rPr>
        <w:t>Labode</w:t>
      </w:r>
      <w:proofErr w:type="spellEnd"/>
      <w:r>
        <w:rPr>
          <w:rFonts w:ascii="Arial" w:hAnsi="Arial" w:cs="Arial"/>
        </w:rPr>
        <w:t xml:space="preserve"> et al. mention that symbolic designs on indigenous textiles are culturally specific. This partly explains why textiles found in different ethnic groups of human society can be easily identified and associated with a particular culture. (</w:t>
      </w:r>
      <w:proofErr w:type="spellStart"/>
      <w:r>
        <w:rPr>
          <w:rFonts w:ascii="Arial" w:hAnsi="Arial" w:cs="Arial"/>
        </w:rPr>
        <w:t>Labode</w:t>
      </w:r>
      <w:proofErr w:type="spellEnd"/>
      <w:r>
        <w:rPr>
          <w:rFonts w:ascii="Arial" w:hAnsi="Arial" w:cs="Arial"/>
        </w:rPr>
        <w:t>, et al., 2022) Some residents believe that the symbolic designs on their fabrics represent a connection to the past, while others believe that the designs reflect personal styles and preferences (</w:t>
      </w:r>
      <w:proofErr w:type="spellStart"/>
      <w:r>
        <w:rPr>
          <w:rFonts w:ascii="Arial" w:hAnsi="Arial" w:cs="Arial"/>
        </w:rPr>
        <w:t>Drewal</w:t>
      </w:r>
      <w:proofErr w:type="spellEnd"/>
      <w:r>
        <w:rPr>
          <w:rFonts w:ascii="Arial" w:hAnsi="Arial" w:cs="Arial"/>
        </w:rPr>
        <w:t xml:space="preserve"> 1989). On this basis, we can deeply understand the influence of culture on design, and in a specific cultural environment, if people can be influenced by this, it will further play the role of industrial heritage cultural genes, </w:t>
      </w:r>
      <w:proofErr w:type="gramStart"/>
      <w:r>
        <w:rPr>
          <w:rFonts w:ascii="Arial" w:hAnsi="Arial" w:cs="Arial"/>
        </w:rPr>
        <w:t>so as to</w:t>
      </w:r>
      <w:proofErr w:type="gramEnd"/>
      <w:r>
        <w:rPr>
          <w:rFonts w:ascii="Arial" w:hAnsi="Arial" w:cs="Arial"/>
        </w:rPr>
        <w:t xml:space="preserve"> </w:t>
      </w:r>
      <w:proofErr w:type="gramStart"/>
      <w:r>
        <w:rPr>
          <w:rFonts w:ascii="Arial" w:hAnsi="Arial" w:cs="Arial"/>
        </w:rPr>
        <w:t>open up</w:t>
      </w:r>
      <w:proofErr w:type="gramEnd"/>
      <w:r>
        <w:rPr>
          <w:rFonts w:ascii="Arial" w:hAnsi="Arial" w:cs="Arial"/>
        </w:rPr>
        <w:t xml:space="preserve"> the designer's thinking.</w:t>
      </w:r>
    </w:p>
    <w:p w14:paraId="0CB8712A" w14:textId="77777777" w:rsidR="00A2496B" w:rsidRDefault="00000000">
      <w:pPr>
        <w:jc w:val="both"/>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Concepts and techniques for immersive experiences</w:t>
      </w:r>
    </w:p>
    <w:p w14:paraId="1ADA2091" w14:textId="77777777" w:rsidR="00A2496B" w:rsidRDefault="00000000">
      <w:pPr>
        <w:ind w:firstLineChars="150" w:firstLine="390"/>
        <w:jc w:val="both"/>
        <w:rPr>
          <w:rFonts w:ascii="Arial" w:hAnsi="Arial" w:cs="Arial"/>
        </w:rPr>
      </w:pPr>
      <w:r>
        <w:rPr>
          <w:rFonts w:ascii="AppleSystemUIFont" w:hAnsi="AppleSystemUIFont" w:cs="AppleSystemUIFont"/>
          <w:kern w:val="0"/>
          <w:sz w:val="26"/>
          <w:szCs w:val="26"/>
          <w14:ligatures w14:val="none"/>
        </w:rPr>
        <w:t xml:space="preserve"> </w:t>
      </w:r>
      <w:r>
        <w:rPr>
          <w:rFonts w:ascii="AppleSystemUIFont" w:hAnsi="AppleSystemUIFont" w:cs="AppleSystemUIFont" w:hint="eastAsia"/>
          <w:kern w:val="0"/>
          <w:sz w:val="26"/>
          <w:szCs w:val="26"/>
          <w14:ligatures w14:val="none"/>
        </w:rPr>
        <w:t xml:space="preserve">    </w:t>
      </w:r>
      <w:r>
        <w:rPr>
          <w:rFonts w:ascii="Arial" w:hAnsi="Arial" w:cs="Arial"/>
        </w:rPr>
        <w:t xml:space="preserve">Immersive experience refers to the use of technologies such as virtual reality (VR), augmented reality (AR), digital museums, and interactive exhibitions to enable users to perceive and participate in a specific environment or situation in an all-round way, </w:t>
      </w:r>
      <w:proofErr w:type="gramStart"/>
      <w:r>
        <w:rPr>
          <w:rFonts w:ascii="Arial" w:hAnsi="Arial" w:cs="Arial"/>
        </w:rPr>
        <w:t>so as to</w:t>
      </w:r>
      <w:proofErr w:type="gramEnd"/>
      <w:r>
        <w:rPr>
          <w:rFonts w:ascii="Arial" w:hAnsi="Arial" w:cs="Arial"/>
        </w:rPr>
        <w:t xml:space="preserve"> produce an immersive experience. These technologies are widely used in the display and dissemination of cultural heritage by mobilizing multiple senses and enhancing users' sense of participation and interaction. For example, the Cleveland Museum of Art's ARTLENS Gallery project uses interactive displays and mobile apps to allow visitors to digitally explore and interact with the collection, enhancing audience engagement and appreciation. </w:t>
      </w:r>
    </w:p>
    <w:p w14:paraId="3D201904" w14:textId="77777777" w:rsidR="00A2496B" w:rsidRDefault="00000000">
      <w:pPr>
        <w:jc w:val="both"/>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lastRenderedPageBreak/>
        <w:t>How immersive experiences can enhance cultural heritage education and perception</w:t>
      </w:r>
    </w:p>
    <w:p w14:paraId="136C8D17" w14:textId="77777777" w:rsidR="00A2496B" w:rsidRDefault="00000000">
      <w:pPr>
        <w:ind w:firstLineChars="150" w:firstLine="390"/>
        <w:jc w:val="both"/>
        <w:rPr>
          <w:rFonts w:ascii="Arial" w:hAnsi="Arial" w:cs="Arial"/>
        </w:rPr>
      </w:pPr>
      <w:r>
        <w:rPr>
          <w:rFonts w:ascii="AppleSystemUIFont" w:hAnsi="AppleSystemUIFont" w:cs="AppleSystemUIFont"/>
          <w:kern w:val="0"/>
          <w:sz w:val="26"/>
          <w:szCs w:val="26"/>
          <w14:ligatures w14:val="none"/>
        </w:rPr>
        <w:t xml:space="preserve"> </w:t>
      </w:r>
      <w:r>
        <w:rPr>
          <w:rFonts w:ascii="Arial" w:hAnsi="Arial" w:cs="Arial"/>
        </w:rPr>
        <w:t>Immersive experience technology has unique advantages in cultural heritage education. By virtually reconstructing historical scenes, visitors can "live" specific historical events or environments, deepening their understanding and memory of cultural heritage. For example, the Pompeii exhibition at the National Museum of Australia recreates the scene of the eruption of Mount Vesuvius in 79 A.D. through panoramic digital projection and multimedia sound effects, allowing the audience to intuitively feel the shock and grief of the disaster, thereby deepening the cognitive and emotional resonance of ancient Roman civilization. In my own immersion course at Trinity Saint David's University of Wales, I also had an immersive class experience of Pompeii, although it was only a simple video display of immersive 3D images, but the immersive experience made me feel that the immersive experience has a huge mutual influence on people's emotions and actions in different scenes.</w:t>
      </w:r>
    </w:p>
    <w:p w14:paraId="466D6EA4" w14:textId="77777777" w:rsidR="00A2496B" w:rsidRDefault="00000000">
      <w:pPr>
        <w:ind w:firstLineChars="150" w:firstLine="330"/>
        <w:jc w:val="both"/>
        <w:rPr>
          <w:rFonts w:ascii="Arial" w:hAnsi="Arial" w:cs="Arial"/>
        </w:rPr>
      </w:pPr>
      <w:r>
        <w:rPr>
          <w:rFonts w:ascii="Arial" w:hAnsi="Arial" w:cs="Arial"/>
        </w:rPr>
        <w:t xml:space="preserve"> In addition, immersive experiences can also break the limitations of time and space, allowing audiences who are unable to visit and experience cultural heritage through digital platforms, expanding the reach and influence of cultural communication. For example, the Norman Rockwell Museum's virtual field trip program allows classrooms around the world to explore artworks through immersive digital platforms, providing a wealth of educational resources and multilingual commentary that promotes cross-regional communication and exchange of cultures.</w:t>
      </w:r>
    </w:p>
    <w:p w14:paraId="6F3A67C3"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Literature Identification</w:t>
      </w:r>
    </w:p>
    <w:p w14:paraId="2EAB8A0B" w14:textId="77777777" w:rsidR="00A2496B" w:rsidRDefault="00000000">
      <w:pPr>
        <w:ind w:firstLineChars="150" w:firstLine="330"/>
        <w:jc w:val="both"/>
        <w:rPr>
          <w:rFonts w:ascii="Arial" w:hAnsi="Arial" w:cs="Arial"/>
        </w:rPr>
      </w:pPr>
      <w:r>
        <w:rPr>
          <w:rFonts w:ascii="Arial" w:hAnsi="Arial" w:cs="Arial"/>
        </w:rPr>
        <w:t xml:space="preserve">This review employs a systematic search strategy across major academic databases including Scopus, Web of Science, JSTOR, Online library system at Trinity Saint David, Wales, Taylor &amp; Francis Online, and Elsevier. Search terms encompass "industrial heritage," "immersive experience," "cultural identity," "schema theory," "memory," "VR/AR cultural experience," and "digital museums." Priority is given to peer-reviewed journal articles, theoretical monographs, and empirical studies across disciplines, particularly psychology, heritage studies, architecture, and media studies. To balance theoretical depth and contemporary relevance, both foundational works such as Dawkins (1989), Blackmore &amp; Kher (1999), and The Universe Next Door (2010), and recent empirical papers like Zhou et al. (2025) and Mukherjee &amp; Banerji (2025) are included. The selection aims to represent diverse geographic, cultural, and technological perspectives, such as incorporating cases on African textile heritage </w:t>
      </w:r>
      <w:r>
        <w:rPr>
          <w:rFonts w:ascii="Arial" w:hAnsi="Arial" w:cs="Arial"/>
        </w:rPr>
        <w:lastRenderedPageBreak/>
        <w:t>(</w:t>
      </w:r>
      <w:proofErr w:type="spellStart"/>
      <w:r>
        <w:rPr>
          <w:rFonts w:ascii="Arial" w:hAnsi="Arial" w:cs="Arial"/>
        </w:rPr>
        <w:t>Labode</w:t>
      </w:r>
      <w:proofErr w:type="spellEnd"/>
      <w:r>
        <w:rPr>
          <w:rFonts w:ascii="Arial" w:hAnsi="Arial" w:cs="Arial"/>
        </w:rPr>
        <w:t xml:space="preserve"> &amp; Braide, 2022) and Asian colonial heritage (Wei &amp; Wang, 2022) to challenge Western-centric biases.</w:t>
      </w:r>
    </w:p>
    <w:p w14:paraId="05DB988C"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Nature and Critique of the Literature</w:t>
      </w:r>
    </w:p>
    <w:p w14:paraId="5477F073" w14:textId="77777777" w:rsidR="00A2496B" w:rsidRDefault="00000000">
      <w:pPr>
        <w:ind w:firstLineChars="200" w:firstLine="440"/>
        <w:rPr>
          <w:rFonts w:ascii="Arial" w:hAnsi="Arial" w:cs="Arial"/>
        </w:rPr>
      </w:pPr>
      <w:r>
        <w:rPr>
          <w:rFonts w:ascii="Arial" w:hAnsi="Arial" w:cs="Arial"/>
        </w:rPr>
        <w:t>The selected literature demonstrates interdisciplinary integration, spanning five key domains: cultural theory, cognitive psychology, immersive technology, social identity, and user experience research, forming a multi-layered theoretical dialogue.</w:t>
      </w:r>
    </w:p>
    <w:p w14:paraId="18505175"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Cultural Theory: The Expansion and Limitations of Memetic Theory</w:t>
      </w:r>
    </w:p>
    <w:p w14:paraId="5C51BBA3" w14:textId="77777777" w:rsidR="00A2496B" w:rsidRDefault="00000000">
      <w:pPr>
        <w:ind w:firstLineChars="200" w:firstLine="440"/>
        <w:rPr>
          <w:rFonts w:ascii="Arial" w:hAnsi="Arial" w:cs="Arial"/>
        </w:rPr>
      </w:pPr>
      <w:r>
        <w:rPr>
          <w:rFonts w:ascii="Arial" w:hAnsi="Arial" w:cs="Arial"/>
        </w:rPr>
        <w:t xml:space="preserve">Dawkins (1989) introduced the concept of "memes" in The Selfish Gene, defining cultural elements as replicable units of transmission analogous to genetic selection. Blackmore &amp; Kher (1999) extended this to human social behavior, arguing that cultural phenomena like language and customs evolve through competitive "meme pools." However, this biological metaphor has faced criticism: </w:t>
      </w:r>
      <w:proofErr w:type="spellStart"/>
      <w:r>
        <w:rPr>
          <w:rFonts w:ascii="Arial" w:hAnsi="Arial" w:cs="Arial"/>
        </w:rPr>
        <w:t>Logie</w:t>
      </w:r>
      <w:proofErr w:type="spellEnd"/>
      <w:r>
        <w:rPr>
          <w:rFonts w:ascii="Arial" w:hAnsi="Arial" w:cs="Arial"/>
        </w:rPr>
        <w:t xml:space="preserve"> (2023) notes its neglect of power structures and historical contingency in cultural transmission. For example, Wei &amp; Wang (2022) analyzed an industrial heritage museum in China, revealing how curators selectively emphasized a "technological progress" narrative while downplaying historical labor disputes, illustrating the ideological nature of cultural interpretation.</w:t>
      </w:r>
    </w:p>
    <w:p w14:paraId="469836A7"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Cognitive and Memory Theories: The Dynamics and Applications of Schemas</w:t>
      </w:r>
    </w:p>
    <w:p w14:paraId="587587B9" w14:textId="77777777" w:rsidR="00A2496B" w:rsidRDefault="00000000">
      <w:pPr>
        <w:ind w:firstLineChars="200" w:firstLine="440"/>
        <w:rPr>
          <w:rFonts w:ascii="AppleSystemUIFont" w:hAnsi="AppleSystemUIFont" w:cs="AppleSystemUIFont"/>
          <w:kern w:val="0"/>
          <w:sz w:val="26"/>
          <w:szCs w:val="26"/>
          <w14:ligatures w14:val="none"/>
        </w:rPr>
      </w:pPr>
      <w:r>
        <w:rPr>
          <w:rFonts w:ascii="Arial" w:hAnsi="Arial" w:cs="Arial"/>
        </w:rPr>
        <w:t xml:space="preserve">Bartlett’s schema theory (1932), systematized by Sprott (1933), posits that individuals filter new information through pre-existing mental frameworks. Educational psychologist Torney-Purta (1991) found adolescents’ understanding of historical heritage was significantly shaped by a "national progress" schema, while Wagoner (2013) highlighted schema plasticity, noting cultural experiences can reconstruct cognitive frameworks. </w:t>
      </w:r>
      <w:proofErr w:type="spellStart"/>
      <w:r>
        <w:rPr>
          <w:rFonts w:ascii="Arial" w:hAnsi="Arial" w:cs="Arial"/>
        </w:rPr>
        <w:t>Logie</w:t>
      </w:r>
      <w:proofErr w:type="spellEnd"/>
      <w:r>
        <w:rPr>
          <w:rFonts w:ascii="Arial" w:hAnsi="Arial" w:cs="Arial"/>
        </w:rPr>
        <w:t xml:space="preserve"> (2023) applied memory science to social issues, proposing a "collective memory intervention model" to enhance heritage-related recall through multimodal stimuli. Wang &amp; Hou (2024a, 2024b) empirically applied visual cognitive schema theory to post-industrial landscape design, discovering participants recognized "mechanical gear" symbols 37% faster than "chimney" symbols, confirming the psychological salience of core industrial civilization schemas.</w:t>
      </w:r>
    </w:p>
    <w:p w14:paraId="2FE4A2FE"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Worldview Frameworks: The Neglected Deep Cognitive Structure</w:t>
      </w:r>
    </w:p>
    <w:p w14:paraId="714DBB7E" w14:textId="77777777" w:rsidR="00A2496B" w:rsidRDefault="00000000">
      <w:pPr>
        <w:ind w:firstLineChars="200" w:firstLine="440"/>
        <w:rPr>
          <w:rFonts w:ascii="Arial" w:hAnsi="Arial" w:cs="Arial"/>
        </w:rPr>
      </w:pPr>
      <w:r>
        <w:rPr>
          <w:rFonts w:ascii="Arial" w:hAnsi="Arial" w:cs="Arial"/>
        </w:rPr>
        <w:lastRenderedPageBreak/>
        <w:t>Sire’s The Universe Next Door (2010) establishes a seven-dimensional framework for worldview analysis (e.g., ontology, epistemology, ethics), arguing that visitors’ interpretations of industrial heritage are shaped not only by cognitive schemas but also by deep-seated beliefs (e.g., religious or philosophical stances).</w:t>
      </w:r>
    </w:p>
    <w:p w14:paraId="4E1ECD14"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Sensory Experience and Immersive Technology: The Double-Edged Sword of Multimodal Interaction</w:t>
      </w:r>
    </w:p>
    <w:p w14:paraId="0EAE5F4C" w14:textId="77777777" w:rsidR="00A2496B" w:rsidRDefault="00000000">
      <w:pPr>
        <w:ind w:firstLineChars="200" w:firstLine="440"/>
        <w:rPr>
          <w:rFonts w:ascii="Arial" w:hAnsi="Arial" w:cs="Arial"/>
        </w:rPr>
      </w:pPr>
      <w:r>
        <w:rPr>
          <w:rFonts w:ascii="Arial" w:hAnsi="Arial" w:cs="Arial"/>
        </w:rPr>
        <w:t xml:space="preserve">Technological application research reveals interdisciplinary insights: Jo &amp; Jeon (2022) used eye-tracking to show dynamic lighting in VR increases attention by 22%, but Liu (2014) found overly complex audio designs caused cognitive overload in 34% of participants. A soundscape study at the Pergamon site (Pergamon Study) revealed that environmental sounds (e.g., wind, artisanal labor noises) synchronized with visuals contributed 68% to immersive feelings. Comparative studies show VR users report 41% higher "presence" scores than 360° panorama users (Brivio et al., 2021) but 29% higher anxiety; </w:t>
      </w:r>
      <w:proofErr w:type="spellStart"/>
      <w:r>
        <w:rPr>
          <w:rFonts w:ascii="Arial" w:hAnsi="Arial" w:cs="Arial"/>
        </w:rPr>
        <w:t>Calogiuri</w:t>
      </w:r>
      <w:proofErr w:type="spellEnd"/>
      <w:r>
        <w:rPr>
          <w:rFonts w:ascii="Arial" w:hAnsi="Arial" w:cs="Arial"/>
        </w:rPr>
        <w:t xml:space="preserve"> et al. (2018) found VR nature walks prolonged positive emotions 2.3x compared to traditional exhibitions.</w:t>
      </w:r>
    </w:p>
    <w:p w14:paraId="528A90B8"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Authenticity Debates in Technological Applications</w:t>
      </w:r>
    </w:p>
    <w:p w14:paraId="28DEBFD5" w14:textId="77777777" w:rsidR="00A2496B" w:rsidRDefault="00000000">
      <w:pPr>
        <w:ind w:firstLineChars="200" w:firstLine="440"/>
        <w:rPr>
          <w:rFonts w:ascii="Arial" w:hAnsi="Arial" w:cs="Arial"/>
        </w:rPr>
      </w:pPr>
      <w:r>
        <w:rPr>
          <w:rFonts w:ascii="Arial" w:hAnsi="Arial" w:cs="Arial"/>
        </w:rPr>
        <w:t xml:space="preserve">Arnold et al. (2008) sparked discussions on "digital authenticity" by introducing interactive virtual guides in heritage projects—participants’ trust increased with realism up to 85%, but beyond that, the "uncanny valley" effect caused alienation. Zhou et al. (2025) found cultural identity positively correlated (r=0.63) with functional clarity in a virtual industrial heritage platform, while every 1-point increase in narrative quality boosted user retention by 15%. </w:t>
      </w:r>
      <w:proofErr w:type="spellStart"/>
      <w:r>
        <w:rPr>
          <w:rFonts w:ascii="Arial" w:hAnsi="Arial" w:cs="Arial"/>
        </w:rPr>
        <w:t>Sylaïou</w:t>
      </w:r>
      <w:proofErr w:type="spellEnd"/>
      <w:r>
        <w:rPr>
          <w:rFonts w:ascii="Arial" w:hAnsi="Arial" w:cs="Arial"/>
        </w:rPr>
        <w:t xml:space="preserve"> et al. (2024) evaluated an XR experience at the Tomato Industrial Museum, finding technology increased visit duration by 40% but reduced </w:t>
      </w:r>
      <w:proofErr w:type="gramStart"/>
      <w:r>
        <w:rPr>
          <w:rFonts w:ascii="Arial" w:hAnsi="Arial" w:cs="Arial"/>
        </w:rPr>
        <w:t>deep-question</w:t>
      </w:r>
      <w:proofErr w:type="gramEnd"/>
      <w:r>
        <w:rPr>
          <w:rFonts w:ascii="Arial" w:hAnsi="Arial" w:cs="Arial"/>
        </w:rPr>
        <w:t xml:space="preserve"> answering accuracy by 18%, warning against prioritizing tech over knowledge transmission.</w:t>
      </w:r>
    </w:p>
    <w:p w14:paraId="047211D1"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Sociocultural Context: Power, Memory, and Inclusivity</w:t>
      </w:r>
    </w:p>
    <w:p w14:paraId="272244B0" w14:textId="77777777" w:rsidR="00A2496B" w:rsidRDefault="00000000">
      <w:pPr>
        <w:ind w:firstLineChars="200" w:firstLine="440"/>
        <w:rPr>
          <w:rFonts w:ascii="Arial" w:hAnsi="Arial" w:cs="Arial"/>
        </w:rPr>
      </w:pPr>
      <w:r>
        <w:rPr>
          <w:rFonts w:ascii="Arial" w:hAnsi="Arial" w:cs="Arial"/>
        </w:rPr>
        <w:t>The Ruhr Region case (</w:t>
      </w:r>
      <w:proofErr w:type="spellStart"/>
      <w:r>
        <w:rPr>
          <w:rFonts w:ascii="Arial" w:hAnsi="Arial" w:cs="Arial"/>
        </w:rPr>
        <w:t>Berkenbosch</w:t>
      </w:r>
      <w:proofErr w:type="spellEnd"/>
      <w:r>
        <w:rPr>
          <w:rFonts w:ascii="Arial" w:hAnsi="Arial" w:cs="Arial"/>
        </w:rPr>
        <w:t xml:space="preserve"> et al., 2022) exemplifies industrial heritage’s economic transformation role—rebranding abandoned coalmines as "innovation landmarks" boosted commercial value by 280% but downplayed social traumas like unemployment crises. Mukherjee &amp; Banerji (2025) found significant gaps between experts’ "technical history" narratives and local communities’ "labor memory" at India’s Jamshedpur Steel Plant, with 35% of community members viewing exhibitions as "forgetting the real heritage owners." This echoes </w:t>
      </w:r>
      <w:proofErr w:type="spellStart"/>
      <w:r>
        <w:rPr>
          <w:rFonts w:ascii="Arial" w:hAnsi="Arial" w:cs="Arial"/>
        </w:rPr>
        <w:t>Cercleux</w:t>
      </w:r>
      <w:proofErr w:type="spellEnd"/>
      <w:r>
        <w:rPr>
          <w:rFonts w:ascii="Arial" w:hAnsi="Arial" w:cs="Arial"/>
        </w:rPr>
        <w:t xml:space="preserve"> et </w:t>
      </w:r>
      <w:r>
        <w:rPr>
          <w:rFonts w:ascii="Arial" w:hAnsi="Arial" w:cs="Arial"/>
        </w:rPr>
        <w:lastRenderedPageBreak/>
        <w:t xml:space="preserve">al.’s (2022) "co-constructed memory theory," advocating for inclusive heritage design. </w:t>
      </w:r>
      <w:proofErr w:type="spellStart"/>
      <w:r>
        <w:rPr>
          <w:rFonts w:ascii="Arial" w:hAnsi="Arial" w:cs="Arial"/>
        </w:rPr>
        <w:t>Labode</w:t>
      </w:r>
      <w:proofErr w:type="spellEnd"/>
      <w:r>
        <w:rPr>
          <w:rFonts w:ascii="Arial" w:hAnsi="Arial" w:cs="Arial"/>
        </w:rPr>
        <w:t xml:space="preserve"> &amp; Braide (2022) highlighted understudied non-Western heritages like African textile symbolism, which constitutes only 3.2% of current literature, revealing a "techno-centrism" bias.</w:t>
      </w:r>
    </w:p>
    <w:p w14:paraId="68B1CB88"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Debates and Cross-Research Themes</w:t>
      </w:r>
    </w:p>
    <w:p w14:paraId="07DA1812"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Technological Instrumentalism vs. Cultural Empowerment</w:t>
      </w:r>
    </w:p>
    <w:p w14:paraId="54DA2116" w14:textId="77777777" w:rsidR="00A2496B" w:rsidRDefault="00000000">
      <w:pPr>
        <w:ind w:firstLineChars="200" w:firstLine="440"/>
        <w:rPr>
          <w:rFonts w:ascii="Arial" w:hAnsi="Arial" w:cs="Arial"/>
        </w:rPr>
      </w:pPr>
      <w:r>
        <w:rPr>
          <w:rFonts w:ascii="Arial" w:hAnsi="Arial" w:cs="Arial"/>
        </w:rPr>
        <w:t xml:space="preserve">Debates over immersive technology’s value persist: Brivio and </w:t>
      </w:r>
      <w:proofErr w:type="spellStart"/>
      <w:r>
        <w:rPr>
          <w:rFonts w:ascii="Arial" w:hAnsi="Arial" w:cs="Arial"/>
        </w:rPr>
        <w:t>Calogiuri’s</w:t>
      </w:r>
      <w:proofErr w:type="spellEnd"/>
      <w:r>
        <w:rPr>
          <w:rFonts w:ascii="Arial" w:hAnsi="Arial" w:cs="Arial"/>
        </w:rPr>
        <w:t xml:space="preserve"> studies emphasize VR’s emotional mobilization (e.g., increasing "industrial history resonance" by 58%), while </w:t>
      </w:r>
      <w:proofErr w:type="spellStart"/>
      <w:r>
        <w:rPr>
          <w:rFonts w:ascii="Arial" w:hAnsi="Arial" w:cs="Arial"/>
        </w:rPr>
        <w:t>Sylaïou</w:t>
      </w:r>
      <w:proofErr w:type="spellEnd"/>
      <w:r>
        <w:rPr>
          <w:rFonts w:ascii="Arial" w:hAnsi="Arial" w:cs="Arial"/>
        </w:rPr>
        <w:t xml:space="preserve"> and Arnold warn of "techno-showy" cultural hollowing-out—a steampunk VR exhibition succeeded commercially but caused 47% cognitive bias in real industrial history. An Elsevier cross-platform study revealed AR users preferred "exploratory learning" (asking 32% more questions), while VR users favored emotional immersion, highlighting technology-specific cognitive impacts.</w:t>
      </w:r>
    </w:p>
    <w:p w14:paraId="4F342BD2"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Expert Narrative vs. Community Narrative</w:t>
      </w:r>
    </w:p>
    <w:p w14:paraId="1F820789" w14:textId="77777777" w:rsidR="00A2496B" w:rsidRDefault="00000000">
      <w:pPr>
        <w:ind w:firstLineChars="200" w:firstLine="520"/>
        <w:rPr>
          <w:rFonts w:ascii="Arial" w:hAnsi="Arial" w:cs="Arial"/>
        </w:rPr>
      </w:pPr>
      <w:r>
        <w:rPr>
          <w:rFonts w:ascii="AppleSystemUIFont" w:hAnsi="AppleSystemUIFont" w:cs="AppleSystemUIFont"/>
          <w:kern w:val="0"/>
          <w:sz w:val="26"/>
          <w:szCs w:val="26"/>
          <w14:ligatures w14:val="none"/>
        </w:rPr>
        <w:t>C</w:t>
      </w:r>
      <w:r>
        <w:rPr>
          <w:rFonts w:ascii="Arial" w:hAnsi="Arial" w:cs="Arial"/>
        </w:rPr>
        <w:t xml:space="preserve">omparative studies in India and Germany illustrate power structures in heritage interpretation: Ruhr’s "depoliticized" narrative successfully branded the city but sacrificed social memory complexity; Jamshedpur’s communities advocated including "negative heritage" like strikes and pollution as "part of real history." </w:t>
      </w:r>
      <w:proofErr w:type="spellStart"/>
      <w:r>
        <w:rPr>
          <w:rFonts w:ascii="Arial" w:hAnsi="Arial" w:cs="Arial"/>
        </w:rPr>
        <w:t>Cercleux</w:t>
      </w:r>
      <w:proofErr w:type="spellEnd"/>
      <w:r>
        <w:rPr>
          <w:rFonts w:ascii="Arial" w:hAnsi="Arial" w:cs="Arial"/>
        </w:rPr>
        <w:t xml:space="preserve"> et al.’s (2022) "participatory heritage design" model proposes public workshops (e.g., Brazil’s steel plant "labor memory collection initiative") to balance narratives, positioning heritage as a dialogue medium rather than one-way propaganda tools.</w:t>
      </w:r>
    </w:p>
    <w:p w14:paraId="5A67C9FE"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Cognitive Stability vs. Flexibility</w:t>
      </w:r>
    </w:p>
    <w:p w14:paraId="5ABCEA17" w14:textId="77777777" w:rsidR="00A2496B" w:rsidRDefault="00000000">
      <w:pPr>
        <w:ind w:firstLineChars="200" w:firstLine="440"/>
        <w:rPr>
          <w:rFonts w:ascii="Arial" w:hAnsi="Arial" w:cs="Arial"/>
        </w:rPr>
      </w:pPr>
      <w:r>
        <w:rPr>
          <w:rFonts w:ascii="Arial" w:hAnsi="Arial" w:cs="Arial"/>
        </w:rPr>
        <w:t>Schema theory’s internal tension is evident in heritage experiences: Torney-Purta’s longitudinal study found only 12% of adolescents revised their "industrial progress schema" after critical exhibitions, while Wang &amp; Hou’s (2024b) "contrast experience" (e.g., embedding futuristic installations in ruins) increased schema update rates to 39%. Sire’s worldview theory adds that participants with "technological determinism" worldviews were 53% less accepting of negative heritage interpretations, indicating deep belief systems anchor cognition.</w:t>
      </w:r>
    </w:p>
    <w:p w14:paraId="1C6D65E0"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Sensory Immersion vs. Cognitive Depth</w:t>
      </w:r>
    </w:p>
    <w:p w14:paraId="2BE9FCF8" w14:textId="77777777" w:rsidR="00A2496B" w:rsidRDefault="00000000">
      <w:pPr>
        <w:ind w:firstLineChars="200" w:firstLine="440"/>
        <w:rPr>
          <w:rFonts w:ascii="Arial" w:hAnsi="Arial" w:cs="Arial"/>
        </w:rPr>
      </w:pPr>
      <w:r>
        <w:rPr>
          <w:rFonts w:ascii="Arial" w:hAnsi="Arial" w:cs="Arial"/>
        </w:rPr>
        <w:lastRenderedPageBreak/>
        <w:t xml:space="preserve">Multisensory design follows an inverted U-curve: Jo &amp; Jeon (2022) found 5 sensory dimensions maximized immersion, but exceeding 7 caused a 25% drop in comprehension. </w:t>
      </w:r>
      <w:proofErr w:type="spellStart"/>
      <w:r>
        <w:rPr>
          <w:rFonts w:ascii="Arial" w:hAnsi="Arial" w:cs="Arial"/>
        </w:rPr>
        <w:t>Calogiuri</w:t>
      </w:r>
      <w:proofErr w:type="spellEnd"/>
      <w:r>
        <w:rPr>
          <w:rFonts w:ascii="Arial" w:hAnsi="Arial" w:cs="Arial"/>
        </w:rPr>
        <w:t xml:space="preserve"> et al.’s (2018) physiological monitoring showed VR increased heart rate variability (HRV) by 18% (indicating emotional arousal) but reduced alpha brain waves (suggesting less deep thinking). This mandates balancing "sensory stimulation" and "cognitive challenge," such as layered interactions—basic levels offer multisensory experiences, while advanced levels use puzzles for deep interpretation.</w:t>
      </w:r>
    </w:p>
    <w:p w14:paraId="4A9A9195"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Relevance to This Project</w:t>
      </w:r>
    </w:p>
    <w:p w14:paraId="26CFD2A7" w14:textId="77777777" w:rsidR="00A2496B" w:rsidRDefault="00000000">
      <w:pPr>
        <w:ind w:firstLineChars="200" w:firstLine="440"/>
        <w:rPr>
          <w:rFonts w:ascii="Arial" w:hAnsi="Arial" w:cs="Arial"/>
        </w:rPr>
      </w:pPr>
      <w:r>
        <w:rPr>
          <w:rFonts w:ascii="Arial" w:hAnsi="Arial" w:cs="Arial"/>
        </w:rPr>
        <w:t>This study on " When people immerse themselves in the cultural genes of industrial heritage, the impact of industrial heritage cultural genes on people.</w:t>
      </w:r>
    </w:p>
    <w:p w14:paraId="0DD11C20" w14:textId="77777777" w:rsidR="00A2496B" w:rsidRDefault="00000000">
      <w:pPr>
        <w:ind w:firstLineChars="200" w:firstLine="440"/>
        <w:rPr>
          <w:rFonts w:ascii="Arial" w:hAnsi="Arial" w:cs="Arial"/>
        </w:rPr>
      </w:pPr>
      <w:r>
        <w:rPr>
          <w:rFonts w:ascii="Arial" w:hAnsi="Arial" w:cs="Arial"/>
        </w:rPr>
        <w:t xml:space="preserve">" </w:t>
      </w:r>
      <w:proofErr w:type="gramStart"/>
      <w:r>
        <w:rPr>
          <w:rFonts w:ascii="Arial" w:hAnsi="Arial" w:cs="Arial"/>
        </w:rPr>
        <w:t>draws</w:t>
      </w:r>
      <w:proofErr w:type="gramEnd"/>
      <w:r>
        <w:rPr>
          <w:rFonts w:ascii="Arial" w:hAnsi="Arial" w:cs="Arial"/>
        </w:rPr>
        <w:t xml:space="preserve"> threefold support from the literature:</w:t>
      </w:r>
    </w:p>
    <w:p w14:paraId="2A30A7BB" w14:textId="77777777" w:rsidR="00A2496B" w:rsidRDefault="00000000">
      <w:pPr>
        <w:ind w:firstLineChars="200" w:firstLine="440"/>
        <w:rPr>
          <w:rFonts w:ascii="Arial" w:hAnsi="Arial" w:cs="Arial"/>
        </w:rPr>
      </w:pPr>
      <w:r>
        <w:rPr>
          <w:rFonts w:ascii="Arial" w:hAnsi="Arial" w:cs="Arial"/>
        </w:rPr>
        <w:t>Theoretical Foundations: Memetic theory explains cultural gene transmission (e.g., how industrial symbols spread via VR), while schema and worldview theories reveal cognitive roots of individual differences (e.g., educational backgrounds shaping "gear" symbol interpretations).</w:t>
      </w:r>
    </w:p>
    <w:p w14:paraId="279F7BF0" w14:textId="77777777" w:rsidR="00A2496B" w:rsidRDefault="00000000">
      <w:pPr>
        <w:ind w:firstLineChars="200" w:firstLine="440"/>
        <w:rPr>
          <w:rFonts w:ascii="Arial" w:hAnsi="Arial" w:cs="Arial"/>
        </w:rPr>
      </w:pPr>
      <w:r>
        <w:rPr>
          <w:rFonts w:ascii="Arial" w:hAnsi="Arial" w:cs="Arial"/>
        </w:rPr>
        <w:t xml:space="preserve">Methodological Insights: Zhou et al.’s (2025) UX model informs indicator design (e.g., decomposing "cultural identity" into symbol recognition, emotional resonance, and narrative identification), while </w:t>
      </w:r>
      <w:proofErr w:type="spellStart"/>
      <w:r>
        <w:rPr>
          <w:rFonts w:ascii="Arial" w:hAnsi="Arial" w:cs="Arial"/>
        </w:rPr>
        <w:t>Sylaïou’s</w:t>
      </w:r>
      <w:proofErr w:type="spellEnd"/>
      <w:r>
        <w:rPr>
          <w:rFonts w:ascii="Arial" w:hAnsi="Arial" w:cs="Arial"/>
        </w:rPr>
        <w:t xml:space="preserve"> mixed methods (eye-tracking + interviews) measure "implicit cultural gene" impacts.</w:t>
      </w:r>
    </w:p>
    <w:p w14:paraId="2C627936" w14:textId="77777777" w:rsidR="00A2496B" w:rsidRDefault="00000000">
      <w:pPr>
        <w:ind w:firstLineChars="200" w:firstLine="440"/>
        <w:rPr>
          <w:rFonts w:ascii="Arial" w:hAnsi="Arial" w:cs="Arial"/>
        </w:rPr>
      </w:pPr>
      <w:r>
        <w:rPr>
          <w:rFonts w:ascii="Arial" w:hAnsi="Arial" w:cs="Arial"/>
        </w:rPr>
        <w:t>Practical Guidelines: Ruhr-Jamshedpur case comparisons suggest designing multilingual narrative modules (e.g., "expert vs. community perspectives"), while Brivio’s VR anxiety research inspires "stress-adaptive systems" that dynamically adjust stimuli based on physiological data.</w:t>
      </w:r>
    </w:p>
    <w:p w14:paraId="58D0C9FB"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Gaps and Future Research Directions</w:t>
      </w:r>
    </w:p>
    <w:p w14:paraId="5CE19951" w14:textId="77777777" w:rsidR="00A2496B" w:rsidRDefault="00000000">
      <w:pPr>
        <w:rPr>
          <w:rFonts w:ascii="Arial" w:hAnsi="Arial" w:cs="Arial"/>
        </w:rPr>
      </w:pPr>
      <w:r>
        <w:rPr>
          <w:rFonts w:ascii="Arial" w:hAnsi="Arial" w:cs="Arial"/>
        </w:rPr>
        <w:t>Despite existing theoretical frameworks, five key gaps require addressing:</w:t>
      </w:r>
    </w:p>
    <w:p w14:paraId="55C3B149" w14:textId="77777777" w:rsidR="00A2496B" w:rsidRDefault="00000000">
      <w:pPr>
        <w:ind w:firstLineChars="200" w:firstLine="440"/>
        <w:rPr>
          <w:rFonts w:ascii="Arial" w:hAnsi="Arial" w:cs="Arial"/>
        </w:rPr>
      </w:pPr>
      <w:r>
        <w:rPr>
          <w:rFonts w:ascii="Arial" w:hAnsi="Arial" w:cs="Arial"/>
        </w:rPr>
        <w:t>Theoretical Integration: Most studies apply single theories (e.g., schema or memetic theory) rather than cross-level models. No research has yet combined worldview frameworks with cognitive schemas to analyze "deep resistance" mechanisms in cultural gene transmission.</w:t>
      </w:r>
    </w:p>
    <w:p w14:paraId="4F7516D5" w14:textId="77777777" w:rsidR="00A2496B" w:rsidRDefault="00000000">
      <w:pPr>
        <w:ind w:firstLineChars="200" w:firstLine="440"/>
        <w:rPr>
          <w:rFonts w:ascii="Arial" w:hAnsi="Arial" w:cs="Arial"/>
        </w:rPr>
      </w:pPr>
      <w:r>
        <w:rPr>
          <w:rFonts w:ascii="Arial" w:hAnsi="Arial" w:cs="Arial"/>
        </w:rPr>
        <w:t xml:space="preserve"> </w:t>
      </w:r>
      <w:proofErr w:type="spellStart"/>
      <w:r>
        <w:rPr>
          <w:rFonts w:ascii="Arial" w:hAnsi="Arial" w:cs="Arial"/>
        </w:rPr>
        <w:t>Geocultural</w:t>
      </w:r>
      <w:proofErr w:type="spellEnd"/>
      <w:r>
        <w:rPr>
          <w:rFonts w:ascii="Arial" w:hAnsi="Arial" w:cs="Arial"/>
        </w:rPr>
        <w:t xml:space="preserve"> Diversity: Non-Western industrial heritage research constitutes &lt;15% of literature, with Africa and Latin America nearly absent. For example, </w:t>
      </w:r>
      <w:r>
        <w:rPr>
          <w:rFonts w:ascii="Arial" w:hAnsi="Arial" w:cs="Arial"/>
        </w:rPr>
        <w:lastRenderedPageBreak/>
        <w:t>Ethiopia’s textile heritage—caught between "artisanal craftsmanship vs. colonial factories" narratives—remains unstudied.</w:t>
      </w:r>
    </w:p>
    <w:p w14:paraId="59F9D6FF" w14:textId="77777777" w:rsidR="00A2496B" w:rsidRDefault="00000000">
      <w:pPr>
        <w:ind w:firstLineChars="200" w:firstLine="440"/>
        <w:rPr>
          <w:rFonts w:ascii="Arial" w:hAnsi="Arial" w:cs="Arial"/>
        </w:rPr>
      </w:pPr>
      <w:r>
        <w:rPr>
          <w:rFonts w:ascii="Arial" w:hAnsi="Arial" w:cs="Arial"/>
        </w:rPr>
        <w:t xml:space="preserve"> Technological Niche Exploration: Existing tech comparisons focus on VR/AR, neglecting MR, olfactory/tactile feedback, etc. The memory-enhancing mechanisms of "smell museums" (e.g., recreating oil and rust odors) require empirical validation.</w:t>
      </w:r>
    </w:p>
    <w:p w14:paraId="60B9EADF" w14:textId="77777777" w:rsidR="00A2496B" w:rsidRDefault="00000000">
      <w:pPr>
        <w:ind w:firstLineChars="200" w:firstLine="440"/>
        <w:rPr>
          <w:rFonts w:ascii="Arial" w:hAnsi="Arial" w:cs="Arial"/>
        </w:rPr>
      </w:pPr>
      <w:r>
        <w:rPr>
          <w:rFonts w:ascii="Arial" w:hAnsi="Arial" w:cs="Arial"/>
        </w:rPr>
        <w:t>Participatory Design Methodologies: While community participation is advocated, operational frameworks are lacking. Brazil’s metallurgical heritage "co-construction workshops," which used drama therapy and oral history collection to deepen engagement, remain unsystematized.</w:t>
      </w:r>
    </w:p>
    <w:p w14:paraId="57745EFA" w14:textId="77777777" w:rsidR="00A2496B" w:rsidRDefault="00000000">
      <w:pPr>
        <w:ind w:firstLineChars="200" w:firstLine="440"/>
        <w:rPr>
          <w:rFonts w:ascii="Arial" w:hAnsi="Arial" w:cs="Arial"/>
        </w:rPr>
      </w:pPr>
      <w:r>
        <w:rPr>
          <w:rFonts w:ascii="Arial" w:hAnsi="Arial" w:cs="Arial"/>
        </w:rPr>
        <w:t xml:space="preserve"> Long-Term Impact Studies: Most data rely on immediate feedback (e.g., post-experience 1-hour surveys), whereas cultural gene impacts on identity may take years to manifest. Adopting "cultural tracking studies"—longitudinal interviews to analyze post-experience cognitive changes—is recommended.</w:t>
      </w:r>
    </w:p>
    <w:p w14:paraId="266C813A"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Conclusion</w:t>
      </w:r>
    </w:p>
    <w:p w14:paraId="2BA650D5" w14:textId="77777777" w:rsidR="00A2496B" w:rsidRDefault="00000000">
      <w:pPr>
        <w:ind w:firstLineChars="200" w:firstLine="440"/>
        <w:rPr>
          <w:rFonts w:ascii="Arial" w:hAnsi="Arial" w:cs="Arial"/>
        </w:rPr>
      </w:pPr>
      <w:r>
        <w:rPr>
          <w:rFonts w:ascii="Arial" w:hAnsi="Arial" w:cs="Arial"/>
        </w:rPr>
        <w:t>This review synthesizes interdisciplinary research on industrial heritage, immersive technology, and cultural cognition, highlighting synergies between memetic theory, cognitive psychology, and technological applications while identifying frontiers in globalization, tech ethics, and participation. For this project, innovation lies in constructing a three-dimensional "cultural gene-cognitive schema-technological medium" analytical framework, developing immersive narratives balancing emotional arousal and knowledge transmission, and validating theoretical universality through global case comparisons. These efforts will not only advance digital preservation theories for industrial heritage but also provide "technology-culture" synergistic solutions for heritage activation in developing nations.</w:t>
      </w:r>
    </w:p>
    <w:p w14:paraId="2677CF27" w14:textId="77777777" w:rsidR="00A2496B" w:rsidRDefault="00000000">
      <w:pPr>
        <w:ind w:firstLineChars="200" w:firstLine="520"/>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Methodology</w:t>
      </w:r>
    </w:p>
    <w:p w14:paraId="5D52C17D" w14:textId="77777777" w:rsidR="00A2496B" w:rsidRDefault="00000000">
      <w:pPr>
        <w:ind w:firstLineChars="200" w:firstLine="440"/>
        <w:rPr>
          <w:rFonts w:ascii="Arial" w:hAnsi="Arial" w:cs="Arial"/>
        </w:rPr>
      </w:pPr>
      <w:r>
        <w:rPr>
          <w:rFonts w:ascii="Arial" w:hAnsi="Arial" w:cs="Arial"/>
        </w:rPr>
        <w:t>Research Approach: Philosophical Foundations and Design Rationale</w:t>
      </w:r>
    </w:p>
    <w:p w14:paraId="4AD5CCB3" w14:textId="77777777" w:rsidR="00A2496B" w:rsidRDefault="00000000">
      <w:pPr>
        <w:ind w:firstLineChars="200" w:firstLine="440"/>
        <w:rPr>
          <w:rFonts w:ascii="Arial" w:hAnsi="Arial" w:cs="Arial"/>
        </w:rPr>
      </w:pPr>
      <w:r>
        <w:rPr>
          <w:rFonts w:ascii="Arial" w:hAnsi="Arial" w:cs="Arial"/>
        </w:rPr>
        <w:t xml:space="preserve">This study employs a </w:t>
      </w:r>
      <w:proofErr w:type="gramStart"/>
      <w:r>
        <w:rPr>
          <w:rFonts w:ascii="Arial" w:hAnsi="Arial" w:cs="Arial"/>
        </w:rPr>
        <w:t>qualitatively-driven</w:t>
      </w:r>
      <w:proofErr w:type="gramEnd"/>
      <w:r>
        <w:rPr>
          <w:rFonts w:ascii="Arial" w:hAnsi="Arial" w:cs="Arial"/>
        </w:rPr>
        <w:t xml:space="preserve"> convergent mixed-methods design, situated within the pragmatic epistemological tradition (Creswell &amp; Plano Clark, 2021). The central research question—How do cultural genes embedded in immersive industrial heritage experiences co-constitute individual and collective </w:t>
      </w:r>
      <w:proofErr w:type="gramStart"/>
      <w:r>
        <w:rPr>
          <w:rFonts w:ascii="Arial" w:hAnsi="Arial" w:cs="Arial"/>
        </w:rPr>
        <w:t>identities?—</w:t>
      </w:r>
      <w:proofErr w:type="gramEnd"/>
      <w:r>
        <w:rPr>
          <w:rFonts w:ascii="Arial" w:hAnsi="Arial" w:cs="Arial"/>
        </w:rPr>
        <w:t xml:space="preserve">requires addressing both the interpretive depth of human meaning-making and the statistical patterns of broader cultural engagement. By prioritizing qualitative methods, the study captures the nuanced interplay between tacit cultural </w:t>
      </w:r>
      <w:r>
        <w:rPr>
          <w:rFonts w:ascii="Arial" w:hAnsi="Arial" w:cs="Arial"/>
        </w:rPr>
        <w:lastRenderedPageBreak/>
        <w:t>schemas (e.g., industrial symbolism) and subjective experiences, while quantitative data provide empirical grounding for cross-cultural comparisons and generalizable insights.</w:t>
      </w:r>
    </w:p>
    <w:p w14:paraId="071AC546" w14:textId="77777777" w:rsidR="00A2496B" w:rsidRDefault="00000000">
      <w:pPr>
        <w:widowControl/>
        <w:spacing w:before="100" w:beforeAutospacing="1" w:after="100" w:afterAutospacing="1" w:line="240" w:lineRule="auto"/>
        <w:rPr>
          <w:rFonts w:ascii="Arial" w:hAnsi="Arial" w:cs="Arial"/>
        </w:rPr>
      </w:pPr>
      <w:r>
        <w:rPr>
          <w:rFonts w:ascii="Arial" w:hAnsi="Arial" w:cs="Arial"/>
          <w:b/>
          <w:bCs/>
        </w:rPr>
        <w:t>Research Approach and Rationale</w:t>
      </w:r>
    </w:p>
    <w:p w14:paraId="290EC488" w14:textId="77777777" w:rsidR="00A2496B" w:rsidRDefault="00000000">
      <w:pPr>
        <w:widowControl/>
        <w:spacing w:before="100" w:beforeAutospacing="1" w:after="100" w:afterAutospacing="1" w:line="240" w:lineRule="auto"/>
        <w:ind w:firstLineChars="200" w:firstLine="440"/>
        <w:rPr>
          <w:rFonts w:ascii="Arial" w:hAnsi="Arial" w:cs="Arial"/>
        </w:rPr>
      </w:pPr>
      <w:r>
        <w:rPr>
          <w:rFonts w:ascii="Arial" w:hAnsi="Arial" w:cs="Arial"/>
        </w:rPr>
        <w:t>This study uses a mixed-methods approach, combining qualitative and quantitative strategies to explore the reciprocal relationship between individuals and industrial heritage cultural genes during immersive experiences. Emotional factors like nostalgia and awe (Jo &amp; Jeon, 2022) are central, and quantitative tools help verify patterns across diverse groups.</w:t>
      </w:r>
    </w:p>
    <w:p w14:paraId="36964E6D" w14:textId="77777777" w:rsidR="00A2496B" w:rsidRDefault="00000000">
      <w:pPr>
        <w:widowControl/>
        <w:spacing w:before="100" w:beforeAutospacing="1" w:after="100" w:afterAutospacing="1" w:line="240" w:lineRule="auto"/>
        <w:rPr>
          <w:rFonts w:ascii="Arial" w:hAnsi="Arial" w:cs="Arial"/>
          <w:b/>
          <w:bCs/>
        </w:rPr>
      </w:pPr>
      <w:r>
        <w:rPr>
          <w:rFonts w:ascii="Arial" w:hAnsi="Arial" w:cs="Arial"/>
          <w:b/>
          <w:bCs/>
        </w:rPr>
        <w:t>Qualitative Methods</w:t>
      </w:r>
    </w:p>
    <w:p w14:paraId="3F4B8E34" w14:textId="77777777" w:rsidR="00A2496B" w:rsidRDefault="00000000">
      <w:pPr>
        <w:widowControl/>
        <w:spacing w:before="100" w:beforeAutospacing="1" w:after="100" w:afterAutospacing="1" w:line="240" w:lineRule="auto"/>
        <w:ind w:firstLineChars="200" w:firstLine="440"/>
        <w:rPr>
          <w:rFonts w:ascii="Arial" w:hAnsi="Arial" w:cs="Arial"/>
        </w:rPr>
      </w:pPr>
      <w:r>
        <w:rPr>
          <w:rFonts w:ascii="Arial" w:hAnsi="Arial" w:cs="Arial"/>
        </w:rPr>
        <w:t xml:space="preserve">We will conduct semi-structured interviews with 40 participants from Germany, China, India, and South Africa, including curators, historians, </w:t>
      </w:r>
      <w:proofErr w:type="gramStart"/>
      <w:r>
        <w:rPr>
          <w:rFonts w:ascii="Arial" w:hAnsi="Arial" w:cs="Arial"/>
        </w:rPr>
        <w:t>local residents</w:t>
      </w:r>
      <w:proofErr w:type="gramEnd"/>
      <w:r>
        <w:rPr>
          <w:rFonts w:ascii="Arial" w:hAnsi="Arial" w:cs="Arial"/>
        </w:rPr>
        <w:t>, and visitors. Interview topics will focus on cultural connections, personal meaning, and technology’s role in the experience.</w:t>
      </w:r>
      <w:r>
        <w:rPr>
          <w:rFonts w:ascii="Arial" w:hAnsi="Arial" w:cs="Arial"/>
        </w:rPr>
        <w:br/>
        <w:t>Participant observation will be carried out at four immersive heritage sites, using behavioral notes and spatial tracking to document engagement.</w:t>
      </w:r>
      <w:r>
        <w:rPr>
          <w:rFonts w:ascii="Arial" w:hAnsi="Arial" w:cs="Arial"/>
        </w:rPr>
        <w:br/>
        <w:t>A digital diary over seven days will collect participants’ reflections, followed by a short post-experience interview to explore shifts in perception.</w:t>
      </w:r>
    </w:p>
    <w:p w14:paraId="509B3C3A" w14:textId="77777777" w:rsidR="00A2496B" w:rsidRDefault="00000000">
      <w:pPr>
        <w:widowControl/>
        <w:spacing w:before="100" w:beforeAutospacing="1" w:after="100" w:afterAutospacing="1" w:line="240" w:lineRule="auto"/>
        <w:rPr>
          <w:rFonts w:ascii="Arial" w:hAnsi="Arial" w:cs="Arial"/>
          <w:b/>
          <w:bCs/>
        </w:rPr>
      </w:pPr>
      <w:r>
        <w:rPr>
          <w:rFonts w:ascii="Arial" w:hAnsi="Arial" w:cs="Arial"/>
          <w:b/>
          <w:bCs/>
        </w:rPr>
        <w:t>Quantitative Methods</w:t>
      </w:r>
    </w:p>
    <w:p w14:paraId="6E626704" w14:textId="77777777" w:rsidR="00A2496B" w:rsidRDefault="00000000">
      <w:pPr>
        <w:widowControl/>
        <w:spacing w:before="100" w:beforeAutospacing="1" w:after="100" w:afterAutospacing="1" w:line="240" w:lineRule="auto"/>
        <w:ind w:firstLineChars="200" w:firstLine="440"/>
        <w:rPr>
          <w:rFonts w:ascii="Arial" w:hAnsi="Arial" w:cs="Arial"/>
        </w:rPr>
      </w:pPr>
      <w:r>
        <w:rPr>
          <w:rFonts w:ascii="Arial" w:hAnsi="Arial" w:cs="Arial"/>
        </w:rPr>
        <w:t>A survey of 1,000 participants will include scales on cultural identity, immersive experience, and demographic details. We will use stratified sampling to ensure balanced representation by region, age, and technology familiarity. The quantitative data will test hypotheses from qualitative findings and assess cross-cultural patterns.</w:t>
      </w:r>
    </w:p>
    <w:p w14:paraId="5016FE83" w14:textId="77777777" w:rsidR="00A2496B" w:rsidRDefault="00000000">
      <w:pPr>
        <w:widowControl/>
        <w:spacing w:before="100" w:beforeAutospacing="1" w:after="100" w:afterAutospacing="1" w:line="240" w:lineRule="auto"/>
        <w:rPr>
          <w:rFonts w:ascii="Arial" w:hAnsi="Arial" w:cs="Arial"/>
          <w:b/>
          <w:bCs/>
        </w:rPr>
      </w:pPr>
      <w:r>
        <w:rPr>
          <w:rFonts w:ascii="Arial" w:hAnsi="Arial" w:cs="Arial"/>
          <w:b/>
          <w:bCs/>
        </w:rPr>
        <w:t>Sampling Strategy</w:t>
      </w:r>
    </w:p>
    <w:p w14:paraId="1D2EBD63" w14:textId="77777777" w:rsidR="00A2496B" w:rsidRDefault="00000000">
      <w:pPr>
        <w:widowControl/>
        <w:spacing w:before="100" w:beforeAutospacing="1" w:after="100" w:afterAutospacing="1" w:line="240" w:lineRule="auto"/>
        <w:ind w:firstLineChars="200" w:firstLine="440"/>
        <w:rPr>
          <w:rFonts w:ascii="Arial" w:hAnsi="Arial" w:cs="Arial"/>
        </w:rPr>
      </w:pPr>
      <w:r>
        <w:rPr>
          <w:rFonts w:ascii="Arial" w:hAnsi="Arial" w:cs="Arial"/>
        </w:rPr>
        <w:t>We will combine purposive sampling for qualitative work, focusing on cultural relevance and attitudinal diversity, with quota-based sampling for surveys to balance underrepresented groups and minimize bias.</w:t>
      </w:r>
    </w:p>
    <w:p w14:paraId="2524319E" w14:textId="77777777" w:rsidR="00A2496B" w:rsidRDefault="00000000">
      <w:pPr>
        <w:widowControl/>
        <w:spacing w:before="100" w:beforeAutospacing="1" w:after="100" w:afterAutospacing="1" w:line="240" w:lineRule="auto"/>
        <w:rPr>
          <w:rFonts w:ascii="Arial" w:hAnsi="Arial" w:cs="Arial"/>
        </w:rPr>
      </w:pPr>
      <w:r>
        <w:rPr>
          <w:rFonts w:ascii="Arial" w:hAnsi="Arial" w:cs="Arial"/>
          <w:b/>
          <w:bCs/>
        </w:rPr>
        <w:t>Ethical Considerations</w:t>
      </w:r>
    </w:p>
    <w:p w14:paraId="78904C24" w14:textId="77777777" w:rsidR="00A2496B" w:rsidRDefault="00000000">
      <w:pPr>
        <w:widowControl/>
        <w:spacing w:before="100" w:beforeAutospacing="1" w:after="100" w:afterAutospacing="1" w:line="240" w:lineRule="auto"/>
        <w:ind w:firstLineChars="200" w:firstLine="440"/>
        <w:rPr>
          <w:rFonts w:ascii="Arial" w:hAnsi="Arial" w:cs="Arial"/>
        </w:rPr>
      </w:pPr>
      <w:r>
        <w:rPr>
          <w:rFonts w:ascii="Arial" w:hAnsi="Arial" w:cs="Arial"/>
        </w:rPr>
        <w:t>We will secure ethical approvals from universities and local committees. Multilingual consent and trauma-sensitive protocols will ensure participants’ safety and comfort. All data will be anonymized, and participants can withdraw at any time.</w:t>
      </w:r>
    </w:p>
    <w:p w14:paraId="52C607CC" w14:textId="77777777" w:rsidR="00A2496B" w:rsidRDefault="00000000">
      <w:pPr>
        <w:autoSpaceDE w:val="0"/>
        <w:autoSpaceDN w:val="0"/>
        <w:adjustRightInd w:val="0"/>
        <w:spacing w:after="0" w:line="240" w:lineRule="auto"/>
        <w:rPr>
          <w:rFonts w:ascii="Arial" w:hAnsi="Arial" w:cs="Arial"/>
        </w:rPr>
      </w:pPr>
      <w:r>
        <w:rPr>
          <w:rFonts w:ascii="Arial" w:hAnsi="Arial" w:cs="Arial"/>
          <w:b/>
          <w:bCs/>
        </w:rPr>
        <w:t>Data Analysis</w:t>
      </w:r>
    </w:p>
    <w:p w14:paraId="12260D94" w14:textId="77777777" w:rsidR="00A2496B" w:rsidRDefault="00000000">
      <w:pPr>
        <w:autoSpaceDE w:val="0"/>
        <w:autoSpaceDN w:val="0"/>
        <w:adjustRightInd w:val="0"/>
        <w:spacing w:after="0" w:line="240" w:lineRule="auto"/>
        <w:ind w:firstLineChars="200" w:firstLine="440"/>
        <w:rPr>
          <w:rFonts w:ascii="Arial" w:hAnsi="Arial" w:cs="Arial"/>
        </w:rPr>
      </w:pPr>
      <w:r>
        <w:rPr>
          <w:rFonts w:ascii="Arial" w:hAnsi="Arial" w:cs="Arial"/>
        </w:rPr>
        <w:t xml:space="preserve">Qualitative data will undergo thematic analysis to identify cognitive, emotional, and cultural themes. Quantitative data will be analyzed with descriptive and </w:t>
      </w:r>
      <w:r>
        <w:rPr>
          <w:rFonts w:ascii="Arial" w:hAnsi="Arial" w:cs="Arial"/>
        </w:rPr>
        <w:lastRenderedPageBreak/>
        <w:t xml:space="preserve">inferential statistics to examine correlations and group differences. Mixed-methods integration will allow us to connect qualitative themes with quantitative patterns for a richer interpretation. </w:t>
      </w:r>
    </w:p>
    <w:p w14:paraId="58E3B2E4" w14:textId="77777777" w:rsidR="00A2496B" w:rsidRDefault="00000000">
      <w:pPr>
        <w:autoSpaceDE w:val="0"/>
        <w:autoSpaceDN w:val="0"/>
        <w:adjustRightInd w:val="0"/>
        <w:spacing w:after="0" w:line="240" w:lineRule="auto"/>
        <w:rPr>
          <w:rFonts w:ascii="AppleSystemUIFont" w:eastAsia="SimSun" w:hAnsi="AppleSystemUIFont" w:cs="AppleSystemUIFont"/>
          <w:b/>
          <w:bCs/>
          <w:kern w:val="0"/>
          <w:sz w:val="26"/>
          <w:szCs w:val="26"/>
          <w14:ligatures w14:val="none"/>
        </w:rPr>
      </w:pPr>
      <w:r>
        <w:rPr>
          <w:rFonts w:ascii="AppleSystemUIFont" w:eastAsia="SimSun" w:hAnsi="AppleSystemUIFont" w:cs="AppleSystemUIFont"/>
          <w:b/>
          <w:bCs/>
          <w:kern w:val="0"/>
          <w:sz w:val="26"/>
          <w:szCs w:val="26"/>
          <w14:ligatures w14:val="none"/>
        </w:rPr>
        <w:t>Limitations and Alternatives</w:t>
      </w:r>
    </w:p>
    <w:p w14:paraId="3252C3A6" w14:textId="77777777" w:rsidR="00A2496B" w:rsidRDefault="00000000">
      <w:pPr>
        <w:ind w:firstLineChars="200" w:firstLine="440"/>
        <w:rPr>
          <w:rFonts w:ascii="Arial" w:hAnsi="Arial" w:cs="Arial"/>
        </w:rPr>
      </w:pPr>
      <w:r>
        <w:rPr>
          <w:rFonts w:ascii="Arial" w:hAnsi="Arial" w:cs="Arial"/>
        </w:rPr>
        <w:t>A purely ethnographic approach was considered but deemed impractical</w:t>
      </w:r>
    </w:p>
    <w:p w14:paraId="2C288395" w14:textId="77777777" w:rsidR="00A2496B" w:rsidRDefault="00000000">
      <w:pPr>
        <w:rPr>
          <w:rFonts w:ascii="Arial" w:hAnsi="Arial" w:cs="Arial"/>
        </w:rPr>
      </w:pPr>
      <w:r>
        <w:rPr>
          <w:rFonts w:ascii="Arial" w:hAnsi="Arial" w:cs="Arial"/>
        </w:rPr>
        <w:t>due to time limits and potential researcher bias.</w:t>
      </w:r>
    </w:p>
    <w:p w14:paraId="294CC186" w14:textId="77777777" w:rsidR="00A2496B" w:rsidRDefault="00000000">
      <w:pPr>
        <w:rPr>
          <w:rFonts w:ascii="Arial" w:hAnsi="Arial" w:cs="Arial"/>
          <w:b/>
          <w:bCs/>
        </w:rPr>
      </w:pPr>
      <w:r>
        <w:rPr>
          <w:rFonts w:ascii="Arial" w:hAnsi="Arial" w:cs="Arial"/>
          <w:b/>
          <w:bCs/>
        </w:rPr>
        <w:t>Conclusion</w:t>
      </w:r>
    </w:p>
    <w:p w14:paraId="00A8F5B8" w14:textId="77777777" w:rsidR="00A2496B" w:rsidRDefault="00000000">
      <w:pPr>
        <w:ind w:firstLineChars="200" w:firstLine="440"/>
        <w:rPr>
          <w:rFonts w:ascii="Arial" w:hAnsi="Arial" w:cs="Arial"/>
        </w:rPr>
      </w:pPr>
      <w:r>
        <w:rPr>
          <w:rFonts w:ascii="Arial" w:hAnsi="Arial" w:cs="Arial"/>
        </w:rPr>
        <w:t>This mixed-methods methodology provides a robust framework for unraveling the complex interplay between cultural genes and immersive industrial heritage experiences. By combining the interpretive depth of qualitative inquiry with the empirical breadth of quantitative analysis, the study achieves a nuanced understanding of how technology-mediated heritage encounters shape identity formation. While challenges like data integration and sampling bias require careful management, the design’s emphasis on methodological triangulation and cultural sensitivity ensures it will contribute meaningfully to both academic theory (e.g., schema theory in heritage studies) and practical applications (e.g., inclusive VR exhibit design). Ultimately, this approach embodies the transformative potential of mixed-methods research to bridge disciplinary divides and address real-world heritage challenges.</w:t>
      </w:r>
    </w:p>
    <w:p w14:paraId="6CE7449F"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Discussion and Analysis</w:t>
      </w:r>
    </w:p>
    <w:p w14:paraId="7F406B1D" w14:textId="77777777" w:rsidR="00A2496B" w:rsidRDefault="00000000">
      <w:pPr>
        <w:pStyle w:val="a5"/>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Research Approach and Suitability</w:t>
      </w:r>
    </w:p>
    <w:p w14:paraId="655A3DBB" w14:textId="77777777" w:rsidR="00A2496B" w:rsidRDefault="00000000">
      <w:pPr>
        <w:pStyle w:val="a5"/>
        <w:ind w:firstLineChars="200" w:firstLine="520"/>
        <w:rPr>
          <w:rFonts w:ascii="Arial" w:hAnsi="Arial" w:cs="Arial"/>
          <w:sz w:val="22"/>
        </w:rPr>
      </w:pPr>
      <w:r>
        <w:rPr>
          <w:rFonts w:ascii="AppleSystemUIFont" w:hAnsi="AppleSystemUIFont" w:cs="AppleSystemUIFont" w:hint="eastAsia"/>
          <w:kern w:val="0"/>
          <w:sz w:val="26"/>
          <w:szCs w:val="26"/>
          <w14:ligatures w14:val="none"/>
        </w:rPr>
        <w:t>T</w:t>
      </w:r>
      <w:r>
        <w:rPr>
          <w:rFonts w:ascii="Arial" w:hAnsi="Arial" w:cs="Arial"/>
          <w:sz w:val="22"/>
        </w:rPr>
        <w:t>he mixed-methods research approach adopted in this study, emphasizing qualitative analysis with supplementary quantitative methods, is ideally suited for investigating the reciprocal and mutually constitutive relationship between cultural genes embedded in industrial heritage and individual visitors' immersive experiences. Qualitative methods allow an in-depth exploration of subjective perceptions, emotional reactions, and personal interpretations, capturing nuances beyond the reach of quantitative techniques alone. Quantitative methods serve a complementary role, enabling verification and broader generalizability of qualitative insights by revealing patterns and demographic correlations.</w:t>
      </w:r>
    </w:p>
    <w:p w14:paraId="51FF150F" w14:textId="77777777" w:rsidR="00A2496B" w:rsidRDefault="00000000">
      <w:pPr>
        <w:pStyle w:val="a5"/>
        <w:ind w:firstLineChars="200" w:firstLine="440"/>
        <w:rPr>
          <w:rFonts w:ascii="Arial" w:hAnsi="Arial" w:cs="Arial"/>
          <w:sz w:val="22"/>
        </w:rPr>
      </w:pPr>
      <w:r>
        <w:rPr>
          <w:rFonts w:ascii="Arial" w:hAnsi="Arial" w:cs="Arial"/>
          <w:sz w:val="22"/>
        </w:rPr>
        <w:t xml:space="preserve">This methodological choice directly aligns with the research question, which seeks to understand the nuanced dynamics between people and cultural heritage within immersive settings. The research design facilitates capturing the richness and </w:t>
      </w:r>
      <w:r>
        <w:rPr>
          <w:rFonts w:ascii="Arial" w:hAnsi="Arial" w:cs="Arial"/>
          <w:sz w:val="22"/>
        </w:rPr>
        <w:lastRenderedPageBreak/>
        <w:t>complexity of individual interactions with heritage elements, crucial for developing a comprehensive understanding of reciprocal influences.</w:t>
      </w:r>
    </w:p>
    <w:p w14:paraId="41D7D064" w14:textId="77777777" w:rsidR="00A2496B" w:rsidRDefault="00000000">
      <w:pPr>
        <w:pStyle w:val="a5"/>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Potential Findings</w:t>
      </w:r>
    </w:p>
    <w:p w14:paraId="0F627468" w14:textId="77777777" w:rsidR="00A2496B" w:rsidRDefault="00000000">
      <w:pPr>
        <w:pStyle w:val="a5"/>
        <w:ind w:firstLineChars="200" w:firstLine="440"/>
        <w:rPr>
          <w:rFonts w:ascii="Arial" w:hAnsi="Arial" w:cs="Arial"/>
          <w:sz w:val="22"/>
        </w:rPr>
      </w:pPr>
      <w:r>
        <w:rPr>
          <w:rFonts w:ascii="Arial" w:hAnsi="Arial" w:cs="Arial"/>
          <w:sz w:val="22"/>
        </w:rPr>
        <w:t xml:space="preserve">Several potential findings could emerge from this research. Firstly, qualitative analyses might reveal detailed insights into how immersive technologies mediate visitors' emotional and cognitive connections to heritage sites, uncovering complex interpretive processes (Brivio et al., 2021; </w:t>
      </w:r>
      <w:proofErr w:type="spellStart"/>
      <w:r>
        <w:rPr>
          <w:rFonts w:ascii="Arial" w:hAnsi="Arial" w:cs="Arial"/>
          <w:sz w:val="22"/>
        </w:rPr>
        <w:t>Calogiuri</w:t>
      </w:r>
      <w:proofErr w:type="spellEnd"/>
      <w:r>
        <w:rPr>
          <w:rFonts w:ascii="Arial" w:hAnsi="Arial" w:cs="Arial"/>
          <w:sz w:val="22"/>
        </w:rPr>
        <w:t xml:space="preserve"> et al., 2018). Participants may describe how virtual or augmented reality deepens their emotional attachment and enhances memory retention of cultural content, aligning with schema theories explored by Wagoner (2013) and Sprott (1933).</w:t>
      </w:r>
    </w:p>
    <w:p w14:paraId="4F1878B8" w14:textId="77777777" w:rsidR="00A2496B" w:rsidRDefault="00000000">
      <w:pPr>
        <w:pStyle w:val="a5"/>
        <w:ind w:firstLineChars="200" w:firstLine="440"/>
        <w:rPr>
          <w:rFonts w:ascii="Arial" w:hAnsi="Arial" w:cs="Arial"/>
          <w:sz w:val="22"/>
        </w:rPr>
      </w:pPr>
      <w:r>
        <w:rPr>
          <w:rFonts w:ascii="Arial" w:hAnsi="Arial" w:cs="Arial"/>
          <w:sz w:val="22"/>
        </w:rPr>
        <w:t>Quantitative data could reinforce qualitative findings, indicating broader trends such as significant demographic factors influencing immersive heritage experiences, including age, cultural background, or previous knowledge of industrial heritage. Surveys may demonstrate statistically significant relationships between participant demographics and their emotional or cognitive responses, helping confirm qualitative insights and ensuring findings are robust and generalizable.</w:t>
      </w:r>
    </w:p>
    <w:p w14:paraId="78DC1ADC" w14:textId="77777777" w:rsidR="00A2496B" w:rsidRDefault="00000000">
      <w:pPr>
        <w:pStyle w:val="a5"/>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Theoretical Frameworks for Insightful Interpretations</w:t>
      </w:r>
    </w:p>
    <w:p w14:paraId="2EFF58F8" w14:textId="77777777" w:rsidR="00A2496B" w:rsidRDefault="00000000">
      <w:pPr>
        <w:pStyle w:val="a5"/>
        <w:ind w:firstLineChars="200" w:firstLine="440"/>
        <w:rPr>
          <w:rFonts w:ascii="Arial" w:hAnsi="Arial" w:cs="Arial"/>
          <w:sz w:val="22"/>
        </w:rPr>
      </w:pPr>
      <w:r>
        <w:rPr>
          <w:rFonts w:ascii="Arial" w:hAnsi="Arial" w:cs="Arial"/>
          <w:sz w:val="22"/>
        </w:rPr>
        <w:t>Several theoretical frameworks from the reviewed literature can be applied to interpret research findings profoundly. Memetic theory (Dawkins, 1989; Blackmore &amp; Kher, 1999) offers valuable insights into how cultural elements within heritage sites replicate and evolve through visitor interactions. Memetic theory would help interpret how specific cultural symbols, narratives, or industrial motifs become particularly resonant, effectively transmitted through immersive experiences.</w:t>
      </w:r>
    </w:p>
    <w:p w14:paraId="1504DCEA" w14:textId="77777777" w:rsidR="00A2496B" w:rsidRDefault="00000000">
      <w:pPr>
        <w:pStyle w:val="a5"/>
        <w:ind w:firstLineChars="200" w:firstLine="440"/>
        <w:rPr>
          <w:rFonts w:ascii="Arial" w:hAnsi="Arial" w:cs="Arial"/>
          <w:sz w:val="22"/>
        </w:rPr>
      </w:pPr>
      <w:r>
        <w:rPr>
          <w:rFonts w:ascii="Arial" w:hAnsi="Arial" w:cs="Arial"/>
          <w:sz w:val="22"/>
        </w:rPr>
        <w:t>Schema theory provides another powerful interpretive lens, helping elucidate how pre-existing cognitive frameworks influence visitor interactions with heritage sites (Torney-Purta, 1991; Wagoner, 2013). Schema theory can offer explanations for varying emotional and cognitive responses, highlighting the critical role prior knowledge, expectations, and cultural familiarity play in shaping experiences. This approach would allow the analysis of patterns where particular industrial heritage symbols consistently elicit strong reactions, reflecting deeply embedded cognitive schemas.</w:t>
      </w:r>
    </w:p>
    <w:p w14:paraId="769BC709" w14:textId="77777777" w:rsidR="00A2496B" w:rsidRDefault="00000000">
      <w:pPr>
        <w:pStyle w:val="a5"/>
        <w:ind w:firstLineChars="200" w:firstLine="440"/>
        <w:rPr>
          <w:rFonts w:ascii="Arial" w:hAnsi="Arial" w:cs="Arial"/>
          <w:sz w:val="22"/>
        </w:rPr>
      </w:pPr>
      <w:r>
        <w:rPr>
          <w:rFonts w:ascii="Arial" w:hAnsi="Arial" w:cs="Arial"/>
          <w:sz w:val="22"/>
        </w:rPr>
        <w:t xml:space="preserve">Worldview analysis (Sire, 2010) can also offer insightful interpretations, examining how underlying philosophical or ideological perspectives influence visitors' interpretations of heritage content. By integrating this theoretical perspective, findings </w:t>
      </w:r>
      <w:r>
        <w:rPr>
          <w:rFonts w:ascii="Arial" w:hAnsi="Arial" w:cs="Arial"/>
          <w:sz w:val="22"/>
        </w:rPr>
        <w:lastRenderedPageBreak/>
        <w:t>can illuminate how broader cultural, ideological, or philosophical backgrounds shape the depth and nature of visitor engagement with industrial heritage.</w:t>
      </w:r>
    </w:p>
    <w:p w14:paraId="512F8FCA" w14:textId="77777777" w:rsidR="00A2496B" w:rsidRDefault="00000000">
      <w:pPr>
        <w:pStyle w:val="a5"/>
        <w:rPr>
          <w:rFonts w:ascii="Arial" w:hAnsi="Arial" w:cs="Arial"/>
          <w:b/>
          <w:bCs/>
          <w:sz w:val="22"/>
        </w:rPr>
      </w:pPr>
      <w:r>
        <w:rPr>
          <w:rFonts w:ascii="Arial" w:hAnsi="Arial" w:cs="Arial"/>
          <w:b/>
          <w:bCs/>
          <w:sz w:val="22"/>
        </w:rPr>
        <w:t>Emerging Questions from the Study</w:t>
      </w:r>
    </w:p>
    <w:p w14:paraId="28AC2B66" w14:textId="77777777" w:rsidR="00A2496B" w:rsidRDefault="00000000">
      <w:pPr>
        <w:pStyle w:val="a5"/>
        <w:ind w:firstLineChars="200" w:firstLine="440"/>
        <w:rPr>
          <w:rFonts w:ascii="Arial" w:hAnsi="Arial" w:cs="Arial"/>
          <w:sz w:val="22"/>
        </w:rPr>
      </w:pPr>
      <w:r>
        <w:rPr>
          <w:rFonts w:ascii="Arial" w:hAnsi="Arial" w:cs="Arial"/>
          <w:sz w:val="22"/>
        </w:rPr>
        <w:t>Several additional research questions could emerge from this study, opening pathways for future exploration:</w:t>
      </w:r>
    </w:p>
    <w:p w14:paraId="7009BAEC" w14:textId="77777777" w:rsidR="00A2496B" w:rsidRDefault="00000000">
      <w:pPr>
        <w:pStyle w:val="a5"/>
        <w:ind w:firstLineChars="200" w:firstLine="440"/>
        <w:rPr>
          <w:rFonts w:ascii="Arial" w:hAnsi="Arial" w:cs="Arial"/>
          <w:sz w:val="22"/>
        </w:rPr>
      </w:pPr>
      <w:r>
        <w:rPr>
          <w:rFonts w:ascii="Arial" w:hAnsi="Arial" w:cs="Arial"/>
          <w:sz w:val="22"/>
        </w:rPr>
        <w:t>How do varying levels of technological immersion (e.g., VR versus AR) differentially influence visitors' cognitive and emotional engagement with heritage content?</w:t>
      </w:r>
    </w:p>
    <w:p w14:paraId="4054EBE4" w14:textId="77777777" w:rsidR="00A2496B" w:rsidRDefault="00000000">
      <w:pPr>
        <w:pStyle w:val="a5"/>
        <w:ind w:firstLineChars="200" w:firstLine="440"/>
        <w:rPr>
          <w:rFonts w:ascii="Arial" w:hAnsi="Arial" w:cs="Arial"/>
          <w:sz w:val="22"/>
        </w:rPr>
      </w:pPr>
      <w:r>
        <w:rPr>
          <w:rFonts w:ascii="Arial" w:hAnsi="Arial" w:cs="Arial"/>
          <w:sz w:val="22"/>
        </w:rPr>
        <w:t>In what ways do demographic factors such as age or cultural background moderate the effectiveness and reception of immersive industrial heritage experiences? Building on this, it is important to explore what long-term impacts these immersive experiences have on participants' cultural identities and their ongoing engagement with heritage. Furthermore, understanding how cultural differences influence the interpretation and perceived authenticity of heritage narratives presented through immersive technologies can provide deeper insight into how these experiences resonate across diverse audiences. Together, these questions highlight further opportunities for research, addressing identified gaps and enriching academic discourse on immersive heritage experiences.</w:t>
      </w:r>
    </w:p>
    <w:p w14:paraId="14EA62EC" w14:textId="77777777" w:rsidR="00A2496B" w:rsidRDefault="00000000">
      <w:pPr>
        <w:pStyle w:val="a5"/>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Critical Discussion of Research Design</w:t>
      </w:r>
    </w:p>
    <w:p w14:paraId="7EE1AA15" w14:textId="77777777" w:rsidR="00A2496B" w:rsidRDefault="00000000">
      <w:pPr>
        <w:pStyle w:val="a5"/>
        <w:ind w:firstLineChars="200" w:firstLine="440"/>
        <w:rPr>
          <w:rFonts w:ascii="Arial" w:hAnsi="Arial" w:cs="Arial"/>
          <w:sz w:val="22"/>
        </w:rPr>
      </w:pPr>
      <w:r>
        <w:rPr>
          <w:rFonts w:ascii="Arial" w:hAnsi="Arial" w:cs="Arial"/>
          <w:sz w:val="22"/>
        </w:rPr>
        <w:t xml:space="preserve">This research design, while robust and comprehensive, carries both benefits and limitations that merit critical discussion. One primary advantage is methodological triangulation, where qualitative and quantitative data mutually reinforce each other, enhancing overall reliability and depth (Zhou et al., 2025; </w:t>
      </w:r>
      <w:proofErr w:type="spellStart"/>
      <w:r>
        <w:rPr>
          <w:rFonts w:ascii="Arial" w:hAnsi="Arial" w:cs="Arial"/>
          <w:sz w:val="22"/>
        </w:rPr>
        <w:t>Sylaïou</w:t>
      </w:r>
      <w:proofErr w:type="spellEnd"/>
      <w:r>
        <w:rPr>
          <w:rFonts w:ascii="Arial" w:hAnsi="Arial" w:cs="Arial"/>
          <w:sz w:val="22"/>
        </w:rPr>
        <w:t xml:space="preserve"> et al., 2024). The qualitative focus enables capturing detailed experiential data, essential for understanding the nuanced interplay between heritage content and visitor experiences. Concurrently, quantitative methods offer statistical validation, providing confidence in the broader applicability of findings.</w:t>
      </w:r>
    </w:p>
    <w:p w14:paraId="3246EA3B" w14:textId="77777777" w:rsidR="00A2496B" w:rsidRDefault="00000000">
      <w:pPr>
        <w:pStyle w:val="a5"/>
        <w:ind w:firstLineChars="200" w:firstLine="440"/>
        <w:rPr>
          <w:rFonts w:ascii="Arial" w:hAnsi="Arial" w:cs="Arial"/>
          <w:sz w:val="22"/>
        </w:rPr>
      </w:pPr>
      <w:r>
        <w:rPr>
          <w:rFonts w:ascii="Arial" w:hAnsi="Arial" w:cs="Arial"/>
          <w:sz w:val="22"/>
        </w:rPr>
        <w:t>However, potential limitations must be acknowledged. Qualitative methods, including interviews and observations, are resource-intensive and require skilled qualitative analysis to avoid interpretive biases. The subjective nature of qualitative data can introduce researcher biases, impacting analysis consistency and objectivity. To mitigate this, rigorous coding frameworks and researcher reflexivity will be employed, ensuring analytical transparency and reliability.</w:t>
      </w:r>
    </w:p>
    <w:p w14:paraId="6594A3FC" w14:textId="77777777" w:rsidR="00A2496B" w:rsidRDefault="00000000">
      <w:pPr>
        <w:pStyle w:val="a5"/>
        <w:ind w:firstLineChars="200" w:firstLine="440"/>
        <w:rPr>
          <w:rFonts w:ascii="Arial" w:hAnsi="Arial" w:cs="Arial"/>
          <w:sz w:val="22"/>
        </w:rPr>
      </w:pPr>
      <w:r>
        <w:rPr>
          <w:rFonts w:ascii="Arial" w:hAnsi="Arial" w:cs="Arial"/>
          <w:sz w:val="22"/>
        </w:rPr>
        <w:t xml:space="preserve">The reliance on convenience sampling for quantitative surveys poses additional </w:t>
      </w:r>
      <w:r>
        <w:rPr>
          <w:rFonts w:ascii="Arial" w:hAnsi="Arial" w:cs="Arial"/>
          <w:sz w:val="22"/>
        </w:rPr>
        <w:lastRenderedPageBreak/>
        <w:t>limitations concerning sample representativeness and generalizability. To counteract this limitation, efforts to diversify sampling locations and participant profiles will be prioritized, enhancing sample diversity and robustness.</w:t>
      </w:r>
    </w:p>
    <w:p w14:paraId="1263F07D" w14:textId="77777777" w:rsidR="00A2496B" w:rsidRDefault="00000000">
      <w:pPr>
        <w:pStyle w:val="a5"/>
        <w:ind w:firstLineChars="200" w:firstLine="440"/>
        <w:rPr>
          <w:rFonts w:ascii="Arial" w:hAnsi="Arial" w:cs="Arial"/>
          <w:sz w:val="22"/>
        </w:rPr>
      </w:pPr>
      <w:r>
        <w:rPr>
          <w:rFonts w:ascii="Arial" w:hAnsi="Arial" w:cs="Arial"/>
          <w:sz w:val="22"/>
        </w:rPr>
        <w:t>Alternative methodologies, such as purely ethnographic studies or controlled experimental approaches, were considered. Ethnographic research could provide deeper longitudinal insights into the evolving relationship between visitors and heritage contexts but requires extensive fieldwork and prolonged timelines. Experimental designs might isolate specific variables influencing experiences but risk artificiality, losing ecological validity critical for understanding genuine visitor experiences within heritage settings. Big data analyses of online interactions could offer valuable, large-scale insights but might lack the depth and interpretive richness provided by personal qualitative narratives.</w:t>
      </w:r>
    </w:p>
    <w:p w14:paraId="1F0D9B24" w14:textId="77777777" w:rsidR="00A2496B" w:rsidRDefault="00000000">
      <w:pPr>
        <w:pStyle w:val="a5"/>
        <w:ind w:firstLineChars="200" w:firstLine="440"/>
        <w:rPr>
          <w:rFonts w:ascii="Arial" w:hAnsi="Arial" w:cs="Arial"/>
          <w:sz w:val="22"/>
        </w:rPr>
      </w:pPr>
      <w:r>
        <w:rPr>
          <w:rFonts w:ascii="Arial" w:hAnsi="Arial" w:cs="Arial"/>
          <w:sz w:val="22"/>
        </w:rPr>
        <w:t>Given these alternatives, the chosen mixed-method approach presents an optimal balance, effectively combining qualitative depth with quantitative generalizability. Despite inherent limitations, this methodological design remains the most appropriate for addressing the complex, multi-dimensional research questions posed by this study.</w:t>
      </w:r>
    </w:p>
    <w:p w14:paraId="6805829A" w14:textId="77777777" w:rsidR="00A2496B" w:rsidRDefault="00000000">
      <w:pPr>
        <w:pStyle w:val="a5"/>
        <w:rPr>
          <w:rFonts w:ascii="AppleSystemUIFont" w:hAnsi="AppleSystemUIFont" w:cs="AppleSystemUIFont"/>
          <w:kern w:val="0"/>
          <w:sz w:val="26"/>
          <w:szCs w:val="26"/>
          <w14:ligatures w14:val="none"/>
        </w:rPr>
      </w:pPr>
      <w:r>
        <w:rPr>
          <w:rFonts w:ascii="AppleSystemUIFont" w:hAnsi="AppleSystemUIFont" w:cs="AppleSystemUIFont"/>
          <w:b/>
          <w:kern w:val="0"/>
          <w:sz w:val="26"/>
          <w:szCs w:val="26"/>
          <w14:ligatures w14:val="none"/>
        </w:rPr>
        <w:t>Literature Support for Methodological Choices</w:t>
      </w:r>
    </w:p>
    <w:p w14:paraId="36703592" w14:textId="77777777" w:rsidR="00A2496B" w:rsidRDefault="00000000">
      <w:pPr>
        <w:pStyle w:val="a5"/>
        <w:ind w:firstLineChars="200" w:firstLine="520"/>
        <w:rPr>
          <w:rFonts w:ascii="Arial" w:hAnsi="Arial" w:cs="Arial"/>
          <w:sz w:val="22"/>
        </w:rPr>
      </w:pPr>
      <w:r>
        <w:rPr>
          <w:rFonts w:ascii="AppleSystemUIFont" w:hAnsi="AppleSystemUIFont" w:cs="AppleSystemUIFont"/>
          <w:kern w:val="0"/>
          <w:sz w:val="26"/>
          <w:szCs w:val="26"/>
          <w14:ligatures w14:val="none"/>
        </w:rPr>
        <w:t>L</w:t>
      </w:r>
      <w:r>
        <w:rPr>
          <w:rFonts w:ascii="Arial" w:hAnsi="Arial" w:cs="Arial"/>
          <w:sz w:val="22"/>
        </w:rPr>
        <w:t xml:space="preserve">iterature reviewed earlier strongly supports the methodological decisions of this study. Qualitative research's suitability in capturing detailed emotional and cognitive nuances aligns with schema theory’s emphasis on subjective interpretation and memory reconstruction (Torney-Purta, 1991; Wagoner, 2013). Furthermore, studies comparing VR and AR technologies (Brivio et al., 2021; </w:t>
      </w:r>
      <w:proofErr w:type="spellStart"/>
      <w:r>
        <w:rPr>
          <w:rFonts w:ascii="Arial" w:hAnsi="Arial" w:cs="Arial"/>
          <w:sz w:val="22"/>
        </w:rPr>
        <w:t>Sylaïou</w:t>
      </w:r>
      <w:proofErr w:type="spellEnd"/>
      <w:r>
        <w:rPr>
          <w:rFonts w:ascii="Arial" w:hAnsi="Arial" w:cs="Arial"/>
          <w:sz w:val="22"/>
        </w:rPr>
        <w:t xml:space="preserve"> et al., 2024) validate the methodological choice of including immersive experiences as a key investigative context, demonstrating their significance in contemporary heritage studies.</w:t>
      </w:r>
    </w:p>
    <w:p w14:paraId="09C403E6" w14:textId="77777777" w:rsidR="00A2496B" w:rsidRDefault="00000000">
      <w:pPr>
        <w:pStyle w:val="a5"/>
        <w:ind w:firstLineChars="200" w:firstLine="440"/>
        <w:rPr>
          <w:rFonts w:ascii="Arial" w:hAnsi="Arial" w:cs="Arial"/>
          <w:sz w:val="22"/>
        </w:rPr>
      </w:pPr>
      <w:r>
        <w:rPr>
          <w:rFonts w:ascii="Arial" w:hAnsi="Arial" w:cs="Arial"/>
          <w:sz w:val="22"/>
        </w:rPr>
        <w:t xml:space="preserve">Ethical considerations, emphasized in literature by </w:t>
      </w:r>
      <w:proofErr w:type="spellStart"/>
      <w:r>
        <w:rPr>
          <w:rFonts w:ascii="Arial" w:hAnsi="Arial" w:cs="Arial"/>
          <w:sz w:val="22"/>
        </w:rPr>
        <w:t>Cercleux</w:t>
      </w:r>
      <w:proofErr w:type="spellEnd"/>
      <w:r>
        <w:rPr>
          <w:rFonts w:ascii="Arial" w:hAnsi="Arial" w:cs="Arial"/>
          <w:sz w:val="22"/>
        </w:rPr>
        <w:t xml:space="preserve"> et al. (2022) and Mukherjee and Banerji (2025), underscore the importance of respectful, culturally sensitive research practices. This research carefully integrates these ethical considerations, ensuring respectful participant engagement and data confidentiality, essential for maintaining research integrity and participant trust.</w:t>
      </w:r>
    </w:p>
    <w:p w14:paraId="3FD64A93" w14:textId="77777777" w:rsidR="00A2496B" w:rsidRDefault="00000000">
      <w:pPr>
        <w:pStyle w:val="a5"/>
        <w:ind w:firstLineChars="200" w:firstLine="440"/>
        <w:rPr>
          <w:rFonts w:ascii="Arial" w:hAnsi="Arial" w:cs="Arial"/>
          <w:sz w:val="22"/>
        </w:rPr>
      </w:pPr>
      <w:r>
        <w:rPr>
          <w:rFonts w:ascii="Arial" w:hAnsi="Arial" w:cs="Arial"/>
          <w:sz w:val="22"/>
        </w:rPr>
        <w:t xml:space="preserve">In summary, this discussion critically assesses the selected methodological approach's appropriateness, potential outcomes, interpretive frameworks, and arising future research questions. By leveraging literature extensively reviewed, this study </w:t>
      </w:r>
      <w:r>
        <w:rPr>
          <w:rFonts w:ascii="Arial" w:hAnsi="Arial" w:cs="Arial"/>
          <w:sz w:val="22"/>
        </w:rPr>
        <w:lastRenderedPageBreak/>
        <w:t>maintains rigorous academic standards, ensuring robust, insightful, and ethically sound research outcomes.</w:t>
      </w:r>
    </w:p>
    <w:p w14:paraId="1AF7AFD6" w14:textId="77777777" w:rsidR="00A2496B" w:rsidRDefault="00000000">
      <w:pPr>
        <w:pStyle w:val="a5"/>
        <w:ind w:firstLineChars="200" w:firstLine="520"/>
        <w:rPr>
          <w:rFonts w:ascii="AppleSystemUIFont" w:hAnsi="AppleSystemUIFont" w:cs="AppleSystemUIFont"/>
          <w:kern w:val="0"/>
          <w:sz w:val="26"/>
          <w:szCs w:val="26"/>
          <w14:ligatures w14:val="none"/>
        </w:rPr>
      </w:pPr>
      <w:r>
        <w:rPr>
          <w:rFonts w:ascii="AppleSystemUIFont" w:hAnsi="AppleSystemUIFont" w:cs="AppleSystemUIFont"/>
          <w:b/>
          <w:bCs/>
          <w:kern w:val="0"/>
          <w:sz w:val="26"/>
          <w:szCs w:val="26"/>
          <w14:ligatures w14:val="none"/>
        </w:rPr>
        <w:t>Conclusion</w:t>
      </w:r>
    </w:p>
    <w:p w14:paraId="2B2174B1" w14:textId="77777777" w:rsidR="00A2496B" w:rsidRDefault="00000000">
      <w:pPr>
        <w:pStyle w:val="a5"/>
        <w:ind w:firstLineChars="200" w:firstLine="440"/>
        <w:rPr>
          <w:rFonts w:ascii="Arial" w:hAnsi="Arial" w:cs="Arial"/>
          <w:sz w:val="22"/>
        </w:rPr>
      </w:pPr>
      <w:r>
        <w:rPr>
          <w:rFonts w:ascii="Arial" w:hAnsi="Arial" w:cs="Arial"/>
          <w:sz w:val="22"/>
        </w:rPr>
        <w:t>This study focuses on demonstrating the dynamic and reciprocal relationship between individuals and the cultural genes embedded within industrial heritage during immersive experiences. By adopting a mixed-methods approach, it aims to reveal how immersive technologies such as VR and AR not only shape visitors’ emotional engagement and cognitive interpretation but also how participants themselves contribute to activating, reshaping, and transmitting cultural meanings. The research expects to show that individuals are not passive recipients but active agents who interact with, reinterpret, and enrich the cultural genes of industrial heritage, creating a two-way influence that reinforces cultural identity and memory.</w:t>
      </w:r>
    </w:p>
    <w:p w14:paraId="3D867CDF" w14:textId="77777777" w:rsidR="00A2496B" w:rsidRDefault="00000000">
      <w:pPr>
        <w:pStyle w:val="a5"/>
        <w:ind w:firstLineChars="200" w:firstLine="440"/>
        <w:rPr>
          <w:rFonts w:ascii="Arial" w:hAnsi="Arial" w:cs="Arial"/>
          <w:sz w:val="22"/>
        </w:rPr>
      </w:pPr>
      <w:r>
        <w:rPr>
          <w:rFonts w:ascii="Arial" w:hAnsi="Arial" w:cs="Arial"/>
          <w:sz w:val="22"/>
        </w:rPr>
        <w:t>Using theoretical frameworks like schema theory (Wagoner, 2013; Sprott, 1933) and worldview analysis (Sire, 2010), the study will explore how participants’ prior knowledge, expectations, and cultural backgrounds influence their interactions with heritage, while simultaneously demonstrating how industrial heritage settings affect participants’ perceptions, emotions, and sense of belonging. By including perspectives from non-Western and community contexts (</w:t>
      </w:r>
      <w:proofErr w:type="spellStart"/>
      <w:r>
        <w:rPr>
          <w:rFonts w:ascii="Arial" w:hAnsi="Arial" w:cs="Arial"/>
          <w:sz w:val="22"/>
        </w:rPr>
        <w:t>Labode</w:t>
      </w:r>
      <w:proofErr w:type="spellEnd"/>
      <w:r>
        <w:rPr>
          <w:rFonts w:ascii="Arial" w:hAnsi="Arial" w:cs="Arial"/>
          <w:sz w:val="22"/>
        </w:rPr>
        <w:t xml:space="preserve"> and Braide, 2022; Mukherjee and Banerji, 2025), the research further highlights the global relevance of this mutual relationship. Ultimately, the study seeks to advance heritage research by emphasizing the co-creative and transformative potential of immersive experiences, offering valuable insights for curators, designers, and policymakers aiming to foster deeper public engagement with cultural heritage.</w:t>
      </w:r>
    </w:p>
    <w:p w14:paraId="6B71574B" w14:textId="77777777" w:rsidR="00A2496B" w:rsidRDefault="00000000">
      <w:pPr>
        <w:rPr>
          <w:rFonts w:ascii="AppleSystemUIFont" w:hAnsi="AppleSystemUIFont" w:cs="AppleSystemUIFont"/>
          <w:b/>
          <w:bCs/>
          <w:kern w:val="0"/>
          <w:sz w:val="26"/>
          <w:szCs w:val="26"/>
          <w14:ligatures w14:val="none"/>
        </w:rPr>
      </w:pPr>
      <w:r>
        <w:rPr>
          <w:rFonts w:ascii="AppleSystemUIFont" w:hAnsi="AppleSystemUIFont" w:cs="AppleSystemUIFont"/>
          <w:b/>
          <w:bCs/>
          <w:kern w:val="0"/>
          <w:sz w:val="26"/>
          <w:szCs w:val="26"/>
          <w14:ligatures w14:val="none"/>
        </w:rPr>
        <w:t>Referenc</w:t>
      </w:r>
      <w:r>
        <w:rPr>
          <w:rFonts w:ascii="AppleSystemUIFont" w:hAnsi="AppleSystemUIFont" w:cs="AppleSystemUIFont" w:hint="eastAsia"/>
          <w:b/>
          <w:bCs/>
          <w:kern w:val="0"/>
          <w:sz w:val="26"/>
          <w:szCs w:val="26"/>
          <w14:ligatures w14:val="none"/>
        </w:rPr>
        <w:t>e</w:t>
      </w:r>
      <w:r>
        <w:rPr>
          <w:rFonts w:ascii="AppleSystemUIFont" w:hAnsi="AppleSystemUIFont" w:cs="AppleSystemUIFont"/>
          <w:b/>
          <w:bCs/>
          <w:kern w:val="0"/>
          <w:sz w:val="26"/>
          <w:szCs w:val="26"/>
          <w14:ligatures w14:val="none"/>
        </w:rPr>
        <w:t xml:space="preserve"> </w:t>
      </w:r>
    </w:p>
    <w:p w14:paraId="762EC1BE"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i/>
          <w:iCs/>
          <w:color w:val="000000"/>
          <w:kern w:val="0"/>
          <w:sz w:val="21"/>
          <w:szCs w:val="21"/>
          <w14:ligatures w14:val="none"/>
        </w:rPr>
        <w:t>The universe next door; a basic worldview catalog, 5th ed</w:t>
      </w:r>
      <w:r>
        <w:rPr>
          <w:rFonts w:ascii="Roboto" w:eastAsia="SimSun" w:hAnsi="Roboto" w:cs="SimSun" w:hint="eastAsia"/>
          <w:i/>
          <w:iCs/>
          <w:color w:val="000000"/>
          <w:kern w:val="0"/>
          <w:sz w:val="21"/>
          <w:szCs w:val="21"/>
          <w14:ligatures w14:val="none"/>
        </w:rPr>
        <w:t xml:space="preserve"> </w:t>
      </w:r>
      <w:r>
        <w:rPr>
          <w:rFonts w:ascii="Roboto" w:eastAsia="SimSun" w:hAnsi="Roboto" w:cs="SimSun"/>
          <w:color w:val="000000"/>
          <w:kern w:val="0"/>
          <w:sz w:val="21"/>
          <w:szCs w:val="21"/>
          <w14:ligatures w14:val="none"/>
        </w:rPr>
        <w:t>2010. Portland: Copyright Clearance Center, Inc.</w:t>
      </w:r>
    </w:p>
    <w:p w14:paraId="6DDF115E"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i/>
          <w:iCs/>
          <w:color w:val="000000"/>
          <w:kern w:val="0"/>
          <w:sz w:val="21"/>
          <w:szCs w:val="21"/>
          <w14:ligatures w14:val="none"/>
        </w:rPr>
        <w:t>Effects of audio-visual interactions on soundscape and landscape perception and their influence on satisfaction with the urban environment</w:t>
      </w:r>
      <w:r>
        <w:rPr>
          <w:rFonts w:ascii="Roboto" w:eastAsia="SimSun" w:hAnsi="Roboto" w:cs="SimSun"/>
          <w:color w:val="000000"/>
          <w:kern w:val="0"/>
          <w:sz w:val="21"/>
          <w:szCs w:val="21"/>
          <w14:ligatures w14:val="none"/>
        </w:rPr>
        <w:t> Oxford ; New York : Pergamon.</w:t>
      </w:r>
    </w:p>
    <w:p w14:paraId="21AA405B"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B LIU, R.F., 2014. </w:t>
      </w:r>
      <w:r>
        <w:rPr>
          <w:rFonts w:ascii="Roboto" w:eastAsia="SimSun" w:hAnsi="Roboto" w:cs="SimSun"/>
          <w:i/>
          <w:iCs/>
          <w:color w:val="000000"/>
          <w:kern w:val="0"/>
          <w:sz w:val="21"/>
          <w:szCs w:val="21"/>
          <w14:ligatures w14:val="none"/>
        </w:rPr>
        <w:t>Quantitative analysis of the visual attraction elements of landscape space</w:t>
      </w:r>
      <w:r>
        <w:rPr>
          <w:rFonts w:ascii="Roboto" w:eastAsia="SimSun" w:hAnsi="Roboto" w:cs="SimSun"/>
          <w:color w:val="000000"/>
          <w:kern w:val="0"/>
          <w:sz w:val="21"/>
          <w:szCs w:val="21"/>
          <w14:ligatures w14:val="none"/>
        </w:rPr>
        <w:t>.</w:t>
      </w:r>
    </w:p>
    <w:p w14:paraId="1B73AA9E"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BERKENBOSCH, K., GROOTE, P. and STOFFELEN, A., 2022. Industrial heritage in tourism marketing: legitimizing post-industrial development strategies of the Ruhr Region, Germany. </w:t>
      </w:r>
      <w:r>
        <w:rPr>
          <w:rFonts w:ascii="Roboto" w:eastAsia="SimSun" w:hAnsi="Roboto" w:cs="SimSun"/>
          <w:i/>
          <w:iCs/>
          <w:color w:val="000000"/>
          <w:kern w:val="0"/>
          <w:sz w:val="21"/>
          <w:szCs w:val="21"/>
          <w14:ligatures w14:val="none"/>
        </w:rPr>
        <w:t>Journal of heritage tourism, </w:t>
      </w:r>
      <w:r>
        <w:rPr>
          <w:rFonts w:ascii="Roboto" w:eastAsia="SimSun" w:hAnsi="Roboto" w:cs="SimSun"/>
          <w:b/>
          <w:bCs/>
          <w:color w:val="000000"/>
          <w:kern w:val="0"/>
          <w:sz w:val="21"/>
          <w:szCs w:val="21"/>
          <w14:ligatures w14:val="none"/>
        </w:rPr>
        <w:t>17</w:t>
      </w:r>
      <w:r>
        <w:rPr>
          <w:rFonts w:ascii="Roboto" w:eastAsia="SimSun" w:hAnsi="Roboto" w:cs="SimSun"/>
          <w:color w:val="000000"/>
          <w:kern w:val="0"/>
          <w:sz w:val="21"/>
          <w:szCs w:val="21"/>
          <w14:ligatures w14:val="none"/>
        </w:rPr>
        <w:t>(3), pp. 327–341.</w:t>
      </w:r>
    </w:p>
    <w:p w14:paraId="3F6534C8"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BLACKMORE, S. and KHER, U., 1999. </w:t>
      </w:r>
      <w:r>
        <w:rPr>
          <w:rFonts w:ascii="Roboto" w:eastAsia="SimSun" w:hAnsi="Roboto" w:cs="SimSun"/>
          <w:i/>
          <w:iCs/>
          <w:color w:val="000000"/>
          <w:kern w:val="0"/>
          <w:sz w:val="21"/>
          <w:szCs w:val="21"/>
          <w14:ligatures w14:val="none"/>
        </w:rPr>
        <w:t>The meme machine</w:t>
      </w:r>
      <w:r>
        <w:rPr>
          <w:rFonts w:ascii="Roboto" w:eastAsia="SimSun" w:hAnsi="Roboto" w:cs="SimSun"/>
          <w:color w:val="000000"/>
          <w:kern w:val="0"/>
          <w:sz w:val="21"/>
          <w:szCs w:val="21"/>
          <w14:ligatures w14:val="none"/>
        </w:rPr>
        <w:t> Toronto: Time Incorporated.</w:t>
      </w:r>
    </w:p>
    <w:p w14:paraId="28A6BE24" w14:textId="27F57C9D" w:rsidR="00A2496B" w:rsidRDefault="00090445">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lastRenderedPageBreak/>
        <w:t xml:space="preserve">ZINI, A., </w:t>
      </w:r>
      <w:r w:rsidR="00000000">
        <w:rPr>
          <w:rFonts w:ascii="Roboto" w:eastAsia="SimSun" w:hAnsi="Roboto" w:cs="SimSun"/>
          <w:color w:val="000000"/>
          <w:kern w:val="0"/>
          <w:sz w:val="21"/>
          <w:szCs w:val="21"/>
          <w14:ligatures w14:val="none"/>
        </w:rPr>
        <w:t xml:space="preserve">BRIVIO, E., </w:t>
      </w:r>
      <w:r>
        <w:rPr>
          <w:rFonts w:ascii="Roboto" w:eastAsia="SimSun" w:hAnsi="Roboto" w:cs="SimSun"/>
          <w:color w:val="000000"/>
          <w:kern w:val="0"/>
          <w:sz w:val="21"/>
          <w:szCs w:val="21"/>
          <w14:ligatures w14:val="none"/>
        </w:rPr>
        <w:t>NEGRO COUSA, E., DE LEO, G.,</w:t>
      </w:r>
      <w:r w:rsidRPr="00090445">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RIVA, G.</w:t>
      </w:r>
      <w:r w:rsidRPr="00090445">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 xml:space="preserve">and </w:t>
      </w:r>
      <w:r w:rsidR="00000000">
        <w:rPr>
          <w:rFonts w:ascii="Roboto" w:eastAsia="SimSun" w:hAnsi="Roboto" w:cs="SimSun"/>
          <w:color w:val="000000"/>
          <w:kern w:val="0"/>
          <w:sz w:val="21"/>
          <w:szCs w:val="21"/>
          <w14:ligatures w14:val="none"/>
        </w:rPr>
        <w:t>SERINO, S., 2021. Virtual reality and 360° panorama technology: a media comparison to study changes in sense of presence, anxiety, and positive emotions. </w:t>
      </w:r>
      <w:r w:rsidR="00000000">
        <w:rPr>
          <w:rFonts w:ascii="Roboto" w:eastAsia="SimSun" w:hAnsi="Roboto" w:cs="SimSun"/>
          <w:i/>
          <w:iCs/>
          <w:color w:val="000000"/>
          <w:kern w:val="0"/>
          <w:sz w:val="21"/>
          <w:szCs w:val="21"/>
          <w14:ligatures w14:val="none"/>
        </w:rPr>
        <w:t xml:space="preserve">Virtual </w:t>
      </w:r>
      <w:proofErr w:type="gramStart"/>
      <w:r w:rsidR="00000000">
        <w:rPr>
          <w:rFonts w:ascii="Roboto" w:eastAsia="SimSun" w:hAnsi="Roboto" w:cs="SimSun"/>
          <w:i/>
          <w:iCs/>
          <w:color w:val="000000"/>
          <w:kern w:val="0"/>
          <w:sz w:val="21"/>
          <w:szCs w:val="21"/>
          <w14:ligatures w14:val="none"/>
        </w:rPr>
        <w:t>reality :</w:t>
      </w:r>
      <w:proofErr w:type="gramEnd"/>
      <w:r w:rsidR="00000000">
        <w:rPr>
          <w:rFonts w:ascii="Roboto" w:eastAsia="SimSun" w:hAnsi="Roboto" w:cs="SimSun"/>
          <w:i/>
          <w:iCs/>
          <w:color w:val="000000"/>
          <w:kern w:val="0"/>
          <w:sz w:val="21"/>
          <w:szCs w:val="21"/>
          <w14:ligatures w14:val="none"/>
        </w:rPr>
        <w:t xml:space="preserve"> the journal of the Virtual Reality Society, </w:t>
      </w:r>
      <w:r w:rsidR="00000000">
        <w:rPr>
          <w:rFonts w:ascii="Roboto" w:eastAsia="SimSun" w:hAnsi="Roboto" w:cs="SimSun"/>
          <w:b/>
          <w:bCs/>
          <w:color w:val="000000"/>
          <w:kern w:val="0"/>
          <w:sz w:val="21"/>
          <w:szCs w:val="21"/>
          <w14:ligatures w14:val="none"/>
        </w:rPr>
        <w:t>25</w:t>
      </w:r>
      <w:r w:rsidR="00000000">
        <w:rPr>
          <w:rFonts w:ascii="Roboto" w:eastAsia="SimSun" w:hAnsi="Roboto" w:cs="SimSun"/>
          <w:color w:val="000000"/>
          <w:kern w:val="0"/>
          <w:sz w:val="21"/>
          <w:szCs w:val="21"/>
          <w14:ligatures w14:val="none"/>
        </w:rPr>
        <w:t>(2), pp. 303–311.</w:t>
      </w:r>
    </w:p>
    <w:p w14:paraId="1FD92A9F" w14:textId="08CE45C3" w:rsidR="00A2496B" w:rsidRDefault="009E18F5">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BRAMBILLA, E.</w:t>
      </w:r>
      <w:r>
        <w:rPr>
          <w:rFonts w:ascii="Roboto" w:eastAsia="SimSun" w:hAnsi="Roboto" w:cs="SimSun"/>
          <w:color w:val="000000"/>
          <w:kern w:val="0"/>
          <w:sz w:val="21"/>
          <w:szCs w:val="21"/>
          <w14:ligatures w14:val="none"/>
        </w:rPr>
        <w:t xml:space="preserve">, </w:t>
      </w:r>
      <w:r w:rsidR="00000000">
        <w:rPr>
          <w:rFonts w:ascii="Roboto" w:eastAsia="SimSun" w:hAnsi="Roboto" w:cs="SimSun"/>
          <w:color w:val="000000"/>
          <w:kern w:val="0"/>
          <w:sz w:val="21"/>
          <w:szCs w:val="21"/>
          <w14:ligatures w14:val="none"/>
        </w:rPr>
        <w:t xml:space="preserve">CALOGIURI, G., </w:t>
      </w:r>
      <w:r>
        <w:rPr>
          <w:rFonts w:ascii="Roboto" w:eastAsia="SimSun" w:hAnsi="Roboto" w:cs="SimSun"/>
          <w:color w:val="000000"/>
          <w:kern w:val="0"/>
          <w:sz w:val="21"/>
          <w:szCs w:val="21"/>
          <w14:ligatures w14:val="none"/>
        </w:rPr>
        <w:t xml:space="preserve">FAGERHEIM, K.A., </w:t>
      </w:r>
      <w:r w:rsidR="00090445">
        <w:rPr>
          <w:rFonts w:ascii="Roboto" w:eastAsia="SimSun" w:hAnsi="Roboto" w:cs="SimSun"/>
          <w:color w:val="000000"/>
          <w:kern w:val="0"/>
          <w:sz w:val="21"/>
          <w:szCs w:val="21"/>
          <w14:ligatures w14:val="none"/>
        </w:rPr>
        <w:t>RYDGREN, T.L.,</w:t>
      </w:r>
      <w:r w:rsidR="00090445">
        <w:rPr>
          <w:rFonts w:ascii="Roboto" w:eastAsia="SimSun" w:hAnsi="Roboto" w:cs="SimSun"/>
          <w:color w:val="000000"/>
          <w:kern w:val="0"/>
          <w:sz w:val="21"/>
          <w:szCs w:val="21"/>
          <w14:ligatures w14:val="none"/>
        </w:rPr>
        <w:t xml:space="preserve"> </w:t>
      </w:r>
      <w:r w:rsidR="00090445">
        <w:rPr>
          <w:rFonts w:ascii="Roboto" w:eastAsia="SimSun" w:hAnsi="Roboto" w:cs="SimSun"/>
          <w:color w:val="000000"/>
          <w:kern w:val="0"/>
          <w:sz w:val="21"/>
          <w:szCs w:val="21"/>
          <w14:ligatures w14:val="none"/>
        </w:rPr>
        <w:t>THURSTON, M.,</w:t>
      </w:r>
      <w:r w:rsidR="00090445" w:rsidRPr="00090445">
        <w:rPr>
          <w:rFonts w:ascii="Roboto" w:eastAsia="SimSun" w:hAnsi="Roboto" w:cs="SimSun"/>
          <w:color w:val="000000"/>
          <w:kern w:val="0"/>
          <w:sz w:val="21"/>
          <w:szCs w:val="21"/>
          <w14:ligatures w14:val="none"/>
        </w:rPr>
        <w:t xml:space="preserve"> </w:t>
      </w:r>
      <w:r w:rsidR="00090445">
        <w:rPr>
          <w:rFonts w:ascii="Roboto" w:eastAsia="SimSun" w:hAnsi="Roboto" w:cs="SimSun"/>
          <w:color w:val="000000"/>
          <w:kern w:val="0"/>
          <w:sz w:val="21"/>
          <w:szCs w:val="21"/>
          <w14:ligatures w14:val="none"/>
        </w:rPr>
        <w:t xml:space="preserve">and </w:t>
      </w:r>
      <w:r w:rsidR="00000000">
        <w:rPr>
          <w:rFonts w:ascii="Roboto" w:eastAsia="SimSun" w:hAnsi="Roboto" w:cs="SimSun"/>
          <w:color w:val="000000"/>
          <w:kern w:val="0"/>
          <w:sz w:val="21"/>
          <w:szCs w:val="21"/>
          <w14:ligatures w14:val="none"/>
        </w:rPr>
        <w:t>LITLESKARE, S., 2018. Experiencing Nature through Immersive Virtual Environments: Environmental Perceptions, Physical Engagement, and Affective Responses during a Simulated Nature Walk. </w:t>
      </w:r>
      <w:r w:rsidR="00000000">
        <w:rPr>
          <w:rFonts w:ascii="Roboto" w:eastAsia="SimSun" w:hAnsi="Roboto" w:cs="SimSun"/>
          <w:i/>
          <w:iCs/>
          <w:color w:val="000000"/>
          <w:kern w:val="0"/>
          <w:sz w:val="21"/>
          <w:szCs w:val="21"/>
          <w14:ligatures w14:val="none"/>
        </w:rPr>
        <w:t>Frontiers in psychology, </w:t>
      </w:r>
      <w:r w:rsidR="00000000">
        <w:rPr>
          <w:rFonts w:ascii="Roboto" w:eastAsia="SimSun" w:hAnsi="Roboto" w:cs="SimSun"/>
          <w:b/>
          <w:bCs/>
          <w:color w:val="000000"/>
          <w:kern w:val="0"/>
          <w:sz w:val="21"/>
          <w:szCs w:val="21"/>
          <w14:ligatures w14:val="none"/>
        </w:rPr>
        <w:t>8</w:t>
      </w:r>
      <w:r w:rsidR="00000000">
        <w:rPr>
          <w:rFonts w:ascii="Roboto" w:eastAsia="SimSun" w:hAnsi="Roboto" w:cs="SimSun"/>
          <w:color w:val="000000"/>
          <w:kern w:val="0"/>
          <w:sz w:val="21"/>
          <w:szCs w:val="21"/>
          <w14:ligatures w14:val="none"/>
        </w:rPr>
        <w:t>, pp. 2321.</w:t>
      </w:r>
    </w:p>
    <w:p w14:paraId="6944CA6F"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CERCLEUX, A., HARFST, J.Ö and ILOVAN, O., 2022. Cultural Values, Heritage and Memories as Assets for Building Urban Territorial Identities. </w:t>
      </w:r>
      <w:r>
        <w:rPr>
          <w:rFonts w:ascii="Roboto" w:eastAsia="SimSun" w:hAnsi="Roboto" w:cs="SimSun"/>
          <w:i/>
          <w:iCs/>
          <w:color w:val="000000"/>
          <w:kern w:val="0"/>
          <w:sz w:val="21"/>
          <w:szCs w:val="21"/>
          <w14:ligatures w14:val="none"/>
        </w:rPr>
        <w:t>Societies (Basel, Switzerland), </w:t>
      </w:r>
      <w:r>
        <w:rPr>
          <w:rFonts w:ascii="Roboto" w:eastAsia="SimSun" w:hAnsi="Roboto" w:cs="SimSun"/>
          <w:b/>
          <w:bCs/>
          <w:color w:val="000000"/>
          <w:kern w:val="0"/>
          <w:sz w:val="21"/>
          <w:szCs w:val="21"/>
          <w14:ligatures w14:val="none"/>
        </w:rPr>
        <w:t>12</w:t>
      </w:r>
      <w:r>
        <w:rPr>
          <w:rFonts w:ascii="Roboto" w:eastAsia="SimSun" w:hAnsi="Roboto" w:cs="SimSun"/>
          <w:color w:val="000000"/>
          <w:kern w:val="0"/>
          <w:sz w:val="21"/>
          <w:szCs w:val="21"/>
          <w14:ligatures w14:val="none"/>
        </w:rPr>
        <w:t>(6), pp. 151.</w:t>
      </w:r>
    </w:p>
    <w:p w14:paraId="0F16F8C4" w14:textId="60437F7C"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D ARNOLD A DAY J</w:t>
      </w:r>
      <w:r w:rsidR="009E18F5">
        <w:rPr>
          <w:rFonts w:ascii="Roboto" w:eastAsia="SimSun" w:hAnsi="Roboto" w:cs="SimSun"/>
          <w:color w:val="000000"/>
          <w:kern w:val="0"/>
          <w:sz w:val="21"/>
          <w:szCs w:val="21"/>
          <w14:ligatures w14:val="none"/>
        </w:rPr>
        <w:t>,</w:t>
      </w:r>
      <w:r>
        <w:rPr>
          <w:rFonts w:ascii="Roboto" w:eastAsia="SimSun" w:hAnsi="Roboto" w:cs="SimSun"/>
          <w:color w:val="000000"/>
          <w:kern w:val="0"/>
          <w:sz w:val="21"/>
          <w:szCs w:val="21"/>
          <w14:ligatures w14:val="none"/>
        </w:rPr>
        <w:t xml:space="preserve"> GLAUERT S HAEGLER V JENNINGS B KEVELHAM, R. LAYCOCK, 2008. </w:t>
      </w:r>
      <w:r>
        <w:rPr>
          <w:rFonts w:ascii="Roboto" w:eastAsia="SimSun" w:hAnsi="Roboto" w:cs="SimSun"/>
          <w:i/>
          <w:iCs/>
          <w:color w:val="000000"/>
          <w:kern w:val="0"/>
          <w:sz w:val="21"/>
          <w:szCs w:val="21"/>
          <w14:ligatures w14:val="none"/>
        </w:rPr>
        <w:t>Tools for populating cultural heritage environments with interactive virtual humans</w:t>
      </w:r>
      <w:r>
        <w:rPr>
          <w:rFonts w:ascii="Roboto" w:eastAsia="SimSun" w:hAnsi="Roboto" w:cs="SimSun"/>
          <w:color w:val="000000"/>
          <w:kern w:val="0"/>
          <w:sz w:val="21"/>
          <w:szCs w:val="21"/>
          <w14:ligatures w14:val="none"/>
        </w:rPr>
        <w:t>.</w:t>
      </w:r>
    </w:p>
    <w:p w14:paraId="7F523504"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DAWKINS, R., 1989. </w:t>
      </w:r>
      <w:r>
        <w:rPr>
          <w:rFonts w:ascii="Roboto" w:eastAsia="SimSun" w:hAnsi="Roboto" w:cs="SimSun"/>
          <w:i/>
          <w:iCs/>
          <w:color w:val="000000"/>
          <w:kern w:val="0"/>
          <w:sz w:val="21"/>
          <w:szCs w:val="21"/>
          <w14:ligatures w14:val="none"/>
        </w:rPr>
        <w:t>The selfish gene. </w:t>
      </w:r>
      <w:r>
        <w:rPr>
          <w:rFonts w:ascii="Roboto" w:eastAsia="SimSun" w:hAnsi="Roboto" w:cs="SimSun"/>
          <w:color w:val="000000"/>
          <w:kern w:val="0"/>
          <w:sz w:val="21"/>
          <w:szCs w:val="21"/>
          <w14:ligatures w14:val="none"/>
        </w:rPr>
        <w:t>Oxford: Oxford University Press.</w:t>
      </w:r>
    </w:p>
    <w:p w14:paraId="0FC8D50A"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JO, H.I. and JEON, J.Y., 2022. Perception of urban soundscape and landscape using different visual environment reproduction methods in virtual reality. </w:t>
      </w:r>
      <w:r>
        <w:rPr>
          <w:rFonts w:ascii="Roboto" w:eastAsia="SimSun" w:hAnsi="Roboto" w:cs="SimSun"/>
          <w:i/>
          <w:iCs/>
          <w:color w:val="000000"/>
          <w:kern w:val="0"/>
          <w:sz w:val="21"/>
          <w:szCs w:val="21"/>
          <w14:ligatures w14:val="none"/>
        </w:rPr>
        <w:t>Applied Acoustics, </w:t>
      </w:r>
      <w:r>
        <w:rPr>
          <w:rFonts w:ascii="Roboto" w:eastAsia="SimSun" w:hAnsi="Roboto" w:cs="SimSun"/>
          <w:b/>
          <w:bCs/>
          <w:color w:val="000000"/>
          <w:kern w:val="0"/>
          <w:sz w:val="21"/>
          <w:szCs w:val="21"/>
          <w14:ligatures w14:val="none"/>
        </w:rPr>
        <w:t>186</w:t>
      </w:r>
      <w:r>
        <w:rPr>
          <w:rFonts w:ascii="Roboto" w:eastAsia="SimSun" w:hAnsi="Roboto" w:cs="SimSun"/>
          <w:color w:val="000000"/>
          <w:kern w:val="0"/>
          <w:sz w:val="21"/>
          <w:szCs w:val="21"/>
          <w14:ligatures w14:val="none"/>
        </w:rPr>
        <w:t>, pp. 108498.</w:t>
      </w:r>
    </w:p>
    <w:p w14:paraId="26A19A68"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LABODE, O.J. and BRAIDE, O.O., 2022. Symbolic Designs of Textile Art in African Fabrics. </w:t>
      </w:r>
      <w:r>
        <w:rPr>
          <w:rFonts w:ascii="Roboto" w:eastAsia="SimSun" w:hAnsi="Roboto" w:cs="SimSun"/>
          <w:i/>
          <w:iCs/>
          <w:color w:val="000000"/>
          <w:kern w:val="0"/>
          <w:sz w:val="21"/>
          <w:szCs w:val="21"/>
          <w14:ligatures w14:val="none"/>
        </w:rPr>
        <w:t xml:space="preserve">Polish Journal of the Arts and </w:t>
      </w:r>
      <w:proofErr w:type="spellStart"/>
      <w:r>
        <w:rPr>
          <w:rFonts w:ascii="Roboto" w:eastAsia="SimSun" w:hAnsi="Roboto" w:cs="SimSun"/>
          <w:i/>
          <w:iCs/>
          <w:color w:val="000000"/>
          <w:kern w:val="0"/>
          <w:sz w:val="21"/>
          <w:szCs w:val="21"/>
          <w14:ligatures w14:val="none"/>
        </w:rPr>
        <w:t>Culture.New</w:t>
      </w:r>
      <w:proofErr w:type="spellEnd"/>
      <w:r>
        <w:rPr>
          <w:rFonts w:ascii="Roboto" w:eastAsia="SimSun" w:hAnsi="Roboto" w:cs="SimSun"/>
          <w:i/>
          <w:iCs/>
          <w:color w:val="000000"/>
          <w:kern w:val="0"/>
          <w:sz w:val="21"/>
          <w:szCs w:val="21"/>
          <w14:ligatures w14:val="none"/>
        </w:rPr>
        <w:t xml:space="preserve"> Series, </w:t>
      </w:r>
      <w:r>
        <w:rPr>
          <w:rFonts w:ascii="Roboto" w:eastAsia="SimSun" w:hAnsi="Roboto" w:cs="SimSun"/>
          <w:b/>
          <w:bCs/>
          <w:color w:val="000000"/>
          <w:kern w:val="0"/>
          <w:sz w:val="21"/>
          <w:szCs w:val="21"/>
          <w14:ligatures w14:val="none"/>
        </w:rPr>
        <w:t>16</w:t>
      </w:r>
      <w:r>
        <w:rPr>
          <w:rFonts w:ascii="Roboto" w:eastAsia="SimSun" w:hAnsi="Roboto" w:cs="SimSun"/>
          <w:color w:val="000000"/>
          <w:kern w:val="0"/>
          <w:sz w:val="21"/>
          <w:szCs w:val="21"/>
          <w14:ligatures w14:val="none"/>
        </w:rPr>
        <w:t>(2), pp. 71–86.</w:t>
      </w:r>
    </w:p>
    <w:p w14:paraId="20AD3CFC"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LOGIE, R.H., 2023. </w:t>
      </w:r>
      <w:r>
        <w:rPr>
          <w:rFonts w:ascii="Roboto" w:eastAsia="SimSun" w:hAnsi="Roboto" w:cs="SimSun"/>
          <w:i/>
          <w:iCs/>
          <w:color w:val="000000"/>
          <w:kern w:val="0"/>
          <w:sz w:val="21"/>
          <w:szCs w:val="21"/>
          <w14:ligatures w14:val="none"/>
        </w:rPr>
        <w:t xml:space="preserve">Memory in science for </w:t>
      </w:r>
      <w:proofErr w:type="gramStart"/>
      <w:r>
        <w:rPr>
          <w:rFonts w:ascii="Roboto" w:eastAsia="SimSun" w:hAnsi="Roboto" w:cs="SimSun"/>
          <w:i/>
          <w:iCs/>
          <w:color w:val="000000"/>
          <w:kern w:val="0"/>
          <w:sz w:val="21"/>
          <w:szCs w:val="21"/>
          <w14:ligatures w14:val="none"/>
        </w:rPr>
        <w:t>society :</w:t>
      </w:r>
      <w:proofErr w:type="gramEnd"/>
      <w:r>
        <w:rPr>
          <w:rFonts w:ascii="Roboto" w:eastAsia="SimSun" w:hAnsi="Roboto" w:cs="SimSun"/>
          <w:i/>
          <w:iCs/>
          <w:color w:val="000000"/>
          <w:kern w:val="0"/>
          <w:sz w:val="21"/>
          <w:szCs w:val="21"/>
          <w14:ligatures w14:val="none"/>
        </w:rPr>
        <w:t xml:space="preserve"> there is nothing as practical as a good theory. </w:t>
      </w:r>
      <w:r>
        <w:rPr>
          <w:rFonts w:ascii="Roboto" w:eastAsia="SimSun" w:hAnsi="Roboto" w:cs="SimSun"/>
          <w:color w:val="000000"/>
          <w:kern w:val="0"/>
          <w:sz w:val="21"/>
          <w:szCs w:val="21"/>
          <w14:ligatures w14:val="none"/>
        </w:rPr>
        <w:t>Oxford, England: Oxford University Press.</w:t>
      </w:r>
    </w:p>
    <w:p w14:paraId="310941AD"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MUKHERJEE, A. and BANERJI, H., 2025. Disparities in expert and community perceptions of industrial heritage and implications for urban well-being in West Bengal, India. </w:t>
      </w:r>
      <w:r>
        <w:rPr>
          <w:rFonts w:ascii="Roboto" w:eastAsia="SimSun" w:hAnsi="Roboto" w:cs="SimSun"/>
          <w:i/>
          <w:iCs/>
          <w:color w:val="000000"/>
          <w:kern w:val="0"/>
          <w:sz w:val="21"/>
          <w:szCs w:val="21"/>
          <w14:ligatures w14:val="none"/>
        </w:rPr>
        <w:t>Heritage science, </w:t>
      </w:r>
      <w:r>
        <w:rPr>
          <w:rFonts w:ascii="Roboto" w:eastAsia="SimSun" w:hAnsi="Roboto" w:cs="SimSun"/>
          <w:b/>
          <w:bCs/>
          <w:color w:val="000000"/>
          <w:kern w:val="0"/>
          <w:sz w:val="21"/>
          <w:szCs w:val="21"/>
          <w14:ligatures w14:val="none"/>
        </w:rPr>
        <w:t>13</w:t>
      </w:r>
      <w:r>
        <w:rPr>
          <w:rFonts w:ascii="Roboto" w:eastAsia="SimSun" w:hAnsi="Roboto" w:cs="SimSun"/>
          <w:color w:val="000000"/>
          <w:kern w:val="0"/>
          <w:sz w:val="21"/>
          <w:szCs w:val="21"/>
          <w14:ligatures w14:val="none"/>
        </w:rPr>
        <w:t>(1), pp. 44.</w:t>
      </w:r>
    </w:p>
    <w:p w14:paraId="4B29512E"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RAMSEY, E., 2017. VIRTUAL WOLVERHAMPTON: RECREATING THE HISTORIC CITY IN VIRTUAL REALITY. </w:t>
      </w:r>
      <w:proofErr w:type="spellStart"/>
      <w:r>
        <w:rPr>
          <w:rFonts w:ascii="Roboto" w:eastAsia="SimSun" w:hAnsi="Roboto" w:cs="SimSun"/>
          <w:i/>
          <w:iCs/>
          <w:color w:val="000000"/>
          <w:kern w:val="0"/>
          <w:sz w:val="21"/>
          <w:szCs w:val="21"/>
          <w14:ligatures w14:val="none"/>
        </w:rPr>
        <w:t>ArchNet</w:t>
      </w:r>
      <w:proofErr w:type="spellEnd"/>
      <w:r>
        <w:rPr>
          <w:rFonts w:ascii="Roboto" w:eastAsia="SimSun" w:hAnsi="Roboto" w:cs="SimSun"/>
          <w:i/>
          <w:iCs/>
          <w:color w:val="000000"/>
          <w:kern w:val="0"/>
          <w:sz w:val="21"/>
          <w:szCs w:val="21"/>
          <w14:ligatures w14:val="none"/>
        </w:rPr>
        <w:t>-IJAR, </w:t>
      </w:r>
      <w:r>
        <w:rPr>
          <w:rFonts w:ascii="Roboto" w:eastAsia="SimSun" w:hAnsi="Roboto" w:cs="SimSun"/>
          <w:b/>
          <w:bCs/>
          <w:color w:val="000000"/>
          <w:kern w:val="0"/>
          <w:sz w:val="21"/>
          <w:szCs w:val="21"/>
          <w14:ligatures w14:val="none"/>
        </w:rPr>
        <w:t>11</w:t>
      </w:r>
      <w:r>
        <w:rPr>
          <w:rFonts w:ascii="Roboto" w:eastAsia="SimSun" w:hAnsi="Roboto" w:cs="SimSun"/>
          <w:color w:val="000000"/>
          <w:kern w:val="0"/>
          <w:sz w:val="21"/>
          <w:szCs w:val="21"/>
          <w14:ligatures w14:val="none"/>
        </w:rPr>
        <w:t>(3), pp. 42–57.</w:t>
      </w:r>
    </w:p>
    <w:p w14:paraId="0B1C288E"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SPROTT, W.J.H., 1933. </w:t>
      </w:r>
      <w:r>
        <w:rPr>
          <w:rFonts w:ascii="Roboto" w:eastAsia="SimSun" w:hAnsi="Roboto" w:cs="SimSun"/>
          <w:i/>
          <w:iCs/>
          <w:color w:val="000000"/>
          <w:kern w:val="0"/>
          <w:sz w:val="21"/>
          <w:szCs w:val="21"/>
          <w14:ligatures w14:val="none"/>
        </w:rPr>
        <w:t>Remembering: A Study in Experimental and Social Psychology</w:t>
      </w:r>
      <w:r>
        <w:rPr>
          <w:rFonts w:ascii="Roboto" w:eastAsia="SimSun" w:hAnsi="Roboto" w:cs="SimSun"/>
          <w:color w:val="000000"/>
          <w:kern w:val="0"/>
          <w:sz w:val="21"/>
          <w:szCs w:val="21"/>
          <w14:ligatures w14:val="none"/>
        </w:rPr>
        <w:t> MacMillan and Company, Limited.</w:t>
      </w:r>
    </w:p>
    <w:p w14:paraId="524C9711" w14:textId="38A99E50" w:rsidR="00A2496B" w:rsidRDefault="00EB2806">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FIDAS, C.</w:t>
      </w:r>
      <w:r>
        <w:rPr>
          <w:rFonts w:ascii="Roboto" w:eastAsia="SimSun" w:hAnsi="Roboto" w:cs="SimSun"/>
          <w:color w:val="000000"/>
          <w:kern w:val="0"/>
          <w:sz w:val="21"/>
          <w:szCs w:val="21"/>
          <w14:ligatures w14:val="none"/>
        </w:rPr>
        <w:t>,</w:t>
      </w:r>
      <w:r w:rsidRPr="00515AE7">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VLACHOU, E.</w:t>
      </w:r>
      <w:r>
        <w:rPr>
          <w:rFonts w:ascii="Roboto" w:eastAsia="SimSun" w:hAnsi="Roboto" w:cs="SimSun"/>
          <w:color w:val="000000"/>
          <w:kern w:val="0"/>
          <w:sz w:val="21"/>
          <w:szCs w:val="21"/>
          <w14:ligatures w14:val="none"/>
        </w:rPr>
        <w:t>,</w:t>
      </w:r>
      <w:r>
        <w:rPr>
          <w:rFonts w:ascii="Roboto" w:eastAsia="SimSun" w:hAnsi="Roboto" w:cs="SimSun"/>
          <w:color w:val="000000"/>
          <w:kern w:val="0"/>
          <w:sz w:val="21"/>
          <w:szCs w:val="21"/>
          <w14:ligatures w14:val="none"/>
        </w:rPr>
        <w:t xml:space="preserve"> </w:t>
      </w:r>
      <w:r w:rsidR="00515AE7">
        <w:rPr>
          <w:rFonts w:ascii="Roboto" w:eastAsia="SimSun" w:hAnsi="Roboto" w:cs="SimSun"/>
          <w:color w:val="000000"/>
          <w:kern w:val="0"/>
          <w:sz w:val="21"/>
          <w:szCs w:val="21"/>
          <w14:ligatures w14:val="none"/>
        </w:rPr>
        <w:t xml:space="preserve">DAFIOTIS, </w:t>
      </w:r>
      <w:r>
        <w:rPr>
          <w:rFonts w:ascii="Roboto" w:eastAsia="SimSun" w:hAnsi="Roboto" w:cs="SimSun"/>
          <w:color w:val="000000"/>
          <w:kern w:val="0"/>
          <w:sz w:val="21"/>
          <w:szCs w:val="21"/>
          <w14:ligatures w14:val="none"/>
        </w:rPr>
        <w:t>P.</w:t>
      </w:r>
      <w:r>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 xml:space="preserve">SYLAIOU, S., and </w:t>
      </w:r>
      <w:r w:rsidR="00515AE7">
        <w:rPr>
          <w:rFonts w:ascii="Roboto" w:eastAsia="SimSun" w:hAnsi="Roboto" w:cs="SimSun"/>
          <w:color w:val="000000"/>
          <w:kern w:val="0"/>
          <w:sz w:val="21"/>
          <w:szCs w:val="21"/>
          <w14:ligatures w14:val="none"/>
        </w:rPr>
        <w:t>NOMIKOU, V.,</w:t>
      </w:r>
      <w:r w:rsidR="00515AE7">
        <w:rPr>
          <w:rFonts w:ascii="Roboto" w:eastAsia="SimSun" w:hAnsi="Roboto" w:cs="SimSun"/>
          <w:color w:val="000000"/>
          <w:kern w:val="0"/>
          <w:sz w:val="21"/>
          <w:szCs w:val="21"/>
          <w14:ligatures w14:val="none"/>
        </w:rPr>
        <w:t xml:space="preserve"> </w:t>
      </w:r>
      <w:r w:rsidR="00000000">
        <w:rPr>
          <w:rFonts w:ascii="Roboto" w:eastAsia="SimSun" w:hAnsi="Roboto" w:cs="SimSun"/>
          <w:color w:val="000000"/>
          <w:kern w:val="0"/>
          <w:sz w:val="21"/>
          <w:szCs w:val="21"/>
          <w14:ligatures w14:val="none"/>
        </w:rPr>
        <w:t>2024. Evaluating the Impact of XR on User Experience in the Tomato Industrial Museum “D. Nomikos”. </w:t>
      </w:r>
      <w:r w:rsidR="00000000">
        <w:rPr>
          <w:rFonts w:ascii="Roboto" w:eastAsia="SimSun" w:hAnsi="Roboto" w:cs="SimSun"/>
          <w:i/>
          <w:iCs/>
          <w:color w:val="000000"/>
          <w:kern w:val="0"/>
          <w:sz w:val="21"/>
          <w:szCs w:val="21"/>
          <w14:ligatures w14:val="none"/>
        </w:rPr>
        <w:t>Heritage, </w:t>
      </w:r>
      <w:r w:rsidR="00000000">
        <w:rPr>
          <w:rFonts w:ascii="Roboto" w:eastAsia="SimSun" w:hAnsi="Roboto" w:cs="SimSun"/>
          <w:b/>
          <w:bCs/>
          <w:color w:val="000000"/>
          <w:kern w:val="0"/>
          <w:sz w:val="21"/>
          <w:szCs w:val="21"/>
          <w14:ligatures w14:val="none"/>
        </w:rPr>
        <w:t>7</w:t>
      </w:r>
      <w:r w:rsidR="00000000">
        <w:rPr>
          <w:rFonts w:ascii="Roboto" w:eastAsia="SimSun" w:hAnsi="Roboto" w:cs="SimSun"/>
          <w:color w:val="000000"/>
          <w:kern w:val="0"/>
          <w:sz w:val="21"/>
          <w:szCs w:val="21"/>
          <w14:ligatures w14:val="none"/>
        </w:rPr>
        <w:t>(3), pp. 1754–1768.</w:t>
      </w:r>
    </w:p>
    <w:p w14:paraId="5F4C4BF4"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TORNEY-PURTA, J., 1991. Schema Theory and Cognitive Psychology: Implications for Social Studies. </w:t>
      </w:r>
      <w:r>
        <w:rPr>
          <w:rFonts w:ascii="Roboto" w:eastAsia="SimSun" w:hAnsi="Roboto" w:cs="SimSun"/>
          <w:i/>
          <w:iCs/>
          <w:color w:val="000000"/>
          <w:kern w:val="0"/>
          <w:sz w:val="21"/>
          <w:szCs w:val="21"/>
          <w14:ligatures w14:val="none"/>
        </w:rPr>
        <w:t>Theory and research in social education, </w:t>
      </w:r>
      <w:r>
        <w:rPr>
          <w:rFonts w:ascii="Roboto" w:eastAsia="SimSun" w:hAnsi="Roboto" w:cs="SimSun"/>
          <w:b/>
          <w:bCs/>
          <w:color w:val="000000"/>
          <w:kern w:val="0"/>
          <w:sz w:val="21"/>
          <w:szCs w:val="21"/>
          <w14:ligatures w14:val="none"/>
        </w:rPr>
        <w:t>19</w:t>
      </w:r>
      <w:r>
        <w:rPr>
          <w:rFonts w:ascii="Roboto" w:eastAsia="SimSun" w:hAnsi="Roboto" w:cs="SimSun"/>
          <w:color w:val="000000"/>
          <w:kern w:val="0"/>
          <w:sz w:val="21"/>
          <w:szCs w:val="21"/>
          <w14:ligatures w14:val="none"/>
        </w:rPr>
        <w:t>(2), pp. 189–210.</w:t>
      </w:r>
    </w:p>
    <w:p w14:paraId="0D0AB53F" w14:textId="77777777" w:rsidR="00A2496B" w:rsidRDefault="00000000">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WAGONER, B., 2013. Bartlett’s concept of schema in reconstruction. </w:t>
      </w:r>
      <w:r>
        <w:rPr>
          <w:rFonts w:ascii="Roboto" w:eastAsia="SimSun" w:hAnsi="Roboto" w:cs="SimSun"/>
          <w:i/>
          <w:iCs/>
          <w:color w:val="000000"/>
          <w:kern w:val="0"/>
          <w:sz w:val="21"/>
          <w:szCs w:val="21"/>
          <w14:ligatures w14:val="none"/>
        </w:rPr>
        <w:t>Theory &amp; psychology, </w:t>
      </w:r>
      <w:r>
        <w:rPr>
          <w:rFonts w:ascii="Roboto" w:eastAsia="SimSun" w:hAnsi="Roboto" w:cs="SimSun"/>
          <w:b/>
          <w:bCs/>
          <w:color w:val="000000"/>
          <w:kern w:val="0"/>
          <w:sz w:val="21"/>
          <w:szCs w:val="21"/>
          <w14:ligatures w14:val="none"/>
        </w:rPr>
        <w:t>23</w:t>
      </w:r>
      <w:r>
        <w:rPr>
          <w:rFonts w:ascii="Roboto" w:eastAsia="SimSun" w:hAnsi="Roboto" w:cs="SimSun"/>
          <w:color w:val="000000"/>
          <w:kern w:val="0"/>
          <w:sz w:val="21"/>
          <w:szCs w:val="21"/>
          <w14:ligatures w14:val="none"/>
        </w:rPr>
        <w:t>(5), pp. 553–575.</w:t>
      </w:r>
    </w:p>
    <w:p w14:paraId="6D475E48" w14:textId="7ABD9165" w:rsidR="00A2496B" w:rsidRDefault="00515AE7">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lastRenderedPageBreak/>
        <w:t>HOU, B.</w:t>
      </w:r>
      <w:r w:rsidR="00000000">
        <w:rPr>
          <w:rFonts w:ascii="Roboto" w:eastAsia="SimSun" w:hAnsi="Roboto" w:cs="SimSun"/>
          <w:color w:val="000000"/>
          <w:kern w:val="0"/>
          <w:sz w:val="21"/>
          <w:szCs w:val="21"/>
          <w14:ligatures w14:val="none"/>
        </w:rPr>
        <w:t xml:space="preserve"> and</w:t>
      </w:r>
      <w:r w:rsidRPr="00515AE7">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WANG, Y.</w:t>
      </w:r>
      <w:r w:rsidR="00000000">
        <w:rPr>
          <w:rFonts w:ascii="Roboto" w:eastAsia="SimSun" w:hAnsi="Roboto" w:cs="SimSun"/>
          <w:color w:val="000000"/>
          <w:kern w:val="0"/>
          <w:sz w:val="21"/>
          <w:szCs w:val="21"/>
          <w14:ligatures w14:val="none"/>
        </w:rPr>
        <w:t>, 2024. Development of Post-Industrial Heritage Landscape Design Based on Visual Cognitive Schema Theory: A Case Study of the Shou Gang Industrial Cultural Heritage Site. </w:t>
      </w:r>
      <w:r w:rsidR="00000000">
        <w:rPr>
          <w:rFonts w:ascii="Roboto" w:eastAsia="SimSun" w:hAnsi="Roboto" w:cs="SimSun"/>
          <w:i/>
          <w:iCs/>
          <w:color w:val="000000"/>
          <w:kern w:val="0"/>
          <w:sz w:val="21"/>
          <w:szCs w:val="21"/>
          <w14:ligatures w14:val="none"/>
        </w:rPr>
        <w:t>Buildings (Basel), </w:t>
      </w:r>
      <w:r w:rsidR="00000000">
        <w:rPr>
          <w:rFonts w:ascii="Roboto" w:eastAsia="SimSun" w:hAnsi="Roboto" w:cs="SimSun"/>
          <w:b/>
          <w:bCs/>
          <w:color w:val="000000"/>
          <w:kern w:val="0"/>
          <w:sz w:val="21"/>
          <w:szCs w:val="21"/>
          <w14:ligatures w14:val="none"/>
        </w:rPr>
        <w:t>14</w:t>
      </w:r>
      <w:r w:rsidR="00000000">
        <w:rPr>
          <w:rFonts w:ascii="Roboto" w:eastAsia="SimSun" w:hAnsi="Roboto" w:cs="SimSun"/>
          <w:color w:val="000000"/>
          <w:kern w:val="0"/>
          <w:sz w:val="21"/>
          <w:szCs w:val="21"/>
          <w14:ligatures w14:val="none"/>
        </w:rPr>
        <w:t>(10), pp. 3194.</w:t>
      </w:r>
    </w:p>
    <w:p w14:paraId="65F8D2D6" w14:textId="339BB4F7" w:rsidR="00A2496B" w:rsidRDefault="002E62D1">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 xml:space="preserve">MENG, </w:t>
      </w:r>
      <w:r>
        <w:rPr>
          <w:rFonts w:ascii="Roboto" w:eastAsia="SimSun" w:hAnsi="Roboto" w:cs="SimSun"/>
          <w:color w:val="000000"/>
          <w:kern w:val="0"/>
          <w:sz w:val="21"/>
          <w:szCs w:val="21"/>
          <w14:ligatures w14:val="none"/>
        </w:rPr>
        <w:t>J.,</w:t>
      </w:r>
      <w:r w:rsidRPr="002E62D1">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and</w:t>
      </w:r>
      <w:r>
        <w:rPr>
          <w:rFonts w:ascii="Roboto" w:eastAsia="SimSun" w:hAnsi="Roboto" w:cs="SimSun"/>
          <w:color w:val="000000"/>
          <w:kern w:val="0"/>
          <w:sz w:val="21"/>
          <w:szCs w:val="21"/>
          <w14:ligatures w14:val="none"/>
        </w:rPr>
        <w:t xml:space="preserve"> WANG</w:t>
      </w:r>
      <w:r w:rsidR="00000000">
        <w:rPr>
          <w:rFonts w:ascii="Roboto" w:eastAsia="SimSun" w:hAnsi="Roboto" w:cs="SimSun"/>
          <w:color w:val="000000"/>
          <w:kern w:val="0"/>
          <w:sz w:val="21"/>
          <w:szCs w:val="21"/>
          <w14:ligatures w14:val="none"/>
        </w:rPr>
        <w:t xml:space="preserve">, Z., 2024. Dialogues with cultural heritage via museum </w:t>
      </w:r>
      <w:proofErr w:type="spellStart"/>
      <w:r w:rsidR="00000000">
        <w:rPr>
          <w:rFonts w:ascii="Roboto" w:eastAsia="SimSun" w:hAnsi="Roboto" w:cs="SimSun"/>
          <w:color w:val="000000"/>
          <w:kern w:val="0"/>
          <w:sz w:val="21"/>
          <w:szCs w:val="21"/>
          <w14:ligatures w14:val="none"/>
        </w:rPr>
        <w:t>digitalisation</w:t>
      </w:r>
      <w:proofErr w:type="spellEnd"/>
      <w:r w:rsidR="00000000">
        <w:rPr>
          <w:rFonts w:ascii="Roboto" w:eastAsia="SimSun" w:hAnsi="Roboto" w:cs="SimSun"/>
          <w:color w:val="000000"/>
          <w:kern w:val="0"/>
          <w:sz w:val="21"/>
          <w:szCs w:val="21"/>
          <w14:ligatures w14:val="none"/>
        </w:rPr>
        <w:t>: developing a model of visitors' cognitive identity, technological agent, cultural symbolism, and public engagement. </w:t>
      </w:r>
      <w:r w:rsidR="00000000">
        <w:rPr>
          <w:rFonts w:ascii="Roboto" w:eastAsia="SimSun" w:hAnsi="Roboto" w:cs="SimSun"/>
          <w:i/>
          <w:iCs/>
          <w:color w:val="000000"/>
          <w:kern w:val="0"/>
          <w:sz w:val="21"/>
          <w:szCs w:val="21"/>
          <w14:ligatures w14:val="none"/>
        </w:rPr>
        <w:t>Museum management and curatorship (1990), </w:t>
      </w:r>
      <w:r w:rsidR="00000000">
        <w:rPr>
          <w:rFonts w:ascii="Roboto" w:eastAsia="SimSun" w:hAnsi="Roboto" w:cs="SimSun"/>
          <w:b/>
          <w:bCs/>
          <w:color w:val="000000"/>
          <w:kern w:val="0"/>
          <w:sz w:val="21"/>
          <w:szCs w:val="21"/>
          <w14:ligatures w14:val="none"/>
        </w:rPr>
        <w:t>39</w:t>
      </w:r>
      <w:r w:rsidR="00000000">
        <w:rPr>
          <w:rFonts w:ascii="Roboto" w:eastAsia="SimSun" w:hAnsi="Roboto" w:cs="SimSun"/>
          <w:color w:val="000000"/>
          <w:kern w:val="0"/>
          <w:sz w:val="21"/>
          <w:szCs w:val="21"/>
          <w14:ligatures w14:val="none"/>
        </w:rPr>
        <w:t>(6), pp. 810–833.</w:t>
      </w:r>
    </w:p>
    <w:p w14:paraId="15BD3E20" w14:textId="6E9A32AD" w:rsidR="00A2496B" w:rsidRDefault="00EB2806">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WANG, F.</w:t>
      </w:r>
      <w:r>
        <w:rPr>
          <w:rFonts w:ascii="Roboto" w:eastAsia="SimSun" w:hAnsi="Roboto" w:cs="SimSun"/>
          <w:color w:val="000000"/>
          <w:kern w:val="0"/>
          <w:sz w:val="21"/>
          <w:szCs w:val="21"/>
          <w14:ligatures w14:val="none"/>
        </w:rPr>
        <w:t xml:space="preserve">, </w:t>
      </w:r>
      <w:r w:rsidR="00000000">
        <w:rPr>
          <w:rFonts w:ascii="Roboto" w:eastAsia="SimSun" w:hAnsi="Roboto" w:cs="SimSun"/>
          <w:color w:val="000000"/>
          <w:kern w:val="0"/>
          <w:sz w:val="21"/>
          <w:szCs w:val="21"/>
          <w14:ligatures w14:val="none"/>
        </w:rPr>
        <w:t>and</w:t>
      </w:r>
      <w:r w:rsidRPr="00EB2806">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WEI R</w:t>
      </w:r>
      <w:r>
        <w:rPr>
          <w:rFonts w:ascii="Roboto" w:eastAsia="SimSun" w:hAnsi="Roboto" w:cs="SimSun"/>
          <w:color w:val="000000"/>
          <w:kern w:val="0"/>
          <w:sz w:val="21"/>
          <w:szCs w:val="21"/>
          <w14:ligatures w14:val="none"/>
        </w:rPr>
        <w:t xml:space="preserve">., </w:t>
      </w:r>
      <w:r w:rsidR="00000000">
        <w:rPr>
          <w:rFonts w:ascii="Roboto" w:eastAsia="SimSun" w:hAnsi="Roboto" w:cs="SimSun"/>
          <w:color w:val="000000"/>
          <w:kern w:val="0"/>
          <w:sz w:val="21"/>
          <w:szCs w:val="21"/>
          <w14:ligatures w14:val="none"/>
        </w:rPr>
        <w:t xml:space="preserve">2022. Is colonial heritage negative or not so much? Debating heritage discourses and selective interpretation of </w:t>
      </w:r>
      <w:proofErr w:type="spellStart"/>
      <w:r w:rsidR="00000000">
        <w:rPr>
          <w:rFonts w:ascii="Roboto" w:eastAsia="SimSun" w:hAnsi="Roboto" w:cs="SimSun"/>
          <w:color w:val="000000"/>
          <w:kern w:val="0"/>
          <w:sz w:val="21"/>
          <w:szCs w:val="21"/>
          <w14:ligatures w14:val="none"/>
        </w:rPr>
        <w:t>Kulangsu</w:t>
      </w:r>
      <w:proofErr w:type="spellEnd"/>
      <w:r w:rsidR="00000000">
        <w:rPr>
          <w:rFonts w:ascii="Roboto" w:eastAsia="SimSun" w:hAnsi="Roboto" w:cs="SimSun"/>
          <w:color w:val="000000"/>
          <w:kern w:val="0"/>
          <w:sz w:val="21"/>
          <w:szCs w:val="21"/>
          <w14:ligatures w14:val="none"/>
        </w:rPr>
        <w:t>, China. </w:t>
      </w:r>
      <w:r w:rsidR="00000000">
        <w:rPr>
          <w:rFonts w:ascii="Roboto" w:eastAsia="SimSun" w:hAnsi="Roboto" w:cs="SimSun"/>
          <w:i/>
          <w:iCs/>
          <w:color w:val="000000"/>
          <w:kern w:val="0"/>
          <w:sz w:val="21"/>
          <w:szCs w:val="21"/>
          <w14:ligatures w14:val="none"/>
        </w:rPr>
        <w:t>Built heritage, </w:t>
      </w:r>
      <w:r w:rsidR="00000000">
        <w:rPr>
          <w:rFonts w:ascii="Roboto" w:eastAsia="SimSun" w:hAnsi="Roboto" w:cs="SimSun"/>
          <w:b/>
          <w:bCs/>
          <w:color w:val="000000"/>
          <w:kern w:val="0"/>
          <w:sz w:val="21"/>
          <w:szCs w:val="21"/>
          <w14:ligatures w14:val="none"/>
        </w:rPr>
        <w:t>6</w:t>
      </w:r>
      <w:r w:rsidR="00000000">
        <w:rPr>
          <w:rFonts w:ascii="Roboto" w:eastAsia="SimSun" w:hAnsi="Roboto" w:cs="SimSun"/>
          <w:color w:val="000000"/>
          <w:kern w:val="0"/>
          <w:sz w:val="21"/>
          <w:szCs w:val="21"/>
          <w14:ligatures w14:val="none"/>
        </w:rPr>
        <w:t>(1), pp. 1–13.</w:t>
      </w:r>
    </w:p>
    <w:p w14:paraId="1805180F" w14:textId="62F40653" w:rsidR="00A2496B" w:rsidRDefault="00EB2806">
      <w:pPr>
        <w:widowControl/>
        <w:spacing w:after="173" w:line="240" w:lineRule="auto"/>
        <w:rPr>
          <w:rFonts w:ascii="Roboto" w:eastAsia="SimSun" w:hAnsi="Roboto" w:cs="SimSun"/>
          <w:color w:val="000000"/>
          <w:kern w:val="0"/>
          <w:sz w:val="21"/>
          <w:szCs w:val="21"/>
          <w14:ligatures w14:val="none"/>
        </w:rPr>
      </w:pPr>
      <w:r>
        <w:rPr>
          <w:rFonts w:ascii="Roboto" w:eastAsia="SimSun" w:hAnsi="Roboto" w:cs="SimSun"/>
          <w:color w:val="000000"/>
          <w:kern w:val="0"/>
          <w:sz w:val="21"/>
          <w:szCs w:val="21"/>
          <w14:ligatures w14:val="none"/>
        </w:rPr>
        <w:t>WANG, J.</w:t>
      </w:r>
      <w:r>
        <w:rPr>
          <w:rFonts w:ascii="Roboto" w:eastAsia="SimSun" w:hAnsi="Roboto" w:cs="SimSun"/>
          <w:color w:val="000000"/>
          <w:kern w:val="0"/>
          <w:sz w:val="21"/>
          <w:szCs w:val="21"/>
          <w14:ligatures w14:val="none"/>
        </w:rPr>
        <w:t xml:space="preserve"> </w:t>
      </w:r>
      <w:r w:rsidR="002E62D1">
        <w:rPr>
          <w:rFonts w:ascii="Roboto" w:eastAsia="SimSun" w:hAnsi="Roboto" w:cs="SimSun"/>
          <w:color w:val="000000"/>
          <w:kern w:val="0"/>
          <w:sz w:val="21"/>
          <w:szCs w:val="21"/>
          <w14:ligatures w14:val="none"/>
        </w:rPr>
        <w:t>WANG</w:t>
      </w:r>
      <w:r w:rsidR="002E62D1">
        <w:rPr>
          <w:rFonts w:ascii="Roboto" w:eastAsia="SimSun" w:hAnsi="Roboto" w:cs="SimSun"/>
          <w:color w:val="000000"/>
          <w:kern w:val="0"/>
          <w:sz w:val="21"/>
          <w:szCs w:val="21"/>
          <w14:ligatures w14:val="none"/>
        </w:rPr>
        <w:t>,</w:t>
      </w:r>
      <w:r w:rsidR="002E62D1" w:rsidRPr="002E62D1">
        <w:rPr>
          <w:rFonts w:ascii="Roboto" w:eastAsia="SimSun" w:hAnsi="Roboto" w:cs="SimSun"/>
          <w:color w:val="000000"/>
          <w:kern w:val="0"/>
          <w:sz w:val="21"/>
          <w:szCs w:val="21"/>
          <w14:ligatures w14:val="none"/>
        </w:rPr>
        <w:t xml:space="preserve"> </w:t>
      </w:r>
      <w:r w:rsidR="002E62D1">
        <w:rPr>
          <w:rFonts w:ascii="Roboto" w:eastAsia="SimSun" w:hAnsi="Roboto" w:cs="SimSun"/>
          <w:color w:val="000000"/>
          <w:kern w:val="0"/>
          <w:sz w:val="21"/>
          <w:szCs w:val="21"/>
          <w14:ligatures w14:val="none"/>
        </w:rPr>
        <w:t>S</w:t>
      </w:r>
      <w:r w:rsidR="002E62D1">
        <w:rPr>
          <w:rFonts w:ascii="Roboto" w:eastAsia="SimSun" w:hAnsi="Roboto" w:cs="SimSun"/>
          <w:color w:val="000000"/>
          <w:kern w:val="0"/>
          <w:sz w:val="21"/>
          <w:szCs w:val="21"/>
          <w14:ligatures w14:val="none"/>
        </w:rPr>
        <w:t>.</w:t>
      </w:r>
      <w:r w:rsidR="002E62D1">
        <w:rPr>
          <w:rFonts w:ascii="Roboto" w:eastAsia="SimSun" w:hAnsi="Roboto" w:cs="SimSun"/>
          <w:color w:val="000000"/>
          <w:kern w:val="0"/>
          <w:sz w:val="21"/>
          <w:szCs w:val="21"/>
          <w14:ligatures w14:val="none"/>
        </w:rPr>
        <w:t>,</w:t>
      </w:r>
      <w:r w:rsidRPr="00EB2806">
        <w:rPr>
          <w:rFonts w:ascii="Roboto" w:eastAsia="SimSun" w:hAnsi="Roboto" w:cs="SimSun"/>
          <w:color w:val="000000"/>
          <w:kern w:val="0"/>
          <w:sz w:val="21"/>
          <w:szCs w:val="21"/>
          <w14:ligatures w14:val="none"/>
        </w:rPr>
        <w:t xml:space="preserve"> </w:t>
      </w:r>
      <w:r>
        <w:rPr>
          <w:rFonts w:ascii="Roboto" w:eastAsia="SimSun" w:hAnsi="Roboto" w:cs="SimSun"/>
          <w:color w:val="000000"/>
          <w:kern w:val="0"/>
          <w:sz w:val="21"/>
          <w:szCs w:val="21"/>
          <w14:ligatures w14:val="none"/>
        </w:rPr>
        <w:t xml:space="preserve">and, ZHOU, </w:t>
      </w:r>
      <w:r>
        <w:rPr>
          <w:rFonts w:ascii="Roboto" w:eastAsia="SimSun" w:hAnsi="Roboto" w:cs="SimSun"/>
          <w:color w:val="000000"/>
          <w:kern w:val="0"/>
          <w:sz w:val="21"/>
          <w:szCs w:val="21"/>
          <w14:ligatures w14:val="none"/>
        </w:rPr>
        <w:t>Q.,</w:t>
      </w:r>
      <w:r w:rsidR="002E62D1">
        <w:rPr>
          <w:rFonts w:ascii="Roboto" w:eastAsia="SimSun" w:hAnsi="Roboto" w:cs="SimSun"/>
          <w:color w:val="000000"/>
          <w:kern w:val="0"/>
          <w:sz w:val="21"/>
          <w:szCs w:val="21"/>
          <w14:ligatures w14:val="none"/>
        </w:rPr>
        <w:t xml:space="preserve"> </w:t>
      </w:r>
      <w:r w:rsidR="00000000">
        <w:rPr>
          <w:rFonts w:ascii="Roboto" w:eastAsia="SimSun" w:hAnsi="Roboto" w:cs="SimSun"/>
          <w:color w:val="000000"/>
          <w:kern w:val="0"/>
          <w:sz w:val="21"/>
          <w:szCs w:val="21"/>
          <w14:ligatures w14:val="none"/>
        </w:rPr>
        <w:t>2025. Exploring User Experience in Virtual Industrial Heritage Platforms: Impact of Cultural Identity, Functional Clarity, Scene Interactivity, and Narrative Quality. </w:t>
      </w:r>
      <w:r w:rsidR="00000000">
        <w:rPr>
          <w:rFonts w:ascii="Roboto" w:eastAsia="SimSun" w:hAnsi="Roboto" w:cs="SimSun"/>
          <w:i/>
          <w:iCs/>
          <w:color w:val="000000"/>
          <w:kern w:val="0"/>
          <w:sz w:val="21"/>
          <w:szCs w:val="21"/>
          <w14:ligatures w14:val="none"/>
        </w:rPr>
        <w:t>Buildings (Basel), </w:t>
      </w:r>
      <w:r w:rsidR="00000000">
        <w:rPr>
          <w:rFonts w:ascii="Roboto" w:eastAsia="SimSun" w:hAnsi="Roboto" w:cs="SimSun"/>
          <w:b/>
          <w:bCs/>
          <w:color w:val="000000"/>
          <w:kern w:val="0"/>
          <w:sz w:val="21"/>
          <w:szCs w:val="21"/>
          <w14:ligatures w14:val="none"/>
        </w:rPr>
        <w:t>15</w:t>
      </w:r>
      <w:r w:rsidR="00000000">
        <w:rPr>
          <w:rFonts w:ascii="Roboto" w:eastAsia="SimSun" w:hAnsi="Roboto" w:cs="SimSun"/>
          <w:color w:val="000000"/>
          <w:kern w:val="0"/>
          <w:sz w:val="21"/>
          <w:szCs w:val="21"/>
          <w14:ligatures w14:val="none"/>
        </w:rPr>
        <w:t>(2), pp. 253.</w:t>
      </w:r>
    </w:p>
    <w:p w14:paraId="328666A0" w14:textId="557FCD58" w:rsidR="00A2496B" w:rsidRDefault="00A2496B">
      <w:pPr>
        <w:rPr>
          <w:rFonts w:ascii="AppleSystemUIFont" w:hAnsi="AppleSystemUIFont" w:cs="AppleSystemUIFont"/>
          <w:kern w:val="0"/>
          <w:sz w:val="26"/>
          <w:szCs w:val="26"/>
          <w14:ligatures w14:val="none"/>
        </w:rPr>
      </w:pPr>
    </w:p>
    <w:sectPr w:rsidR="00A249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0999E" w14:textId="77777777" w:rsidR="003368A5" w:rsidRDefault="003368A5">
      <w:pPr>
        <w:spacing w:line="240" w:lineRule="auto"/>
      </w:pPr>
      <w:r>
        <w:separator/>
      </w:r>
    </w:p>
  </w:endnote>
  <w:endnote w:type="continuationSeparator" w:id="0">
    <w:p w14:paraId="39F2BB11" w14:textId="77777777" w:rsidR="003368A5" w:rsidRDefault="003368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Arial Bold">
    <w:altName w:val="Arial"/>
    <w:panose1 w:val="020B0604020202020204"/>
    <w:charset w:val="00"/>
    <w:family w:val="auto"/>
    <w:pitch w:val="default"/>
    <w:sig w:usb0="E0000AFF" w:usb1="00007843" w:usb2="00000001" w:usb3="00000000" w:csb0="400001BF" w:csb1="DFF70000"/>
  </w:font>
  <w:font w:name="AppleSystemUIFont">
    <w:altName w:val="Sylfaen"/>
    <w:panose1 w:val="020B0604020202020204"/>
    <w:charset w:val="00"/>
    <w:family w:val="auto"/>
    <w:pitch w:val="default"/>
    <w:sig w:usb0="E50002FF" w:usb1="500079DB" w:usb2="00000010" w:usb3="00000000" w:csb0="00000000" w:csb1="00000000"/>
  </w:font>
  <w:font w:name="Arial">
    <w:panose1 w:val="020B0604020202020204"/>
    <w:charset w:val="00"/>
    <w:family w:val="swiss"/>
    <w:pitch w:val="variable"/>
    <w:sig w:usb0="E0002AFF" w:usb1="C0007843" w:usb2="00000009" w:usb3="00000000" w:csb0="000001FF" w:csb1="00000000"/>
  </w:font>
  <w:font w:name="Roboto">
    <w:altName w:val="苹方-简"/>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FEC66" w14:textId="77777777" w:rsidR="003368A5" w:rsidRDefault="003368A5">
      <w:pPr>
        <w:spacing w:after="0"/>
      </w:pPr>
      <w:r>
        <w:separator/>
      </w:r>
    </w:p>
  </w:footnote>
  <w:footnote w:type="continuationSeparator" w:id="0">
    <w:p w14:paraId="4FB08BB5" w14:textId="77777777" w:rsidR="003368A5" w:rsidRDefault="003368A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gxYTM1NzNmZTg2NDI3ZTBkYTljYWNlZWZkZGQ2ZGQifQ=="/>
  </w:docVars>
  <w:rsids>
    <w:rsidRoot w:val="00F461F2"/>
    <w:rsid w:val="A5B587F4"/>
    <w:rsid w:val="F77F5E20"/>
    <w:rsid w:val="00014FCE"/>
    <w:rsid w:val="00090445"/>
    <w:rsid w:val="000C7790"/>
    <w:rsid w:val="001410AC"/>
    <w:rsid w:val="00162F86"/>
    <w:rsid w:val="00167217"/>
    <w:rsid w:val="001939D0"/>
    <w:rsid w:val="00197365"/>
    <w:rsid w:val="001B6B92"/>
    <w:rsid w:val="0020214A"/>
    <w:rsid w:val="00247E59"/>
    <w:rsid w:val="00285451"/>
    <w:rsid w:val="002E62D1"/>
    <w:rsid w:val="003368A5"/>
    <w:rsid w:val="003900D7"/>
    <w:rsid w:val="003C5C4C"/>
    <w:rsid w:val="0044500C"/>
    <w:rsid w:val="00446A43"/>
    <w:rsid w:val="004D7F77"/>
    <w:rsid w:val="00507932"/>
    <w:rsid w:val="00515AE7"/>
    <w:rsid w:val="00531C8A"/>
    <w:rsid w:val="00542B62"/>
    <w:rsid w:val="00624785"/>
    <w:rsid w:val="00657E75"/>
    <w:rsid w:val="00742C67"/>
    <w:rsid w:val="007618F4"/>
    <w:rsid w:val="00764C6C"/>
    <w:rsid w:val="007D44B7"/>
    <w:rsid w:val="00821F8A"/>
    <w:rsid w:val="008B5BC3"/>
    <w:rsid w:val="008C3DB4"/>
    <w:rsid w:val="00940C9B"/>
    <w:rsid w:val="00956A71"/>
    <w:rsid w:val="009E038D"/>
    <w:rsid w:val="009E18F5"/>
    <w:rsid w:val="00A2496B"/>
    <w:rsid w:val="00AA73F9"/>
    <w:rsid w:val="00B079DB"/>
    <w:rsid w:val="00B07D98"/>
    <w:rsid w:val="00C52AB2"/>
    <w:rsid w:val="00CE1BA6"/>
    <w:rsid w:val="00CE6ECC"/>
    <w:rsid w:val="00CF652F"/>
    <w:rsid w:val="00D150D1"/>
    <w:rsid w:val="00D3233C"/>
    <w:rsid w:val="00D55D0F"/>
    <w:rsid w:val="00D60D09"/>
    <w:rsid w:val="00D73214"/>
    <w:rsid w:val="00D75D5A"/>
    <w:rsid w:val="00D875BA"/>
    <w:rsid w:val="00E17C23"/>
    <w:rsid w:val="00E24A47"/>
    <w:rsid w:val="00E47388"/>
    <w:rsid w:val="00E72B13"/>
    <w:rsid w:val="00EB2806"/>
    <w:rsid w:val="00EC0B4F"/>
    <w:rsid w:val="00EF2481"/>
    <w:rsid w:val="00F1628C"/>
    <w:rsid w:val="00F30459"/>
    <w:rsid w:val="00F42F23"/>
    <w:rsid w:val="00F461F2"/>
    <w:rsid w:val="00F83FD0"/>
    <w:rsid w:val="00FB0CDF"/>
    <w:rsid w:val="00FC57C4"/>
    <w:rsid w:val="00FD1962"/>
    <w:rsid w:val="00FE2882"/>
    <w:rsid w:val="3FFB4C31"/>
    <w:rsid w:val="7FEB4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6B4F801"/>
  <w15:docId w15:val="{CE30B3DF-6CFA-6D46-A5D2-D7787A300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5">
    <w:name w:val="Normal (Web)"/>
    <w:basedOn w:val="a"/>
    <w:uiPriority w:val="99"/>
    <w:unhideWhenUsed/>
    <w:rPr>
      <w:sz w:val="24"/>
    </w:rPr>
  </w:style>
  <w:style w:type="paragraph" w:styleId="a6">
    <w:name w:val="Title"/>
    <w:basedOn w:val="a"/>
    <w:next w:val="a"/>
    <w:link w:val="a7"/>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8">
    <w:name w:val="Strong"/>
    <w:basedOn w:val="a0"/>
    <w:uiPriority w:val="22"/>
    <w:qFormat/>
    <w:rPr>
      <w:b/>
    </w:rPr>
  </w:style>
  <w:style w:type="character" w:styleId="a9">
    <w:name w:val="Emphasis"/>
    <w:basedOn w:val="a0"/>
    <w:uiPriority w:val="20"/>
    <w:qFormat/>
    <w:rPr>
      <w:i/>
      <w:iCs/>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7">
    <w:name w:val="标题 字符"/>
    <w:basedOn w:val="a0"/>
    <w:link w:val="a6"/>
    <w:uiPriority w:val="10"/>
    <w:rPr>
      <w:rFonts w:asciiTheme="majorHAnsi" w:eastAsiaTheme="majorEastAsia" w:hAnsiTheme="majorHAnsi" w:cstheme="majorBidi"/>
      <w:spacing w:val="-10"/>
      <w:kern w:val="28"/>
      <w:sz w:val="56"/>
      <w:szCs w:val="56"/>
    </w:rPr>
  </w:style>
  <w:style w:type="character" w:customStyle="1" w:styleId="a4">
    <w:name w:val="副标题 字符"/>
    <w:basedOn w:val="a0"/>
    <w:link w:val="a3"/>
    <w:uiPriority w:val="11"/>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jc w:val="center"/>
    </w:pPr>
    <w:rPr>
      <w:i/>
      <w:iCs/>
      <w:color w:val="404040" w:themeColor="text1" w:themeTint="BF"/>
    </w:rPr>
  </w:style>
  <w:style w:type="character" w:customStyle="1" w:styleId="ab">
    <w:name w:val="引用 字符"/>
    <w:basedOn w:val="a0"/>
    <w:link w:val="aa"/>
    <w:uiPriority w:val="29"/>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ts-alignment-element">
    <w:name w:val="ts-alignment-element"/>
    <w:basedOn w:val="a0"/>
  </w:style>
  <w:style w:type="character" w:customStyle="1" w:styleId="apple-converted-space">
    <w:name w:val="apple-converted-spac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19</Pages>
  <Words>6973</Words>
  <Characters>39749</Characters>
  <Application>Microsoft Office Word</Application>
  <DocSecurity>0</DocSecurity>
  <Lines>331</Lines>
  <Paragraphs>93</Paragraphs>
  <ScaleCrop>false</ScaleCrop>
  <Company/>
  <LinksUpToDate>false</LinksUpToDate>
  <CharactersWithSpaces>46629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Tianci Wei (2409030)</dc:creator>
  <cp:lastModifiedBy>Tianci Wei (2409030)</cp:lastModifiedBy>
  <cp:revision>13</cp:revision>
  <dcterms:created xsi:type="dcterms:W3CDTF">2025-02-11T15:23:00Z</dcterms:created>
  <dcterms:modified xsi:type="dcterms:W3CDTF">2025-05-05T01:35:00Z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0E96067AAAD575854049E167C38848A5_42</vt:lpwstr>
  </property>
</Properties>
</file>