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0F13D0A" w:rsidR="00CD7564" w:rsidRPr="00644ED3" w:rsidRDefault="008E104F">
      <w:pPr>
        <w:rPr>
          <w:b/>
          <w:bCs/>
          <w:u w:val="single"/>
          <w:lang w:val="en-GB"/>
        </w:rPr>
      </w:pPr>
      <w:r w:rsidRPr="00644ED3">
        <w:rPr>
          <w:b/>
          <w:bCs/>
          <w:u w:val="single"/>
          <w:lang w:val="en-GB"/>
        </w:rPr>
        <w:t>: create</w:t>
      </w:r>
      <w:r w:rsidR="005951B6" w:rsidRPr="00644ED3">
        <w:rPr>
          <w:b/>
          <w:bCs/>
          <w:u w:val="single"/>
          <w:lang w:val="en-GB"/>
        </w:rPr>
        <w:t xml:space="preserve"> a </w:t>
      </w:r>
      <w:r w:rsidRPr="00644ED3">
        <w:rPr>
          <w:b/>
          <w:bCs/>
          <w:u w:val="single"/>
          <w:lang w:val="en-GB"/>
        </w:rPr>
        <w:t xml:space="preserve">website to support mini aged player development at Clase football club. </w:t>
      </w:r>
    </w:p>
    <w:p w14:paraId="2A539543" w14:textId="4E75F410" w:rsidR="008E104F" w:rsidRPr="00E62AB7" w:rsidRDefault="00E62AB7">
      <w:pPr>
        <w:rPr>
          <w:b/>
          <w:bCs/>
          <w:u w:val="single"/>
          <w:lang w:val="en-GB"/>
        </w:rPr>
      </w:pPr>
      <w:r w:rsidRPr="00E62AB7">
        <w:rPr>
          <w:b/>
          <w:bCs/>
          <w:u w:val="single"/>
          <w:lang w:val="en-GB"/>
        </w:rPr>
        <w:t xml:space="preserve">Introduction  </w:t>
      </w:r>
    </w:p>
    <w:p w14:paraId="6FFDEB00" w14:textId="3FC4B7CF" w:rsidR="008E104F" w:rsidRDefault="006E0533">
      <w:pPr>
        <w:rPr>
          <w:lang w:val="en-GB"/>
        </w:rPr>
      </w:pPr>
      <w:r>
        <w:rPr>
          <w:lang w:val="en-GB"/>
        </w:rPr>
        <w:t>Youth</w:t>
      </w:r>
      <w:r w:rsidR="00644ED3">
        <w:rPr>
          <w:lang w:val="en-GB"/>
        </w:rPr>
        <w:t xml:space="preserve"> football</w:t>
      </w:r>
      <w:r>
        <w:rPr>
          <w:lang w:val="en-GB"/>
        </w:rPr>
        <w:t xml:space="preserve"> development </w:t>
      </w:r>
      <w:r w:rsidR="00644ED3">
        <w:rPr>
          <w:lang w:val="en-GB"/>
        </w:rPr>
        <w:t xml:space="preserve">has become </w:t>
      </w:r>
      <w:bookmarkStart w:id="0" w:name="_Int_tpcMCPrf"/>
      <w:r w:rsidR="00644ED3">
        <w:rPr>
          <w:lang w:val="en-GB"/>
        </w:rPr>
        <w:t>a main focus</w:t>
      </w:r>
      <w:bookmarkEnd w:id="0"/>
      <w:r w:rsidR="00644ED3">
        <w:rPr>
          <w:lang w:val="en-GB"/>
        </w:rPr>
        <w:t xml:space="preserve"> within modern coaching </w:t>
      </w:r>
      <w:r w:rsidR="005A61DB">
        <w:rPr>
          <w:lang w:val="en-GB"/>
        </w:rPr>
        <w:t xml:space="preserve">due to the </w:t>
      </w:r>
      <w:r w:rsidR="001C03A1">
        <w:rPr>
          <w:lang w:val="en-GB"/>
        </w:rPr>
        <w:t>long-term</w:t>
      </w:r>
      <w:r w:rsidR="005A61DB">
        <w:rPr>
          <w:lang w:val="en-GB"/>
        </w:rPr>
        <w:t xml:space="preserve"> </w:t>
      </w:r>
      <w:r w:rsidR="00DE721F">
        <w:rPr>
          <w:lang w:val="en-GB"/>
        </w:rPr>
        <w:t>implications for both participation and elite performance pathways (Bang</w:t>
      </w:r>
      <w:r w:rsidR="0010461E">
        <w:rPr>
          <w:lang w:val="en-GB"/>
        </w:rPr>
        <w:t xml:space="preserve">sbo, 2003; Côté et al., 2007). </w:t>
      </w:r>
      <w:r w:rsidR="00A236AB">
        <w:rPr>
          <w:lang w:val="en-GB"/>
        </w:rPr>
        <w:t xml:space="preserve">The </w:t>
      </w:r>
      <w:r w:rsidR="001C03A1">
        <w:rPr>
          <w:lang w:val="en-GB"/>
        </w:rPr>
        <w:t>initial stages</w:t>
      </w:r>
      <w:r w:rsidR="00A236AB">
        <w:rPr>
          <w:lang w:val="en-GB"/>
        </w:rPr>
        <w:t xml:space="preserve"> of player development especially in mini aged categories </w:t>
      </w:r>
      <w:r w:rsidR="008F63C7">
        <w:rPr>
          <w:lang w:val="en-GB"/>
        </w:rPr>
        <w:t xml:space="preserve">are recognised as the foundational periods in which </w:t>
      </w:r>
      <w:r w:rsidR="00E85737">
        <w:rPr>
          <w:lang w:val="en-GB"/>
        </w:rPr>
        <w:t xml:space="preserve">technical, tactical, psychological and social </w:t>
      </w:r>
      <w:r w:rsidR="0082181D">
        <w:rPr>
          <w:lang w:val="en-GB"/>
        </w:rPr>
        <w:t xml:space="preserve">competencies </w:t>
      </w:r>
      <w:bookmarkStart w:id="1" w:name="_Int_bJ7Jz4BD"/>
      <w:r w:rsidR="0082181D">
        <w:rPr>
          <w:lang w:val="en-GB"/>
        </w:rPr>
        <w:t>are formed</w:t>
      </w:r>
      <w:bookmarkEnd w:id="1"/>
      <w:r w:rsidR="0082181D">
        <w:rPr>
          <w:lang w:val="en-GB"/>
        </w:rPr>
        <w:t xml:space="preserve"> (Ford et al., </w:t>
      </w:r>
      <w:r w:rsidR="00F05221">
        <w:rPr>
          <w:lang w:val="en-GB"/>
        </w:rPr>
        <w:t xml:space="preserve">2011). For Clase football club being a grassroots organisation </w:t>
      </w:r>
      <w:r w:rsidR="00FC3E27">
        <w:rPr>
          <w:lang w:val="en-GB"/>
        </w:rPr>
        <w:t>there is an increased emphasis on having a created structure</w:t>
      </w:r>
      <w:r w:rsidR="00F42D88">
        <w:rPr>
          <w:lang w:val="en-GB"/>
        </w:rPr>
        <w:t xml:space="preserve">, evidence-informed approaches </w:t>
      </w:r>
      <w:r w:rsidR="0009417C">
        <w:rPr>
          <w:lang w:val="en-GB"/>
        </w:rPr>
        <w:t xml:space="preserve">that </w:t>
      </w:r>
      <w:bookmarkStart w:id="2" w:name="_Int_E1dlSSmX"/>
      <w:r w:rsidR="0009417C">
        <w:rPr>
          <w:lang w:val="en-GB"/>
        </w:rPr>
        <w:t>are effectively communicated</w:t>
      </w:r>
      <w:bookmarkEnd w:id="2"/>
      <w:r w:rsidR="0009417C">
        <w:rPr>
          <w:lang w:val="en-GB"/>
        </w:rPr>
        <w:t xml:space="preserve"> </w:t>
      </w:r>
      <w:r w:rsidR="00961EFA">
        <w:rPr>
          <w:lang w:val="en-GB"/>
        </w:rPr>
        <w:t xml:space="preserve">through digital platforms </w:t>
      </w:r>
      <w:r w:rsidR="004F4B9C">
        <w:rPr>
          <w:lang w:val="en-GB"/>
        </w:rPr>
        <w:t>(Williams</w:t>
      </w:r>
      <w:r w:rsidR="00961EFA">
        <w:rPr>
          <w:lang w:val="en-GB"/>
        </w:rPr>
        <w:t xml:space="preserve"> </w:t>
      </w:r>
      <w:r w:rsidR="00210ED8">
        <w:rPr>
          <w:lang w:val="en-GB"/>
        </w:rPr>
        <w:t xml:space="preserve">&amp; hodges, 2005). Having this </w:t>
      </w:r>
      <w:r w:rsidR="004F4B9C">
        <w:rPr>
          <w:lang w:val="en-GB"/>
        </w:rPr>
        <w:t>website</w:t>
      </w:r>
      <w:r w:rsidR="001F6F3D">
        <w:rPr>
          <w:lang w:val="en-GB"/>
        </w:rPr>
        <w:t xml:space="preserve"> dedicated </w:t>
      </w:r>
      <w:r w:rsidR="000053DD">
        <w:rPr>
          <w:lang w:val="en-GB"/>
        </w:rPr>
        <w:t xml:space="preserve">to supporting coaching practices and player learning </w:t>
      </w:r>
      <w:r w:rsidR="00A6040B">
        <w:rPr>
          <w:lang w:val="en-GB"/>
        </w:rPr>
        <w:t xml:space="preserve">will require </w:t>
      </w:r>
      <w:r w:rsidR="002D76A0">
        <w:rPr>
          <w:lang w:val="en-GB"/>
        </w:rPr>
        <w:t xml:space="preserve">literature surrounding pedagogy, skill </w:t>
      </w:r>
      <w:r w:rsidR="008D7B8D">
        <w:rPr>
          <w:lang w:val="en-GB"/>
        </w:rPr>
        <w:t>acquisition,</w:t>
      </w:r>
      <w:r w:rsidR="002D76A0">
        <w:rPr>
          <w:lang w:val="en-GB"/>
        </w:rPr>
        <w:t xml:space="preserve"> and youth support development </w:t>
      </w:r>
      <w:r w:rsidR="004F4B9C">
        <w:rPr>
          <w:lang w:val="en-GB"/>
        </w:rPr>
        <w:t xml:space="preserve">models (Lyle &amp; Cushion, 2017). </w:t>
      </w:r>
    </w:p>
    <w:p w14:paraId="3F6F61D4" w14:textId="35371990" w:rsidR="0035130E" w:rsidRDefault="008C02E9">
      <w:pPr>
        <w:rPr>
          <w:lang w:val="en-GB"/>
        </w:rPr>
      </w:pPr>
      <w:r>
        <w:rPr>
          <w:lang w:val="en-GB"/>
        </w:rPr>
        <w:t>The literature highlights outline of traditional coaching being</w:t>
      </w:r>
      <w:r w:rsidR="00CA65EF">
        <w:rPr>
          <w:lang w:val="en-GB"/>
        </w:rPr>
        <w:t xml:space="preserve"> </w:t>
      </w:r>
      <w:r w:rsidR="00573603">
        <w:rPr>
          <w:lang w:val="en-GB"/>
        </w:rPr>
        <w:t>characterised by repetitive drills and coach led instructio</w:t>
      </w:r>
      <w:r w:rsidR="00D62D38">
        <w:rPr>
          <w:lang w:val="en-GB"/>
        </w:rPr>
        <w:t xml:space="preserve">n although they have gradually </w:t>
      </w:r>
      <w:bookmarkStart w:id="3" w:name="_Int_7JMmsAxK"/>
      <w:r w:rsidR="00D62D38">
        <w:rPr>
          <w:lang w:val="en-GB"/>
        </w:rPr>
        <w:t>been switched</w:t>
      </w:r>
      <w:bookmarkEnd w:id="3"/>
      <w:r w:rsidR="00D62D38">
        <w:rPr>
          <w:lang w:val="en-GB"/>
        </w:rPr>
        <w:t xml:space="preserve"> for player centred </w:t>
      </w:r>
      <w:r w:rsidR="009A2789">
        <w:rPr>
          <w:lang w:val="en-GB"/>
        </w:rPr>
        <w:t xml:space="preserve">and game-based methodologies (Light, 2013). </w:t>
      </w:r>
      <w:r w:rsidR="008D7B8D">
        <w:rPr>
          <w:lang w:val="en-GB"/>
        </w:rPr>
        <w:t>Small, sided</w:t>
      </w:r>
      <w:r w:rsidR="003E6BAD">
        <w:rPr>
          <w:lang w:val="en-GB"/>
        </w:rPr>
        <w:t xml:space="preserve"> games have shown to be vital for a dominant tool within youth football </w:t>
      </w:r>
      <w:r w:rsidR="00BB1896">
        <w:rPr>
          <w:lang w:val="en-GB"/>
        </w:rPr>
        <w:t>due to replicating match scenarios whilst en</w:t>
      </w:r>
      <w:r w:rsidR="00203B51">
        <w:rPr>
          <w:lang w:val="en-GB"/>
        </w:rPr>
        <w:t>hancing</w:t>
      </w:r>
      <w:r w:rsidR="00BB1896">
        <w:rPr>
          <w:lang w:val="en-GB"/>
        </w:rPr>
        <w:t xml:space="preserve"> engagement </w:t>
      </w:r>
      <w:r w:rsidR="003C4F30">
        <w:rPr>
          <w:lang w:val="en-GB"/>
        </w:rPr>
        <w:t>(Ferreira-Ruiz et al, 2022;)</w:t>
      </w:r>
      <w:r w:rsidR="004341EA">
        <w:rPr>
          <w:lang w:val="en-GB"/>
        </w:rPr>
        <w:t xml:space="preserve">. These approaches have linked with the broader theoretical frameworks </w:t>
      </w:r>
      <w:r w:rsidR="00135DAF">
        <w:rPr>
          <w:lang w:val="en-GB"/>
        </w:rPr>
        <w:t xml:space="preserve">such as ecological dynamics and constraint led coaching </w:t>
      </w:r>
      <w:r w:rsidR="00F35122">
        <w:rPr>
          <w:lang w:val="en-GB"/>
        </w:rPr>
        <w:t xml:space="preserve">with the aim of having the interaction of the player, </w:t>
      </w:r>
      <w:r w:rsidR="008D7B8D">
        <w:rPr>
          <w:lang w:val="en-GB"/>
        </w:rPr>
        <w:t>task,</w:t>
      </w:r>
      <w:r w:rsidR="000C11CC">
        <w:rPr>
          <w:lang w:val="en-GB"/>
        </w:rPr>
        <w:t xml:space="preserve"> and environment (Davids et al, 2013). </w:t>
      </w:r>
      <w:r w:rsidR="00DD5497">
        <w:rPr>
          <w:lang w:val="en-GB"/>
        </w:rPr>
        <w:t xml:space="preserve">Governing bodies such as the FA </w:t>
      </w:r>
      <w:r w:rsidR="00983278">
        <w:rPr>
          <w:lang w:val="en-GB"/>
        </w:rPr>
        <w:t xml:space="preserve">have promoted </w:t>
      </w:r>
      <w:r w:rsidR="008D7B8D">
        <w:rPr>
          <w:lang w:val="en-GB"/>
        </w:rPr>
        <w:t>age-appropriate</w:t>
      </w:r>
      <w:r w:rsidR="00983278">
        <w:rPr>
          <w:lang w:val="en-GB"/>
        </w:rPr>
        <w:t xml:space="preserve"> formats, with </w:t>
      </w:r>
      <w:r w:rsidR="008D7B8D">
        <w:rPr>
          <w:lang w:val="en-GB"/>
        </w:rPr>
        <w:t>mini football</w:t>
      </w:r>
      <w:r w:rsidR="00EC0A7E">
        <w:rPr>
          <w:lang w:val="en-GB"/>
        </w:rPr>
        <w:t xml:space="preserve"> to enhance </w:t>
      </w:r>
      <w:r w:rsidR="005F2858">
        <w:rPr>
          <w:lang w:val="en-GB"/>
        </w:rPr>
        <w:t xml:space="preserve">learning and enjoyment in young players through formats like 5 aside </w:t>
      </w:r>
      <w:r w:rsidR="00E438BD">
        <w:rPr>
          <w:lang w:val="en-GB"/>
        </w:rPr>
        <w:t xml:space="preserve">football </w:t>
      </w:r>
      <w:r w:rsidR="008D7B8D">
        <w:rPr>
          <w:lang w:val="en-GB"/>
        </w:rPr>
        <w:t>(Wikipedia</w:t>
      </w:r>
      <w:r w:rsidR="005C7D06">
        <w:rPr>
          <w:lang w:val="en-GB"/>
        </w:rPr>
        <w:t xml:space="preserve">, 2009). </w:t>
      </w:r>
      <w:r w:rsidR="00786912">
        <w:rPr>
          <w:lang w:val="en-GB"/>
        </w:rPr>
        <w:t xml:space="preserve">These structural adaptations have supported the research shown to that by reducing </w:t>
      </w:r>
      <w:r w:rsidR="00915A2F">
        <w:rPr>
          <w:lang w:val="en-GB"/>
        </w:rPr>
        <w:t>player numbers it increases the ball touches leading to more decision-making opportunities and tactical involvement (Hill-Haas et al, 2011</w:t>
      </w:r>
      <w:r w:rsidR="00F27634">
        <w:rPr>
          <w:lang w:val="en-GB"/>
        </w:rPr>
        <w:t>). This</w:t>
      </w:r>
      <w:r w:rsidR="006F4F63">
        <w:rPr>
          <w:lang w:val="en-GB"/>
        </w:rPr>
        <w:t xml:space="preserve"> literature review will review aims </w:t>
      </w:r>
      <w:r w:rsidR="004E0C9C">
        <w:rPr>
          <w:lang w:val="en-GB"/>
        </w:rPr>
        <w:t xml:space="preserve">to synthesise key research relevant to mini aged development with the objective of designing a website to support coaching </w:t>
      </w:r>
      <w:r w:rsidR="007F0E36">
        <w:rPr>
          <w:lang w:val="en-GB"/>
        </w:rPr>
        <w:t xml:space="preserve">and learning at Clase football club. The review will explore theoretical frameworks, </w:t>
      </w:r>
      <w:r w:rsidR="00F27634">
        <w:rPr>
          <w:lang w:val="en-GB"/>
        </w:rPr>
        <w:t xml:space="preserve">coaching methods, practical applications, before concluding with recommendations for digital implementation. </w:t>
      </w:r>
    </w:p>
    <w:p w14:paraId="59EA0F09" w14:textId="6232C874" w:rsidR="00F27634" w:rsidRDefault="00E62AB7">
      <w:pPr>
        <w:rPr>
          <w:b/>
          <w:bCs/>
          <w:u w:val="single"/>
          <w:lang w:val="en-GB"/>
        </w:rPr>
      </w:pPr>
      <w:r>
        <w:rPr>
          <w:b/>
          <w:bCs/>
          <w:u w:val="single"/>
          <w:lang w:val="en-GB"/>
        </w:rPr>
        <w:t>Main lit review</w:t>
      </w:r>
    </w:p>
    <w:p w14:paraId="45EEF262" w14:textId="62C74C15" w:rsidR="00E62AB7" w:rsidRPr="00E62AB7" w:rsidRDefault="0041483E">
      <w:pPr>
        <w:rPr>
          <w:lang w:val="en-GB"/>
        </w:rPr>
      </w:pPr>
      <w:r>
        <w:rPr>
          <w:lang w:val="en-GB"/>
        </w:rPr>
        <w:t>Theor</w:t>
      </w:r>
      <w:r w:rsidR="00DB4A1E">
        <w:rPr>
          <w:lang w:val="en-GB"/>
        </w:rPr>
        <w:t xml:space="preserve">etical models underpinning youth development </w:t>
      </w:r>
      <w:r w:rsidR="00687841">
        <w:rPr>
          <w:lang w:val="en-GB"/>
        </w:rPr>
        <w:t xml:space="preserve">offer a framework for understanding on how children learn within a sporting environment </w:t>
      </w:r>
      <w:r w:rsidR="002E7047">
        <w:rPr>
          <w:lang w:val="en-GB"/>
        </w:rPr>
        <w:t>(Côté</w:t>
      </w:r>
      <w:r w:rsidR="00752E2C">
        <w:rPr>
          <w:lang w:val="en-GB"/>
        </w:rPr>
        <w:t xml:space="preserve"> &amp; Gilbert, 2009). </w:t>
      </w:r>
      <w:r w:rsidR="001E5E37">
        <w:rPr>
          <w:lang w:val="en-GB"/>
        </w:rPr>
        <w:t xml:space="preserve">The </w:t>
      </w:r>
      <w:r w:rsidR="00370956">
        <w:rPr>
          <w:lang w:val="en-GB"/>
        </w:rPr>
        <w:t>Long-Term</w:t>
      </w:r>
      <w:r w:rsidR="005D292D">
        <w:rPr>
          <w:lang w:val="en-GB"/>
        </w:rPr>
        <w:t xml:space="preserve"> </w:t>
      </w:r>
      <w:r w:rsidR="00902BBF">
        <w:rPr>
          <w:lang w:val="en-GB"/>
        </w:rPr>
        <w:t>athlete development</w:t>
      </w:r>
      <w:r w:rsidR="008F1093">
        <w:rPr>
          <w:lang w:val="en-GB"/>
        </w:rPr>
        <w:t xml:space="preserve"> (LTAD)</w:t>
      </w:r>
      <w:r w:rsidR="00902BBF">
        <w:rPr>
          <w:lang w:val="en-GB"/>
        </w:rPr>
        <w:t xml:space="preserve"> model </w:t>
      </w:r>
      <w:r w:rsidR="00A95646">
        <w:rPr>
          <w:lang w:val="en-GB"/>
        </w:rPr>
        <w:t xml:space="preserve">suggests that in the early </w:t>
      </w:r>
      <w:r w:rsidR="00B71FA7">
        <w:rPr>
          <w:lang w:val="en-GB"/>
        </w:rPr>
        <w:t>stage's</w:t>
      </w:r>
      <w:r w:rsidR="00A95646">
        <w:rPr>
          <w:lang w:val="en-GB"/>
        </w:rPr>
        <w:t xml:space="preserve"> </w:t>
      </w:r>
      <w:r w:rsidR="00370956">
        <w:rPr>
          <w:lang w:val="en-GB"/>
        </w:rPr>
        <w:t xml:space="preserve">fundamental movement on skills and enjoyment should be prioritised over competition </w:t>
      </w:r>
      <w:r w:rsidR="4F0A0879" w:rsidRPr="6E4AB4A3">
        <w:rPr>
          <w:lang w:val="en-GB"/>
        </w:rPr>
        <w:t xml:space="preserve">(Balyi &amp; Hamilton, 2004). This suggestion aligns with research that suggest </w:t>
      </w:r>
      <w:r w:rsidR="2D624A2D" w:rsidRPr="6E4AB4A3">
        <w:rPr>
          <w:lang w:val="en-GB"/>
        </w:rPr>
        <w:t xml:space="preserve">early diversification rather than specialisation will lead to a more adaptable and resilient athlete </w:t>
      </w:r>
      <w:r w:rsidR="39397DD0" w:rsidRPr="6E4AB4A3">
        <w:rPr>
          <w:lang w:val="en-GB"/>
        </w:rPr>
        <w:t xml:space="preserve">(Côté &amp; Gilbert, 2009). From the Socio-cultural perspective, learning in sport can be understood by communities and the </w:t>
      </w:r>
      <w:r w:rsidR="17479C9C" w:rsidRPr="6E4AB4A3">
        <w:rPr>
          <w:lang w:val="en-GB"/>
        </w:rPr>
        <w:t xml:space="preserve">practice theory which conceptualises teams as a environment where knowledge is co constructed through participation and interaction (Lave </w:t>
      </w:r>
      <w:r w:rsidR="254B05EC" w:rsidRPr="6E4AB4A3">
        <w:rPr>
          <w:lang w:val="en-GB"/>
        </w:rPr>
        <w:t xml:space="preserve">&amp; Wenger, 1991). Within this framework, Players develop by social identity </w:t>
      </w:r>
      <w:r w:rsidR="1F7CC772" w:rsidRPr="6E4AB4A3">
        <w:rPr>
          <w:lang w:val="en-GB"/>
        </w:rPr>
        <w:t xml:space="preserve">and teamwork behaviours aswell as technical skill, this is often seen in Grassroots clubs where inclusion and belonging </w:t>
      </w:r>
      <w:r w:rsidR="6697C71B" w:rsidRPr="6E4AB4A3">
        <w:rPr>
          <w:lang w:val="en-GB"/>
        </w:rPr>
        <w:t>have key outcomes.</w:t>
      </w:r>
      <w:r w:rsidR="2596F612" w:rsidRPr="6E4AB4A3">
        <w:rPr>
          <w:lang w:val="en-GB"/>
        </w:rPr>
        <w:t xml:space="preserve"> Ecological dynamics can extend this understanding further by emphasising perception after coupling where the players learn by interacting with realistic game environments</w:t>
      </w:r>
      <w:r w:rsidR="639F903B" w:rsidRPr="6E4AB4A3">
        <w:rPr>
          <w:lang w:val="en-GB"/>
        </w:rPr>
        <w:t xml:space="preserve"> (Davids et al, 2013). This approach challenges the reductionist training methods whilst supporting the use of represen</w:t>
      </w:r>
      <w:r w:rsidR="7C0DFA29" w:rsidRPr="6E4AB4A3">
        <w:rPr>
          <w:lang w:val="en-GB"/>
        </w:rPr>
        <w:t>ta</w:t>
      </w:r>
      <w:r w:rsidR="639F903B" w:rsidRPr="6E4AB4A3">
        <w:rPr>
          <w:lang w:val="en-GB"/>
        </w:rPr>
        <w:t xml:space="preserve">tive learning </w:t>
      </w:r>
      <w:r w:rsidR="786B53AD" w:rsidRPr="6E4AB4A3">
        <w:rPr>
          <w:lang w:val="en-GB"/>
        </w:rPr>
        <w:t xml:space="preserve">designs such as SSGs (Pinder et al, 2011). The implication for website design is that the resources should promote </w:t>
      </w:r>
      <w:r w:rsidR="64ED2E63" w:rsidRPr="6E4AB4A3">
        <w:rPr>
          <w:lang w:val="en-GB"/>
        </w:rPr>
        <w:t>learning</w:t>
      </w:r>
      <w:r w:rsidR="786B53AD" w:rsidRPr="6E4AB4A3">
        <w:rPr>
          <w:lang w:val="en-GB"/>
        </w:rPr>
        <w:t xml:space="preserve"> through these </w:t>
      </w:r>
      <w:r w:rsidR="5A47DBAB" w:rsidRPr="6E4AB4A3">
        <w:rPr>
          <w:lang w:val="en-GB"/>
        </w:rPr>
        <w:t>game-based</w:t>
      </w:r>
      <w:r w:rsidR="786B53AD" w:rsidRPr="6E4AB4A3">
        <w:rPr>
          <w:lang w:val="en-GB"/>
        </w:rPr>
        <w:t xml:space="preserve"> scenarios </w:t>
      </w:r>
      <w:r w:rsidR="56F24526" w:rsidRPr="6E4AB4A3">
        <w:rPr>
          <w:lang w:val="en-GB"/>
        </w:rPr>
        <w:t xml:space="preserve">rather than isolated drills. </w:t>
      </w:r>
    </w:p>
    <w:p w14:paraId="44DB7A38" w14:textId="3CEEE212" w:rsidR="0129B765" w:rsidRDefault="0129B765" w:rsidP="6E4AB4A3">
      <w:pPr>
        <w:rPr>
          <w:b/>
          <w:bCs/>
          <w:u w:val="single"/>
          <w:lang w:val="en-GB"/>
        </w:rPr>
      </w:pPr>
      <w:r w:rsidRPr="6E4AB4A3">
        <w:rPr>
          <w:b/>
          <w:bCs/>
          <w:u w:val="single"/>
          <w:lang w:val="en-GB"/>
        </w:rPr>
        <w:t>Small sided games and skill development</w:t>
      </w:r>
    </w:p>
    <w:p w14:paraId="25D1D3EF" w14:textId="19783D40" w:rsidR="72132AEC" w:rsidRDefault="72132AEC" w:rsidP="6E4AB4A3">
      <w:pPr>
        <w:rPr>
          <w:lang w:val="en-GB"/>
        </w:rPr>
      </w:pPr>
      <w:r w:rsidRPr="6E4AB4A3">
        <w:rPr>
          <w:lang w:val="en-GB"/>
        </w:rPr>
        <w:t>Small, sided</w:t>
      </w:r>
      <w:r w:rsidR="0129B765" w:rsidRPr="6E4AB4A3">
        <w:rPr>
          <w:lang w:val="en-GB"/>
        </w:rPr>
        <w:t xml:space="preserve"> games are known as one of the most effective </w:t>
      </w:r>
      <w:r w:rsidR="2FC7EC42" w:rsidRPr="6E4AB4A3">
        <w:rPr>
          <w:lang w:val="en-GB"/>
        </w:rPr>
        <w:t>tools</w:t>
      </w:r>
      <w:r w:rsidR="0129B765" w:rsidRPr="6E4AB4A3">
        <w:rPr>
          <w:lang w:val="en-GB"/>
        </w:rPr>
        <w:t xml:space="preserve"> for youth development due to the ability to replicate match conditions whilst </w:t>
      </w:r>
      <w:r w:rsidR="25F69EE4" w:rsidRPr="6E4AB4A3">
        <w:rPr>
          <w:lang w:val="en-GB"/>
        </w:rPr>
        <w:t>seeing</w:t>
      </w:r>
      <w:r w:rsidR="0129B765" w:rsidRPr="6E4AB4A3">
        <w:rPr>
          <w:lang w:val="en-GB"/>
        </w:rPr>
        <w:t xml:space="preserve"> a</w:t>
      </w:r>
      <w:r w:rsidR="06B2CDAC" w:rsidRPr="6E4AB4A3">
        <w:rPr>
          <w:lang w:val="en-GB"/>
        </w:rPr>
        <w:t>n</w:t>
      </w:r>
      <w:r w:rsidR="0129B765" w:rsidRPr="6E4AB4A3">
        <w:rPr>
          <w:lang w:val="en-GB"/>
        </w:rPr>
        <w:t xml:space="preserve"> increase </w:t>
      </w:r>
      <w:r w:rsidR="7D2D4303" w:rsidRPr="6E4AB4A3">
        <w:rPr>
          <w:lang w:val="en-GB"/>
        </w:rPr>
        <w:t xml:space="preserve">in the player engagement (Hill-Haas et al, 2011). </w:t>
      </w:r>
      <w:r w:rsidR="20E9054D" w:rsidRPr="6E4AB4A3">
        <w:rPr>
          <w:lang w:val="en-GB"/>
        </w:rPr>
        <w:t>By reducing the number of players and making the pitch size smaller it will create a game with more frequent interactions on and with the ball leading to pla</w:t>
      </w:r>
      <w:r w:rsidR="749A3350" w:rsidRPr="6E4AB4A3">
        <w:rPr>
          <w:lang w:val="en-GB"/>
        </w:rPr>
        <w:t>yers having more situations where they will need to make decisions for themselves. Research shows that</w:t>
      </w:r>
      <w:r w:rsidR="1970BBE5" w:rsidRPr="6E4AB4A3">
        <w:rPr>
          <w:lang w:val="en-GB"/>
        </w:rPr>
        <w:t xml:space="preserve"> these games enhance technical skills such as passing, dribbling and shooting due to increased repetitions under pressure (Ramp</w:t>
      </w:r>
      <w:r w:rsidR="0995F122" w:rsidRPr="6E4AB4A3">
        <w:rPr>
          <w:lang w:val="en-GB"/>
        </w:rPr>
        <w:t xml:space="preserve">inini et al, 2007). </w:t>
      </w:r>
      <w:r w:rsidR="3D8BBFD5" w:rsidRPr="6E4AB4A3">
        <w:rPr>
          <w:lang w:val="en-GB"/>
        </w:rPr>
        <w:t>Small-sided</w:t>
      </w:r>
      <w:r w:rsidR="0995F122" w:rsidRPr="6E4AB4A3">
        <w:rPr>
          <w:lang w:val="en-GB"/>
        </w:rPr>
        <w:t xml:space="preserve"> games also improve tactical awareness by making players </w:t>
      </w:r>
      <w:r w:rsidR="4B62625D" w:rsidRPr="6E4AB4A3">
        <w:rPr>
          <w:lang w:val="en-GB"/>
        </w:rPr>
        <w:t xml:space="preserve">need to constantly </w:t>
      </w:r>
      <w:r w:rsidR="7B4B2333" w:rsidRPr="6E4AB4A3">
        <w:rPr>
          <w:lang w:val="en-GB"/>
        </w:rPr>
        <w:t>perceive</w:t>
      </w:r>
      <w:r w:rsidR="4B62625D" w:rsidRPr="6E4AB4A3">
        <w:rPr>
          <w:lang w:val="en-GB"/>
        </w:rPr>
        <w:t xml:space="preserve"> and respond to dynamic situations (Ferreira-Ruiz et al</w:t>
      </w:r>
      <w:r w:rsidR="01317286" w:rsidRPr="6E4AB4A3">
        <w:rPr>
          <w:lang w:val="en-GB"/>
        </w:rPr>
        <w:t>, 2022)</w:t>
      </w:r>
      <w:r w:rsidR="4CBC3DE2" w:rsidRPr="6E4AB4A3">
        <w:rPr>
          <w:lang w:val="en-GB"/>
        </w:rPr>
        <w:t>,</w:t>
      </w:r>
      <w:r w:rsidR="749A3350" w:rsidRPr="6E4AB4A3">
        <w:rPr>
          <w:lang w:val="en-GB"/>
        </w:rPr>
        <w:t xml:space="preserve"> </w:t>
      </w:r>
      <w:r w:rsidR="6BB714D5" w:rsidRPr="6E4AB4A3">
        <w:rPr>
          <w:lang w:val="en-GB"/>
        </w:rPr>
        <w:t xml:space="preserve">This aligns with the findings by showing faster decision making and cognitive engagement compared to traditional drills. </w:t>
      </w:r>
      <w:r w:rsidR="7ABC92E3" w:rsidRPr="6E4AB4A3">
        <w:rPr>
          <w:lang w:val="en-GB"/>
        </w:rPr>
        <w:t xml:space="preserve">With these </w:t>
      </w:r>
      <w:r w:rsidR="679C55C8" w:rsidRPr="6E4AB4A3">
        <w:rPr>
          <w:lang w:val="en-GB"/>
        </w:rPr>
        <w:t>small, sided</w:t>
      </w:r>
      <w:r w:rsidR="7ABC92E3" w:rsidRPr="6E4AB4A3">
        <w:rPr>
          <w:lang w:val="en-GB"/>
        </w:rPr>
        <w:t xml:space="preserve"> games being adaptable coaches can use this to </w:t>
      </w:r>
      <w:r w:rsidR="114BF9A3" w:rsidRPr="6E4AB4A3">
        <w:rPr>
          <w:lang w:val="en-GB"/>
        </w:rPr>
        <w:t>an</w:t>
      </w:r>
      <w:r w:rsidR="7ABC92E3" w:rsidRPr="6E4AB4A3">
        <w:rPr>
          <w:lang w:val="en-GB"/>
        </w:rPr>
        <w:t xml:space="preserve"> advantage by using these numbers, pitch dimensions and </w:t>
      </w:r>
      <w:r w:rsidR="281F5E84" w:rsidRPr="6E4AB4A3">
        <w:rPr>
          <w:lang w:val="en-GB"/>
        </w:rPr>
        <w:t>rules to be able to target specific outcomes</w:t>
      </w:r>
      <w:r w:rsidR="073F303C" w:rsidRPr="6E4AB4A3">
        <w:rPr>
          <w:lang w:val="en-GB"/>
        </w:rPr>
        <w:t xml:space="preserve"> (Davida et al, 2013). AN example of this would be adding a neutral player, this can create a</w:t>
      </w:r>
      <w:r w:rsidR="1F6757D7" w:rsidRPr="6E4AB4A3">
        <w:rPr>
          <w:lang w:val="en-GB"/>
        </w:rPr>
        <w:t xml:space="preserve">n overload which encourages spatial awareness and scanning behaviours which is highlighted in applied coaching practices discussed in online communities. </w:t>
      </w:r>
      <w:r w:rsidR="540E782A" w:rsidRPr="6E4AB4A3">
        <w:rPr>
          <w:lang w:val="en-GB"/>
        </w:rPr>
        <w:t>Furthermore,</w:t>
      </w:r>
      <w:r w:rsidR="4CCA9922" w:rsidRPr="6E4AB4A3">
        <w:rPr>
          <w:lang w:val="en-GB"/>
        </w:rPr>
        <w:t xml:space="preserve"> these games have been shown to contribute to physical development by replicating high intensity demands of </w:t>
      </w:r>
      <w:r w:rsidR="4125F050" w:rsidRPr="6E4AB4A3">
        <w:rPr>
          <w:lang w:val="en-GB"/>
        </w:rPr>
        <w:t xml:space="preserve">match play (Dellal et al, 2012). This can help create a more efficient training session through methods that develop technical, tactical </w:t>
      </w:r>
      <w:r w:rsidR="07514D21" w:rsidRPr="6E4AB4A3">
        <w:rPr>
          <w:lang w:val="en-GB"/>
        </w:rPr>
        <w:t xml:space="preserve">and physiological capacities. For a club website, these finding show that session plans and video demonstrations should prioritise </w:t>
      </w:r>
      <w:r w:rsidR="167BD02F" w:rsidRPr="6E4AB4A3">
        <w:rPr>
          <w:lang w:val="en-GB"/>
        </w:rPr>
        <w:t>small, sided</w:t>
      </w:r>
      <w:r w:rsidR="07514D21" w:rsidRPr="6E4AB4A3">
        <w:rPr>
          <w:lang w:val="en-GB"/>
        </w:rPr>
        <w:t xml:space="preserve"> games </w:t>
      </w:r>
      <w:r w:rsidR="5477D461" w:rsidRPr="6E4AB4A3">
        <w:rPr>
          <w:lang w:val="en-GB"/>
        </w:rPr>
        <w:t xml:space="preserve">with clear explanations of how constraints can be manipulated to achieve learning outcomes. </w:t>
      </w:r>
    </w:p>
    <w:p w14:paraId="697AA8B3" w14:textId="7544C5FE" w:rsidR="3C27A562" w:rsidRDefault="3C27A562" w:rsidP="6E4AB4A3">
      <w:pPr>
        <w:rPr>
          <w:b/>
          <w:bCs/>
          <w:u w:val="single"/>
          <w:lang w:val="en-GB"/>
        </w:rPr>
      </w:pPr>
      <w:r w:rsidRPr="6E4AB4A3">
        <w:rPr>
          <w:b/>
          <w:bCs/>
          <w:u w:val="single"/>
          <w:lang w:val="en-GB"/>
        </w:rPr>
        <w:t xml:space="preserve">Psychological and social development in mini aged players </w:t>
      </w:r>
    </w:p>
    <w:p w14:paraId="20A98FF1" w14:textId="5753B557" w:rsidR="3C27A562" w:rsidRDefault="3C27A562" w:rsidP="6E4AB4A3">
      <w:pPr>
        <w:rPr>
          <w:lang w:val="en-GB"/>
        </w:rPr>
      </w:pPr>
      <w:r w:rsidRPr="6E4AB4A3">
        <w:rPr>
          <w:lang w:val="en-GB"/>
        </w:rPr>
        <w:t xml:space="preserve">Whilst youth football at this age is not entirely concerned with physical and tehcnical development, it also plays a significant role towards </w:t>
      </w:r>
      <w:r w:rsidR="15E7CDC6" w:rsidRPr="6E4AB4A3">
        <w:rPr>
          <w:lang w:val="en-GB"/>
        </w:rPr>
        <w:t>psychological and social growth (Weinberg &amp; Gould, 2015).</w:t>
      </w:r>
      <w:r w:rsidR="4C5B1C7B" w:rsidRPr="6E4AB4A3">
        <w:rPr>
          <w:lang w:val="en-GB"/>
        </w:rPr>
        <w:t xml:space="preserve"> Participation in team sports has been linked towards increasing self-esteem, motivation and resilience (Fraser-Thomas et al,2005). R</w:t>
      </w:r>
      <w:r w:rsidR="03E555C3" w:rsidRPr="6E4AB4A3">
        <w:rPr>
          <w:lang w:val="en-GB"/>
        </w:rPr>
        <w:t xml:space="preserve">esearch shows that football environments can create a social inclusion and identity formation especially when it's designed to be accessible and supportive. </w:t>
      </w:r>
      <w:r w:rsidR="0EC3408B" w:rsidRPr="6E4AB4A3">
        <w:rPr>
          <w:lang w:val="en-GB"/>
        </w:rPr>
        <w:t>Small, sided</w:t>
      </w:r>
      <w:r w:rsidR="03E555C3" w:rsidRPr="6E4AB4A3">
        <w:rPr>
          <w:lang w:val="en-GB"/>
        </w:rPr>
        <w:t xml:space="preserve"> games co</w:t>
      </w:r>
      <w:r w:rsidR="4221A2E3" w:rsidRPr="6E4AB4A3">
        <w:rPr>
          <w:lang w:val="en-GB"/>
        </w:rPr>
        <w:t xml:space="preserve">ntribute to this by ensuring that all players are actively involved, reducing the likelihood of </w:t>
      </w:r>
      <w:r w:rsidR="4DA3A42C" w:rsidRPr="6E4AB4A3">
        <w:rPr>
          <w:lang w:val="en-GB"/>
        </w:rPr>
        <w:t>exclusion</w:t>
      </w:r>
      <w:r w:rsidR="4221A2E3" w:rsidRPr="6E4AB4A3">
        <w:rPr>
          <w:lang w:val="en-GB"/>
        </w:rPr>
        <w:t xml:space="preserve"> of disengagement. Motivation is another critical factor in mini-aged development</w:t>
      </w:r>
      <w:r w:rsidR="40EC3681" w:rsidRPr="6E4AB4A3">
        <w:rPr>
          <w:lang w:val="en-GB"/>
        </w:rPr>
        <w:t xml:space="preserve">, with </w:t>
      </w:r>
      <w:r w:rsidR="65B1651B" w:rsidRPr="6E4AB4A3">
        <w:rPr>
          <w:lang w:val="en-GB"/>
        </w:rPr>
        <w:t>self-determination</w:t>
      </w:r>
      <w:r w:rsidR="40EC3681" w:rsidRPr="6E4AB4A3">
        <w:rPr>
          <w:lang w:val="en-GB"/>
        </w:rPr>
        <w:t xml:space="preserve"> theory highlighting the importance of autonomy, competence and relatedness (Deci &amp; Ryan, 2000).</w:t>
      </w:r>
      <w:r w:rsidR="223BAB47" w:rsidRPr="6E4AB4A3">
        <w:rPr>
          <w:lang w:val="en-GB"/>
        </w:rPr>
        <w:t xml:space="preserve"> Game based scenarios like small-sided games support these needs by allowing players to make individual decisions more often, experience success and interact with teammates</w:t>
      </w:r>
      <w:r w:rsidR="50B29B55" w:rsidRPr="6E4AB4A3">
        <w:rPr>
          <w:lang w:val="en-GB"/>
        </w:rPr>
        <w:t>. Additionally, enjoyment has been shown to be a key predictor for long term participation in sport (Scanlan &amp; Lewthwaite</w:t>
      </w:r>
      <w:r w:rsidR="756CB2A3" w:rsidRPr="6E4AB4A3">
        <w:rPr>
          <w:lang w:val="en-GB"/>
        </w:rPr>
        <w:t>, 1986).</w:t>
      </w:r>
      <w:r w:rsidR="5880BCF0" w:rsidRPr="6E4AB4A3">
        <w:rPr>
          <w:lang w:val="en-GB"/>
        </w:rPr>
        <w:t xml:space="preserve"> Modified formats such as mini aged football and small sided games are made to promote enjoyment by having </w:t>
      </w:r>
      <w:r w:rsidR="674D0A63" w:rsidRPr="6E4AB4A3">
        <w:rPr>
          <w:lang w:val="en-GB"/>
        </w:rPr>
        <w:t>an</w:t>
      </w:r>
      <w:r w:rsidR="5880BCF0" w:rsidRPr="6E4AB4A3">
        <w:rPr>
          <w:lang w:val="en-GB"/>
        </w:rPr>
        <w:t xml:space="preserve"> increased </w:t>
      </w:r>
      <w:r w:rsidR="10FFC1D4" w:rsidRPr="6E4AB4A3">
        <w:rPr>
          <w:lang w:val="en-GB"/>
        </w:rPr>
        <w:t>involvement</w:t>
      </w:r>
      <w:r w:rsidR="5880BCF0" w:rsidRPr="6E4AB4A3">
        <w:rPr>
          <w:lang w:val="en-GB"/>
        </w:rPr>
        <w:t xml:space="preserve"> and reduced complexity</w:t>
      </w:r>
      <w:r w:rsidR="4813C10C" w:rsidRPr="6E4AB4A3">
        <w:rPr>
          <w:lang w:val="en-GB"/>
        </w:rPr>
        <w:t>.</w:t>
      </w:r>
      <w:r w:rsidR="5880BCF0" w:rsidRPr="6E4AB4A3">
        <w:rPr>
          <w:lang w:val="en-GB"/>
        </w:rPr>
        <w:t xml:space="preserve"> </w:t>
      </w:r>
      <w:r w:rsidR="719B7F7E" w:rsidRPr="6E4AB4A3">
        <w:rPr>
          <w:lang w:val="en-GB"/>
        </w:rPr>
        <w:t>F</w:t>
      </w:r>
      <w:r w:rsidR="5880BCF0" w:rsidRPr="6E4AB4A3">
        <w:rPr>
          <w:lang w:val="en-GB"/>
        </w:rPr>
        <w:t>or website developme</w:t>
      </w:r>
      <w:r w:rsidR="38C0FEFB" w:rsidRPr="6E4AB4A3">
        <w:rPr>
          <w:lang w:val="en-GB"/>
        </w:rPr>
        <w:t>nt</w:t>
      </w:r>
      <w:r w:rsidR="0181A29B" w:rsidRPr="6E4AB4A3">
        <w:rPr>
          <w:lang w:val="en-GB"/>
        </w:rPr>
        <w:t xml:space="preserve">, this suggests the inclusion of resources that emphasis resources es fun, inclusivity and player centred coaching practices rather than performance focused outcomes alone. </w:t>
      </w:r>
    </w:p>
    <w:p w14:paraId="153422A1" w14:textId="4EDA9D62" w:rsidR="14D84A7C" w:rsidRDefault="14D84A7C" w:rsidP="6E4AB4A3">
      <w:pPr>
        <w:rPr>
          <w:b/>
          <w:bCs/>
          <w:u w:val="single"/>
          <w:lang w:val="en-GB"/>
        </w:rPr>
      </w:pPr>
      <w:r w:rsidRPr="6E4AB4A3">
        <w:rPr>
          <w:b/>
          <w:bCs/>
          <w:u w:val="single"/>
          <w:lang w:val="en-GB"/>
        </w:rPr>
        <w:t xml:space="preserve">Coaching Pedagogy and Practice Design </w:t>
      </w:r>
    </w:p>
    <w:p w14:paraId="3BE60595" w14:textId="72856459" w:rsidR="00DA19FF" w:rsidRDefault="0146BFB5" w:rsidP="7FE2CA68">
      <w:pPr>
        <w:rPr>
          <w:rStyle w:val="s1"/>
          <w:rFonts w:asciiTheme="minorHAnsi" w:hAnsiTheme="minorHAnsi"/>
        </w:rPr>
      </w:pPr>
      <w:r w:rsidRPr="038750FA">
        <w:rPr>
          <w:lang w:val="en-GB"/>
        </w:rPr>
        <w:t>Coaching pedagogy within the youth football environment has evolved significantly over the p</w:t>
      </w:r>
      <w:r w:rsidR="3D62D600" w:rsidRPr="038750FA">
        <w:rPr>
          <w:lang w:val="en-GB"/>
        </w:rPr>
        <w:t>as</w:t>
      </w:r>
      <w:r w:rsidRPr="038750FA">
        <w:rPr>
          <w:lang w:val="en-GB"/>
        </w:rPr>
        <w:t xml:space="preserve">t decades, </w:t>
      </w:r>
      <w:r w:rsidR="54C2746F" w:rsidRPr="038750FA">
        <w:rPr>
          <w:lang w:val="en-GB"/>
        </w:rPr>
        <w:t xml:space="preserve">with it moving away from the traditional coach centred approaches that promote learning through experience, reflection and decision making. </w:t>
      </w:r>
      <w:r w:rsidR="70D95435" w:rsidRPr="038750FA">
        <w:rPr>
          <w:lang w:val="en-GB"/>
        </w:rPr>
        <w:t>The early coaching practices would rely on the direct instruction, where the coach would dictate technical movements and the players would attempt to replicate them</w:t>
      </w:r>
      <w:r w:rsidR="0AA9304E" w:rsidRPr="038750FA">
        <w:rPr>
          <w:lang w:val="en-GB"/>
        </w:rPr>
        <w:t xml:space="preserve">. However, the contemporary research has increasingly </w:t>
      </w:r>
      <w:r w:rsidR="6561B3D0" w:rsidRPr="038750FA">
        <w:rPr>
          <w:lang w:val="en-GB"/>
        </w:rPr>
        <w:t>recommended</w:t>
      </w:r>
      <w:r w:rsidR="0AA9304E" w:rsidRPr="038750FA">
        <w:rPr>
          <w:lang w:val="en-GB"/>
        </w:rPr>
        <w:t xml:space="preserve"> learning environments that </w:t>
      </w:r>
      <w:r w:rsidR="76B30938" w:rsidRPr="038750FA">
        <w:rPr>
          <w:lang w:val="en-GB"/>
        </w:rPr>
        <w:t xml:space="preserve">encourage exploration and problem solving (Light, 2013). </w:t>
      </w:r>
      <w:r w:rsidR="3C0C22DB" w:rsidRPr="038750FA">
        <w:rPr>
          <w:lang w:val="en-GB"/>
        </w:rPr>
        <w:t xml:space="preserve">This type of appraoch recognise that players will learn more effectively when they are in a learning proccess when they are actively involved and are being encouraged to think </w:t>
      </w:r>
      <w:r w:rsidR="345401E2" w:rsidRPr="038750FA">
        <w:rPr>
          <w:lang w:val="en-GB"/>
        </w:rPr>
        <w:t xml:space="preserve">critically about their actions within the game. </w:t>
      </w:r>
      <w:r w:rsidR="51301ACF" w:rsidRPr="038750FA">
        <w:rPr>
          <w:lang w:val="en-GB"/>
        </w:rPr>
        <w:t xml:space="preserve">An influential framework within this shift is Teaching games for Understanding (TGFU) which is a model developed by Bunker and Thorpe (Bunker &amp; Thorpe, </w:t>
      </w:r>
      <w:r w:rsidR="50AB4A3A" w:rsidRPr="038750FA">
        <w:rPr>
          <w:lang w:val="en-GB"/>
        </w:rPr>
        <w:t>1982). This model prioritises the development of tactical awareness and decision making before the refinement of technical skills, r</w:t>
      </w:r>
      <w:r w:rsidR="676AA48B" w:rsidRPr="038750FA">
        <w:rPr>
          <w:lang w:val="en-GB"/>
        </w:rPr>
        <w:t xml:space="preserve">ather than isolating technical drills. The model introduces players to a modified game with situations </w:t>
      </w:r>
      <w:r w:rsidR="446DF29D" w:rsidRPr="038750FA">
        <w:rPr>
          <w:lang w:val="en-GB"/>
        </w:rPr>
        <w:t>that require them to solve tactical problems. Through this approach the players will gain a deeper understanding of the games structure, including the principles of space creation</w:t>
      </w:r>
      <w:r w:rsidR="58357474" w:rsidRPr="038750FA">
        <w:rPr>
          <w:lang w:val="en-GB"/>
        </w:rPr>
        <w:t>, support play and defensive organisation. From the players experiencing this within these tactical situations they will recognis</w:t>
      </w:r>
      <w:r w:rsidR="4F56D8B3" w:rsidRPr="038750FA">
        <w:rPr>
          <w:lang w:val="en-GB"/>
        </w:rPr>
        <w:t>e the need for specific technical drills which will make their learning more meaningful and contextualised. The TGFU model aligns closely with the contemporary</w:t>
      </w:r>
      <w:r w:rsidR="49000F94" w:rsidRPr="038750FA">
        <w:rPr>
          <w:lang w:val="en-GB"/>
        </w:rPr>
        <w:t xml:space="preserve"> theories of learning, particularly constructivist perspectives that promote the active role of the learner within this constructing </w:t>
      </w:r>
      <w:r w:rsidR="0ABBC39F" w:rsidRPr="038750FA">
        <w:rPr>
          <w:lang w:val="en-GB"/>
        </w:rPr>
        <w:t xml:space="preserve">knowledge. Within this </w:t>
      </w:r>
      <w:r w:rsidR="1368BF8E" w:rsidRPr="038750FA">
        <w:rPr>
          <w:lang w:val="en-GB"/>
        </w:rPr>
        <w:t>approach</w:t>
      </w:r>
      <w:r w:rsidR="7023CB52" w:rsidRPr="038750FA">
        <w:rPr>
          <w:lang w:val="en-GB"/>
        </w:rPr>
        <w:t>, the coach acts as a facilitator who guides players through questioning and reflection rather than just simply providing answers. This method impacts young players as</w:t>
      </w:r>
      <w:r w:rsidR="214008C5" w:rsidRPr="038750FA">
        <w:rPr>
          <w:lang w:val="en-GB"/>
        </w:rPr>
        <w:t xml:space="preserve"> it enhances engagement and enjoyment by allowing the players to experiment with different solutions whilst they develop their understanding of the game. </w:t>
      </w:r>
      <w:r w:rsidR="20A8C97F" w:rsidRPr="038750FA">
        <w:rPr>
          <w:lang w:val="en-GB"/>
        </w:rPr>
        <w:t xml:space="preserve">Another important theoretical framework which underpins the modern coaching practice is the constraints led approach which is an approach rooted in </w:t>
      </w:r>
      <w:r w:rsidR="57B9A4C7" w:rsidRPr="038750FA">
        <w:rPr>
          <w:lang w:val="en-GB"/>
        </w:rPr>
        <w:t>ecological dynamics. This approach suggests that skill development emerges from the interaction between the individual, t</w:t>
      </w:r>
      <w:r w:rsidR="39DBD1DC" w:rsidRPr="038750FA">
        <w:rPr>
          <w:lang w:val="en-GB"/>
        </w:rPr>
        <w:t xml:space="preserve">he task and the environment (Davids et al, 2013). Coaches can manipulate these constraints </w:t>
      </w:r>
      <w:r w:rsidR="5B3A1B35" w:rsidRPr="038750FA">
        <w:rPr>
          <w:lang w:val="en-GB"/>
        </w:rPr>
        <w:t xml:space="preserve">to guide </w:t>
      </w:r>
      <w:r w:rsidR="00DA19FF" w:rsidRPr="7FE2CA68">
        <w:rPr>
          <w:rStyle w:val="s1"/>
          <w:rFonts w:asciiTheme="minorHAnsi" w:hAnsiTheme="minorHAnsi"/>
        </w:rPr>
        <w:t xml:space="preserve">players toward desired behaviours without </w:t>
      </w:r>
      <w:r w:rsidR="3600F3B8" w:rsidRPr="7FE2CA68">
        <w:rPr>
          <w:rStyle w:val="s1"/>
          <w:rFonts w:asciiTheme="minorHAnsi" w:hAnsiTheme="minorHAnsi"/>
        </w:rPr>
        <w:t>just</w:t>
      </w:r>
      <w:r w:rsidR="00DA19FF" w:rsidRPr="7FE2CA68">
        <w:rPr>
          <w:rStyle w:val="s1"/>
          <w:rFonts w:asciiTheme="minorHAnsi" w:hAnsiTheme="minorHAnsi"/>
        </w:rPr>
        <w:t xml:space="preserve"> instructing them. For example, </w:t>
      </w:r>
      <w:r w:rsidR="5BB43CA9" w:rsidRPr="7FE2CA68">
        <w:rPr>
          <w:rStyle w:val="s1"/>
          <w:rFonts w:asciiTheme="minorHAnsi" w:hAnsiTheme="minorHAnsi"/>
        </w:rPr>
        <w:t>making</w:t>
      </w:r>
      <w:r w:rsidR="00DA19FF" w:rsidRPr="7FE2CA68">
        <w:rPr>
          <w:rStyle w:val="s1"/>
          <w:rFonts w:asciiTheme="minorHAnsi" w:hAnsiTheme="minorHAnsi"/>
        </w:rPr>
        <w:t xml:space="preserve"> the size of the playing area</w:t>
      </w:r>
      <w:r w:rsidR="51D04184" w:rsidRPr="7FE2CA68">
        <w:rPr>
          <w:rStyle w:val="s1"/>
          <w:rFonts w:asciiTheme="minorHAnsi" w:hAnsiTheme="minorHAnsi"/>
        </w:rPr>
        <w:t xml:space="preserve"> bigger or smaller, wider or narrower</w:t>
      </w:r>
      <w:r w:rsidR="00DA19FF" w:rsidRPr="7FE2CA68">
        <w:rPr>
          <w:rStyle w:val="s1"/>
          <w:rFonts w:asciiTheme="minorHAnsi" w:hAnsiTheme="minorHAnsi"/>
        </w:rPr>
        <w:t xml:space="preserve">, adjusting the number of players involved, or introducing specific rules can encourage players to </w:t>
      </w:r>
      <w:r w:rsidR="0F3694CA" w:rsidRPr="7FE2CA68">
        <w:rPr>
          <w:rStyle w:val="s1"/>
          <w:rFonts w:asciiTheme="minorHAnsi" w:hAnsiTheme="minorHAnsi"/>
        </w:rPr>
        <w:t xml:space="preserve">adapt and </w:t>
      </w:r>
      <w:r w:rsidR="00DA19FF" w:rsidRPr="7FE2CA68">
        <w:rPr>
          <w:rStyle w:val="s1"/>
          <w:rFonts w:asciiTheme="minorHAnsi" w:hAnsiTheme="minorHAnsi"/>
        </w:rPr>
        <w:t>adopt particular tactical solutions.</w:t>
      </w:r>
      <w:r w:rsidR="7F4E1352" w:rsidRPr="7FE2CA68">
        <w:rPr>
          <w:rStyle w:val="s1"/>
          <w:rFonts w:asciiTheme="minorHAnsi" w:hAnsiTheme="minorHAnsi"/>
        </w:rPr>
        <w:t xml:space="preserve"> </w:t>
      </w:r>
      <w:r w:rsidR="4CC2FA46" w:rsidRPr="7FE2CA68">
        <w:rPr>
          <w:rStyle w:val="s1"/>
          <w:rFonts w:asciiTheme="minorHAnsi" w:hAnsiTheme="minorHAnsi"/>
        </w:rPr>
        <w:t>Constraint</w:t>
      </w:r>
      <w:r w:rsidR="00DA19FF" w:rsidRPr="7FE2CA68">
        <w:rPr>
          <w:rStyle w:val="s1"/>
          <w:rFonts w:asciiTheme="minorHAnsi" w:hAnsiTheme="minorHAnsi"/>
        </w:rPr>
        <w:t xml:space="preserve">-led coaching emphasises </w:t>
      </w:r>
      <w:r w:rsidR="401D0A8D" w:rsidRPr="7FE2CA68">
        <w:rPr>
          <w:rStyle w:val="s1"/>
          <w:rFonts w:asciiTheme="minorHAnsi" w:hAnsiTheme="minorHAnsi"/>
        </w:rPr>
        <w:t xml:space="preserve">a </w:t>
      </w:r>
      <w:r w:rsidR="00DA19FF" w:rsidRPr="7FE2CA68">
        <w:rPr>
          <w:rStyle w:val="s1"/>
          <w:rFonts w:asciiTheme="minorHAnsi" w:hAnsiTheme="minorHAnsi"/>
        </w:rPr>
        <w:t>representative learning design</w:t>
      </w:r>
      <w:r w:rsidR="6EB686C9" w:rsidRPr="7FE2CA68">
        <w:rPr>
          <w:rStyle w:val="s1"/>
          <w:rFonts w:asciiTheme="minorHAnsi" w:hAnsiTheme="minorHAnsi"/>
        </w:rPr>
        <w:t xml:space="preserve"> which</w:t>
      </w:r>
      <w:r w:rsidR="00DA19FF" w:rsidRPr="7FE2CA68">
        <w:rPr>
          <w:rStyle w:val="s1"/>
          <w:rFonts w:asciiTheme="minorHAnsi" w:hAnsiTheme="minorHAnsi"/>
        </w:rPr>
        <w:t xml:space="preserve"> </w:t>
      </w:r>
      <w:r w:rsidR="0664CA05" w:rsidRPr="7FE2CA68">
        <w:rPr>
          <w:rStyle w:val="s1"/>
          <w:rFonts w:asciiTheme="minorHAnsi" w:hAnsiTheme="minorHAnsi"/>
        </w:rPr>
        <w:t>means</w:t>
      </w:r>
      <w:r w:rsidR="00DA19FF" w:rsidRPr="7FE2CA68">
        <w:rPr>
          <w:rStyle w:val="s1"/>
          <w:rFonts w:asciiTheme="minorHAnsi" w:hAnsiTheme="minorHAnsi"/>
        </w:rPr>
        <w:t xml:space="preserve"> that</w:t>
      </w:r>
      <w:r w:rsidR="5F57FD4A" w:rsidRPr="7FE2CA68">
        <w:rPr>
          <w:rStyle w:val="s1"/>
          <w:rFonts w:asciiTheme="minorHAnsi" w:hAnsiTheme="minorHAnsi"/>
        </w:rPr>
        <w:t xml:space="preserve"> the</w:t>
      </w:r>
      <w:r w:rsidR="00DA19FF" w:rsidRPr="7FE2CA68">
        <w:rPr>
          <w:rStyle w:val="s1"/>
          <w:rFonts w:asciiTheme="minorHAnsi" w:hAnsiTheme="minorHAnsi"/>
        </w:rPr>
        <w:t xml:space="preserve"> practice activities should closely resemble the situations </w:t>
      </w:r>
      <w:r w:rsidR="22E2B0B9" w:rsidRPr="7FE2CA68">
        <w:rPr>
          <w:rStyle w:val="s1"/>
          <w:rFonts w:asciiTheme="minorHAnsi" w:hAnsiTheme="minorHAnsi"/>
        </w:rPr>
        <w:t>that</w:t>
      </w:r>
      <w:r w:rsidR="00DA19FF" w:rsidRPr="7FE2CA68">
        <w:rPr>
          <w:rStyle w:val="s1"/>
          <w:rFonts w:asciiTheme="minorHAnsi" w:hAnsiTheme="minorHAnsi"/>
        </w:rPr>
        <w:t xml:space="preserve"> players </w:t>
      </w:r>
      <w:r w:rsidR="41D96616" w:rsidRPr="7FE2CA68">
        <w:rPr>
          <w:rStyle w:val="s1"/>
          <w:rFonts w:asciiTheme="minorHAnsi" w:hAnsiTheme="minorHAnsi"/>
        </w:rPr>
        <w:t>will</w:t>
      </w:r>
      <w:r w:rsidR="00DA19FF" w:rsidRPr="7FE2CA68">
        <w:rPr>
          <w:rStyle w:val="s1"/>
          <w:rFonts w:asciiTheme="minorHAnsi" w:hAnsiTheme="minorHAnsi"/>
        </w:rPr>
        <w:t xml:space="preserve"> encounter during real matches. This ensures that players develop perceptual and decision-making skills that transfer effectively to competitive contexts. In youth football, this is particularly relevant because children learn best when they are exposed to dynamic and engaging environments rather than repetitive technical drills.</w:t>
      </w:r>
      <w:r w:rsidR="5DD03327" w:rsidRPr="7FE2CA68">
        <w:rPr>
          <w:rStyle w:val="s1"/>
          <w:rFonts w:asciiTheme="minorHAnsi" w:hAnsiTheme="minorHAnsi"/>
        </w:rPr>
        <w:t xml:space="preserve"> </w:t>
      </w:r>
      <w:r w:rsidR="00DA19FF" w:rsidRPr="7FE2CA68">
        <w:rPr>
          <w:rStyle w:val="s1"/>
          <w:rFonts w:asciiTheme="minorHAnsi" w:hAnsiTheme="minorHAnsi"/>
        </w:rPr>
        <w:t xml:space="preserve">Small-sided games (SSGs) are a practical application of both TGfU and constraints-led coaching principles. By reducing the number of players and modifying the playing space, SSGs increase the frequency of player involvement and decision-making opportunities. Research has shown that SSGs </w:t>
      </w:r>
      <w:r w:rsidR="4621FC94" w:rsidRPr="7FE2CA68">
        <w:rPr>
          <w:rStyle w:val="s1"/>
          <w:rFonts w:asciiTheme="minorHAnsi" w:hAnsiTheme="minorHAnsi"/>
        </w:rPr>
        <w:t>allow the players to have</w:t>
      </w:r>
      <w:r w:rsidR="00DA19FF" w:rsidRPr="7FE2CA68">
        <w:rPr>
          <w:rStyle w:val="s1"/>
          <w:rFonts w:asciiTheme="minorHAnsi" w:hAnsiTheme="minorHAnsi"/>
        </w:rPr>
        <w:t xml:space="preserve"> more touches of the ball, more opportunities for attacking and defending actions</w:t>
      </w:r>
      <w:r w:rsidR="156825EA" w:rsidRPr="7FE2CA68">
        <w:rPr>
          <w:rStyle w:val="s1"/>
          <w:rFonts w:asciiTheme="minorHAnsi" w:hAnsiTheme="minorHAnsi"/>
        </w:rPr>
        <w:t xml:space="preserve"> with them having to make decisions more often</w:t>
      </w:r>
      <w:r w:rsidR="00DA19FF" w:rsidRPr="7FE2CA68">
        <w:rPr>
          <w:rStyle w:val="s1"/>
          <w:rFonts w:asciiTheme="minorHAnsi" w:hAnsiTheme="minorHAnsi"/>
        </w:rPr>
        <w:t xml:space="preserve">, and greater engagement compared to traditional full-sided formats (Ferreira-Ruiz et al., 2022). As a result, players </w:t>
      </w:r>
      <w:bookmarkStart w:id="4" w:name="_Int_BI60Pt8O"/>
      <w:r w:rsidR="00DA19FF" w:rsidRPr="7FE2CA68">
        <w:rPr>
          <w:rStyle w:val="s1"/>
          <w:rFonts w:asciiTheme="minorHAnsi" w:hAnsiTheme="minorHAnsi"/>
        </w:rPr>
        <w:t>are able to</w:t>
      </w:r>
      <w:bookmarkEnd w:id="4"/>
      <w:r w:rsidR="00DA19FF" w:rsidRPr="7FE2CA68">
        <w:rPr>
          <w:rStyle w:val="s1"/>
          <w:rFonts w:asciiTheme="minorHAnsi" w:hAnsiTheme="minorHAnsi"/>
        </w:rPr>
        <w:t xml:space="preserve"> develop technical skills within a meaningful tactical context.</w:t>
      </w:r>
      <w:r w:rsidR="1E53C033" w:rsidRPr="7FE2CA68">
        <w:rPr>
          <w:rStyle w:val="s1"/>
          <w:rFonts w:asciiTheme="minorHAnsi" w:hAnsiTheme="minorHAnsi"/>
        </w:rPr>
        <w:t xml:space="preserve"> </w:t>
      </w:r>
      <w:r w:rsidR="00DA19FF" w:rsidRPr="7FE2CA68">
        <w:rPr>
          <w:rStyle w:val="s1"/>
          <w:rFonts w:asciiTheme="minorHAnsi" w:hAnsiTheme="minorHAnsi"/>
        </w:rPr>
        <w:t xml:space="preserve">Coaches can further manipulate SSGs by adjusting rules and conditions to emphasise specific learning outcomes. For instance, limiting the number of touches allowed can encourage quicker decision-making, while introducing target zones may promote attacking movement and spatial awareness. These adaptations allow coaches to focus on </w:t>
      </w:r>
      <w:bookmarkStart w:id="5" w:name="_Int_24zkvEPk"/>
      <w:r w:rsidR="00DA19FF" w:rsidRPr="7FE2CA68">
        <w:rPr>
          <w:rStyle w:val="s1"/>
          <w:rFonts w:asciiTheme="minorHAnsi" w:hAnsiTheme="minorHAnsi"/>
        </w:rPr>
        <w:t>particular aspects</w:t>
      </w:r>
      <w:bookmarkEnd w:id="5"/>
      <w:r w:rsidR="00DA19FF" w:rsidRPr="7FE2CA68">
        <w:rPr>
          <w:rStyle w:val="s1"/>
          <w:rFonts w:asciiTheme="minorHAnsi" w:hAnsiTheme="minorHAnsi"/>
        </w:rPr>
        <w:t xml:space="preserve"> of the game while maintaining the authenticity of match play.In addition to practice design, effective coaching pedagogy also involves the use of communication strategies that support player learning. One of the most widely discussed techniques is guided questioning, which encourages players to reflect on their decisions and actions during practice. Vickers (2007) highlights the importance of questioning as a tool for promoting deeper understanding, as it allows players to analyse their performance and consider alternative solutions. Questions such as “What options did you have in that situation?” or “How could you create more space for your teammate?” prompt players to think critically about the game.</w:t>
      </w:r>
      <w:r w:rsidR="0F664BE1" w:rsidRPr="7FE2CA68">
        <w:rPr>
          <w:rStyle w:val="s1"/>
          <w:rFonts w:asciiTheme="minorHAnsi" w:hAnsiTheme="minorHAnsi"/>
        </w:rPr>
        <w:t xml:space="preserve"> </w:t>
      </w:r>
      <w:r w:rsidR="00DA19FF" w:rsidRPr="7FE2CA68">
        <w:rPr>
          <w:rStyle w:val="s1"/>
          <w:rFonts w:asciiTheme="minorHAnsi" w:hAnsiTheme="minorHAnsi"/>
        </w:rPr>
        <w:t>Research suggests that guided questioning enhances learning by promoting active engagement and encouraging players to develop problem-solving skills (Harvey &amp; Light, 2015). This approach is particularly effective when combined with game-based practice designs, as it allows players to reflect on situations that they have</w:t>
      </w:r>
      <w:r w:rsidR="00DA19FF">
        <w:rPr>
          <w:rStyle w:val="s1"/>
        </w:rPr>
        <w:t xml:space="preserve"> </w:t>
      </w:r>
      <w:r w:rsidR="00DA19FF" w:rsidRPr="7FE2CA68">
        <w:rPr>
          <w:rStyle w:val="s1"/>
          <w:rFonts w:asciiTheme="minorHAnsi" w:hAnsiTheme="minorHAnsi"/>
        </w:rPr>
        <w:t>just experienced. Over time, this process can help players develop greater tactical awareness and confidence in their decision-making.</w:t>
      </w:r>
      <w:r w:rsidR="44AE93A8" w:rsidRPr="7FE2CA68">
        <w:rPr>
          <w:rStyle w:val="s1"/>
          <w:rFonts w:asciiTheme="minorHAnsi" w:hAnsiTheme="minorHAnsi"/>
        </w:rPr>
        <w:t xml:space="preserve"> </w:t>
      </w:r>
      <w:r w:rsidR="00DA19FF" w:rsidRPr="7FE2CA68">
        <w:rPr>
          <w:rStyle w:val="s1"/>
          <w:rFonts w:asciiTheme="minorHAnsi" w:hAnsiTheme="minorHAnsi"/>
        </w:rPr>
        <w:t>Contemporary literature also emphasises the evolving role of the coach within youth development environments. Rather than acting solely as an instructor who delivers technical information, coaches are increasingly expected to create supportive learning environments that foster exploration, creativity, and collaboration (Lyle &amp; Cushion, 2017). This shift reflects a broader understanding of learning as a social and interactive process.</w:t>
      </w:r>
      <w:r w:rsidR="37843EF7" w:rsidRPr="7FE2CA68">
        <w:rPr>
          <w:rStyle w:val="s1"/>
          <w:rFonts w:asciiTheme="minorHAnsi" w:hAnsiTheme="minorHAnsi"/>
        </w:rPr>
        <w:t xml:space="preserve"> </w:t>
      </w:r>
      <w:r w:rsidR="00DA19FF" w:rsidRPr="7FE2CA68">
        <w:rPr>
          <w:rStyle w:val="s1"/>
          <w:rFonts w:asciiTheme="minorHAnsi" w:hAnsiTheme="minorHAnsi"/>
        </w:rPr>
        <w:t xml:space="preserve">For coaches working with mini-age players, this means </w:t>
      </w:r>
      <w:r w:rsidR="55DA8957" w:rsidRPr="7FE2CA68">
        <w:rPr>
          <w:rStyle w:val="s1"/>
          <w:rFonts w:asciiTheme="minorHAnsi" w:hAnsiTheme="minorHAnsi"/>
        </w:rPr>
        <w:t xml:space="preserve">that by </w:t>
      </w:r>
      <w:r w:rsidR="00DA19FF" w:rsidRPr="7FE2CA68">
        <w:rPr>
          <w:rStyle w:val="s1"/>
          <w:rFonts w:asciiTheme="minorHAnsi" w:hAnsiTheme="minorHAnsi"/>
        </w:rPr>
        <w:t>focusing on creating positive and inclusive environments where players feel comfortable making mistakes and experimenting with new ideas</w:t>
      </w:r>
      <w:r w:rsidR="4088CE1F" w:rsidRPr="7FE2CA68">
        <w:rPr>
          <w:rStyle w:val="s1"/>
          <w:rFonts w:asciiTheme="minorHAnsi" w:hAnsiTheme="minorHAnsi"/>
        </w:rPr>
        <w:t xml:space="preserve">, the </w:t>
      </w:r>
      <w:r w:rsidR="00DA19FF" w:rsidRPr="7FE2CA68">
        <w:rPr>
          <w:rStyle w:val="s1"/>
          <w:rFonts w:asciiTheme="minorHAnsi" w:hAnsiTheme="minorHAnsi"/>
        </w:rPr>
        <w:t xml:space="preserve"> Encourag</w:t>
      </w:r>
      <w:r w:rsidR="37F0D44C" w:rsidRPr="7FE2CA68">
        <w:rPr>
          <w:rStyle w:val="s1"/>
          <w:rFonts w:asciiTheme="minorHAnsi" w:hAnsiTheme="minorHAnsi"/>
        </w:rPr>
        <w:t>ed</w:t>
      </w:r>
      <w:r w:rsidR="00DA19FF" w:rsidRPr="7FE2CA68">
        <w:rPr>
          <w:rStyle w:val="s1"/>
          <w:rFonts w:asciiTheme="minorHAnsi" w:hAnsiTheme="minorHAnsi"/>
        </w:rPr>
        <w:t xml:space="preserve"> creativity and autonomy can contribute to long-term player development by helping children develop a deeper connection with the game. Furthermore, when players feel supported and valued within the learning environment, they are more likely to remain engaged and motivated.</w:t>
      </w:r>
      <w:r w:rsidR="5BDC6625" w:rsidRPr="7FE2CA68">
        <w:rPr>
          <w:rStyle w:val="s1"/>
          <w:rFonts w:asciiTheme="minorHAnsi" w:hAnsiTheme="minorHAnsi"/>
        </w:rPr>
        <w:t xml:space="preserve"> </w:t>
      </w:r>
      <w:r w:rsidR="00DA19FF" w:rsidRPr="7FE2CA68">
        <w:rPr>
          <w:rStyle w:val="s1"/>
          <w:rFonts w:asciiTheme="minorHAnsi" w:hAnsiTheme="minorHAnsi"/>
        </w:rPr>
        <w:t>Within the context of a digital platform, these insights highlight the importance of providing coaches with guidance that goes beyond simple session plans. While structured activities are valuable, coaches also require support in developing effective communication strategies, understanding player development principles, and reflecting on their own practice. A well-designed website should therefore incorporate resources that address coaching behaviours, questioning techniques, and reflective practice in addition to practical training activities.</w:t>
      </w:r>
    </w:p>
    <w:p w14:paraId="0A18CB52" w14:textId="52C78FD3" w:rsidR="70B61AB7" w:rsidRDefault="70B61AB7" w:rsidP="7FE2CA68">
      <w:pPr>
        <w:rPr>
          <w:rStyle w:val="s1"/>
          <w:rFonts w:asciiTheme="minorHAnsi" w:hAnsiTheme="minorHAnsi"/>
          <w:b/>
          <w:bCs/>
          <w:u w:val="single"/>
        </w:rPr>
      </w:pPr>
      <w:r w:rsidRPr="7FE2CA68">
        <w:rPr>
          <w:rStyle w:val="s1"/>
          <w:rFonts w:asciiTheme="minorHAnsi" w:hAnsiTheme="minorHAnsi"/>
          <w:b/>
          <w:bCs/>
          <w:u w:val="single"/>
        </w:rPr>
        <w:t>The role of Technology in youth Football development</w:t>
      </w:r>
    </w:p>
    <w:p w14:paraId="7328C04C" w14:textId="5F97428A" w:rsidR="00450F74" w:rsidRDefault="005D4D67">
      <w:pPr>
        <w:pStyle w:val="p1"/>
        <w:rPr>
          <w:rStyle w:val="s1"/>
          <w:rFonts w:asciiTheme="minorHAnsi" w:hAnsiTheme="minorHAnsi" w:cstheme="minorBidi"/>
        </w:rPr>
      </w:pPr>
      <w:r w:rsidRPr="57EE2F58">
        <w:rPr>
          <w:rStyle w:val="s1"/>
          <w:rFonts w:asciiTheme="minorHAnsi" w:hAnsiTheme="minorHAnsi" w:cstheme="minorBidi"/>
        </w:rPr>
        <w:t>The integration of technology being brought</w:t>
      </w:r>
      <w:r w:rsidRPr="57EE2F58">
        <w:rPr>
          <w:rStyle w:val="apple-converted-space"/>
          <w:rFonts w:asciiTheme="minorHAnsi" w:hAnsiTheme="minorHAnsi" w:cstheme="minorBidi"/>
        </w:rPr>
        <w:t xml:space="preserve">  </w:t>
      </w:r>
      <w:r w:rsidRPr="57EE2F58">
        <w:rPr>
          <w:rStyle w:val="s1"/>
          <w:rFonts w:asciiTheme="minorHAnsi" w:hAnsiTheme="minorHAnsi" w:cstheme="minorBidi"/>
        </w:rPr>
        <w:t>into sports coaching and athlete development has expanded rapidly in recent years. With so many Advances in digital platforms, mobile applications, and online learning resources there have been newly created opportunities for coaches, players, and organisations to access information and support development processes (Rein &amp; Memmert, 2016). Having this Within youth football, technology can play a particularly important role by providing accessible resources that enhance both coaching practice and player learning.</w:t>
      </w:r>
      <w:r w:rsidR="7EAF1E05" w:rsidRPr="57EE2F58">
        <w:rPr>
          <w:rStyle w:val="s1"/>
          <w:rFonts w:asciiTheme="minorHAnsi" w:hAnsiTheme="minorHAnsi" w:cstheme="minorBidi"/>
        </w:rPr>
        <w:t xml:space="preserve"> </w:t>
      </w:r>
      <w:r w:rsidR="00450F74" w:rsidRPr="57EE2F58">
        <w:rPr>
          <w:rStyle w:val="s1"/>
          <w:rFonts w:asciiTheme="minorHAnsi" w:hAnsiTheme="minorHAnsi" w:cstheme="minorBidi"/>
        </w:rPr>
        <w:t>One of the primary advantages of digital platforms is their ability to act as central hubs for sharing information and resources. Websites can provide coaches with structured session plans, instructional videos and evidence-based guidelines that support effective training practices. For grassroots football clubs where coaches are often volunteers with limited formal training, this access to such resources can significantly enhance the quality of coaching provided to young players.</w:t>
      </w:r>
    </w:p>
    <w:p w14:paraId="6EE7E439" w14:textId="2B36E3A8" w:rsidR="008D372C" w:rsidRDefault="00E74984">
      <w:pPr>
        <w:pStyle w:val="p1"/>
        <w:rPr>
          <w:rStyle w:val="s1"/>
          <w:rFonts w:asciiTheme="minorHAnsi" w:hAnsiTheme="minorHAnsi" w:cstheme="minorBidi"/>
        </w:rPr>
      </w:pPr>
      <w:r w:rsidRPr="57EE2F58">
        <w:rPr>
          <w:rStyle w:val="s1"/>
          <w:rFonts w:asciiTheme="minorHAnsi" w:hAnsiTheme="minorHAnsi" w:cstheme="minorBidi"/>
        </w:rPr>
        <w:t>In addition to supporting coaches, digital platforms can also benefit players by providing opportunities for learning outside of training sessions. For example, Video analysis tools can allow players to observe tactical patterns and technical movements in a visual format. According to Groom et al. (2011), video-based learning can improve understanding by allowing players to repeatedly view key moments and analyse their decisions. This type of visual feedback can be particularly valuable for young learners who may find it easier to understand concepts when they are demonstrated visually rather than explained verbally.</w:t>
      </w:r>
      <w:r w:rsidR="6CC13A10" w:rsidRPr="57EE2F58">
        <w:rPr>
          <w:rStyle w:val="s1"/>
          <w:rFonts w:asciiTheme="minorHAnsi" w:hAnsiTheme="minorHAnsi" w:cstheme="minorBidi"/>
        </w:rPr>
        <w:t xml:space="preserve"> </w:t>
      </w:r>
      <w:r w:rsidR="008D372C" w:rsidRPr="57EE2F58">
        <w:rPr>
          <w:rStyle w:val="s1"/>
          <w:rFonts w:asciiTheme="minorHAnsi" w:hAnsiTheme="minorHAnsi" w:cstheme="minorBidi"/>
        </w:rPr>
        <w:t>Online tutorials and skill demonstrations can further support player development by providing accessible examples of technical techniques. Players can use these resources to practise skills independently, reinforcing what they have learned during training sessions. This approach encourages self-directed learning, which is an important component of long-term athlete development.</w:t>
      </w:r>
    </w:p>
    <w:p w14:paraId="68CFDA3A" w14:textId="154C3F24" w:rsidR="00E567B7" w:rsidRDefault="008D372C" w:rsidP="57EE2F58">
      <w:pPr>
        <w:pStyle w:val="p1"/>
        <w:rPr>
          <w:rStyle w:val="s1"/>
          <w:rFonts w:asciiTheme="minorHAnsi" w:hAnsiTheme="minorHAnsi" w:cstheme="minorBidi"/>
        </w:rPr>
      </w:pPr>
      <w:r w:rsidRPr="57EE2F58">
        <w:rPr>
          <w:rStyle w:val="s1"/>
          <w:rFonts w:asciiTheme="minorHAnsi" w:hAnsiTheme="minorHAnsi" w:cstheme="minorBidi"/>
        </w:rPr>
        <w:t>Interactive content can also enhance engagement and motivation among young players. Features such as quizzes, challenges, and gamified learning activities can make educational content more engaging and enjoyable. For example, a quiz on tactical awareness or decision-making scenarios could encourage players to think about the game in new ways while reinforcing key concepts introduced during training.</w:t>
      </w:r>
      <w:r w:rsidR="1F86626F" w:rsidRPr="57EE2F58">
        <w:rPr>
          <w:rStyle w:val="s1"/>
          <w:rFonts w:asciiTheme="minorHAnsi" w:hAnsiTheme="minorHAnsi" w:cstheme="minorBidi"/>
        </w:rPr>
        <w:t xml:space="preserve"> </w:t>
      </w:r>
      <w:r w:rsidR="00E567B7" w:rsidRPr="57EE2F58">
        <w:rPr>
          <w:rStyle w:val="s1"/>
          <w:rFonts w:asciiTheme="minorHAnsi" w:hAnsiTheme="minorHAnsi" w:cstheme="minorBidi"/>
        </w:rPr>
        <w:t>Technology also has significant potential to support coach education. Research indicates that digital learning environments can provide flexible and accessible opportunities for coaches to improve their knowledge and skills (Nelson et al., 2013). Online platforms can host articles and instructional videos that introduce coaches to evidence-based practices in youth development. For grassroots coaches who may not have access to formal coaching courses, these resources can provide valuable guidance and support.</w:t>
      </w:r>
    </w:p>
    <w:p w14:paraId="08F3DE7B" w14:textId="77777777" w:rsidR="00E567B7" w:rsidRDefault="00E567B7">
      <w:pPr>
        <w:pStyle w:val="p2"/>
        <w:rPr>
          <w:rStyle w:val="s1"/>
          <w:rFonts w:asciiTheme="minorHAnsi" w:hAnsiTheme="minorHAnsi" w:cstheme="minorBidi"/>
        </w:rPr>
      </w:pPr>
      <w:r w:rsidRPr="57EE2F58">
        <w:rPr>
          <w:rStyle w:val="s1"/>
          <w:rFonts w:asciiTheme="minorHAnsi" w:hAnsiTheme="minorHAnsi" w:cstheme="minorBidi"/>
        </w:rPr>
        <w:t>However, while technology offers numerous benefits, it is important to recognise that it should complement rather than replace practical coaching experiences. Rein and Memmert (2016) emphasise that digital tools should be used to enhance on-field learning rather than attempting to replicate it. Football is a dynamic and interactive sport that requires players to develop physical, perceptual, and social skills through direct participation.</w:t>
      </w:r>
    </w:p>
    <w:p w14:paraId="0EAACE62" w14:textId="77777777" w:rsidR="00E567B7" w:rsidRDefault="00E567B7">
      <w:pPr>
        <w:pStyle w:val="p2"/>
        <w:rPr>
          <w:rStyle w:val="apple-converted-space"/>
          <w:rFonts w:asciiTheme="minorHAnsi" w:hAnsiTheme="minorHAnsi" w:cstheme="minorBidi"/>
        </w:rPr>
      </w:pPr>
      <w:r w:rsidRPr="57EE2F58">
        <w:rPr>
          <w:rStyle w:val="s1"/>
          <w:rFonts w:asciiTheme="minorHAnsi" w:hAnsiTheme="minorHAnsi" w:cstheme="minorBidi"/>
        </w:rPr>
        <w:t>Therefore, the design of a digital platform for youth football should focus on supporting the learning that takes place during training sessions and matches. For example, session plans provided through the website should encourage game-based practice designs that align with contemporary coaching pedagogy.</w:t>
      </w:r>
      <w:r w:rsidRPr="57EE2F58">
        <w:rPr>
          <w:rStyle w:val="apple-converted-space"/>
          <w:rFonts w:asciiTheme="minorHAnsi" w:hAnsiTheme="minorHAnsi" w:cstheme="minorBidi"/>
        </w:rPr>
        <w:t> </w:t>
      </w:r>
    </w:p>
    <w:p w14:paraId="2ECA8127" w14:textId="2119ED85" w:rsidR="009C7B82" w:rsidRDefault="009C7B82">
      <w:pPr>
        <w:pStyle w:val="p1"/>
        <w:rPr>
          <w:rStyle w:val="s1"/>
          <w:rFonts w:asciiTheme="minorHAnsi" w:hAnsiTheme="minorHAnsi" w:cstheme="minorBidi"/>
        </w:rPr>
      </w:pPr>
      <w:r w:rsidRPr="57EE2F58">
        <w:rPr>
          <w:rStyle w:val="s1"/>
          <w:rFonts w:asciiTheme="minorHAnsi" w:hAnsiTheme="minorHAnsi" w:cstheme="minorBidi"/>
        </w:rPr>
        <w:t>Similarly, educational resources should emphasise the importance of creating an engaging and player-centred environment that promote enjoyment and development.</w:t>
      </w:r>
      <w:r w:rsidR="365B63FE" w:rsidRPr="57EE2F58">
        <w:rPr>
          <w:rStyle w:val="s1"/>
          <w:rFonts w:asciiTheme="minorHAnsi" w:hAnsiTheme="minorHAnsi" w:cstheme="minorBidi"/>
        </w:rPr>
        <w:t xml:space="preserve"> </w:t>
      </w:r>
      <w:r w:rsidRPr="57EE2F58">
        <w:rPr>
          <w:rStyle w:val="s1"/>
          <w:rFonts w:asciiTheme="minorHAnsi" w:hAnsiTheme="minorHAnsi" w:cstheme="minorBidi"/>
        </w:rPr>
        <w:t>For a grassroots organisation such as Clase Football Club, the development of a dedicated website could provide significant benefits for both coaches and players. By centralising resources and making them easily accessible, the platform could help ensure that training sessions are consistent with best practice in youth development. Coaches would be able to access session ideas, learning resources, and guidance on effective coaching behaviours, while players could explore additional content that supports their development and engagement with the sport.</w:t>
      </w:r>
    </w:p>
    <w:p w14:paraId="34B57902" w14:textId="679AF1EC" w:rsidR="57EE2F58" w:rsidRDefault="57EE2F58" w:rsidP="57EE2F58">
      <w:pPr>
        <w:pStyle w:val="p1"/>
        <w:rPr>
          <w:rStyle w:val="s1"/>
          <w:rFonts w:asciiTheme="minorHAnsi" w:hAnsiTheme="minorHAnsi" w:cstheme="minorBidi"/>
        </w:rPr>
      </w:pPr>
    </w:p>
    <w:p w14:paraId="0C0DD3DD" w14:textId="339E67F7" w:rsidR="57EE2F58" w:rsidRDefault="058FE1F2" w:rsidP="57EE2F58">
      <w:pPr>
        <w:pStyle w:val="p1"/>
        <w:rPr>
          <w:rStyle w:val="s1"/>
          <w:rFonts w:asciiTheme="minorHAnsi" w:hAnsiTheme="minorHAnsi" w:cstheme="minorBidi"/>
          <w:b/>
          <w:u w:val="single"/>
        </w:rPr>
      </w:pPr>
      <w:r w:rsidRPr="57EE2F58">
        <w:rPr>
          <w:rStyle w:val="s1"/>
          <w:rFonts w:asciiTheme="minorHAnsi" w:hAnsiTheme="minorHAnsi" w:cstheme="minorBidi"/>
          <w:b/>
          <w:bCs/>
          <w:u w:val="single"/>
        </w:rPr>
        <w:t>Conclusion</w:t>
      </w:r>
    </w:p>
    <w:p w14:paraId="25AB489D" w14:textId="74DDB714" w:rsidR="00E15B72" w:rsidRDefault="00E15B72">
      <w:pPr>
        <w:pStyle w:val="p1"/>
        <w:rPr>
          <w:rStyle w:val="s1"/>
          <w:rFonts w:asciiTheme="minorHAnsi" w:hAnsiTheme="minorHAnsi" w:cstheme="minorBidi"/>
        </w:rPr>
      </w:pPr>
      <w:r w:rsidRPr="3D7DF54C">
        <w:rPr>
          <w:rStyle w:val="s1"/>
          <w:rFonts w:asciiTheme="minorHAnsi" w:hAnsiTheme="minorHAnsi" w:cstheme="minorBidi"/>
        </w:rPr>
        <w:t xml:space="preserve">In conclusion, </w:t>
      </w:r>
      <w:r w:rsidR="4460C233" w:rsidRPr="3D7DF54C">
        <w:rPr>
          <w:rStyle w:val="s1"/>
          <w:rFonts w:asciiTheme="minorHAnsi" w:hAnsiTheme="minorHAnsi" w:cstheme="minorBidi"/>
        </w:rPr>
        <w:t>the</w:t>
      </w:r>
      <w:r w:rsidRPr="3D7DF54C">
        <w:rPr>
          <w:rStyle w:val="s1"/>
          <w:rFonts w:asciiTheme="minorHAnsi" w:hAnsiTheme="minorHAnsi" w:cstheme="minorBidi"/>
        </w:rPr>
        <w:t xml:space="preserve"> literature reviewed highlights that mini-age football development is a complex and multifaceted process encompassing technical, tactical, psychological, and social dimensions (Côté &amp; Gilbert, 2009). These Effective development programmes must therefore consider not only the physical skills required to play the game but also the cognitive and emotional factors that influence learning and participation.</w:t>
      </w:r>
      <w:r w:rsidR="015FF4A4" w:rsidRPr="3D7DF54C">
        <w:rPr>
          <w:rStyle w:val="s1"/>
          <w:rFonts w:asciiTheme="minorHAnsi" w:hAnsiTheme="minorHAnsi" w:cstheme="minorBidi"/>
        </w:rPr>
        <w:t xml:space="preserve"> </w:t>
      </w:r>
      <w:r w:rsidRPr="3D7DF54C">
        <w:rPr>
          <w:rStyle w:val="s1"/>
          <w:rFonts w:asciiTheme="minorHAnsi" w:hAnsiTheme="minorHAnsi" w:cstheme="minorBidi"/>
        </w:rPr>
        <w:t>Contemporary coaching approaches increasingly emphasise player-centred, game-based methodologies that align with theoretical frameworks such as ecological dynamics and Long-Term Athlete Development (LTAD) (Davids et al., 2013). These approaches recognise that learning occurs most effectively when players are actively engaged in solving problems within realistic game environments.</w:t>
      </w:r>
      <w:r w:rsidR="796D339D" w:rsidRPr="3D7DF54C">
        <w:rPr>
          <w:rStyle w:val="s1"/>
          <w:rFonts w:asciiTheme="minorHAnsi" w:hAnsiTheme="minorHAnsi" w:cstheme="minorBidi"/>
        </w:rPr>
        <w:t xml:space="preserve"> </w:t>
      </w:r>
      <w:r w:rsidRPr="3D7DF54C">
        <w:rPr>
          <w:rStyle w:val="s1"/>
          <w:rFonts w:asciiTheme="minorHAnsi" w:hAnsiTheme="minorHAnsi" w:cstheme="minorBidi"/>
        </w:rPr>
        <w:t>Small-sided games emerge as a particularly valuable tool within this framework By increasing player involvement and decision-making opportunities, SSGs provide a holistic approach to skill development that integrates technical, tactical, and physical elements of the game (Ferreira-Ruiz et al., 2022). Their adaptability allows coaches to modify rules and conditions to emphasise specific learning outcomes, making them especially suitable for mini-age players.</w:t>
      </w:r>
      <w:r w:rsidR="09DB7E49" w:rsidRPr="3D7DF54C">
        <w:rPr>
          <w:rStyle w:val="s1"/>
          <w:rFonts w:asciiTheme="minorHAnsi" w:hAnsiTheme="minorHAnsi" w:cstheme="minorBidi"/>
        </w:rPr>
        <w:t xml:space="preserve"> </w:t>
      </w:r>
      <w:r w:rsidRPr="3D7DF54C">
        <w:rPr>
          <w:rStyle w:val="s1"/>
          <w:rFonts w:asciiTheme="minorHAnsi" w:hAnsiTheme="minorHAnsi" w:cstheme="minorBidi"/>
        </w:rPr>
        <w:t>The role of the coach is also central to effective youth development. Modern coaching pedagogy emphasises the importance of facilitation, questioning, and the creation of supportive learning environments that encourage creativity and exploration (Lyle &amp; Cushion, 2017). Coaches who adopt these approaches are better able to engage young players and promote long-term participation in the sport.</w:t>
      </w:r>
      <w:r w:rsidR="5B90E77C" w:rsidRPr="3D7DF54C">
        <w:rPr>
          <w:rStyle w:val="s1"/>
          <w:rFonts w:asciiTheme="minorHAnsi" w:hAnsiTheme="minorHAnsi" w:cstheme="minorBidi"/>
        </w:rPr>
        <w:t xml:space="preserve"> </w:t>
      </w:r>
      <w:r w:rsidRPr="3D7DF54C">
        <w:rPr>
          <w:rStyle w:val="s1"/>
          <w:rFonts w:asciiTheme="minorHAnsi" w:hAnsiTheme="minorHAnsi" w:cstheme="minorBidi"/>
        </w:rPr>
        <w:t>Psychological factors such as motivation, enjoyment, and inclusion further influence player development and must be considered when designing training programmes. When young players experience positive and enjoyable learning environments, they are more likely to remain engaged in football and continue developing their skills over time.</w:t>
      </w:r>
      <w:r w:rsidR="2EF6296C" w:rsidRPr="3D7DF54C">
        <w:rPr>
          <w:rStyle w:val="s1"/>
          <w:rFonts w:asciiTheme="minorHAnsi" w:hAnsiTheme="minorHAnsi" w:cstheme="minorBidi"/>
        </w:rPr>
        <w:t xml:space="preserve"> </w:t>
      </w:r>
      <w:r w:rsidRPr="3D7DF54C">
        <w:rPr>
          <w:rStyle w:val="s1"/>
          <w:rFonts w:asciiTheme="minorHAnsi" w:hAnsiTheme="minorHAnsi" w:cstheme="minorBidi"/>
        </w:rPr>
        <w:t>The integration of technology presents additional opportunities to enhance youth football development. Digital platforms can provide accessible, evidence-based resources that support both coaching practice and player learning. However, it is essential that these tools complement rather than replace the practical experiences that form the foundation of football development.</w:t>
      </w:r>
      <w:r w:rsidR="6DC0516B" w:rsidRPr="3D7DF54C">
        <w:rPr>
          <w:rStyle w:val="s1"/>
          <w:rFonts w:asciiTheme="minorHAnsi" w:hAnsiTheme="minorHAnsi" w:cstheme="minorBidi"/>
        </w:rPr>
        <w:t xml:space="preserve"> </w:t>
      </w:r>
      <w:r w:rsidRPr="3D7DF54C">
        <w:rPr>
          <w:rStyle w:val="s1"/>
          <w:rFonts w:asciiTheme="minorHAnsi" w:hAnsiTheme="minorHAnsi" w:cstheme="minorBidi"/>
        </w:rPr>
        <w:t>For Clase Football Club, the development of a digital platform informed by contemporary research could provide a valuable resource for supporting mini-age player development. By offering session plans, coaching guidance, and interactive learning materials, the website could enhance the quality of coaching while also engaging players in the learning process.</w:t>
      </w:r>
      <w:r w:rsidR="49D944D2" w:rsidRPr="3D7DF54C">
        <w:rPr>
          <w:rStyle w:val="s1"/>
          <w:rFonts w:asciiTheme="minorHAnsi" w:hAnsiTheme="minorHAnsi" w:cstheme="minorBidi"/>
        </w:rPr>
        <w:t xml:space="preserve"> </w:t>
      </w:r>
      <w:r w:rsidRPr="3D7DF54C">
        <w:rPr>
          <w:rStyle w:val="s1"/>
          <w:rFonts w:asciiTheme="minorHAnsi" w:hAnsiTheme="minorHAnsi" w:cstheme="minorBidi"/>
        </w:rPr>
        <w:t>In conclusion from all of this, a digital platform grounded in current literature and best practice has the potential to significantly enhance youth football development by supporting coaches, engaging players, and promoting positive learning experiences within grassroots football environments.</w:t>
      </w:r>
    </w:p>
    <w:p w14:paraId="264D6A67" w14:textId="77777777" w:rsidR="00E567B7" w:rsidRDefault="00E567B7" w:rsidP="7FE2CA68">
      <w:pPr>
        <w:rPr>
          <w:rStyle w:val="s1"/>
          <w:rFonts w:asciiTheme="minorHAnsi" w:hAnsiTheme="minorHAnsi"/>
        </w:rPr>
      </w:pPr>
    </w:p>
    <w:p w14:paraId="1AA6D5CE" w14:textId="0184EEC2" w:rsidR="6E4AB4A3" w:rsidRDefault="6E4AB4A3" w:rsidP="6E4AB4A3">
      <w:pPr>
        <w:rPr>
          <w:lang w:val="en-GB"/>
        </w:rPr>
      </w:pPr>
    </w:p>
    <w:p w14:paraId="003BA89A" w14:textId="331C07AA" w:rsidR="6E4AB4A3" w:rsidRDefault="6E4AB4A3" w:rsidP="6E4AB4A3">
      <w:pPr>
        <w:rPr>
          <w:lang w:val="en-GB"/>
        </w:rPr>
      </w:pPr>
    </w:p>
    <w:p w14:paraId="75C122F8" w14:textId="715A414C" w:rsidR="254B05EC" w:rsidRDefault="254B05EC" w:rsidP="6E4AB4A3">
      <w:pPr>
        <w:rPr>
          <w:b/>
          <w:bCs/>
          <w:u w:val="single"/>
          <w:lang w:val="en-GB"/>
        </w:rPr>
      </w:pPr>
      <w:r w:rsidRPr="6E4AB4A3">
        <w:rPr>
          <w:b/>
          <w:bCs/>
          <w:u w:val="single"/>
          <w:lang w:val="en-GB"/>
        </w:rPr>
        <w:t xml:space="preserve">Reference </w:t>
      </w:r>
      <w:r w:rsidR="4036CE8F" w:rsidRPr="492B89C7">
        <w:rPr>
          <w:b/>
          <w:bCs/>
          <w:u w:val="single"/>
          <w:lang w:val="en-GB"/>
        </w:rPr>
        <w:t>list</w:t>
      </w:r>
    </w:p>
    <w:p w14:paraId="141312F1" w14:textId="54F42A01" w:rsidR="492B89C7" w:rsidRDefault="492B89C7" w:rsidP="53034219">
      <w:pPr>
        <w:rPr>
          <w:lang w:val="en-GB"/>
        </w:rPr>
      </w:pPr>
    </w:p>
    <w:p w14:paraId="37715683" w14:textId="77777777" w:rsidR="00496EAE" w:rsidRDefault="00496EAE" w:rsidP="53034219">
      <w:pPr>
        <w:pStyle w:val="NormalWeb"/>
        <w:rPr>
          <w:rFonts w:asciiTheme="minorHAnsi" w:hAnsiTheme="minorHAnsi" w:cstheme="minorBidi"/>
        </w:rPr>
      </w:pPr>
      <w:r w:rsidRPr="53034219">
        <w:rPr>
          <w:rFonts w:asciiTheme="minorHAnsi" w:hAnsiTheme="minorHAnsi" w:cstheme="minorBidi"/>
        </w:rPr>
        <w:t>Balyi, I. and Hamilton, A., 2004.</w:t>
      </w:r>
      <w:r w:rsidRPr="53034219">
        <w:rPr>
          <w:rStyle w:val="apple-converted-space"/>
          <w:rFonts w:asciiTheme="minorHAnsi" w:hAnsiTheme="minorHAnsi" w:cstheme="minorBidi"/>
        </w:rPr>
        <w:t> </w:t>
      </w:r>
      <w:r w:rsidRPr="53034219">
        <w:rPr>
          <w:rStyle w:val="Emphasis"/>
          <w:rFonts w:asciiTheme="minorHAnsi" w:hAnsiTheme="minorHAnsi" w:cstheme="minorBidi"/>
        </w:rPr>
        <w:t>Long-term athlete development: Trainability in childhood and adolescence</w:t>
      </w:r>
      <w:r w:rsidRPr="53034219">
        <w:rPr>
          <w:rFonts w:asciiTheme="minorHAnsi" w:hAnsiTheme="minorHAnsi" w:cstheme="minorBidi"/>
        </w:rPr>
        <w:t>. Olympic Coach.</w:t>
      </w:r>
    </w:p>
    <w:p w14:paraId="1210BBD4" w14:textId="77777777" w:rsidR="00496EAE" w:rsidRDefault="00496EAE" w:rsidP="53034219">
      <w:pPr>
        <w:pStyle w:val="NormalWeb"/>
        <w:rPr>
          <w:rFonts w:asciiTheme="minorHAnsi" w:hAnsiTheme="minorHAnsi" w:cstheme="minorBidi"/>
        </w:rPr>
      </w:pPr>
      <w:r w:rsidRPr="53034219">
        <w:rPr>
          <w:rFonts w:asciiTheme="minorHAnsi" w:hAnsiTheme="minorHAnsi" w:cstheme="minorBidi"/>
        </w:rPr>
        <w:t>Bangsbo, J., 2003.</w:t>
      </w:r>
      <w:r w:rsidRPr="53034219">
        <w:rPr>
          <w:rStyle w:val="apple-converted-space"/>
          <w:rFonts w:asciiTheme="minorHAnsi" w:hAnsiTheme="minorHAnsi" w:cstheme="minorBidi"/>
        </w:rPr>
        <w:t> </w:t>
      </w:r>
      <w:r w:rsidRPr="53034219">
        <w:rPr>
          <w:rStyle w:val="Emphasis"/>
          <w:rFonts w:asciiTheme="minorHAnsi" w:hAnsiTheme="minorHAnsi" w:cstheme="minorBidi"/>
        </w:rPr>
        <w:t>Physiology of training</w:t>
      </w:r>
      <w:r w:rsidRPr="53034219">
        <w:rPr>
          <w:rFonts w:asciiTheme="minorHAnsi" w:hAnsiTheme="minorHAnsi" w:cstheme="minorBidi"/>
        </w:rPr>
        <w:t>. London: Routledge.</w:t>
      </w:r>
    </w:p>
    <w:p w14:paraId="27027E7F" w14:textId="77777777" w:rsidR="00496EAE" w:rsidRDefault="00496EAE" w:rsidP="53034219">
      <w:pPr>
        <w:pStyle w:val="NormalWeb"/>
        <w:rPr>
          <w:rFonts w:asciiTheme="minorHAnsi" w:hAnsiTheme="minorHAnsi" w:cstheme="minorBidi"/>
        </w:rPr>
      </w:pPr>
      <w:r w:rsidRPr="53034219">
        <w:rPr>
          <w:rFonts w:asciiTheme="minorHAnsi" w:hAnsiTheme="minorHAnsi" w:cstheme="minorBidi"/>
        </w:rPr>
        <w:t>Bunker, D. and Thorpe, R., 1982. A model for the teaching of games in secondary schools.</w:t>
      </w:r>
      <w:r w:rsidRPr="53034219">
        <w:rPr>
          <w:rStyle w:val="apple-converted-space"/>
          <w:rFonts w:asciiTheme="minorHAnsi" w:hAnsiTheme="minorHAnsi" w:cstheme="minorBidi"/>
        </w:rPr>
        <w:t> </w:t>
      </w:r>
      <w:r w:rsidRPr="53034219">
        <w:rPr>
          <w:rStyle w:val="Emphasis"/>
          <w:rFonts w:asciiTheme="minorHAnsi" w:hAnsiTheme="minorHAnsi" w:cstheme="minorBidi"/>
        </w:rPr>
        <w:t>Bulletin of Physical Education</w:t>
      </w:r>
      <w:r w:rsidRPr="53034219">
        <w:rPr>
          <w:rFonts w:asciiTheme="minorHAnsi" w:hAnsiTheme="minorHAnsi" w:cstheme="minorBidi"/>
        </w:rPr>
        <w:t>, 18(1), pp.5–8.</w:t>
      </w:r>
    </w:p>
    <w:p w14:paraId="25BB96BF" w14:textId="77777777" w:rsidR="00496EAE" w:rsidRDefault="00496EAE" w:rsidP="53034219">
      <w:pPr>
        <w:pStyle w:val="NormalWeb"/>
        <w:rPr>
          <w:rFonts w:asciiTheme="minorHAnsi" w:hAnsiTheme="minorHAnsi" w:cstheme="minorBidi"/>
        </w:rPr>
      </w:pPr>
      <w:r w:rsidRPr="53034219">
        <w:rPr>
          <w:rFonts w:asciiTheme="minorHAnsi" w:hAnsiTheme="minorHAnsi" w:cstheme="minorBidi"/>
        </w:rPr>
        <w:t>Côté, J. and Gilbert, W., 2009. An integrative definition of coaching effectiveness and expertise.</w:t>
      </w:r>
      <w:r w:rsidRPr="53034219">
        <w:rPr>
          <w:rStyle w:val="apple-converted-space"/>
          <w:rFonts w:asciiTheme="minorHAnsi" w:hAnsiTheme="minorHAnsi" w:cstheme="minorBidi"/>
        </w:rPr>
        <w:t> </w:t>
      </w:r>
      <w:r w:rsidRPr="53034219">
        <w:rPr>
          <w:rStyle w:val="Emphasis"/>
          <w:rFonts w:asciiTheme="minorHAnsi" w:hAnsiTheme="minorHAnsi" w:cstheme="minorBidi"/>
        </w:rPr>
        <w:t>International Journal of Sports Science &amp; Coaching</w:t>
      </w:r>
      <w:r w:rsidRPr="53034219">
        <w:rPr>
          <w:rFonts w:asciiTheme="minorHAnsi" w:hAnsiTheme="minorHAnsi" w:cstheme="minorBidi"/>
        </w:rPr>
        <w:t>, 4(3), pp.307–323.</w:t>
      </w:r>
    </w:p>
    <w:p w14:paraId="2892D13D" w14:textId="77777777" w:rsidR="00496EAE" w:rsidRDefault="00496EAE" w:rsidP="53034219">
      <w:pPr>
        <w:pStyle w:val="NormalWeb"/>
        <w:rPr>
          <w:rFonts w:asciiTheme="minorHAnsi" w:hAnsiTheme="minorHAnsi" w:cstheme="minorBidi"/>
        </w:rPr>
      </w:pPr>
      <w:r w:rsidRPr="53034219">
        <w:rPr>
          <w:rFonts w:asciiTheme="minorHAnsi" w:hAnsiTheme="minorHAnsi" w:cstheme="minorBidi"/>
        </w:rPr>
        <w:t>Côté, J., Baker, J. and Abernethy, B., 2007. Practice and play in the development of sport expertise. In: G. Tenenbaum and R.C. Eklund, eds.</w:t>
      </w:r>
      <w:r w:rsidRPr="53034219">
        <w:rPr>
          <w:rStyle w:val="apple-converted-space"/>
          <w:rFonts w:asciiTheme="minorHAnsi" w:hAnsiTheme="minorHAnsi" w:cstheme="minorBidi"/>
        </w:rPr>
        <w:t> </w:t>
      </w:r>
      <w:r w:rsidRPr="53034219">
        <w:rPr>
          <w:rStyle w:val="Emphasis"/>
          <w:rFonts w:asciiTheme="minorHAnsi" w:hAnsiTheme="minorHAnsi" w:cstheme="minorBidi"/>
        </w:rPr>
        <w:t>Handbook of sport psychology</w:t>
      </w:r>
      <w:r w:rsidRPr="53034219">
        <w:rPr>
          <w:rFonts w:asciiTheme="minorHAnsi" w:hAnsiTheme="minorHAnsi" w:cstheme="minorBidi"/>
        </w:rPr>
        <w:t>. 3rd ed. Hoboken, NJ: Wiley, pp.184–202.</w:t>
      </w:r>
    </w:p>
    <w:p w14:paraId="2371DF50" w14:textId="77777777" w:rsidR="00496EAE" w:rsidRDefault="00496EAE" w:rsidP="53034219">
      <w:pPr>
        <w:pStyle w:val="NormalWeb"/>
        <w:rPr>
          <w:rFonts w:asciiTheme="minorHAnsi" w:hAnsiTheme="minorHAnsi" w:cstheme="minorBidi"/>
        </w:rPr>
      </w:pPr>
      <w:r w:rsidRPr="53034219">
        <w:rPr>
          <w:rFonts w:asciiTheme="minorHAnsi" w:hAnsiTheme="minorHAnsi" w:cstheme="minorBidi"/>
        </w:rPr>
        <w:t>Côté, J. et al., 2009. Diversification and deliberate play during the sampling years. In:</w:t>
      </w:r>
      <w:r w:rsidRPr="53034219">
        <w:rPr>
          <w:rStyle w:val="apple-converted-space"/>
          <w:rFonts w:asciiTheme="minorHAnsi" w:hAnsiTheme="minorHAnsi" w:cstheme="minorBidi"/>
        </w:rPr>
        <w:t> </w:t>
      </w:r>
      <w:r w:rsidRPr="53034219">
        <w:rPr>
          <w:rStyle w:val="Emphasis"/>
          <w:rFonts w:asciiTheme="minorHAnsi" w:hAnsiTheme="minorHAnsi" w:cstheme="minorBidi"/>
        </w:rPr>
        <w:t>Developmental sport and exercise psychology: A lifespan perspective</w:t>
      </w:r>
      <w:r w:rsidRPr="53034219">
        <w:rPr>
          <w:rFonts w:asciiTheme="minorHAnsi" w:hAnsiTheme="minorHAnsi" w:cstheme="minorBidi"/>
        </w:rPr>
        <w:t>. Morgantown, WV: Fitness Information Technology, pp.305–316.</w:t>
      </w:r>
    </w:p>
    <w:p w14:paraId="6290C4D8" w14:textId="77777777" w:rsidR="00496EAE" w:rsidRDefault="00496EAE" w:rsidP="53034219">
      <w:pPr>
        <w:pStyle w:val="NormalWeb"/>
        <w:rPr>
          <w:rFonts w:asciiTheme="minorHAnsi" w:hAnsiTheme="minorHAnsi" w:cstheme="minorBidi"/>
        </w:rPr>
      </w:pPr>
      <w:r w:rsidRPr="53034219">
        <w:rPr>
          <w:rFonts w:asciiTheme="minorHAnsi" w:hAnsiTheme="minorHAnsi" w:cstheme="minorBidi"/>
        </w:rPr>
        <w:t>Davids, K., Button, C. and Bennett, S., 2008.</w:t>
      </w:r>
      <w:r w:rsidRPr="53034219">
        <w:rPr>
          <w:rStyle w:val="apple-converted-space"/>
          <w:rFonts w:asciiTheme="minorHAnsi" w:hAnsiTheme="minorHAnsi" w:cstheme="minorBidi"/>
        </w:rPr>
        <w:t> </w:t>
      </w:r>
      <w:r w:rsidRPr="53034219">
        <w:rPr>
          <w:rStyle w:val="Emphasis"/>
          <w:rFonts w:asciiTheme="minorHAnsi" w:hAnsiTheme="minorHAnsi" w:cstheme="minorBidi"/>
        </w:rPr>
        <w:t>Dynamics of skill acquisition: A constraints-led approach</w:t>
      </w:r>
      <w:r w:rsidRPr="53034219">
        <w:rPr>
          <w:rFonts w:asciiTheme="minorHAnsi" w:hAnsiTheme="minorHAnsi" w:cstheme="minorBidi"/>
        </w:rPr>
        <w:t>. Champaign, IL: Human Kinetics.</w:t>
      </w:r>
    </w:p>
    <w:p w14:paraId="66DC88EE" w14:textId="77777777" w:rsidR="00496EAE" w:rsidRDefault="00496EAE" w:rsidP="53034219">
      <w:pPr>
        <w:pStyle w:val="NormalWeb"/>
        <w:rPr>
          <w:rFonts w:asciiTheme="minorHAnsi" w:hAnsiTheme="minorHAnsi" w:cstheme="minorBidi"/>
        </w:rPr>
      </w:pPr>
      <w:r w:rsidRPr="53034219">
        <w:rPr>
          <w:rFonts w:asciiTheme="minorHAnsi" w:hAnsiTheme="minorHAnsi" w:cstheme="minorBidi"/>
        </w:rPr>
        <w:t>Dellal, A. et al., 2012. Small-sided games versus interval training in amateur soccer players: Effects on physical performance.</w:t>
      </w:r>
      <w:r w:rsidRPr="53034219">
        <w:rPr>
          <w:rStyle w:val="apple-converted-space"/>
          <w:rFonts w:asciiTheme="minorHAnsi" w:hAnsiTheme="minorHAnsi" w:cstheme="minorBidi"/>
        </w:rPr>
        <w:t> </w:t>
      </w:r>
      <w:r w:rsidRPr="53034219">
        <w:rPr>
          <w:rStyle w:val="Emphasis"/>
          <w:rFonts w:asciiTheme="minorHAnsi" w:hAnsiTheme="minorHAnsi" w:cstheme="minorBidi"/>
        </w:rPr>
        <w:t>Journal of Strength and Conditioning Research</w:t>
      </w:r>
      <w:r w:rsidRPr="53034219">
        <w:rPr>
          <w:rFonts w:asciiTheme="minorHAnsi" w:hAnsiTheme="minorHAnsi" w:cstheme="minorBidi"/>
        </w:rPr>
        <w:t>, 26(10), pp.2712–2720.</w:t>
      </w:r>
    </w:p>
    <w:p w14:paraId="357DF2F8" w14:textId="77777777" w:rsidR="00496EAE" w:rsidRDefault="00496EAE" w:rsidP="53034219">
      <w:pPr>
        <w:pStyle w:val="NormalWeb"/>
        <w:rPr>
          <w:rFonts w:asciiTheme="minorHAnsi" w:hAnsiTheme="minorHAnsi" w:cstheme="minorBidi"/>
        </w:rPr>
      </w:pPr>
      <w:r w:rsidRPr="53034219">
        <w:rPr>
          <w:rFonts w:asciiTheme="minorHAnsi" w:hAnsiTheme="minorHAnsi" w:cstheme="minorBidi"/>
        </w:rPr>
        <w:t>Deci, E.L. and Ryan, R.M., 2000. The “what” and “why” of goal pursuits: Human needs and the self-determination of behaviour.</w:t>
      </w:r>
      <w:r w:rsidRPr="53034219">
        <w:rPr>
          <w:rStyle w:val="apple-converted-space"/>
          <w:rFonts w:asciiTheme="minorHAnsi" w:hAnsiTheme="minorHAnsi" w:cstheme="minorBidi"/>
        </w:rPr>
        <w:t> </w:t>
      </w:r>
      <w:r w:rsidRPr="53034219">
        <w:rPr>
          <w:rStyle w:val="Emphasis"/>
          <w:rFonts w:asciiTheme="minorHAnsi" w:hAnsiTheme="minorHAnsi" w:cstheme="minorBidi"/>
        </w:rPr>
        <w:t>Psychological Inquiry</w:t>
      </w:r>
      <w:r w:rsidRPr="53034219">
        <w:rPr>
          <w:rFonts w:asciiTheme="minorHAnsi" w:hAnsiTheme="minorHAnsi" w:cstheme="minorBidi"/>
        </w:rPr>
        <w:t>, 11(4), pp.227–268.</w:t>
      </w:r>
    </w:p>
    <w:p w14:paraId="3BDEEC23" w14:textId="77777777" w:rsidR="00496EAE" w:rsidRDefault="00496EAE" w:rsidP="53034219">
      <w:pPr>
        <w:pStyle w:val="NormalWeb"/>
        <w:rPr>
          <w:rFonts w:asciiTheme="minorHAnsi" w:hAnsiTheme="minorHAnsi" w:cstheme="minorBidi"/>
        </w:rPr>
      </w:pPr>
      <w:r w:rsidRPr="53034219">
        <w:rPr>
          <w:rFonts w:asciiTheme="minorHAnsi" w:hAnsiTheme="minorHAnsi" w:cstheme="minorBidi"/>
        </w:rPr>
        <w:t>Ferreira-Ruiz, Á. et al., 2022. Technical and tactical behaviour in small-sided games: A systematic review.</w:t>
      </w:r>
      <w:r w:rsidRPr="53034219">
        <w:rPr>
          <w:rStyle w:val="apple-converted-space"/>
          <w:rFonts w:asciiTheme="minorHAnsi" w:hAnsiTheme="minorHAnsi" w:cstheme="minorBidi"/>
        </w:rPr>
        <w:t> </w:t>
      </w:r>
      <w:r w:rsidRPr="53034219">
        <w:rPr>
          <w:rStyle w:val="Emphasis"/>
          <w:rFonts w:asciiTheme="minorHAnsi" w:hAnsiTheme="minorHAnsi" w:cstheme="minorBidi"/>
        </w:rPr>
        <w:t>Journal of Sports Sciences</w:t>
      </w:r>
      <w:r w:rsidRPr="53034219">
        <w:rPr>
          <w:rFonts w:asciiTheme="minorHAnsi" w:hAnsiTheme="minorHAnsi" w:cstheme="minorBidi"/>
        </w:rPr>
        <w:t>, 40(6), pp.1–12.</w:t>
      </w:r>
    </w:p>
    <w:p w14:paraId="7215BE99" w14:textId="77777777" w:rsidR="00496EAE" w:rsidRDefault="00496EAE" w:rsidP="53034219">
      <w:pPr>
        <w:pStyle w:val="NormalWeb"/>
        <w:rPr>
          <w:rFonts w:asciiTheme="minorHAnsi" w:hAnsiTheme="minorHAnsi" w:cstheme="minorBidi"/>
        </w:rPr>
      </w:pPr>
      <w:r w:rsidRPr="53034219">
        <w:rPr>
          <w:rFonts w:asciiTheme="minorHAnsi" w:hAnsiTheme="minorHAnsi" w:cstheme="minorBidi"/>
        </w:rPr>
        <w:t>Ford, P.R. et al., 2011. The developmental activities of elite soccer players aged under-16 years from Brazil, England, France, Ghana, Mexico, Portugal and Sweden.</w:t>
      </w:r>
      <w:r w:rsidRPr="53034219">
        <w:rPr>
          <w:rStyle w:val="apple-converted-space"/>
          <w:rFonts w:asciiTheme="minorHAnsi" w:hAnsiTheme="minorHAnsi" w:cstheme="minorBidi"/>
        </w:rPr>
        <w:t> </w:t>
      </w:r>
      <w:r w:rsidRPr="53034219">
        <w:rPr>
          <w:rStyle w:val="Emphasis"/>
          <w:rFonts w:asciiTheme="minorHAnsi" w:hAnsiTheme="minorHAnsi" w:cstheme="minorBidi"/>
        </w:rPr>
        <w:t>Journal of Sports Sciences</w:t>
      </w:r>
      <w:r w:rsidRPr="53034219">
        <w:rPr>
          <w:rFonts w:asciiTheme="minorHAnsi" w:hAnsiTheme="minorHAnsi" w:cstheme="minorBidi"/>
        </w:rPr>
        <w:t>, 29(15), pp.1653–1663.</w:t>
      </w:r>
    </w:p>
    <w:p w14:paraId="473DE326" w14:textId="77777777" w:rsidR="00496EAE" w:rsidRDefault="00496EAE" w:rsidP="53034219">
      <w:pPr>
        <w:pStyle w:val="NormalWeb"/>
        <w:rPr>
          <w:rFonts w:asciiTheme="minorHAnsi" w:hAnsiTheme="minorHAnsi" w:cstheme="minorBidi"/>
        </w:rPr>
      </w:pPr>
      <w:r w:rsidRPr="53034219">
        <w:rPr>
          <w:rFonts w:asciiTheme="minorHAnsi" w:hAnsiTheme="minorHAnsi" w:cstheme="minorBidi"/>
        </w:rPr>
        <w:t>Fraser-Thomas, J., Côté, J. and Deakin, J., 2005. Youth sport programs: An avenue to foster positive youth development.</w:t>
      </w:r>
      <w:r w:rsidRPr="53034219">
        <w:rPr>
          <w:rStyle w:val="apple-converted-space"/>
          <w:rFonts w:asciiTheme="minorHAnsi" w:hAnsiTheme="minorHAnsi" w:cstheme="minorBidi"/>
        </w:rPr>
        <w:t> </w:t>
      </w:r>
      <w:r w:rsidRPr="53034219">
        <w:rPr>
          <w:rStyle w:val="Emphasis"/>
          <w:rFonts w:asciiTheme="minorHAnsi" w:hAnsiTheme="minorHAnsi" w:cstheme="minorBidi"/>
        </w:rPr>
        <w:t>Physical Education and Sport Pedagogy</w:t>
      </w:r>
      <w:r w:rsidRPr="53034219">
        <w:rPr>
          <w:rFonts w:asciiTheme="minorHAnsi" w:hAnsiTheme="minorHAnsi" w:cstheme="minorBidi"/>
        </w:rPr>
        <w:t>, 10(1), pp.19–40.</w:t>
      </w:r>
    </w:p>
    <w:p w14:paraId="2C40147A" w14:textId="77777777" w:rsidR="00496EAE" w:rsidRDefault="00496EAE" w:rsidP="53034219">
      <w:pPr>
        <w:pStyle w:val="NormalWeb"/>
        <w:rPr>
          <w:rFonts w:asciiTheme="minorHAnsi" w:hAnsiTheme="minorHAnsi" w:cstheme="minorBidi"/>
        </w:rPr>
      </w:pPr>
      <w:r w:rsidRPr="53034219">
        <w:rPr>
          <w:rFonts w:asciiTheme="minorHAnsi" w:hAnsiTheme="minorHAnsi" w:cstheme="minorBidi"/>
        </w:rPr>
        <w:t>Groom, R., Cushion, C. and Nelson, L., 2011. The delivery of video-based performance analysis in elite youth soccer.</w:t>
      </w:r>
      <w:r w:rsidRPr="53034219">
        <w:rPr>
          <w:rStyle w:val="apple-converted-space"/>
          <w:rFonts w:asciiTheme="minorHAnsi" w:hAnsiTheme="minorHAnsi" w:cstheme="minorBidi"/>
        </w:rPr>
        <w:t> </w:t>
      </w:r>
      <w:r w:rsidRPr="53034219">
        <w:rPr>
          <w:rStyle w:val="Emphasis"/>
          <w:rFonts w:asciiTheme="minorHAnsi" w:hAnsiTheme="minorHAnsi" w:cstheme="minorBidi"/>
        </w:rPr>
        <w:t>Journal of Applied Sport Psychology</w:t>
      </w:r>
      <w:r w:rsidRPr="53034219">
        <w:rPr>
          <w:rFonts w:asciiTheme="minorHAnsi" w:hAnsiTheme="minorHAnsi" w:cstheme="minorBidi"/>
        </w:rPr>
        <w:t>, 23(1), pp.16–32.</w:t>
      </w:r>
    </w:p>
    <w:p w14:paraId="315E66D6" w14:textId="77777777" w:rsidR="00496EAE" w:rsidRDefault="00496EAE" w:rsidP="53034219">
      <w:pPr>
        <w:pStyle w:val="NormalWeb"/>
        <w:rPr>
          <w:rFonts w:asciiTheme="minorHAnsi" w:hAnsiTheme="minorHAnsi" w:cstheme="minorBidi"/>
        </w:rPr>
      </w:pPr>
      <w:r w:rsidRPr="53034219">
        <w:rPr>
          <w:rFonts w:asciiTheme="minorHAnsi" w:hAnsiTheme="minorHAnsi" w:cstheme="minorBidi"/>
        </w:rPr>
        <w:t>Harvey, S. and Light, R., 2015. Questioning for learning in game-based approaches to teaching and coaching.</w:t>
      </w:r>
      <w:r w:rsidRPr="53034219">
        <w:rPr>
          <w:rStyle w:val="apple-converted-space"/>
          <w:rFonts w:asciiTheme="minorHAnsi" w:hAnsiTheme="minorHAnsi" w:cstheme="minorBidi"/>
        </w:rPr>
        <w:t> </w:t>
      </w:r>
      <w:r w:rsidRPr="53034219">
        <w:rPr>
          <w:rStyle w:val="Emphasis"/>
          <w:rFonts w:asciiTheme="minorHAnsi" w:hAnsiTheme="minorHAnsi" w:cstheme="minorBidi"/>
        </w:rPr>
        <w:t>Asia-Pacific Journal of Health, Sport and Physical Education</w:t>
      </w:r>
      <w:r w:rsidRPr="53034219">
        <w:rPr>
          <w:rFonts w:asciiTheme="minorHAnsi" w:hAnsiTheme="minorHAnsi" w:cstheme="minorBidi"/>
        </w:rPr>
        <w:t>, 6(2), pp.175–190.</w:t>
      </w:r>
    </w:p>
    <w:p w14:paraId="0D9BE368" w14:textId="77777777" w:rsidR="00496EAE" w:rsidRDefault="00496EAE" w:rsidP="53034219">
      <w:pPr>
        <w:pStyle w:val="NormalWeb"/>
        <w:rPr>
          <w:rFonts w:asciiTheme="minorHAnsi" w:hAnsiTheme="minorHAnsi" w:cstheme="minorBidi"/>
        </w:rPr>
      </w:pPr>
      <w:r w:rsidRPr="53034219">
        <w:rPr>
          <w:rFonts w:asciiTheme="minorHAnsi" w:hAnsiTheme="minorHAnsi" w:cstheme="minorBidi"/>
        </w:rPr>
        <w:t>Hill-Haas, S.V. et al., 2011. Physiological responses and time–motion characteristics of small-sided games in soccer.</w:t>
      </w:r>
      <w:r w:rsidRPr="53034219">
        <w:rPr>
          <w:rStyle w:val="apple-converted-space"/>
          <w:rFonts w:asciiTheme="minorHAnsi" w:hAnsiTheme="minorHAnsi" w:cstheme="minorBidi"/>
        </w:rPr>
        <w:t> </w:t>
      </w:r>
      <w:r w:rsidRPr="53034219">
        <w:rPr>
          <w:rStyle w:val="Emphasis"/>
          <w:rFonts w:asciiTheme="minorHAnsi" w:hAnsiTheme="minorHAnsi" w:cstheme="minorBidi"/>
        </w:rPr>
        <w:t>Sports Medicine</w:t>
      </w:r>
      <w:r w:rsidRPr="53034219">
        <w:rPr>
          <w:rFonts w:asciiTheme="minorHAnsi" w:hAnsiTheme="minorHAnsi" w:cstheme="minorBidi"/>
        </w:rPr>
        <w:t>, 41(3), pp.199–220.</w:t>
      </w:r>
    </w:p>
    <w:p w14:paraId="306FC115" w14:textId="77777777" w:rsidR="00496EAE" w:rsidRDefault="00496EAE" w:rsidP="53034219">
      <w:pPr>
        <w:pStyle w:val="NormalWeb"/>
        <w:rPr>
          <w:rFonts w:asciiTheme="minorHAnsi" w:hAnsiTheme="minorHAnsi" w:cstheme="minorBidi"/>
        </w:rPr>
      </w:pPr>
      <w:r w:rsidRPr="53034219">
        <w:rPr>
          <w:rFonts w:asciiTheme="minorHAnsi" w:hAnsiTheme="minorHAnsi" w:cstheme="minorBidi"/>
        </w:rPr>
        <w:t>Lave, J. and Wenger, E., 1991.</w:t>
      </w:r>
      <w:r w:rsidRPr="53034219">
        <w:rPr>
          <w:rStyle w:val="apple-converted-space"/>
          <w:rFonts w:asciiTheme="minorHAnsi" w:hAnsiTheme="minorHAnsi" w:cstheme="minorBidi"/>
        </w:rPr>
        <w:t> </w:t>
      </w:r>
      <w:r w:rsidRPr="53034219">
        <w:rPr>
          <w:rStyle w:val="Emphasis"/>
          <w:rFonts w:asciiTheme="minorHAnsi" w:hAnsiTheme="minorHAnsi" w:cstheme="minorBidi"/>
        </w:rPr>
        <w:t>Situated learning: Legitimate peripheral participation</w:t>
      </w:r>
      <w:r w:rsidRPr="53034219">
        <w:rPr>
          <w:rFonts w:asciiTheme="minorHAnsi" w:hAnsiTheme="minorHAnsi" w:cstheme="minorBidi"/>
        </w:rPr>
        <w:t>. Cambridge: Cambridge University Press.</w:t>
      </w:r>
    </w:p>
    <w:p w14:paraId="4A4F143A" w14:textId="77777777" w:rsidR="00496EAE" w:rsidRDefault="00496EAE" w:rsidP="53034219">
      <w:pPr>
        <w:pStyle w:val="NormalWeb"/>
        <w:rPr>
          <w:rFonts w:asciiTheme="minorHAnsi" w:hAnsiTheme="minorHAnsi" w:cstheme="minorBidi"/>
        </w:rPr>
      </w:pPr>
      <w:r w:rsidRPr="53034219">
        <w:rPr>
          <w:rFonts w:asciiTheme="minorHAnsi" w:hAnsiTheme="minorHAnsi" w:cstheme="minorBidi"/>
        </w:rPr>
        <w:t>Light, R., 2013.</w:t>
      </w:r>
      <w:r w:rsidRPr="53034219">
        <w:rPr>
          <w:rStyle w:val="apple-converted-space"/>
          <w:rFonts w:asciiTheme="minorHAnsi" w:hAnsiTheme="minorHAnsi" w:cstheme="minorBidi"/>
        </w:rPr>
        <w:t> </w:t>
      </w:r>
      <w:r w:rsidRPr="53034219">
        <w:rPr>
          <w:rStyle w:val="Emphasis"/>
          <w:rFonts w:asciiTheme="minorHAnsi" w:hAnsiTheme="minorHAnsi" w:cstheme="minorBidi"/>
        </w:rPr>
        <w:t>Game sense: Pedagogy for performance, participation and enjoyment</w:t>
      </w:r>
      <w:r w:rsidRPr="53034219">
        <w:rPr>
          <w:rFonts w:asciiTheme="minorHAnsi" w:hAnsiTheme="minorHAnsi" w:cstheme="minorBidi"/>
        </w:rPr>
        <w:t>. London: Routledge.</w:t>
      </w:r>
    </w:p>
    <w:p w14:paraId="56C7C77E" w14:textId="77777777" w:rsidR="00496EAE" w:rsidRDefault="00496EAE" w:rsidP="53034219">
      <w:pPr>
        <w:pStyle w:val="NormalWeb"/>
        <w:rPr>
          <w:rFonts w:asciiTheme="minorHAnsi" w:hAnsiTheme="minorHAnsi" w:cstheme="minorBidi"/>
        </w:rPr>
      </w:pPr>
      <w:r w:rsidRPr="53034219">
        <w:rPr>
          <w:rFonts w:asciiTheme="minorHAnsi" w:hAnsiTheme="minorHAnsi" w:cstheme="minorBidi"/>
        </w:rPr>
        <w:t>Lyle, J. and Cushion, C., 2017.</w:t>
      </w:r>
      <w:r w:rsidRPr="53034219">
        <w:rPr>
          <w:rStyle w:val="apple-converted-space"/>
          <w:rFonts w:asciiTheme="minorHAnsi" w:hAnsiTheme="minorHAnsi" w:cstheme="minorBidi"/>
        </w:rPr>
        <w:t> </w:t>
      </w:r>
      <w:r w:rsidRPr="53034219">
        <w:rPr>
          <w:rStyle w:val="Emphasis"/>
          <w:rFonts w:asciiTheme="minorHAnsi" w:hAnsiTheme="minorHAnsi" w:cstheme="minorBidi"/>
        </w:rPr>
        <w:t>Sports coaching concepts: A framework for coaching practice</w:t>
      </w:r>
      <w:r w:rsidRPr="53034219">
        <w:rPr>
          <w:rFonts w:asciiTheme="minorHAnsi" w:hAnsiTheme="minorHAnsi" w:cstheme="minorBidi"/>
        </w:rPr>
        <w:t>. 2nd ed. London: Routledge.</w:t>
      </w:r>
    </w:p>
    <w:p w14:paraId="493CFF1F" w14:textId="77777777" w:rsidR="00496EAE" w:rsidRDefault="00496EAE" w:rsidP="53034219">
      <w:pPr>
        <w:pStyle w:val="NormalWeb"/>
        <w:rPr>
          <w:rFonts w:asciiTheme="minorHAnsi" w:hAnsiTheme="minorHAnsi" w:cstheme="minorBidi"/>
        </w:rPr>
      </w:pPr>
      <w:r w:rsidRPr="53034219">
        <w:rPr>
          <w:rFonts w:asciiTheme="minorHAnsi" w:hAnsiTheme="minorHAnsi" w:cstheme="minorBidi"/>
        </w:rPr>
        <w:t>Nelson, L., Cushion, C. and Potrac, P., 2013. Enhancing the provision of coach education: The recommendations of UK coaching practitioners.</w:t>
      </w:r>
      <w:r w:rsidRPr="53034219">
        <w:rPr>
          <w:rStyle w:val="apple-converted-space"/>
          <w:rFonts w:asciiTheme="minorHAnsi" w:hAnsiTheme="minorHAnsi" w:cstheme="minorBidi"/>
        </w:rPr>
        <w:t> </w:t>
      </w:r>
      <w:r w:rsidRPr="53034219">
        <w:rPr>
          <w:rStyle w:val="Emphasis"/>
          <w:rFonts w:asciiTheme="minorHAnsi" w:hAnsiTheme="minorHAnsi" w:cstheme="minorBidi"/>
        </w:rPr>
        <w:t>Physical Education and Sport Pedagogy</w:t>
      </w:r>
      <w:r w:rsidRPr="53034219">
        <w:rPr>
          <w:rFonts w:asciiTheme="minorHAnsi" w:hAnsiTheme="minorHAnsi" w:cstheme="minorBidi"/>
        </w:rPr>
        <w:t>, 18(2), pp.204–218.</w:t>
      </w:r>
    </w:p>
    <w:p w14:paraId="441413A4" w14:textId="77777777" w:rsidR="00496EAE" w:rsidRDefault="00496EAE" w:rsidP="53034219">
      <w:pPr>
        <w:pStyle w:val="NormalWeb"/>
        <w:rPr>
          <w:rFonts w:asciiTheme="minorHAnsi" w:hAnsiTheme="minorHAnsi" w:cstheme="minorBidi"/>
        </w:rPr>
      </w:pPr>
      <w:r w:rsidRPr="53034219">
        <w:rPr>
          <w:rFonts w:asciiTheme="minorHAnsi" w:hAnsiTheme="minorHAnsi" w:cstheme="minorBidi"/>
        </w:rPr>
        <w:t>Pinder, R.A. et al., 2011. Representative learning design and functionality of research and practice in sport.</w:t>
      </w:r>
      <w:r w:rsidRPr="53034219">
        <w:rPr>
          <w:rStyle w:val="apple-converted-space"/>
          <w:rFonts w:asciiTheme="minorHAnsi" w:hAnsiTheme="minorHAnsi" w:cstheme="minorBidi"/>
        </w:rPr>
        <w:t> </w:t>
      </w:r>
      <w:r w:rsidRPr="53034219">
        <w:rPr>
          <w:rStyle w:val="Emphasis"/>
          <w:rFonts w:asciiTheme="minorHAnsi" w:hAnsiTheme="minorHAnsi" w:cstheme="minorBidi"/>
        </w:rPr>
        <w:t>Journal of Sport and Exercise Psychology</w:t>
      </w:r>
      <w:r w:rsidRPr="53034219">
        <w:rPr>
          <w:rFonts w:asciiTheme="minorHAnsi" w:hAnsiTheme="minorHAnsi" w:cstheme="minorBidi"/>
        </w:rPr>
        <w:t>, 33(1), pp.146–155.</w:t>
      </w:r>
    </w:p>
    <w:p w14:paraId="51424A14" w14:textId="77777777" w:rsidR="00496EAE" w:rsidRDefault="00496EAE" w:rsidP="53034219">
      <w:pPr>
        <w:pStyle w:val="NormalWeb"/>
        <w:rPr>
          <w:rFonts w:asciiTheme="minorHAnsi" w:hAnsiTheme="minorHAnsi" w:cstheme="minorBidi"/>
        </w:rPr>
      </w:pPr>
      <w:r w:rsidRPr="53034219">
        <w:rPr>
          <w:rFonts w:asciiTheme="minorHAnsi" w:hAnsiTheme="minorHAnsi" w:cstheme="minorBidi"/>
        </w:rPr>
        <w:t>Rampinini, E. et al., 2007. Factors influencing physiological responses to small-sided soccer games.</w:t>
      </w:r>
      <w:r w:rsidRPr="53034219">
        <w:rPr>
          <w:rStyle w:val="apple-converted-space"/>
          <w:rFonts w:asciiTheme="minorHAnsi" w:hAnsiTheme="minorHAnsi" w:cstheme="minorBidi"/>
        </w:rPr>
        <w:t> </w:t>
      </w:r>
      <w:r w:rsidRPr="53034219">
        <w:rPr>
          <w:rStyle w:val="Emphasis"/>
          <w:rFonts w:asciiTheme="minorHAnsi" w:hAnsiTheme="minorHAnsi" w:cstheme="minorBidi"/>
        </w:rPr>
        <w:t>Journal of Sports Sciences</w:t>
      </w:r>
      <w:r w:rsidRPr="53034219">
        <w:rPr>
          <w:rFonts w:asciiTheme="minorHAnsi" w:hAnsiTheme="minorHAnsi" w:cstheme="minorBidi"/>
        </w:rPr>
        <w:t>, 25(6), pp.659–666.</w:t>
      </w:r>
    </w:p>
    <w:p w14:paraId="7720B063" w14:textId="77777777" w:rsidR="00496EAE" w:rsidRDefault="00496EAE" w:rsidP="53034219">
      <w:pPr>
        <w:pStyle w:val="NormalWeb"/>
        <w:rPr>
          <w:rFonts w:asciiTheme="minorHAnsi" w:hAnsiTheme="minorHAnsi" w:cstheme="minorBidi"/>
        </w:rPr>
      </w:pPr>
      <w:r w:rsidRPr="53034219">
        <w:rPr>
          <w:rFonts w:asciiTheme="minorHAnsi" w:hAnsiTheme="minorHAnsi" w:cstheme="minorBidi"/>
        </w:rPr>
        <w:t>Rein, R. and Memmert, D., 2016. Big data and tactical analysis in elite soccer: Future challenges and opportunities.</w:t>
      </w:r>
      <w:r w:rsidRPr="53034219">
        <w:rPr>
          <w:rStyle w:val="apple-converted-space"/>
          <w:rFonts w:asciiTheme="minorHAnsi" w:hAnsiTheme="minorHAnsi" w:cstheme="minorBidi"/>
        </w:rPr>
        <w:t> </w:t>
      </w:r>
      <w:r w:rsidRPr="53034219">
        <w:rPr>
          <w:rStyle w:val="Emphasis"/>
          <w:rFonts w:asciiTheme="minorHAnsi" w:hAnsiTheme="minorHAnsi" w:cstheme="minorBidi"/>
        </w:rPr>
        <w:t>SpringerPlus</w:t>
      </w:r>
      <w:r w:rsidRPr="53034219">
        <w:rPr>
          <w:rFonts w:asciiTheme="minorHAnsi" w:hAnsiTheme="minorHAnsi" w:cstheme="minorBidi"/>
        </w:rPr>
        <w:t>, 5(1), p.1410.</w:t>
      </w:r>
    </w:p>
    <w:p w14:paraId="3C1BBEF9" w14:textId="77777777" w:rsidR="00496EAE" w:rsidRDefault="00496EAE" w:rsidP="53034219">
      <w:pPr>
        <w:pStyle w:val="NormalWeb"/>
        <w:rPr>
          <w:rFonts w:asciiTheme="minorHAnsi" w:hAnsiTheme="minorHAnsi" w:cstheme="minorBidi"/>
        </w:rPr>
      </w:pPr>
      <w:r w:rsidRPr="53034219">
        <w:rPr>
          <w:rFonts w:asciiTheme="minorHAnsi" w:hAnsiTheme="minorHAnsi" w:cstheme="minorBidi"/>
        </w:rPr>
        <w:t>Scanlan, T.K. and Lewthwaite, R., 1986. Social psychological aspects of competition for male youth sport participants: IV. Predictors of enjoyment.</w:t>
      </w:r>
      <w:r w:rsidRPr="53034219">
        <w:rPr>
          <w:rStyle w:val="apple-converted-space"/>
          <w:rFonts w:asciiTheme="minorHAnsi" w:hAnsiTheme="minorHAnsi" w:cstheme="minorBidi"/>
        </w:rPr>
        <w:t> </w:t>
      </w:r>
      <w:r w:rsidRPr="53034219">
        <w:rPr>
          <w:rStyle w:val="Emphasis"/>
          <w:rFonts w:asciiTheme="minorHAnsi" w:hAnsiTheme="minorHAnsi" w:cstheme="minorBidi"/>
        </w:rPr>
        <w:t>Journal of Sport Psychology</w:t>
      </w:r>
      <w:r w:rsidRPr="53034219">
        <w:rPr>
          <w:rFonts w:asciiTheme="minorHAnsi" w:hAnsiTheme="minorHAnsi" w:cstheme="minorBidi"/>
        </w:rPr>
        <w:t>, 8(1), pp.25–35.</w:t>
      </w:r>
    </w:p>
    <w:p w14:paraId="0F7A3DC9" w14:textId="77777777" w:rsidR="00496EAE" w:rsidRDefault="00496EAE" w:rsidP="53034219">
      <w:pPr>
        <w:pStyle w:val="NormalWeb"/>
        <w:rPr>
          <w:rFonts w:asciiTheme="minorHAnsi" w:hAnsiTheme="minorHAnsi" w:cstheme="minorBidi"/>
        </w:rPr>
      </w:pPr>
      <w:r w:rsidRPr="53034219">
        <w:rPr>
          <w:rFonts w:asciiTheme="minorHAnsi" w:hAnsiTheme="minorHAnsi" w:cstheme="minorBidi"/>
        </w:rPr>
        <w:t>Weinberg, R.S. and Gould, D., 2015.</w:t>
      </w:r>
      <w:r w:rsidRPr="53034219">
        <w:rPr>
          <w:rStyle w:val="apple-converted-space"/>
          <w:rFonts w:asciiTheme="minorHAnsi" w:hAnsiTheme="minorHAnsi" w:cstheme="minorBidi"/>
        </w:rPr>
        <w:t> </w:t>
      </w:r>
      <w:r w:rsidRPr="53034219">
        <w:rPr>
          <w:rStyle w:val="Emphasis"/>
          <w:rFonts w:asciiTheme="minorHAnsi" w:hAnsiTheme="minorHAnsi" w:cstheme="minorBidi"/>
        </w:rPr>
        <w:t>Foundations of sport and exercise psychology</w:t>
      </w:r>
      <w:r w:rsidRPr="53034219">
        <w:rPr>
          <w:rFonts w:asciiTheme="minorHAnsi" w:hAnsiTheme="minorHAnsi" w:cstheme="minorBidi"/>
        </w:rPr>
        <w:t>. 6th ed. Champaign, IL: Human Kinetics.</w:t>
      </w:r>
    </w:p>
    <w:p w14:paraId="20443274" w14:textId="697E8C9A" w:rsidR="6E4AB4A3" w:rsidRDefault="6E4AB4A3" w:rsidP="53034219">
      <w:pPr>
        <w:rPr>
          <w:lang w:val="en-GB"/>
        </w:rPr>
      </w:pPr>
    </w:p>
    <w:p w14:paraId="4C97FA98" w14:textId="77777777" w:rsidR="005C7D06" w:rsidRDefault="005C7D06" w:rsidP="53034219">
      <w:pPr>
        <w:rPr>
          <w:lang w:val="en-GB"/>
        </w:rPr>
      </w:pPr>
    </w:p>
    <w:p w14:paraId="2C78C9CC" w14:textId="77777777" w:rsidR="000C11CC" w:rsidRPr="005951B6" w:rsidRDefault="000C11CC">
      <w:pPr>
        <w:rPr>
          <w:lang w:val="en-GB"/>
        </w:rPr>
      </w:pPr>
    </w:p>
    <w:sectPr w:rsidR="000C11CC" w:rsidRPr="005951B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pleSystemUIFont">
    <w:altName w:val="Cambria"/>
    <w:charset w:val="00"/>
    <w:family w:val="roman"/>
    <w:pitch w:val="default"/>
  </w:font>
  <w:font w:name="UICTFontTextStyleBody">
    <w:altName w:val="Cambria"/>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Aptos Display">
    <w:panose1 w:val="00000000000000000000"/>
    <w:charset w:val="00"/>
    <w:family w:val="roman"/>
    <w:notTrueType/>
    <w:pitch w:val="default"/>
  </w:font>
</w:fonts>
</file>

<file path=word/intelligence2.xml><?xml version="1.0" encoding="utf-8"?>
<int2:intelligence xmlns:int2="http://schemas.microsoft.com/office/intelligence/2020/intelligence" xmlns:oel="http://schemas.microsoft.com/office/2019/extlst">
  <int2:observations>
    <int2:textHash int2:hashCode="XSUiEPxXFZ9tOg" int2:id="OZcMNJL6">
      <int2:state int2:value="Rejected" int2:type="spell"/>
    </int2:textHash>
    <int2:textHash int2:hashCode="NT12h6See3qwhk" int2:id="gHmm4Ixg">
      <int2:state int2:value="Rejected" int2:type="spell"/>
    </int2:textHash>
    <int2:textHash int2:hashCode="xcgb3EeIup7nN2" int2:id="oqHU4R4Y">
      <int2:state int2:value="Rejected" int2:type="spell"/>
    </int2:textHash>
    <int2:bookmark int2:bookmarkName="_Int_7JMmsAxK" int2:invalidationBookmarkName="" int2:hashCode="PTWWp68seCXMzX" int2:id="J2wieH9u">
      <int2:state int2:value="Rejected" int2:type="style"/>
    </int2:bookmark>
    <int2:bookmark int2:bookmarkName="_Int_BI60Pt8O" int2:invalidationBookmarkName="" int2:hashCode="YD+82+V1vFecXo" int2:id="UudLyjAe">
      <int2:state int2:value="Rejected" int2:type="style"/>
    </int2:bookmark>
    <int2:bookmark int2:bookmarkName="_Int_bJ7Jz4BD" int2:invalidationBookmarkName="" int2:hashCode="Ab/AnEj0xDG1Jr" int2:id="aURN9wzV">
      <int2:state int2:value="Rejected" int2:type="style"/>
    </int2:bookmark>
    <int2:bookmark int2:bookmarkName="_Int_E1dlSSmX" int2:invalidationBookmarkName="" int2:hashCode="Fa4fHCyWOqp6I3" int2:id="jbrlnLsn">
      <int2:state int2:value="Rejected" int2:type="style"/>
    </int2:bookmark>
    <int2:bookmark int2:bookmarkName="_Int_24zkvEPk" int2:invalidationBookmarkName="" int2:hashCode="omhiY+fR7O948u" int2:id="sbQJjJkQ">
      <int2:state int2:value="Rejected" int2:type="style"/>
    </int2:bookmark>
    <int2:bookmark int2:bookmarkName="_Int_tpcMCPrf" int2:invalidationBookmarkName="" int2:hashCode="8VqyDVP3iZFRPh" int2:id="xSiFKOU3">
      <int2:state int2:value="Rejected" int2:type="styl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7661662"/>
    <w:rsid w:val="000053DD"/>
    <w:rsid w:val="000182A3"/>
    <w:rsid w:val="0009417C"/>
    <w:rsid w:val="000C11CC"/>
    <w:rsid w:val="0010461E"/>
    <w:rsid w:val="00135DAF"/>
    <w:rsid w:val="001C03A1"/>
    <w:rsid w:val="001E5E37"/>
    <w:rsid w:val="001F6F3D"/>
    <w:rsid w:val="00203B51"/>
    <w:rsid w:val="00210ED8"/>
    <w:rsid w:val="002933CC"/>
    <w:rsid w:val="002D2567"/>
    <w:rsid w:val="002D76A0"/>
    <w:rsid w:val="002E7047"/>
    <w:rsid w:val="0035130E"/>
    <w:rsid w:val="00370956"/>
    <w:rsid w:val="00396176"/>
    <w:rsid w:val="003B558C"/>
    <w:rsid w:val="003C4F30"/>
    <w:rsid w:val="003E6BAD"/>
    <w:rsid w:val="0041483E"/>
    <w:rsid w:val="004248CD"/>
    <w:rsid w:val="004341EA"/>
    <w:rsid w:val="00450F74"/>
    <w:rsid w:val="00496EAE"/>
    <w:rsid w:val="004E0C9C"/>
    <w:rsid w:val="004F4B9C"/>
    <w:rsid w:val="00573603"/>
    <w:rsid w:val="005951B6"/>
    <w:rsid w:val="005A61DB"/>
    <w:rsid w:val="005C7D06"/>
    <w:rsid w:val="005D292D"/>
    <w:rsid w:val="005D4D67"/>
    <w:rsid w:val="005F2858"/>
    <w:rsid w:val="00612C53"/>
    <w:rsid w:val="00615B8E"/>
    <w:rsid w:val="00644ED3"/>
    <w:rsid w:val="006731AB"/>
    <w:rsid w:val="00687841"/>
    <w:rsid w:val="006E0533"/>
    <w:rsid w:val="006F4F63"/>
    <w:rsid w:val="00752E2C"/>
    <w:rsid w:val="00786912"/>
    <w:rsid w:val="0078760E"/>
    <w:rsid w:val="007F0E36"/>
    <w:rsid w:val="0082181D"/>
    <w:rsid w:val="00834AA7"/>
    <w:rsid w:val="008C02E9"/>
    <w:rsid w:val="008D372C"/>
    <w:rsid w:val="008D7B8D"/>
    <w:rsid w:val="008E104F"/>
    <w:rsid w:val="008F1093"/>
    <w:rsid w:val="008F63C7"/>
    <w:rsid w:val="00902BBF"/>
    <w:rsid w:val="00915A2F"/>
    <w:rsid w:val="00961EFA"/>
    <w:rsid w:val="00983278"/>
    <w:rsid w:val="009A2789"/>
    <w:rsid w:val="009C7B82"/>
    <w:rsid w:val="00A236AB"/>
    <w:rsid w:val="00A6040B"/>
    <w:rsid w:val="00A95646"/>
    <w:rsid w:val="00B214C4"/>
    <w:rsid w:val="00B71FA7"/>
    <w:rsid w:val="00BB1676"/>
    <w:rsid w:val="00BB1896"/>
    <w:rsid w:val="00BB5816"/>
    <w:rsid w:val="00CA65EF"/>
    <w:rsid w:val="00CD145B"/>
    <w:rsid w:val="00CD7564"/>
    <w:rsid w:val="00D62D38"/>
    <w:rsid w:val="00D81141"/>
    <w:rsid w:val="00DA19FF"/>
    <w:rsid w:val="00DB4A1E"/>
    <w:rsid w:val="00DC6556"/>
    <w:rsid w:val="00DD5497"/>
    <w:rsid w:val="00DE721F"/>
    <w:rsid w:val="00E15B72"/>
    <w:rsid w:val="00E438BD"/>
    <w:rsid w:val="00E567B7"/>
    <w:rsid w:val="00E62AB7"/>
    <w:rsid w:val="00E74984"/>
    <w:rsid w:val="00E77FCC"/>
    <w:rsid w:val="00E85737"/>
    <w:rsid w:val="00EC0A7E"/>
    <w:rsid w:val="00F05221"/>
    <w:rsid w:val="00F26682"/>
    <w:rsid w:val="00F27634"/>
    <w:rsid w:val="00F35122"/>
    <w:rsid w:val="00F42D88"/>
    <w:rsid w:val="00F90495"/>
    <w:rsid w:val="00FC3E27"/>
    <w:rsid w:val="00FC7B67"/>
    <w:rsid w:val="01102ADC"/>
    <w:rsid w:val="0129B765"/>
    <w:rsid w:val="01317286"/>
    <w:rsid w:val="0146BFB5"/>
    <w:rsid w:val="015FF4A4"/>
    <w:rsid w:val="0181A29B"/>
    <w:rsid w:val="0193A3F0"/>
    <w:rsid w:val="02ED9191"/>
    <w:rsid w:val="038750FA"/>
    <w:rsid w:val="03E312B4"/>
    <w:rsid w:val="03E555C3"/>
    <w:rsid w:val="058FE1F2"/>
    <w:rsid w:val="0664CA05"/>
    <w:rsid w:val="06B2CDAC"/>
    <w:rsid w:val="073F303C"/>
    <w:rsid w:val="07514D21"/>
    <w:rsid w:val="0995F122"/>
    <w:rsid w:val="09B105D3"/>
    <w:rsid w:val="09DB7E49"/>
    <w:rsid w:val="0AA9304E"/>
    <w:rsid w:val="0ABBC39F"/>
    <w:rsid w:val="0B68CD61"/>
    <w:rsid w:val="0B77214D"/>
    <w:rsid w:val="0EC3408B"/>
    <w:rsid w:val="0F3694CA"/>
    <w:rsid w:val="0F664BE1"/>
    <w:rsid w:val="0F784C3C"/>
    <w:rsid w:val="10FFC1D4"/>
    <w:rsid w:val="114BF9A3"/>
    <w:rsid w:val="126217F3"/>
    <w:rsid w:val="1282E655"/>
    <w:rsid w:val="1368BF8E"/>
    <w:rsid w:val="13A3501F"/>
    <w:rsid w:val="14D84A7C"/>
    <w:rsid w:val="14DFD7F2"/>
    <w:rsid w:val="1564D33D"/>
    <w:rsid w:val="156825EA"/>
    <w:rsid w:val="15E7CDC6"/>
    <w:rsid w:val="167BD02F"/>
    <w:rsid w:val="170399FF"/>
    <w:rsid w:val="17479C9C"/>
    <w:rsid w:val="1970BBE5"/>
    <w:rsid w:val="19B7BB46"/>
    <w:rsid w:val="19B8B3FC"/>
    <w:rsid w:val="1B74E5D0"/>
    <w:rsid w:val="1BA1275E"/>
    <w:rsid w:val="1C173D86"/>
    <w:rsid w:val="1C41DBB4"/>
    <w:rsid w:val="1DB7EDA8"/>
    <w:rsid w:val="1E53C033"/>
    <w:rsid w:val="1E8BF3A7"/>
    <w:rsid w:val="1EDB3398"/>
    <w:rsid w:val="1F6757D7"/>
    <w:rsid w:val="1F7CC772"/>
    <w:rsid w:val="1F86626F"/>
    <w:rsid w:val="20A8C97F"/>
    <w:rsid w:val="20E9054D"/>
    <w:rsid w:val="214008C5"/>
    <w:rsid w:val="218C9792"/>
    <w:rsid w:val="223BAB47"/>
    <w:rsid w:val="22E2B0B9"/>
    <w:rsid w:val="24ACEC5B"/>
    <w:rsid w:val="254B05EC"/>
    <w:rsid w:val="257B51F8"/>
    <w:rsid w:val="2596F612"/>
    <w:rsid w:val="25F69EE4"/>
    <w:rsid w:val="26961BE2"/>
    <w:rsid w:val="26D73D4D"/>
    <w:rsid w:val="26E5F652"/>
    <w:rsid w:val="27B8604E"/>
    <w:rsid w:val="27CFBD28"/>
    <w:rsid w:val="27E3FC9E"/>
    <w:rsid w:val="27EE1FFB"/>
    <w:rsid w:val="281F5E84"/>
    <w:rsid w:val="28749802"/>
    <w:rsid w:val="2956A6BB"/>
    <w:rsid w:val="2C9378F7"/>
    <w:rsid w:val="2D624A2D"/>
    <w:rsid w:val="2EF6296C"/>
    <w:rsid w:val="2F229D30"/>
    <w:rsid w:val="2FC7EC42"/>
    <w:rsid w:val="304F6561"/>
    <w:rsid w:val="30D0CE85"/>
    <w:rsid w:val="31BBFD94"/>
    <w:rsid w:val="32639115"/>
    <w:rsid w:val="3373F982"/>
    <w:rsid w:val="345401E2"/>
    <w:rsid w:val="35610BA8"/>
    <w:rsid w:val="3600F3B8"/>
    <w:rsid w:val="365B63FE"/>
    <w:rsid w:val="37698A90"/>
    <w:rsid w:val="37843EF7"/>
    <w:rsid w:val="3792D0A2"/>
    <w:rsid w:val="37F0D44C"/>
    <w:rsid w:val="38C0FEFB"/>
    <w:rsid w:val="38F048FF"/>
    <w:rsid w:val="39397DD0"/>
    <w:rsid w:val="39DBD1DC"/>
    <w:rsid w:val="3C0C22DB"/>
    <w:rsid w:val="3C27A562"/>
    <w:rsid w:val="3D62D600"/>
    <w:rsid w:val="3D7DF54C"/>
    <w:rsid w:val="3D8BBFD5"/>
    <w:rsid w:val="3EBAF699"/>
    <w:rsid w:val="401D0A8D"/>
    <w:rsid w:val="4036CE8F"/>
    <w:rsid w:val="4088CE1F"/>
    <w:rsid w:val="40E07C9A"/>
    <w:rsid w:val="40EC3681"/>
    <w:rsid w:val="4125F050"/>
    <w:rsid w:val="41D96616"/>
    <w:rsid w:val="4221A2E3"/>
    <w:rsid w:val="4460C233"/>
    <w:rsid w:val="446DF29D"/>
    <w:rsid w:val="44AE93A8"/>
    <w:rsid w:val="4620AD16"/>
    <w:rsid w:val="4621FC94"/>
    <w:rsid w:val="4669066F"/>
    <w:rsid w:val="46CDAF9C"/>
    <w:rsid w:val="47A9B5AB"/>
    <w:rsid w:val="47D6695C"/>
    <w:rsid w:val="4813C10C"/>
    <w:rsid w:val="49000F94"/>
    <w:rsid w:val="492B89C7"/>
    <w:rsid w:val="4986F9D3"/>
    <w:rsid w:val="49D944D2"/>
    <w:rsid w:val="4A607699"/>
    <w:rsid w:val="4B62625D"/>
    <w:rsid w:val="4B88344A"/>
    <w:rsid w:val="4BC76E9E"/>
    <w:rsid w:val="4BCBFA43"/>
    <w:rsid w:val="4C5B1C7B"/>
    <w:rsid w:val="4CBC3DE2"/>
    <w:rsid w:val="4CC2FA46"/>
    <w:rsid w:val="4CCA9922"/>
    <w:rsid w:val="4D3A4099"/>
    <w:rsid w:val="4D66008C"/>
    <w:rsid w:val="4DA3A42C"/>
    <w:rsid w:val="4E7A0F48"/>
    <w:rsid w:val="4E9656ED"/>
    <w:rsid w:val="4F0A0879"/>
    <w:rsid w:val="4F56D8B3"/>
    <w:rsid w:val="4FD308A4"/>
    <w:rsid w:val="50AB4A3A"/>
    <w:rsid w:val="50B29B55"/>
    <w:rsid w:val="51301ACF"/>
    <w:rsid w:val="51D04184"/>
    <w:rsid w:val="52889F44"/>
    <w:rsid w:val="53034219"/>
    <w:rsid w:val="54077C82"/>
    <w:rsid w:val="540E782A"/>
    <w:rsid w:val="5477D461"/>
    <w:rsid w:val="54C2746F"/>
    <w:rsid w:val="55DA8957"/>
    <w:rsid w:val="56F24526"/>
    <w:rsid w:val="57661662"/>
    <w:rsid w:val="576A8DAF"/>
    <w:rsid w:val="576B0C6F"/>
    <w:rsid w:val="57B9A4C7"/>
    <w:rsid w:val="57EE2F58"/>
    <w:rsid w:val="5819B3C7"/>
    <w:rsid w:val="58357474"/>
    <w:rsid w:val="5880BCF0"/>
    <w:rsid w:val="588A445D"/>
    <w:rsid w:val="58C55FDA"/>
    <w:rsid w:val="58FF9877"/>
    <w:rsid w:val="5A47DBAB"/>
    <w:rsid w:val="5A8115BE"/>
    <w:rsid w:val="5AB6617D"/>
    <w:rsid w:val="5B3A1B35"/>
    <w:rsid w:val="5B4091DE"/>
    <w:rsid w:val="5B90E77C"/>
    <w:rsid w:val="5BB43CA9"/>
    <w:rsid w:val="5BDC6625"/>
    <w:rsid w:val="5C50F35B"/>
    <w:rsid w:val="5C587641"/>
    <w:rsid w:val="5D013EBE"/>
    <w:rsid w:val="5DD03327"/>
    <w:rsid w:val="5E4C1087"/>
    <w:rsid w:val="5E8E8637"/>
    <w:rsid w:val="5EF6B32A"/>
    <w:rsid w:val="5F57FD4A"/>
    <w:rsid w:val="60E666B1"/>
    <w:rsid w:val="611E597B"/>
    <w:rsid w:val="6280F0AE"/>
    <w:rsid w:val="62C0CF51"/>
    <w:rsid w:val="62EEB719"/>
    <w:rsid w:val="639F903B"/>
    <w:rsid w:val="64ED2E63"/>
    <w:rsid w:val="65124BCC"/>
    <w:rsid w:val="6561B3D0"/>
    <w:rsid w:val="65B1651B"/>
    <w:rsid w:val="6697C71B"/>
    <w:rsid w:val="674D0A63"/>
    <w:rsid w:val="676AA48B"/>
    <w:rsid w:val="679C55C8"/>
    <w:rsid w:val="67D5B111"/>
    <w:rsid w:val="68406B72"/>
    <w:rsid w:val="6B0A47E7"/>
    <w:rsid w:val="6BB714D5"/>
    <w:rsid w:val="6C0E8C84"/>
    <w:rsid w:val="6C5EBAC4"/>
    <w:rsid w:val="6CC13A10"/>
    <w:rsid w:val="6DC0516B"/>
    <w:rsid w:val="6E4AB4A3"/>
    <w:rsid w:val="6E4DF8A4"/>
    <w:rsid w:val="6EB686C9"/>
    <w:rsid w:val="6FCBF93B"/>
    <w:rsid w:val="6FE8848C"/>
    <w:rsid w:val="7023CB52"/>
    <w:rsid w:val="70B61AB7"/>
    <w:rsid w:val="70D95435"/>
    <w:rsid w:val="71643419"/>
    <w:rsid w:val="719B7F7E"/>
    <w:rsid w:val="72132AEC"/>
    <w:rsid w:val="72759B42"/>
    <w:rsid w:val="74863F51"/>
    <w:rsid w:val="749A3350"/>
    <w:rsid w:val="756CB2A3"/>
    <w:rsid w:val="76B30938"/>
    <w:rsid w:val="78340215"/>
    <w:rsid w:val="786B53AD"/>
    <w:rsid w:val="78D77898"/>
    <w:rsid w:val="796D339D"/>
    <w:rsid w:val="79749359"/>
    <w:rsid w:val="7ABC92E3"/>
    <w:rsid w:val="7B393DF8"/>
    <w:rsid w:val="7B4B2333"/>
    <w:rsid w:val="7C0DFA29"/>
    <w:rsid w:val="7CA43E45"/>
    <w:rsid w:val="7D2D4303"/>
    <w:rsid w:val="7D555CA1"/>
    <w:rsid w:val="7D7F80A9"/>
    <w:rsid w:val="7DAE4117"/>
    <w:rsid w:val="7DDF642F"/>
    <w:rsid w:val="7EAF1E05"/>
    <w:rsid w:val="7F0DF44E"/>
    <w:rsid w:val="7F4E1352"/>
    <w:rsid w:val="7F588DFF"/>
    <w:rsid w:val="7FE2CA6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661662"/>
  <w15:chartTrackingRefBased/>
  <w15:docId w15:val="{FD092A8C-BFE1-4345-AAC9-799B29C37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DA19FF"/>
    <w:pPr>
      <w:spacing w:after="0" w:line="240" w:lineRule="auto"/>
    </w:pPr>
    <w:rPr>
      <w:rFonts w:ascii=".AppleSystemUIFont" w:hAnsi=".AppleSystemUIFont" w:cs="Times New Roman"/>
      <w:sz w:val="26"/>
      <w:szCs w:val="26"/>
      <w:lang w:val="en-GB" w:eastAsia="en-GB"/>
    </w:rPr>
  </w:style>
  <w:style w:type="character" w:customStyle="1" w:styleId="s1">
    <w:name w:val="s1"/>
    <w:basedOn w:val="DefaultParagraphFont"/>
    <w:rsid w:val="00DA19FF"/>
    <w:rPr>
      <w:rFonts w:ascii="UICTFontTextStyleBody" w:hAnsi="UICTFontTextStyleBody" w:hint="default"/>
      <w:b w:val="0"/>
      <w:bCs w:val="0"/>
      <w:i w:val="0"/>
      <w:iCs w:val="0"/>
      <w:sz w:val="26"/>
      <w:szCs w:val="26"/>
    </w:rPr>
  </w:style>
  <w:style w:type="character" w:customStyle="1" w:styleId="apple-converted-space">
    <w:name w:val="apple-converted-space"/>
    <w:basedOn w:val="DefaultParagraphFont"/>
    <w:rsid w:val="005D4D67"/>
  </w:style>
  <w:style w:type="paragraph" w:customStyle="1" w:styleId="p2">
    <w:name w:val="p2"/>
    <w:basedOn w:val="Normal"/>
    <w:rsid w:val="00E567B7"/>
    <w:pPr>
      <w:spacing w:after="0" w:line="240" w:lineRule="auto"/>
    </w:pPr>
    <w:rPr>
      <w:rFonts w:ascii=".AppleSystemUIFont" w:hAnsi=".AppleSystemUIFont" w:cs="Times New Roman"/>
      <w:sz w:val="26"/>
      <w:szCs w:val="26"/>
      <w:lang w:val="en-GB" w:eastAsia="en-GB"/>
    </w:rPr>
  </w:style>
  <w:style w:type="paragraph" w:styleId="NormalWeb">
    <w:name w:val="Normal (Web)"/>
    <w:basedOn w:val="Normal"/>
    <w:uiPriority w:val="99"/>
    <w:semiHidden/>
    <w:unhideWhenUsed/>
    <w:rsid w:val="00496EAE"/>
    <w:pPr>
      <w:spacing w:before="100" w:beforeAutospacing="1" w:after="100" w:afterAutospacing="1" w:line="240" w:lineRule="auto"/>
    </w:pPr>
    <w:rPr>
      <w:rFonts w:ascii="Times New Roman" w:hAnsi="Times New Roman" w:cs="Times New Roman"/>
      <w:lang w:val="en-GB" w:eastAsia="en-GB"/>
    </w:rPr>
  </w:style>
  <w:style w:type="character" w:styleId="Emphasis">
    <w:name w:val="Emphasis"/>
    <w:basedOn w:val="DefaultParagraphFont"/>
    <w:uiPriority w:val="20"/>
    <w:qFormat/>
    <w:rsid w:val="00496EA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20/10/relationships/intelligence" Target="intelligence2.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3815</Words>
  <Characters>21747</Characters>
  <Application>Microsoft Office Word</Application>
  <DocSecurity>4</DocSecurity>
  <Lines>181</Lines>
  <Paragraphs>51</Paragraphs>
  <ScaleCrop>false</ScaleCrop>
  <Company/>
  <LinksUpToDate>false</LinksUpToDate>
  <CharactersWithSpaces>25511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 Richards (2319130)</dc:creator>
  <cp:keywords/>
  <dc:description/>
  <cp:lastModifiedBy>Leo Richards (2319130)</cp:lastModifiedBy>
  <cp:revision>79</cp:revision>
  <dcterms:created xsi:type="dcterms:W3CDTF">2026-02-12T13:11:00Z</dcterms:created>
  <dcterms:modified xsi:type="dcterms:W3CDTF">2026-03-19T17:52:00Z</dcterms:modified>
</cp:coreProperties>
</file>