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r w:rsidDel="00000000" w:rsidR="00000000" w:rsidRPr="00000000">
        <w:rPr/>
        <w:drawing>
          <wp:inline distB="0" distT="0" distL="0" distR="0">
            <wp:extent cx="5943600" cy="265239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265239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jc w:val="center"/>
        <w:rPr/>
      </w:pPr>
      <w:r w:rsidDel="00000000" w:rsidR="00000000" w:rsidRPr="00000000">
        <w:rPr>
          <w:rtl w:val="0"/>
        </w:rPr>
        <w:t xml:space="preserve">Marketing Management Essay: Pioneer vs. Follower Strategies and Product Life Cycle Management</w:t>
      </w:r>
    </w:p>
    <w:p w:rsidR="00000000" w:rsidDel="00000000" w:rsidP="00000000" w:rsidRDefault="00000000" w:rsidRPr="00000000" w14:paraId="00000003">
      <w:pPr>
        <w:jc w:val="center"/>
        <w:rPr/>
      </w:pPr>
      <w:r w:rsidDel="00000000" w:rsidR="00000000" w:rsidRPr="00000000">
        <w:rPr>
          <w:rtl w:val="0"/>
        </w:rPr>
        <w:t xml:space="preserve">Student Name: Chiragkumar Somabhai Prajapati </w:t>
      </w:r>
    </w:p>
    <w:p w:rsidR="00000000" w:rsidDel="00000000" w:rsidP="00000000" w:rsidRDefault="00000000" w:rsidRPr="00000000" w14:paraId="00000004">
      <w:pPr>
        <w:jc w:val="center"/>
        <w:rPr/>
      </w:pPr>
      <w:r w:rsidDel="00000000" w:rsidR="00000000" w:rsidRPr="00000000">
        <w:rPr>
          <w:rtl w:val="0"/>
        </w:rPr>
        <w:t xml:space="preserve">Student ID: 2423111</w:t>
      </w:r>
    </w:p>
    <w:p w:rsidR="00000000" w:rsidDel="00000000" w:rsidP="00000000" w:rsidRDefault="00000000" w:rsidRPr="00000000" w14:paraId="00000005">
      <w:pPr>
        <w:jc w:val="center"/>
        <w:rPr/>
      </w:pPr>
      <w:r w:rsidDel="00000000" w:rsidR="00000000" w:rsidRPr="00000000">
        <w:rPr>
          <w:rtl w:val="0"/>
        </w:rPr>
        <w:t xml:space="preserve">Module Leader: Jaya Gopalkrishna</w:t>
      </w:r>
    </w:p>
    <w:p w:rsidR="00000000" w:rsidDel="00000000" w:rsidP="00000000" w:rsidRDefault="00000000" w:rsidRPr="00000000" w14:paraId="00000006">
      <w:pPr>
        <w:jc w:val="center"/>
        <w:rPr/>
      </w:pPr>
      <w:r w:rsidDel="00000000" w:rsidR="00000000" w:rsidRPr="00000000">
        <w:rPr>
          <w:rtl w:val="0"/>
        </w:rPr>
        <w:t xml:space="preserve">Module Code: LCMB7024</w:t>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rPr>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ddvtcatypp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bauiook2q3a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Background Information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f76c1ydj094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Definitions of Key Terms</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5tuq5a1czrz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Signposting</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gi00bavmz2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Thesis Statement</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a71zzsy20ks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Advantages of Pioneer and Follower Companies</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y9789l34zn7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Advantages of Being a Pioneer</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3fyxfi4jkm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Advantages of Being a Follower</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5fruqzwmo14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Product Life Cycle Strategies for Pioneers and Followers</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o978pa87jl3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Growth &amp; Maturity Strategies for Pioneers</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nnu7z5l0nmc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Growth &amp; Maturity Strategies for Followers</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ebxxtrxw1ko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Comparison of Growth and Maturity Strategies</w:t>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k9o6bkrrr9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Conclusion</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6ttwqryvx26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12</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pStyle w:val="Title"/>
        <w:jc w:val="center"/>
        <w:rPr/>
      </w:pPr>
      <w:r w:rsidDel="00000000" w:rsidR="00000000" w:rsidRPr="00000000">
        <w:rPr>
          <w:rtl w:val="0"/>
        </w:rPr>
      </w:r>
    </w:p>
    <w:p w:rsidR="00000000" w:rsidDel="00000000" w:rsidP="00000000" w:rsidRDefault="00000000" w:rsidRPr="00000000" w14:paraId="0000001A">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3ddvtcatyppo" w:id="0"/>
      <w:bookmarkEnd w:id="0"/>
      <w:r w:rsidDel="00000000" w:rsidR="00000000" w:rsidRPr="00000000">
        <w:rPr>
          <w:rtl w:val="0"/>
        </w:rPr>
        <w:t xml:space="preserve">1. Introduction</w:t>
      </w:r>
    </w:p>
    <w:p w:rsidR="00000000" w:rsidDel="00000000" w:rsidP="00000000" w:rsidRDefault="00000000" w:rsidRPr="00000000" w14:paraId="0000001C">
      <w:pPr>
        <w:rPr/>
      </w:pPr>
      <w:r w:rsidDel="00000000" w:rsidR="00000000" w:rsidRPr="00000000">
        <w:rPr>
          <w:rtl w:val="0"/>
        </w:rPr>
        <w:t xml:space="preserve">Competitive advantage is a critical factor that determines the success of firms seeking to operate in new markets. It is a key strategic issue that many companies struggle with to choose between first-mover or pioneer and second-mover or follower. Pioneers are more focused to capture the largest possible market share by offering new products, gaining initial customers and setting up standards. On the other hand, the followers come in after the pioneers; they incur less risks, costs and they are in a position to perfect the products (Feng et al., 2019). Both strategies’ success lies in its implementation, industry factors, and market forces.</w:t>
      </w:r>
    </w:p>
    <w:p w:rsidR="00000000" w:rsidDel="00000000" w:rsidP="00000000" w:rsidRDefault="00000000" w:rsidRPr="00000000" w14:paraId="0000001D">
      <w:pPr>
        <w:pStyle w:val="Heading2"/>
        <w:rPr/>
      </w:pPr>
      <w:bookmarkStart w:colFirst="0" w:colLast="0" w:name="_bauiook2q3a9" w:id="1"/>
      <w:bookmarkEnd w:id="1"/>
      <w:r w:rsidDel="00000000" w:rsidR="00000000" w:rsidRPr="00000000">
        <w:rPr>
          <w:rtl w:val="0"/>
        </w:rPr>
        <w:t xml:space="preserve">1.1 Background Information</w:t>
      </w:r>
    </w:p>
    <w:p w:rsidR="00000000" w:rsidDel="00000000" w:rsidP="00000000" w:rsidRDefault="00000000" w:rsidRPr="00000000" w14:paraId="0000001E">
      <w:pPr>
        <w:rPr/>
      </w:pPr>
      <w:r w:rsidDel="00000000" w:rsidR="00000000" w:rsidRPr="00000000">
        <w:rPr>
          <w:rtl w:val="0"/>
        </w:rPr>
        <w:t xml:space="preserve">The first-mover vs. the follower debate has been a popular issue in marketing and strategic management. Forbright examples include Apple (smartphones), Tesla (electrical automobiles), Amazon (online retailing), and so on (Thomas and Maine, 2017). But with pioneering, there are certain risks associated with this such as high costs in research and development, unpredictable demand in the market, and the factors that are involved in maintaining leadership (Riis Flor and Moritzen, 2019). However, those such as Samsung in smartphones, Facebook in social media, and Netflix in streaming services have surpassed pioneers through enhancing the technologies, enhancing the business model, and implementing cost leadership strategies as noted in Kang et al. (2019).</w:t>
      </w:r>
    </w:p>
    <w:p w:rsidR="00000000" w:rsidDel="00000000" w:rsidP="00000000" w:rsidRDefault="00000000" w:rsidRPr="00000000" w14:paraId="0000001F">
      <w:pPr>
        <w:pStyle w:val="Heading2"/>
        <w:rPr/>
      </w:pPr>
      <w:bookmarkStart w:colFirst="0" w:colLast="0" w:name="_f76c1ydj094x" w:id="2"/>
      <w:bookmarkEnd w:id="2"/>
      <w:r w:rsidDel="00000000" w:rsidR="00000000" w:rsidRPr="00000000">
        <w:rPr>
          <w:rtl w:val="0"/>
        </w:rPr>
        <w:t xml:space="preserve">1.2 Definitions of Key Terms</w:t>
      </w:r>
    </w:p>
    <w:p w:rsidR="00000000" w:rsidDel="00000000" w:rsidP="00000000" w:rsidRDefault="00000000" w:rsidRPr="00000000" w14:paraId="00000020">
      <w:pPr>
        <w:numPr>
          <w:ilvl w:val="0"/>
          <w:numId w:val="7"/>
        </w:numPr>
        <w:ind w:left="720" w:hanging="360"/>
        <w:rPr/>
      </w:pPr>
      <w:r w:rsidDel="00000000" w:rsidR="00000000" w:rsidRPr="00000000">
        <w:rPr>
          <w:b w:val="1"/>
          <w:rtl w:val="0"/>
        </w:rPr>
        <w:t xml:space="preserve">Pioneer (First-Mover)</w:t>
      </w:r>
      <w:r w:rsidDel="00000000" w:rsidR="00000000" w:rsidRPr="00000000">
        <w:rPr>
          <w:rtl w:val="0"/>
        </w:rPr>
        <w:t xml:space="preserve">: A company that introduces a product or service to the market before competitors (Riis Flor and Moritzen, 2019).</w:t>
      </w:r>
    </w:p>
    <w:p w:rsidR="00000000" w:rsidDel="00000000" w:rsidP="00000000" w:rsidRDefault="00000000" w:rsidRPr="00000000" w14:paraId="00000021">
      <w:pPr>
        <w:numPr>
          <w:ilvl w:val="0"/>
          <w:numId w:val="7"/>
        </w:numPr>
        <w:ind w:left="720" w:hanging="360"/>
        <w:rPr/>
      </w:pPr>
      <w:r w:rsidDel="00000000" w:rsidR="00000000" w:rsidRPr="00000000">
        <w:rPr>
          <w:b w:val="1"/>
          <w:rtl w:val="0"/>
        </w:rPr>
        <w:t xml:space="preserve">Follower (Late Entrant)</w:t>
      </w:r>
      <w:r w:rsidDel="00000000" w:rsidR="00000000" w:rsidRPr="00000000">
        <w:rPr>
          <w:rtl w:val="0"/>
        </w:rPr>
        <w:t xml:space="preserve">: A company that enters a market after pioneers, often improving upon their innovations (Feng et al., 2019).</w:t>
      </w:r>
    </w:p>
    <w:p w:rsidR="00000000" w:rsidDel="00000000" w:rsidP="00000000" w:rsidRDefault="00000000" w:rsidRPr="00000000" w14:paraId="00000022">
      <w:pPr>
        <w:numPr>
          <w:ilvl w:val="0"/>
          <w:numId w:val="7"/>
        </w:numPr>
        <w:ind w:left="720" w:hanging="360"/>
        <w:rPr/>
      </w:pPr>
      <w:r w:rsidDel="00000000" w:rsidR="00000000" w:rsidRPr="00000000">
        <w:rPr>
          <w:b w:val="1"/>
          <w:rtl w:val="0"/>
        </w:rPr>
        <w:t xml:space="preserve">First-Mover Advantage (FMA)</w:t>
      </w:r>
      <w:r w:rsidDel="00000000" w:rsidR="00000000" w:rsidRPr="00000000">
        <w:rPr>
          <w:rtl w:val="0"/>
        </w:rPr>
        <w:t xml:space="preserve">: The competitive edge gained by pioneers through brand recognition, customer loyalty, and early market dominance (Hietala, 2017).</w:t>
      </w:r>
    </w:p>
    <w:p w:rsidR="00000000" w:rsidDel="00000000" w:rsidP="00000000" w:rsidRDefault="00000000" w:rsidRPr="00000000" w14:paraId="00000023">
      <w:pPr>
        <w:numPr>
          <w:ilvl w:val="0"/>
          <w:numId w:val="7"/>
        </w:numPr>
        <w:ind w:left="720" w:hanging="360"/>
        <w:rPr/>
      </w:pPr>
      <w:r w:rsidDel="00000000" w:rsidR="00000000" w:rsidRPr="00000000">
        <w:rPr>
          <w:b w:val="1"/>
          <w:rtl w:val="0"/>
        </w:rPr>
        <w:t xml:space="preserve">Product Life Cycle (PLC)</w:t>
      </w:r>
      <w:r w:rsidDel="00000000" w:rsidR="00000000" w:rsidRPr="00000000">
        <w:rPr>
          <w:rtl w:val="0"/>
        </w:rPr>
        <w:t xml:space="preserve">: The four-stage process (introduction, growth, maturity, decline) that products go through in the market (Schlegelmilch &amp; Winer, 2018).</w:t>
      </w:r>
    </w:p>
    <w:p w:rsidR="00000000" w:rsidDel="00000000" w:rsidP="00000000" w:rsidRDefault="00000000" w:rsidRPr="00000000" w14:paraId="00000024">
      <w:pPr>
        <w:pStyle w:val="Heading2"/>
        <w:rPr/>
      </w:pPr>
      <w:bookmarkStart w:colFirst="0" w:colLast="0" w:name="_5tuq5a1czrzj" w:id="3"/>
      <w:bookmarkEnd w:id="3"/>
      <w:r w:rsidDel="00000000" w:rsidR="00000000" w:rsidRPr="00000000">
        <w:rPr>
          <w:rtl w:val="0"/>
        </w:rPr>
        <w:t xml:space="preserve">1.3 Signposting</w:t>
      </w:r>
    </w:p>
    <w:p w:rsidR="00000000" w:rsidDel="00000000" w:rsidP="00000000" w:rsidRDefault="00000000" w:rsidRPr="00000000" w14:paraId="00000025">
      <w:pPr>
        <w:rPr/>
      </w:pPr>
      <w:r w:rsidDel="00000000" w:rsidR="00000000" w:rsidRPr="00000000">
        <w:rPr>
          <w:rtl w:val="0"/>
        </w:rPr>
        <w:t xml:space="preserve">This essay seeks to make a distinction between the pioneer strategies and the follower strategies. In section 2 the author discusses what it is like to be a pioneer and a follower and gives examples from the real world. Thus, section 3 focuses on Product Life Cycle (PLC) strategies used by firms in the growth and maturity phase. Last but not the least, Section 4 provides the conclusion of the study and points out the major managerial implications.</w:t>
      </w:r>
    </w:p>
    <w:p w:rsidR="00000000" w:rsidDel="00000000" w:rsidP="00000000" w:rsidRDefault="00000000" w:rsidRPr="00000000" w14:paraId="00000026">
      <w:pPr>
        <w:pStyle w:val="Heading2"/>
        <w:rPr/>
      </w:pPr>
      <w:bookmarkStart w:colFirst="0" w:colLast="0" w:name="_egi00bavmz2j" w:id="4"/>
      <w:bookmarkEnd w:id="4"/>
      <w:r w:rsidDel="00000000" w:rsidR="00000000" w:rsidRPr="00000000">
        <w:rPr>
          <w:rtl w:val="0"/>
        </w:rPr>
        <w:t xml:space="preserve">1.4 Thesis Statement</w:t>
      </w:r>
    </w:p>
    <w:p w:rsidR="00000000" w:rsidDel="00000000" w:rsidP="00000000" w:rsidRDefault="00000000" w:rsidRPr="00000000" w14:paraId="00000027">
      <w:pPr>
        <w:rPr/>
      </w:pPr>
      <w:r w:rsidDel="00000000" w:rsidR="00000000" w:rsidRPr="00000000">
        <w:rPr>
          <w:rtl w:val="0"/>
        </w:rPr>
        <w:t xml:space="preserve">Both pioneering and following can lead to success depending on how effectively companies leverage innovation, cost efficiency, and strategic adaptability. The best strategy is not universal but depends on industry dynamics and execution (Schlegelmilch &amp; Winer, 2018). </w:t>
      </w:r>
    </w:p>
    <w:p w:rsidR="00000000" w:rsidDel="00000000" w:rsidP="00000000" w:rsidRDefault="00000000" w:rsidRPr="00000000" w14:paraId="00000028">
      <w:pPr>
        <w:pStyle w:val="Heading1"/>
        <w:rPr/>
      </w:pPr>
      <w:bookmarkStart w:colFirst="0" w:colLast="0" w:name="_a71zzsy20ks3" w:id="5"/>
      <w:bookmarkEnd w:id="5"/>
      <w:r w:rsidDel="00000000" w:rsidR="00000000" w:rsidRPr="00000000">
        <w:rPr>
          <w:rtl w:val="0"/>
        </w:rPr>
        <w:t xml:space="preserve">2. Advantages of Pioneer and Follower Companies</w:t>
      </w:r>
    </w:p>
    <w:p w:rsidR="00000000" w:rsidDel="00000000" w:rsidP="00000000" w:rsidRDefault="00000000" w:rsidRPr="00000000" w14:paraId="00000029">
      <w:pPr>
        <w:pStyle w:val="Heading2"/>
        <w:rPr/>
      </w:pPr>
      <w:bookmarkStart w:colFirst="0" w:colLast="0" w:name="_y9789l34zn7b" w:id="6"/>
      <w:bookmarkEnd w:id="6"/>
      <w:r w:rsidDel="00000000" w:rsidR="00000000" w:rsidRPr="00000000">
        <w:rPr>
          <w:rtl w:val="0"/>
        </w:rPr>
        <w:t xml:space="preserve">2.1 Advantages of Being a Pioneer</w:t>
      </w:r>
    </w:p>
    <w:p w:rsidR="00000000" w:rsidDel="00000000" w:rsidP="00000000" w:rsidRDefault="00000000" w:rsidRPr="00000000" w14:paraId="0000002A">
      <w:pPr>
        <w:rPr>
          <w:b w:val="1"/>
        </w:rPr>
      </w:pPr>
      <w:r w:rsidDel="00000000" w:rsidR="00000000" w:rsidRPr="00000000">
        <w:rPr>
          <w:b w:val="1"/>
          <w:rtl w:val="0"/>
        </w:rPr>
        <w:t xml:space="preserve">First-Mover Advantage (FMA)</w:t>
      </w:r>
    </w:p>
    <w:p w:rsidR="00000000" w:rsidDel="00000000" w:rsidP="00000000" w:rsidRDefault="00000000" w:rsidRPr="00000000" w14:paraId="0000002B">
      <w:pPr>
        <w:rPr/>
      </w:pPr>
      <w:r w:rsidDel="00000000" w:rsidR="00000000" w:rsidRPr="00000000">
        <w:rPr>
          <w:rtl w:val="0"/>
        </w:rPr>
        <w:t xml:space="preserve">The first type of advantage of being a pioneer is the first-mover advantage since the initial entrant has the opportunity to create name recognition and customer loyalty (Riis Flor and Moritzen, 2019). First movers control the consumer perceptions and set standards within the industries therefore making it challenging for the late comers to make their ground. For instance, Tesla pioneered the electric vehicle market and established its brand and market share before traditional auto manufacturers started venturing into the creation of the EVs (Thomas and Maine, 2017).</w:t>
      </w:r>
    </w:p>
    <w:p w:rsidR="00000000" w:rsidDel="00000000" w:rsidP="00000000" w:rsidRDefault="00000000" w:rsidRPr="00000000" w14:paraId="0000002C">
      <w:pPr>
        <w:rPr>
          <w:b w:val="1"/>
        </w:rPr>
      </w:pPr>
      <w:r w:rsidDel="00000000" w:rsidR="00000000" w:rsidRPr="00000000">
        <w:rPr>
          <w:b w:val="1"/>
          <w:rtl w:val="0"/>
        </w:rPr>
        <w:t xml:space="preserve">Technological Leadership and Intellectual Property Protection</w:t>
      </w:r>
    </w:p>
    <w:p w:rsidR="00000000" w:rsidDel="00000000" w:rsidP="00000000" w:rsidRDefault="00000000" w:rsidRPr="00000000" w14:paraId="0000002D">
      <w:pPr>
        <w:rPr/>
      </w:pPr>
      <w:r w:rsidDel="00000000" w:rsidR="00000000" w:rsidRPr="00000000">
        <w:rPr>
          <w:rtl w:val="0"/>
        </w:rPr>
        <w:t xml:space="preserve">Pioneer firms acquire technology advantages and protect their inventions through patents and trademarks to lock out rivals (Hietala, 2017). Apple first established the smartphone sector with iPhone in 2007 that incorporated both touch screen and app-based operating system, which became the benchmark that rivals had to emulate (Kang et al., 2019).</w:t>
      </w:r>
    </w:p>
    <w:p w:rsidR="00000000" w:rsidDel="00000000" w:rsidP="00000000" w:rsidRDefault="00000000" w:rsidRPr="00000000" w14:paraId="0000002E">
      <w:pPr>
        <w:rPr>
          <w:b w:val="1"/>
        </w:rPr>
      </w:pPr>
      <w:r w:rsidDel="00000000" w:rsidR="00000000" w:rsidRPr="00000000">
        <w:rPr>
          <w:b w:val="1"/>
          <w:rtl w:val="0"/>
        </w:rPr>
        <w:t xml:space="preserve">Establishing Industry Standards</w:t>
      </w:r>
    </w:p>
    <w:p w:rsidR="00000000" w:rsidDel="00000000" w:rsidP="00000000" w:rsidRDefault="00000000" w:rsidRPr="00000000" w14:paraId="0000002F">
      <w:pPr>
        <w:rPr/>
      </w:pPr>
      <w:r w:rsidDel="00000000" w:rsidR="00000000" w:rsidRPr="00000000">
        <w:rPr>
          <w:rtl w:val="0"/>
        </w:rPr>
        <w:t xml:space="preserve">Market pioneer has the advantage of establishing the industry benchmarks and making it hard for new entrant to carve niche. Amazon, for instance, established itself as the market leader in e-commerce by offering customer-oriented innovations including one-click purchasing, individual recommendations, and quick and reliable delivery services, which put pressure on the competitors to follow the same pattern (Schlegelmilch and Winer, 2018).</w:t>
      </w:r>
    </w:p>
    <w:p w:rsidR="00000000" w:rsidDel="00000000" w:rsidP="00000000" w:rsidRDefault="00000000" w:rsidRPr="00000000" w14:paraId="00000030">
      <w:pPr>
        <w:rPr>
          <w:b w:val="1"/>
        </w:rPr>
      </w:pPr>
      <w:r w:rsidDel="00000000" w:rsidR="00000000" w:rsidRPr="00000000">
        <w:rPr>
          <w:b w:val="1"/>
          <w:rtl w:val="0"/>
        </w:rPr>
        <w:t xml:space="preserve">High Switching Costs for Customers</w:t>
      </w:r>
    </w:p>
    <w:p w:rsidR="00000000" w:rsidDel="00000000" w:rsidP="00000000" w:rsidRDefault="00000000" w:rsidRPr="00000000" w14:paraId="00000031">
      <w:pPr>
        <w:rPr/>
      </w:pPr>
      <w:r w:rsidDel="00000000" w:rsidR="00000000" w:rsidRPr="00000000">
        <w:rPr>
          <w:rtl w:val="0"/>
        </w:rPr>
        <w:t xml:space="preserve">First movers also define high cost to switch, and therefore it becomes difficult for customers to shift to the competitor products. For example, Microsoft Windows was adopted as the standard operating system for businesses and individuals, which meant that one could not use another system because it was incompatible and unfamiliar. Likewise, Google search engine was regarded to be better in terms of the algorithm that set the benchmark for other search engines that made it hard to woo away Google’s users (Feng et al., 2019).</w:t>
      </w:r>
    </w:p>
    <w:p w:rsidR="00000000" w:rsidDel="00000000" w:rsidP="00000000" w:rsidRDefault="00000000" w:rsidRPr="00000000" w14:paraId="00000032">
      <w:pPr>
        <w:rPr>
          <w:b w:val="1"/>
        </w:rPr>
      </w:pPr>
      <w:r w:rsidDel="00000000" w:rsidR="00000000" w:rsidRPr="00000000">
        <w:rPr>
          <w:b w:val="1"/>
          <w:rtl w:val="0"/>
        </w:rPr>
        <w:t xml:space="preserve">Market Leadership and Strong Brand Positioning</w:t>
      </w:r>
    </w:p>
    <w:p w:rsidR="00000000" w:rsidDel="00000000" w:rsidP="00000000" w:rsidRDefault="00000000" w:rsidRPr="00000000" w14:paraId="00000033">
      <w:pPr>
        <w:rPr/>
      </w:pPr>
      <w:r w:rsidDel="00000000" w:rsidR="00000000" w:rsidRPr="00000000">
        <w:rPr>
          <w:rtl w:val="0"/>
        </w:rPr>
        <w:t xml:space="preserve">The first entrant gets sustained market control and is in a position to develop a strong brand that is dominant for the long term. For instance, Coca-Cola was one of the pioneer soft drink manufacturers and has maintained its market dominance for over a century through constant marketing and product development (Schlegelmilch and Winer, 2018).</w:t>
      </w:r>
    </w:p>
    <w:p w:rsidR="00000000" w:rsidDel="00000000" w:rsidP="00000000" w:rsidRDefault="00000000" w:rsidRPr="00000000" w14:paraId="00000034">
      <w:pPr>
        <w:rPr>
          <w:b w:val="1"/>
        </w:rPr>
      </w:pPr>
      <w:r w:rsidDel="00000000" w:rsidR="00000000" w:rsidRPr="00000000">
        <w:rPr>
          <w:b w:val="1"/>
          <w:rtl w:val="0"/>
        </w:rPr>
        <w:t xml:space="preserve">Examples of Pioneer Companies:</w:t>
      </w:r>
    </w:p>
    <w:p w:rsidR="00000000" w:rsidDel="00000000" w:rsidP="00000000" w:rsidRDefault="00000000" w:rsidRPr="00000000" w14:paraId="00000035">
      <w:pPr>
        <w:numPr>
          <w:ilvl w:val="0"/>
          <w:numId w:val="1"/>
        </w:numPr>
        <w:ind w:left="720" w:hanging="360"/>
        <w:rPr/>
      </w:pPr>
      <w:r w:rsidDel="00000000" w:rsidR="00000000" w:rsidRPr="00000000">
        <w:rPr>
          <w:b w:val="1"/>
          <w:rtl w:val="0"/>
        </w:rPr>
        <w:t xml:space="preserve">Tesla</w:t>
      </w:r>
      <w:r w:rsidDel="00000000" w:rsidR="00000000" w:rsidRPr="00000000">
        <w:rPr>
          <w:rtl w:val="0"/>
        </w:rPr>
        <w:t xml:space="preserve"> – Electric vehicles and battery technology.</w:t>
      </w:r>
    </w:p>
    <w:p w:rsidR="00000000" w:rsidDel="00000000" w:rsidP="00000000" w:rsidRDefault="00000000" w:rsidRPr="00000000" w14:paraId="00000036">
      <w:pPr>
        <w:numPr>
          <w:ilvl w:val="0"/>
          <w:numId w:val="1"/>
        </w:numPr>
        <w:ind w:left="720" w:hanging="360"/>
        <w:rPr/>
      </w:pPr>
      <w:r w:rsidDel="00000000" w:rsidR="00000000" w:rsidRPr="00000000">
        <w:rPr>
          <w:b w:val="1"/>
          <w:rtl w:val="0"/>
        </w:rPr>
        <w:t xml:space="preserve">Apple</w:t>
      </w:r>
      <w:r w:rsidDel="00000000" w:rsidR="00000000" w:rsidRPr="00000000">
        <w:rPr>
          <w:rtl w:val="0"/>
        </w:rPr>
        <w:t xml:space="preserve"> – Smartphones, tablets, and proprietary software.</w:t>
      </w:r>
    </w:p>
    <w:p w:rsidR="00000000" w:rsidDel="00000000" w:rsidP="00000000" w:rsidRDefault="00000000" w:rsidRPr="00000000" w14:paraId="00000037">
      <w:pPr>
        <w:numPr>
          <w:ilvl w:val="0"/>
          <w:numId w:val="1"/>
        </w:numPr>
        <w:ind w:left="720" w:hanging="360"/>
        <w:rPr/>
      </w:pPr>
      <w:r w:rsidDel="00000000" w:rsidR="00000000" w:rsidRPr="00000000">
        <w:rPr>
          <w:b w:val="1"/>
          <w:rtl w:val="0"/>
        </w:rPr>
        <w:t xml:space="preserve">Amazon</w:t>
      </w:r>
      <w:r w:rsidDel="00000000" w:rsidR="00000000" w:rsidRPr="00000000">
        <w:rPr>
          <w:rtl w:val="0"/>
        </w:rPr>
        <w:t xml:space="preserve"> – E-commerce and cloud computing.</w:t>
      </w:r>
    </w:p>
    <w:p w:rsidR="00000000" w:rsidDel="00000000" w:rsidP="00000000" w:rsidRDefault="00000000" w:rsidRPr="00000000" w14:paraId="00000038">
      <w:pPr>
        <w:numPr>
          <w:ilvl w:val="0"/>
          <w:numId w:val="1"/>
        </w:numPr>
        <w:ind w:left="720" w:hanging="360"/>
        <w:rPr/>
      </w:pPr>
      <w:r w:rsidDel="00000000" w:rsidR="00000000" w:rsidRPr="00000000">
        <w:rPr>
          <w:b w:val="1"/>
          <w:rtl w:val="0"/>
        </w:rPr>
        <w:t xml:space="preserve">Microsoft</w:t>
      </w:r>
      <w:r w:rsidDel="00000000" w:rsidR="00000000" w:rsidRPr="00000000">
        <w:rPr>
          <w:rtl w:val="0"/>
        </w:rPr>
        <w:t xml:space="preserve"> – Operating systems and productivity software.</w:t>
      </w:r>
    </w:p>
    <w:p w:rsidR="00000000" w:rsidDel="00000000" w:rsidP="00000000" w:rsidRDefault="00000000" w:rsidRPr="00000000" w14:paraId="00000039">
      <w:pPr>
        <w:pStyle w:val="Heading2"/>
        <w:rPr/>
      </w:pPr>
      <w:bookmarkStart w:colFirst="0" w:colLast="0" w:name="_33fyxfi4jkmy" w:id="7"/>
      <w:bookmarkEnd w:id="7"/>
      <w:r w:rsidDel="00000000" w:rsidR="00000000" w:rsidRPr="00000000">
        <w:rPr>
          <w:rtl w:val="0"/>
        </w:rPr>
        <w:t xml:space="preserve">2.2 Advantages of Being a Follower</w:t>
      </w:r>
    </w:p>
    <w:p w:rsidR="00000000" w:rsidDel="00000000" w:rsidP="00000000" w:rsidRDefault="00000000" w:rsidRPr="00000000" w14:paraId="0000003A">
      <w:pPr>
        <w:rPr>
          <w:b w:val="1"/>
        </w:rPr>
      </w:pPr>
      <w:r w:rsidDel="00000000" w:rsidR="00000000" w:rsidRPr="00000000">
        <w:rPr>
          <w:b w:val="1"/>
          <w:rtl w:val="0"/>
        </w:rPr>
        <w:t xml:space="preserve">Lower R&amp;D and Market Uncertainty Costs</w:t>
      </w:r>
    </w:p>
    <w:p w:rsidR="00000000" w:rsidDel="00000000" w:rsidP="00000000" w:rsidRDefault="00000000" w:rsidRPr="00000000" w14:paraId="0000003B">
      <w:pPr>
        <w:rPr/>
      </w:pPr>
      <w:r w:rsidDel="00000000" w:rsidR="00000000" w:rsidRPr="00000000">
        <w:rPr>
          <w:rtl w:val="0"/>
        </w:rPr>
        <w:t xml:space="preserve">Follower firms enjoy lesser costs of research and development and less uncertainty in the market because they merely increment on existing technologies as opposed to investing in new technologies (Hietala, 2017). A clear example is Samsung which joined the smartphones market after Apple but surpassed it in terms of market share by enhancing on the physical structure, pricing, and manufacturing capacity (Albasoos and Al-Musallami, 2020).</w:t>
      </w:r>
    </w:p>
    <w:p w:rsidR="00000000" w:rsidDel="00000000" w:rsidP="00000000" w:rsidRDefault="00000000" w:rsidRPr="00000000" w14:paraId="0000003C">
      <w:pPr>
        <w:rPr>
          <w:b w:val="1"/>
        </w:rPr>
      </w:pPr>
      <w:r w:rsidDel="00000000" w:rsidR="00000000" w:rsidRPr="00000000">
        <w:rPr>
          <w:b w:val="1"/>
          <w:rtl w:val="0"/>
        </w:rPr>
        <w:t xml:space="preserve">Ability to Learn from Pioneers’ Mistakes</w:t>
      </w:r>
    </w:p>
    <w:p w:rsidR="00000000" w:rsidDel="00000000" w:rsidP="00000000" w:rsidRDefault="00000000" w:rsidRPr="00000000" w14:paraId="0000003D">
      <w:pPr>
        <w:rPr/>
      </w:pPr>
      <w:r w:rsidDel="00000000" w:rsidR="00000000" w:rsidRPr="00000000">
        <w:rPr>
          <w:rtl w:val="0"/>
        </w:rPr>
        <w:t xml:space="preserve">By observing pioneers’ actions, followers can learn from them and do not repeat the same costly mistakes. MySpace’s failure was realized by Facebook who adopted a much more efficient approach for scaling by providing a friendly and efficient ad-supported model to control the social networking site (Feng et al., 2019).</w:t>
      </w:r>
    </w:p>
    <w:p w:rsidR="00000000" w:rsidDel="00000000" w:rsidP="00000000" w:rsidRDefault="00000000" w:rsidRPr="00000000" w14:paraId="0000003E">
      <w:pPr>
        <w:rPr>
          <w:b w:val="1"/>
        </w:rPr>
      </w:pPr>
      <w:r w:rsidDel="00000000" w:rsidR="00000000" w:rsidRPr="00000000">
        <w:rPr>
          <w:b w:val="1"/>
          <w:rtl w:val="0"/>
        </w:rPr>
        <w:t xml:space="preserve">Cost Leadership and Competitive Pricing</w:t>
      </w:r>
    </w:p>
    <w:p w:rsidR="00000000" w:rsidDel="00000000" w:rsidP="00000000" w:rsidRDefault="00000000" w:rsidRPr="00000000" w14:paraId="0000003F">
      <w:pPr>
        <w:rPr/>
      </w:pPr>
      <w:r w:rsidDel="00000000" w:rsidR="00000000" w:rsidRPr="00000000">
        <w:rPr>
          <w:rtl w:val="0"/>
        </w:rPr>
        <w:t xml:space="preserve">Second-movers can also be successful by adopting a cost leadership strategy. For example, Xiaomi started by offering smartphone with features of the higher class at much lower prices thus targeting the low-end market while at the same time competing with high-end players such as Apple and Samsung (Kang et al., 2019).</w:t>
      </w:r>
    </w:p>
    <w:p w:rsidR="00000000" w:rsidDel="00000000" w:rsidP="00000000" w:rsidRDefault="00000000" w:rsidRPr="00000000" w14:paraId="00000040">
      <w:pPr>
        <w:rPr>
          <w:b w:val="1"/>
        </w:rPr>
      </w:pPr>
      <w:r w:rsidDel="00000000" w:rsidR="00000000" w:rsidRPr="00000000">
        <w:rPr>
          <w:b w:val="1"/>
          <w:rtl w:val="0"/>
        </w:rPr>
        <w:t xml:space="preserve">Strategic Market Timing and Improved Products</w:t>
      </w:r>
    </w:p>
    <w:p w:rsidR="00000000" w:rsidDel="00000000" w:rsidP="00000000" w:rsidRDefault="00000000" w:rsidRPr="00000000" w14:paraId="00000041">
      <w:pPr>
        <w:rPr/>
      </w:pPr>
      <w:r w:rsidDel="00000000" w:rsidR="00000000" w:rsidRPr="00000000">
        <w:rPr>
          <w:rtl w:val="0"/>
        </w:rPr>
        <w:t xml:space="preserve">Follower firms choose their entry timing so well that they ensure they bring in better quality products to the market. For instance, Google came into the market after Yahoo to offer search engine services but developed an enhanced relevancy-based ranking factor to dominate the market (Park &amp; Kim, 2020). Netflix also followed the trend of streaming when physical rental was reducing; they displaced Blockbuster by developing a subscription-based service.</w:t>
      </w:r>
    </w:p>
    <w:p w:rsidR="00000000" w:rsidDel="00000000" w:rsidP="00000000" w:rsidRDefault="00000000" w:rsidRPr="00000000" w14:paraId="00000042">
      <w:pPr>
        <w:rPr>
          <w:b w:val="1"/>
        </w:rPr>
      </w:pPr>
      <w:r w:rsidDel="00000000" w:rsidR="00000000" w:rsidRPr="00000000">
        <w:rPr>
          <w:b w:val="1"/>
          <w:rtl w:val="0"/>
        </w:rPr>
        <w:t xml:space="preserve">Flexibility and Adaptability</w:t>
      </w:r>
    </w:p>
    <w:p w:rsidR="00000000" w:rsidDel="00000000" w:rsidP="00000000" w:rsidRDefault="00000000" w:rsidRPr="00000000" w14:paraId="00000043">
      <w:pPr>
        <w:rPr/>
      </w:pPr>
      <w:r w:rsidDel="00000000" w:rsidR="00000000" w:rsidRPr="00000000">
        <w:rPr>
          <w:rtl w:val="0"/>
        </w:rPr>
        <w:t xml:space="preserve">New entrants on the other hand are quick to respond to what is happening in the market. In this regard, while the pioneers like Apple and Samsung are constrained by traditional systems that dictate their smartphone development based on consumer response, Huawei and OnePlus are way more flexible and adapt their strategies on the go, which leads to their growth and increased competition on the market.</w:t>
      </w:r>
    </w:p>
    <w:p w:rsidR="00000000" w:rsidDel="00000000" w:rsidP="00000000" w:rsidRDefault="00000000" w:rsidRPr="00000000" w14:paraId="00000044">
      <w:pPr>
        <w:rPr>
          <w:b w:val="1"/>
        </w:rPr>
      </w:pPr>
      <w:r w:rsidDel="00000000" w:rsidR="00000000" w:rsidRPr="00000000">
        <w:rPr>
          <w:b w:val="1"/>
          <w:rtl w:val="0"/>
        </w:rPr>
        <w:t xml:space="preserve">Examples of Follower Companies:</w:t>
      </w:r>
    </w:p>
    <w:p w:rsidR="00000000" w:rsidDel="00000000" w:rsidP="00000000" w:rsidRDefault="00000000" w:rsidRPr="00000000" w14:paraId="00000045">
      <w:pPr>
        <w:numPr>
          <w:ilvl w:val="0"/>
          <w:numId w:val="2"/>
        </w:numPr>
        <w:ind w:left="720" w:hanging="360"/>
        <w:rPr/>
      </w:pPr>
      <w:r w:rsidDel="00000000" w:rsidR="00000000" w:rsidRPr="00000000">
        <w:rPr>
          <w:b w:val="1"/>
          <w:rtl w:val="0"/>
        </w:rPr>
        <w:t xml:space="preserve">Samsung</w:t>
      </w:r>
      <w:r w:rsidDel="00000000" w:rsidR="00000000" w:rsidRPr="00000000">
        <w:rPr>
          <w:rtl w:val="0"/>
        </w:rPr>
        <w:t xml:space="preserve"> – Smartphones and consumer electronics.</w:t>
      </w:r>
    </w:p>
    <w:p w:rsidR="00000000" w:rsidDel="00000000" w:rsidP="00000000" w:rsidRDefault="00000000" w:rsidRPr="00000000" w14:paraId="00000046">
      <w:pPr>
        <w:numPr>
          <w:ilvl w:val="0"/>
          <w:numId w:val="2"/>
        </w:numPr>
        <w:ind w:left="720" w:hanging="360"/>
        <w:rPr/>
      </w:pPr>
      <w:r w:rsidDel="00000000" w:rsidR="00000000" w:rsidRPr="00000000">
        <w:rPr>
          <w:b w:val="1"/>
          <w:rtl w:val="0"/>
        </w:rPr>
        <w:t xml:space="preserve">Facebook</w:t>
      </w:r>
      <w:r w:rsidDel="00000000" w:rsidR="00000000" w:rsidRPr="00000000">
        <w:rPr>
          <w:rtl w:val="0"/>
        </w:rPr>
        <w:t xml:space="preserve"> – Social media dominance over MySpace.</w:t>
      </w:r>
    </w:p>
    <w:p w:rsidR="00000000" w:rsidDel="00000000" w:rsidP="00000000" w:rsidRDefault="00000000" w:rsidRPr="00000000" w14:paraId="00000047">
      <w:pPr>
        <w:numPr>
          <w:ilvl w:val="0"/>
          <w:numId w:val="2"/>
        </w:numPr>
        <w:ind w:left="720" w:hanging="360"/>
        <w:rPr/>
      </w:pPr>
      <w:r w:rsidDel="00000000" w:rsidR="00000000" w:rsidRPr="00000000">
        <w:rPr>
          <w:b w:val="1"/>
          <w:rtl w:val="0"/>
        </w:rPr>
        <w:t xml:space="preserve">Xiaomi</w:t>
      </w:r>
      <w:r w:rsidDel="00000000" w:rsidR="00000000" w:rsidRPr="00000000">
        <w:rPr>
          <w:rtl w:val="0"/>
        </w:rPr>
        <w:t xml:space="preserve"> – Budget-friendly smartphones.</w:t>
      </w:r>
    </w:p>
    <w:p w:rsidR="00000000" w:rsidDel="00000000" w:rsidP="00000000" w:rsidRDefault="00000000" w:rsidRPr="00000000" w14:paraId="00000048">
      <w:pPr>
        <w:numPr>
          <w:ilvl w:val="0"/>
          <w:numId w:val="2"/>
        </w:numPr>
        <w:ind w:left="720" w:hanging="360"/>
        <w:rPr/>
      </w:pPr>
      <w:r w:rsidDel="00000000" w:rsidR="00000000" w:rsidRPr="00000000">
        <w:rPr>
          <w:b w:val="1"/>
          <w:rtl w:val="0"/>
        </w:rPr>
        <w:t xml:space="preserve">Netflix</w:t>
      </w:r>
      <w:r w:rsidDel="00000000" w:rsidR="00000000" w:rsidRPr="00000000">
        <w:rPr>
          <w:rtl w:val="0"/>
        </w:rPr>
        <w:t xml:space="preserve"> – Late entry into video streaming but market leader.</w:t>
      </w:r>
    </w:p>
    <w:p w:rsidR="00000000" w:rsidDel="00000000" w:rsidP="00000000" w:rsidRDefault="00000000" w:rsidRPr="00000000" w14:paraId="00000049">
      <w:pPr>
        <w:pStyle w:val="Heading1"/>
        <w:rPr/>
      </w:pPr>
      <w:bookmarkStart w:colFirst="0" w:colLast="0" w:name="_5fruqzwmo14w" w:id="8"/>
      <w:bookmarkEnd w:id="8"/>
      <w:r w:rsidDel="00000000" w:rsidR="00000000" w:rsidRPr="00000000">
        <w:rPr>
          <w:rtl w:val="0"/>
        </w:rPr>
        <w:t xml:space="preserve">3. Product Life Cycle Strategies for Pioneers and Followers</w:t>
      </w:r>
    </w:p>
    <w:p w:rsidR="00000000" w:rsidDel="00000000" w:rsidP="00000000" w:rsidRDefault="00000000" w:rsidRPr="00000000" w14:paraId="0000004A">
      <w:pPr>
        <w:rPr/>
      </w:pPr>
      <w:r w:rsidDel="00000000" w:rsidR="00000000" w:rsidRPr="00000000">
        <w:rPr>
          <w:rtl w:val="0"/>
        </w:rPr>
        <w:t xml:space="preserve">The strategies that companies employ during the growth and maturity stages of the PLC need to be carefully planned to ensure that the competitive advantage is sustained. To achieve this, pioneers seek to maintain dominance in the market while followers focus on cost advantages and differentiation to threaten pioneers. This section focuses on the manner in which pioneers and followers operate in the growth and maturity stage of the PLC.</w:t>
      </w:r>
    </w:p>
    <w:p w:rsidR="00000000" w:rsidDel="00000000" w:rsidP="00000000" w:rsidRDefault="00000000" w:rsidRPr="00000000" w14:paraId="0000004B">
      <w:pPr>
        <w:pStyle w:val="Heading2"/>
        <w:rPr/>
      </w:pPr>
      <w:bookmarkStart w:colFirst="0" w:colLast="0" w:name="_o978pa87jl3h" w:id="9"/>
      <w:bookmarkEnd w:id="9"/>
      <w:r w:rsidDel="00000000" w:rsidR="00000000" w:rsidRPr="00000000">
        <w:rPr>
          <w:rtl w:val="0"/>
        </w:rPr>
        <w:t xml:space="preserve">3.1 Growth &amp; Maturity Strategies for Pioneers</w:t>
      </w:r>
    </w:p>
    <w:p w:rsidR="00000000" w:rsidDel="00000000" w:rsidP="00000000" w:rsidRDefault="00000000" w:rsidRPr="00000000" w14:paraId="0000004C">
      <w:pPr>
        <w:rPr>
          <w:b w:val="1"/>
        </w:rPr>
      </w:pPr>
      <w:r w:rsidDel="00000000" w:rsidR="00000000" w:rsidRPr="00000000">
        <w:rPr>
          <w:b w:val="1"/>
          <w:rtl w:val="0"/>
        </w:rPr>
        <w:t xml:space="preserve">Continuous Innovation and Market Expansion</w:t>
      </w:r>
    </w:p>
    <w:p w:rsidR="00000000" w:rsidDel="00000000" w:rsidP="00000000" w:rsidRDefault="00000000" w:rsidRPr="00000000" w14:paraId="0000004D">
      <w:pPr>
        <w:rPr/>
      </w:pPr>
      <w:r w:rsidDel="00000000" w:rsidR="00000000" w:rsidRPr="00000000">
        <w:rPr>
          <w:rtl w:val="0"/>
        </w:rPr>
        <w:t xml:space="preserve">For pioneers, constant innovation is crucial to sustain and stay ahead of the competitors and gain and sustain the market control (Riis Flor and Moritzen, 2019). Companies such as Apple have been known to bring small changes to their products as they build on the features of the current models and retain the original brand name. The iPhone is a perfect example of this approach that started with the first iPhone in 2007 and has continued through the numerous advanced iPhone models with AI-based camera and 5G. Furthermore, pioneers diversify geographically as well as in the products they offer in order to maintain growth in revenues. Thus, Tesla initially focused on luxury electric cars and became a producer of affordable EVs, energy storage systems, and solar products (Thomas and Maine, 2017).</w:t>
      </w:r>
    </w:p>
    <w:p w:rsidR="00000000" w:rsidDel="00000000" w:rsidP="00000000" w:rsidRDefault="00000000" w:rsidRPr="00000000" w14:paraId="0000004E">
      <w:pPr>
        <w:rPr>
          <w:b w:val="1"/>
        </w:rPr>
      </w:pPr>
      <w:r w:rsidDel="00000000" w:rsidR="00000000" w:rsidRPr="00000000">
        <w:rPr>
          <w:b w:val="1"/>
          <w:rtl w:val="0"/>
        </w:rPr>
        <w:t xml:space="preserve">Brand Reinforcement Through Marketing and Partnerships</w:t>
      </w:r>
    </w:p>
    <w:p w:rsidR="00000000" w:rsidDel="00000000" w:rsidP="00000000" w:rsidRDefault="00000000" w:rsidRPr="00000000" w14:paraId="0000004F">
      <w:pPr>
        <w:rPr/>
      </w:pPr>
      <w:r w:rsidDel="00000000" w:rsidR="00000000" w:rsidRPr="00000000">
        <w:rPr>
          <w:rtl w:val="0"/>
        </w:rPr>
        <w:t xml:space="preserve">Pioneer always require more concentration on brand equity because the key of branding is to sustain the value of the brand and make sure that the value is considerable. There is intense branding, advertising, and strategic partnership to create and maintain strategic positions among firms. In this case, Coca-Cola has ensured that it undertakes various marketing campaigns throughout the world in order to popularize the brand as a soft drink company. Likewise, the collaborations with energy companies have extended the company’s vision in the energy segment of sustainable energy. Pioneers also invest in lock-stock-and-barrel supplier relationships for improving the quality of the products and sustaining competitive edge. The battery technology partnership between Tesla and Panasonic provided it with production advantage to stay ahead in the EV business (Schlegelmilch &amp; Winer, 2018).</w:t>
      </w:r>
    </w:p>
    <w:p w:rsidR="00000000" w:rsidDel="00000000" w:rsidP="00000000" w:rsidRDefault="00000000" w:rsidRPr="00000000" w14:paraId="00000050">
      <w:pPr>
        <w:rPr>
          <w:b w:val="1"/>
        </w:rPr>
      </w:pPr>
      <w:r w:rsidDel="00000000" w:rsidR="00000000" w:rsidRPr="00000000">
        <w:rPr>
          <w:b w:val="1"/>
          <w:rtl w:val="0"/>
        </w:rPr>
        <w:t xml:space="preserve">Diversification and Product Line Extensions</w:t>
      </w:r>
    </w:p>
    <w:p w:rsidR="00000000" w:rsidDel="00000000" w:rsidP="00000000" w:rsidRDefault="00000000" w:rsidRPr="00000000" w14:paraId="00000051">
      <w:pPr>
        <w:rPr/>
      </w:pPr>
      <w:r w:rsidDel="00000000" w:rsidR="00000000" w:rsidRPr="00000000">
        <w:rPr>
          <w:rtl w:val="0"/>
        </w:rPr>
        <w:t xml:space="preserve">The dangers of market saturation are some of the reasons why pioneers find it important to diversify their products. Amazon, which started out as an online bookstore, moved into electronics, cloud computing through AWS and logistics services business, which are not only synergistic with the original business but also sources of revenues (Schlegelmilch &amp; Winer, 2018). In a similar manner, Google was able to use its market position in the search engine business to enter the advertising (Google Ads), smartphone (Pixel) as well as cloud computing (Google Cloud) markets. It allows pioneers to continue doing business as other subcategories within the market become saturated.</w:t>
      </w:r>
    </w:p>
    <w:p w:rsidR="00000000" w:rsidDel="00000000" w:rsidP="00000000" w:rsidRDefault="00000000" w:rsidRPr="00000000" w14:paraId="00000052">
      <w:pPr>
        <w:pStyle w:val="Heading2"/>
        <w:rPr/>
      </w:pPr>
      <w:bookmarkStart w:colFirst="0" w:colLast="0" w:name="_nnu7z5l0nmc3" w:id="10"/>
      <w:bookmarkEnd w:id="10"/>
      <w:r w:rsidDel="00000000" w:rsidR="00000000" w:rsidRPr="00000000">
        <w:rPr>
          <w:rtl w:val="0"/>
        </w:rPr>
        <w:t xml:space="preserve">3.2 Growth &amp; Maturity Strategies for Followers</w:t>
      </w:r>
    </w:p>
    <w:p w:rsidR="00000000" w:rsidDel="00000000" w:rsidP="00000000" w:rsidRDefault="00000000" w:rsidRPr="00000000" w14:paraId="00000053">
      <w:pPr>
        <w:rPr>
          <w:b w:val="1"/>
        </w:rPr>
      </w:pPr>
      <w:r w:rsidDel="00000000" w:rsidR="00000000" w:rsidRPr="00000000">
        <w:rPr>
          <w:b w:val="1"/>
          <w:rtl w:val="0"/>
        </w:rPr>
        <w:t xml:space="preserve">Competitive Pricing and Cost Efficiency</w:t>
      </w:r>
    </w:p>
    <w:p w:rsidR="00000000" w:rsidDel="00000000" w:rsidP="00000000" w:rsidRDefault="00000000" w:rsidRPr="00000000" w14:paraId="00000054">
      <w:pPr>
        <w:rPr/>
      </w:pPr>
      <w:r w:rsidDel="00000000" w:rsidR="00000000" w:rsidRPr="00000000">
        <w:rPr>
          <w:rtl w:val="0"/>
        </w:rPr>
        <w:t xml:space="preserve">To gain a competitive edge, followers will offer their products at relatively lower prices in order to attract frugal customers. Wu and Chang (2019) also state that Xiaomi and OnePlus threatened the established players in the smartphone market as they provided customers with premium smartphones at a relatively cheaper cost. These firms competitively moved into emerging markets, getting a foothold where price sensitivity was paramount to consumers. Cost leadership also refers to supply chain management as well as the achievement of economies of scale. For instance, Samsung company managed to outcompete other players through vertical integration through internal production of processors, screens, as well as memory chips instead of relying on supply from other companies (Albasoos &amp; Al-Musallami, 2020).</w:t>
      </w:r>
    </w:p>
    <w:p w:rsidR="00000000" w:rsidDel="00000000" w:rsidP="00000000" w:rsidRDefault="00000000" w:rsidRPr="00000000" w14:paraId="00000055">
      <w:pPr>
        <w:rPr>
          <w:b w:val="1"/>
        </w:rPr>
      </w:pPr>
      <w:r w:rsidDel="00000000" w:rsidR="00000000" w:rsidRPr="00000000">
        <w:rPr>
          <w:b w:val="1"/>
          <w:rtl w:val="0"/>
        </w:rPr>
        <w:t xml:space="preserve">Product Differentiation and Targeting Niche Markets</w:t>
      </w:r>
    </w:p>
    <w:p w:rsidR="00000000" w:rsidDel="00000000" w:rsidP="00000000" w:rsidRDefault="00000000" w:rsidRPr="00000000" w14:paraId="00000056">
      <w:pPr>
        <w:rPr/>
      </w:pPr>
      <w:r w:rsidDel="00000000" w:rsidR="00000000" w:rsidRPr="00000000">
        <w:rPr>
          <w:rtl w:val="0"/>
        </w:rPr>
        <w:t xml:space="preserve">Though pioneers establish standards that followers mimic, followers adapt the product to target markets of their choice. Samsung set itself apart from Apple through innovation in the stylus, the large-screen option, and foldable phones for professional and artistic consumers. In the same way, Netflix joined the video streaming business after hulu but provided a great shift in content distribution by using AI for suggestions and producing exclusive material (Feng et al., 2019). Thus, by targeting narrow target markets with specific content, Netflix surpassed pioneers in the industry.</w:t>
      </w:r>
    </w:p>
    <w:p w:rsidR="00000000" w:rsidDel="00000000" w:rsidP="00000000" w:rsidRDefault="00000000" w:rsidRPr="00000000" w14:paraId="00000057">
      <w:pPr>
        <w:rPr>
          <w:b w:val="1"/>
        </w:rPr>
      </w:pPr>
      <w:r w:rsidDel="00000000" w:rsidR="00000000" w:rsidRPr="00000000">
        <w:rPr>
          <w:b w:val="1"/>
          <w:rtl w:val="0"/>
        </w:rPr>
        <w:t xml:space="preserve">Adoption of Emerging Technologies</w:t>
      </w:r>
    </w:p>
    <w:p w:rsidR="00000000" w:rsidDel="00000000" w:rsidP="00000000" w:rsidRDefault="00000000" w:rsidRPr="00000000" w14:paraId="00000058">
      <w:pPr>
        <w:rPr/>
      </w:pPr>
      <w:r w:rsidDel="00000000" w:rsidR="00000000" w:rsidRPr="00000000">
        <w:rPr>
          <w:rtl w:val="0"/>
        </w:rPr>
        <w:t xml:space="preserve">The late entrant firms have the opportunity to leverage on the new technologies than the pioneer firms. While Google joined the smartphone market a bit later than Apple, the company was able to build up its market share by implementing AI-powered search, better voice assistants, as well as computational photography (Park and Kim, 2020). By adopting the AI solutions for content recommendations, Netflix was able to capture the market of video streaming while Facebook honed its social media algorithms, thus engaging the users compared to the previous platforms like MySpace (Feng et al., 2019).</w:t>
      </w:r>
    </w:p>
    <w:p w:rsidR="00000000" w:rsidDel="00000000" w:rsidP="00000000" w:rsidRDefault="00000000" w:rsidRPr="00000000" w14:paraId="00000059">
      <w:pPr>
        <w:pStyle w:val="Heading2"/>
        <w:rPr/>
      </w:pPr>
      <w:bookmarkStart w:colFirst="0" w:colLast="0" w:name="_ebxxtrxw1kos" w:id="11"/>
      <w:bookmarkEnd w:id="11"/>
      <w:r w:rsidDel="00000000" w:rsidR="00000000" w:rsidRPr="00000000">
        <w:rPr>
          <w:rtl w:val="0"/>
        </w:rPr>
        <w:t xml:space="preserve">3.3 Comparison of Growth and Maturity Strategies</w:t>
      </w:r>
    </w:p>
    <w:p w:rsidR="00000000" w:rsidDel="00000000" w:rsidP="00000000" w:rsidRDefault="00000000" w:rsidRPr="00000000" w14:paraId="0000005A">
      <w:pPr>
        <w:rPr>
          <w:b w:val="1"/>
        </w:rPr>
      </w:pPr>
      <w:r w:rsidDel="00000000" w:rsidR="00000000" w:rsidRPr="00000000">
        <w:rPr>
          <w:b w:val="1"/>
          <w:rtl w:val="0"/>
        </w:rPr>
        <w:t xml:space="preserve">Innovation vs. Cost Efficiency</w:t>
      </w:r>
    </w:p>
    <w:p w:rsidR="00000000" w:rsidDel="00000000" w:rsidP="00000000" w:rsidRDefault="00000000" w:rsidRPr="00000000" w14:paraId="0000005B">
      <w:pPr>
        <w:numPr>
          <w:ilvl w:val="0"/>
          <w:numId w:val="3"/>
        </w:numPr>
        <w:ind w:left="720" w:hanging="360"/>
        <w:rPr/>
      </w:pPr>
      <w:r w:rsidDel="00000000" w:rsidR="00000000" w:rsidRPr="00000000">
        <w:rPr>
          <w:rtl w:val="0"/>
        </w:rPr>
        <w:t xml:space="preserve">Pioneers rely on continuous innovation and branding to maintain dominance.</w:t>
      </w:r>
    </w:p>
    <w:p w:rsidR="00000000" w:rsidDel="00000000" w:rsidP="00000000" w:rsidRDefault="00000000" w:rsidRPr="00000000" w14:paraId="0000005C">
      <w:pPr>
        <w:numPr>
          <w:ilvl w:val="0"/>
          <w:numId w:val="3"/>
        </w:numPr>
        <w:ind w:left="720" w:hanging="360"/>
        <w:rPr/>
      </w:pPr>
      <w:r w:rsidDel="00000000" w:rsidR="00000000" w:rsidRPr="00000000">
        <w:rPr>
          <w:rtl w:val="0"/>
        </w:rPr>
        <w:t xml:space="preserve">Followers focus on cost efficiency, competitive pricing, and market timing to capture market share.</w:t>
      </w:r>
    </w:p>
    <w:p w:rsidR="00000000" w:rsidDel="00000000" w:rsidP="00000000" w:rsidRDefault="00000000" w:rsidRPr="00000000" w14:paraId="0000005D">
      <w:pPr>
        <w:rPr>
          <w:b w:val="1"/>
        </w:rPr>
      </w:pPr>
      <w:r w:rsidDel="00000000" w:rsidR="00000000" w:rsidRPr="00000000">
        <w:rPr>
          <w:b w:val="1"/>
          <w:rtl w:val="0"/>
        </w:rPr>
        <w:t xml:space="preserve">Brand Loyalty vs. Market Flexibility</w:t>
      </w:r>
    </w:p>
    <w:p w:rsidR="00000000" w:rsidDel="00000000" w:rsidP="00000000" w:rsidRDefault="00000000" w:rsidRPr="00000000" w14:paraId="0000005E">
      <w:pPr>
        <w:numPr>
          <w:ilvl w:val="0"/>
          <w:numId w:val="4"/>
        </w:numPr>
        <w:ind w:left="720" w:hanging="360"/>
        <w:rPr/>
      </w:pPr>
      <w:r w:rsidDel="00000000" w:rsidR="00000000" w:rsidRPr="00000000">
        <w:rPr>
          <w:rtl w:val="0"/>
        </w:rPr>
        <w:t xml:space="preserve">Pioneers enjoy high brand loyalty but often struggle with legacy systems.</w:t>
      </w:r>
    </w:p>
    <w:p w:rsidR="00000000" w:rsidDel="00000000" w:rsidP="00000000" w:rsidRDefault="00000000" w:rsidRPr="00000000" w14:paraId="0000005F">
      <w:pPr>
        <w:numPr>
          <w:ilvl w:val="0"/>
          <w:numId w:val="4"/>
        </w:numPr>
        <w:ind w:left="720" w:hanging="360"/>
        <w:rPr/>
      </w:pPr>
      <w:r w:rsidDel="00000000" w:rsidR="00000000" w:rsidRPr="00000000">
        <w:rPr>
          <w:rtl w:val="0"/>
        </w:rPr>
        <w:t xml:space="preserve">Followers remain more flexible, allowing them to adapt to changing consumer preferences.</w:t>
      </w:r>
    </w:p>
    <w:p w:rsidR="00000000" w:rsidDel="00000000" w:rsidP="00000000" w:rsidRDefault="00000000" w:rsidRPr="00000000" w14:paraId="00000060">
      <w:pPr>
        <w:rPr>
          <w:b w:val="1"/>
        </w:rPr>
      </w:pPr>
      <w:r w:rsidDel="00000000" w:rsidR="00000000" w:rsidRPr="00000000">
        <w:rPr>
          <w:b w:val="1"/>
          <w:rtl w:val="0"/>
        </w:rPr>
        <w:t xml:space="preserve">Industry Leadership vs. Market Disruption</w:t>
      </w:r>
    </w:p>
    <w:p w:rsidR="00000000" w:rsidDel="00000000" w:rsidP="00000000" w:rsidRDefault="00000000" w:rsidRPr="00000000" w14:paraId="00000061">
      <w:pPr>
        <w:numPr>
          <w:ilvl w:val="0"/>
          <w:numId w:val="5"/>
        </w:numPr>
        <w:ind w:left="720" w:hanging="360"/>
        <w:rPr/>
      </w:pPr>
      <w:r w:rsidDel="00000000" w:rsidR="00000000" w:rsidRPr="00000000">
        <w:rPr>
          <w:rtl w:val="0"/>
        </w:rPr>
        <w:t xml:space="preserve">Pioneers establish industry norms and set product expectations.</w:t>
      </w:r>
    </w:p>
    <w:p w:rsidR="00000000" w:rsidDel="00000000" w:rsidP="00000000" w:rsidRDefault="00000000" w:rsidRPr="00000000" w14:paraId="00000062">
      <w:pPr>
        <w:numPr>
          <w:ilvl w:val="0"/>
          <w:numId w:val="5"/>
        </w:numPr>
        <w:ind w:left="720" w:hanging="360"/>
        <w:rPr/>
      </w:pPr>
      <w:r w:rsidDel="00000000" w:rsidR="00000000" w:rsidRPr="00000000">
        <w:rPr>
          <w:rtl w:val="0"/>
        </w:rPr>
        <w:t xml:space="preserve">Followers refine, disrupt, and even overtake pioneers by offering better, more cost-effective solutions.</w:t>
      </w:r>
    </w:p>
    <w:p w:rsidR="00000000" w:rsidDel="00000000" w:rsidP="00000000" w:rsidRDefault="00000000" w:rsidRPr="00000000" w14:paraId="00000063">
      <w:pPr>
        <w:rPr>
          <w:b w:val="1"/>
        </w:rPr>
      </w:pPr>
      <w:r w:rsidDel="00000000" w:rsidR="00000000" w:rsidRPr="00000000">
        <w:rPr>
          <w:b w:val="1"/>
          <w:rtl w:val="0"/>
        </w:rPr>
        <w:t xml:space="preserve">Execution is Key for Both Strategies</w:t>
      </w:r>
    </w:p>
    <w:p w:rsidR="00000000" w:rsidDel="00000000" w:rsidP="00000000" w:rsidRDefault="00000000" w:rsidRPr="00000000" w14:paraId="0000006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40" w:before="24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Both approaches can be effective depending on their implementation, the state of the industry, and the changes in technologies. </w:t>
      </w:r>
      <w:r w:rsidDel="00000000" w:rsidR="00000000" w:rsidRPr="00000000">
        <w:rPr>
          <w:rtl w:val="0"/>
        </w:rPr>
      </w:r>
    </w:p>
    <w:p w:rsidR="00000000" w:rsidDel="00000000" w:rsidP="00000000" w:rsidRDefault="00000000" w:rsidRPr="00000000" w14:paraId="00000065">
      <w:pPr>
        <w:pStyle w:val="Heading1"/>
        <w:rPr/>
      </w:pPr>
      <w:bookmarkStart w:colFirst="0" w:colLast="0" w:name="_tk9o6bkrrr9d" w:id="12"/>
      <w:bookmarkEnd w:id="12"/>
      <w:r w:rsidDel="00000000" w:rsidR="00000000" w:rsidRPr="00000000">
        <w:rPr>
          <w:b w:val="1"/>
          <w:rtl w:val="0"/>
        </w:rPr>
        <w:t xml:space="preserve">4. Conclusion</w:t>
      </w:r>
      <w:r w:rsidDel="00000000" w:rsidR="00000000" w:rsidRPr="00000000">
        <w:rPr>
          <w:rtl w:val="0"/>
        </w:rPr>
      </w:r>
    </w:p>
    <w:p w:rsidR="00000000" w:rsidDel="00000000" w:rsidP="00000000" w:rsidRDefault="00000000" w:rsidRPr="00000000" w14:paraId="00000066">
      <w:pPr>
        <w:spacing w:after="280" w:before="280" w:lineRule="auto"/>
        <w:rPr/>
      </w:pPr>
      <w:r w:rsidDel="00000000" w:rsidR="00000000" w:rsidRPr="00000000">
        <w:rPr>
          <w:rtl w:val="0"/>
        </w:rPr>
        <w:t xml:space="preserve">The pioneering or the follower decision is one of the critical strategic choices that have to be made depending on the industry conditions, opportunities and the organization’s resources. First movers enjoy benefits like brand image, customer allegiance, and technology which enables them to influence the consumers and the market. Tesla, apple and Amazon are some of the leading first movers since they have established market trends, patents, and invest in constant innovation. But it also has risks that include high costs in research development, high uncertain market risks and the difficulty of maintaining leadership in the long run. On the other hand, the followers can learn from the pioneers and keep away from making costly errors, enhance the existing products and introduce cost leading products. Samsung, Facebook, and Xiaomi are some of the companies that have benefited from the knowledge of pioneers, having competitive prices, and unique products. Although Google began its services after yahoo has already established its name in the search engine market, google overcame yahoo with better algorithms and innovations that focused on the customer’s needs. Thus, followers tend to leverage on technological developments and enhance supply chain, making them better than pioneers in saturated industries.</w:t>
      </w:r>
    </w:p>
    <w:p w:rsidR="00000000" w:rsidDel="00000000" w:rsidP="00000000" w:rsidRDefault="00000000" w:rsidRPr="00000000" w14:paraId="00000067">
      <w:pPr>
        <w:spacing w:after="280" w:before="280" w:lineRule="auto"/>
        <w:ind w:firstLine="720"/>
        <w:rPr/>
      </w:pPr>
      <w:r w:rsidDel="00000000" w:rsidR="00000000" w:rsidRPr="00000000">
        <w:rPr>
          <w:rtl w:val="0"/>
        </w:rPr>
        <w:t xml:space="preserve">An understanding of the Product Life Cycle (PLC) is important for both pioneers and followers and both are able to manage the growth and mature phases of the PLC effectively. The first type is characterized by high levels of innovation, and intensive use of branding strategies, while the second one is characterized by cost leadership, differentiation and flexibility. The two strategies can be sustainable if done with good market intelligence, flexibility and customer orientation. Finally, it can be stated that there is no single recipe for success. The effectiveness of being a pioneer or a follower can only be determined by how appropriate a firm will be when it gets into those market changes, how it shall be exploiting the ideas of innovation and how long it shall be maintaining the competitive edge. Market pioneers like Apple, Tesla, Samsung, and Google are good examples to show that it is possible for firms to be profitable irrespective of the timing of their entry into a market if only they are willing to adapt and innovate constantly.</w:t>
      </w:r>
    </w:p>
    <w:p w:rsidR="00000000" w:rsidDel="00000000" w:rsidP="00000000" w:rsidRDefault="00000000" w:rsidRPr="00000000" w14:paraId="00000068">
      <w:pPr>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rPr/>
      </w:pPr>
      <w:bookmarkStart w:colFirst="0" w:colLast="0" w:name="_6ttwqryvx26j" w:id="13"/>
      <w:bookmarkEnd w:id="13"/>
      <w:r w:rsidDel="00000000" w:rsidR="00000000" w:rsidRPr="00000000">
        <w:rPr>
          <w:rtl w:val="0"/>
        </w:rPr>
        <w:t xml:space="preserve">Reference List</w:t>
      </w:r>
    </w:p>
    <w:p w:rsidR="00000000" w:rsidDel="00000000" w:rsidP="00000000" w:rsidRDefault="00000000" w:rsidRPr="00000000" w14:paraId="0000006A">
      <w:pPr>
        <w:rPr/>
      </w:pPr>
      <w:r w:rsidDel="00000000" w:rsidR="00000000" w:rsidRPr="00000000">
        <w:rPr>
          <w:rtl w:val="0"/>
        </w:rPr>
        <w:t xml:space="preserve">Albasoos, H. and Al Musallami, N., 2020. The conflict between Apple and Samsung over patents and copyrights. Bussecon Review of Social Sciences (2687-2285), 2(3), pp.1-17. </w:t>
      </w:r>
      <w:hyperlink r:id="rId7">
        <w:r w:rsidDel="00000000" w:rsidR="00000000" w:rsidRPr="00000000">
          <w:rPr>
            <w:color w:val="0000ff"/>
            <w:u w:val="single"/>
            <w:rtl w:val="0"/>
          </w:rPr>
          <w:t xml:space="preserve">https://bussecon.com/ojs/index.php/brss/article/download/206/82</w:t>
        </w:r>
      </w:hyperlink>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Beichert, M., Bayerl, A., Goldenberg, J. and Lanz, A., 2024. Revenue generation through influencer marketing. Journal of Marketing, 88(4), pp.40-63. </w:t>
      </w:r>
      <w:hyperlink r:id="rId8">
        <w:r w:rsidDel="00000000" w:rsidR="00000000" w:rsidRPr="00000000">
          <w:rPr>
            <w:color w:val="0000ff"/>
            <w:u w:val="single"/>
            <w:rtl w:val="0"/>
          </w:rPr>
          <w:t xml:space="preserve">https://journals.sagepub.com/doi/pdf/10.1177/00222429231217471</w:t>
        </w:r>
      </w:hyperlink>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Feng, H., Jiang, Z., Li, M. and Feng, N., 2019. First-or second-mover advantage? The case of IT-enabled platform market. The Case of IT-Enabled Platform Market (May 2, 2019). Feng, H., Z. Jiang, M. Li, N. Feng.“First-or Second-Mover Advantage. </w:t>
      </w:r>
      <w:hyperlink r:id="rId9">
        <w:r w:rsidDel="00000000" w:rsidR="00000000" w:rsidRPr="00000000">
          <w:rPr>
            <w:color w:val="0000ff"/>
            <w:u w:val="single"/>
            <w:rtl w:val="0"/>
          </w:rPr>
          <w:t xml:space="preserve">https://papers.ssrn.com/sol3/Delivery.cfm?abstractid=3381690</w:t>
        </w:r>
      </w:hyperlink>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Flor, C.R. and Moritzen, M.R., 2020. Entering a new market: Market profitability and first-mover advantages. Journal of Corporate Finance, 62, p.101604. </w:t>
      </w:r>
      <w:hyperlink r:id="rId10">
        <w:r w:rsidDel="00000000" w:rsidR="00000000" w:rsidRPr="00000000">
          <w:rPr>
            <w:color w:val="0000ff"/>
            <w:u w:val="single"/>
            <w:rtl w:val="0"/>
          </w:rPr>
          <w:t xml:space="preserve">https://papers.ssrn.com/sol3/Delivery.cfm?abstractid=2980245</w:t>
        </w:r>
      </w:hyperlink>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Gomez, J., Lanzolla, G. and Maicas, J.P., 2016. The role of industry dynamics in the persistence of first mover advantages. Long Range Planning, 49(2), pp.265-281. </w:t>
      </w:r>
      <w:hyperlink r:id="rId11">
        <w:r w:rsidDel="00000000" w:rsidR="00000000" w:rsidRPr="00000000">
          <w:rPr>
            <w:color w:val="0000ff"/>
            <w:u w:val="single"/>
            <w:rtl w:val="0"/>
          </w:rPr>
          <w:t xml:space="preserve">https://openaccess.city.ac.uk/id/eprint/15193/3/LRP%20revised%20Manuscript%2019-03-2015.pdf</w:t>
        </w:r>
      </w:hyperlink>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Gómez, J., Perez-Aradros, B. and Salazar, I., 2022. How to beat early movers: The role of competitive strategy and industry dynamism on followers’ performance in the telecommunications industry. Long Range Planning, 55(5), p.102244. </w:t>
      </w:r>
      <w:hyperlink r:id="rId12">
        <w:r w:rsidDel="00000000" w:rsidR="00000000" w:rsidRPr="00000000">
          <w:rPr>
            <w:color w:val="0000ff"/>
            <w:u w:val="single"/>
            <w:rtl w:val="0"/>
          </w:rPr>
          <w:t xml:space="preserve">https://www.sciencedirect.com/science/article/pii/S0024630122000632</w:t>
        </w:r>
      </w:hyperlink>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Hietala, A., 2017. First-mover advantages and-disadvantages: Case study on Prospectum Oy. </w:t>
      </w:r>
      <w:hyperlink r:id="rId13">
        <w:r w:rsidDel="00000000" w:rsidR="00000000" w:rsidRPr="00000000">
          <w:rPr>
            <w:color w:val="0000ff"/>
            <w:u w:val="single"/>
            <w:rtl w:val="0"/>
          </w:rPr>
          <w:t xml:space="preserve">https://www.theseus.fi/bitstream/handle/10024/130889/Hietala_Akseli%202017.pdf?sequence=1/1000</w:t>
        </w:r>
      </w:hyperlink>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Kang, D.H., Kim, H.S., Ahn, K.L., Han, S.W., Shin, J. and Yang, H., 2019. Technology Management Strategy of Smartphone: The Samsung Electronics Case. Journal of information and operations management, 29(1), pp.45-57. </w:t>
      </w:r>
      <w:hyperlink r:id="rId14">
        <w:r w:rsidDel="00000000" w:rsidR="00000000" w:rsidRPr="00000000">
          <w:rPr>
            <w:color w:val="0000ff"/>
            <w:u w:val="single"/>
            <w:rtl w:val="0"/>
          </w:rPr>
          <w:t xml:space="preserve">https://s-space.snu.ac.kr/bitstream/10371/173938/1/4.%EC%96%91%ED%99%8D%EC%84%9D.pdf</w:t>
        </w:r>
      </w:hyperlink>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Okour, M.K., Chong, C.W. and Abdel Fattah, F.A.M., 2021. Knowledge management systems usage: application of diffusion of innovation theory. Global Knowledge, Memory and Communication, 70(8/9), pp.756-776. </w:t>
      </w:r>
      <w:hyperlink r:id="rId15">
        <w:r w:rsidDel="00000000" w:rsidR="00000000" w:rsidRPr="00000000">
          <w:rPr>
            <w:color w:val="0000ff"/>
            <w:u w:val="single"/>
            <w:rtl w:val="0"/>
          </w:rPr>
          <w:t xml:space="preserve">https://www.researchgate.net/profile/Mohammad-Okour/publication/346192700_Knowledge_Management_Systems_Usage_Application_of_Diffusion_of_Innovation_Theory/links/60dd14f1a6fdccb745f8597b/Knowledge-Management-Systems-Usage-Application-of-Diffusion-of-Innovation-Theory.pdf</w:t>
        </w:r>
      </w:hyperlink>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Ouma, P. and Kilika, J.M., 2018. Innovation strategies, first mover advantage and performance in the context of the microfinance sector: A review of literature. International Journal of Business and Management, 13(7), pp.195-209. </w:t>
      </w:r>
      <w:hyperlink r:id="rId16">
        <w:r w:rsidDel="00000000" w:rsidR="00000000" w:rsidRPr="00000000">
          <w:rPr>
            <w:color w:val="0000ff"/>
            <w:u w:val="single"/>
            <w:rtl w:val="0"/>
          </w:rPr>
          <w:t xml:space="preserve">https://ir-library.ku.ac.ke/bitstream/handle/123456789/18504/Innovation?sequence=1</w:t>
        </w:r>
      </w:hyperlink>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Schlegelmilch, B.B. and Winer, R.S. eds., 2021. The Routledge companion to strategic marketing. Routledge. </w:t>
      </w:r>
      <w:hyperlink r:id="rId17">
        <w:r w:rsidDel="00000000" w:rsidR="00000000" w:rsidRPr="00000000">
          <w:rPr>
            <w:color w:val="0000ff"/>
            <w:u w:val="single"/>
            <w:rtl w:val="0"/>
          </w:rPr>
          <w:t xml:space="preserve">https://www.researchgate.net/profile/Bodo-Schlegelmilch/publication/356217288_The_Routledge_Companion_to_Strategic_Marketing/links/6196956b07be5f31b796d463/The-Routledge-Companion-to-Strategic-Marketing.pdf</w:t>
        </w:r>
      </w:hyperlink>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Stark, J., 2022. Product lifecycle management (PLM). In Product lifecycle management (volume 1) 21st Century paradigm for product realisation (pp. 1-32). Cham: Springer International Publishing. </w:t>
      </w:r>
      <w:hyperlink r:id="rId18">
        <w:r w:rsidDel="00000000" w:rsidR="00000000" w:rsidRPr="00000000">
          <w:rPr>
            <w:color w:val="0000ff"/>
            <w:u w:val="single"/>
            <w:rtl w:val="0"/>
          </w:rPr>
          <w:t xml:space="preserve">http://sewiki.ru/images/8/8a/Stark-PLM.pdf</w:t>
        </w:r>
      </w:hyperlink>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Stucke, M.E. and Ezrachi, A., 2016. When competition fails to optimize quality: A look at search engines. Yale JL &amp; Tech., 18, p.70. </w:t>
      </w:r>
      <w:hyperlink r:id="rId19">
        <w:r w:rsidDel="00000000" w:rsidR="00000000" w:rsidRPr="00000000">
          <w:rPr>
            <w:color w:val="0000ff"/>
            <w:u w:val="single"/>
            <w:rtl w:val="0"/>
          </w:rPr>
          <w:t xml:space="preserve">https://ir.law.utk.edu/cgi/viewcontent.cgi?article=1792&amp;context=utklaw_facpubs</w:t>
        </w:r>
      </w:hyperlink>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Thomas, V.J. and Maine, E., 2019. Market entry strategies for electric vehicle start-ups in the automotive industry–Lessons from Tesla Motors. Journal of Cleaner Production, 235, pp.653-663. </w:t>
      </w:r>
      <w:hyperlink r:id="rId20">
        <w:r w:rsidDel="00000000" w:rsidR="00000000" w:rsidRPr="00000000">
          <w:rPr>
            <w:color w:val="0000ff"/>
            <w:u w:val="single"/>
            <w:rtl w:val="0"/>
          </w:rPr>
          <w:t xml:space="preserve">https://ufv.arcabc.ca/islandora/object/ufv%3A55046/datastream/PDF/view</w:t>
        </w:r>
      </w:hyperlink>
      <w:r w:rsidDel="00000000" w:rsidR="00000000" w:rsidRPr="00000000">
        <w:rPr>
          <w:rtl w:val="0"/>
        </w:rPr>
      </w:r>
    </w:p>
    <w:sectPr>
      <w:headerReference r:id="rId21" w:type="default"/>
      <w:footerReference r:id="rId22"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8">
    <w:pPr>
      <w:rPr/>
    </w:pPr>
    <w:r w:rsidDel="00000000" w:rsidR="00000000" w:rsidRPr="00000000">
      <w:rPr/>
      <w:drawing>
        <wp:inline distB="0" distT="0" distL="0" distR="0">
          <wp:extent cx="1655487" cy="559960"/>
          <wp:effectExtent b="0" l="0" r="0" t="0"/>
          <wp:docPr id="2" name="image2.png"/>
          <a:graphic>
            <a:graphicData uri="http://schemas.openxmlformats.org/drawingml/2006/picture">
              <pic:pic>
                <pic:nvPicPr>
                  <pic:cNvPr id="0" name="image2.png"/>
                  <pic:cNvPicPr preferRelativeResize="0"/>
                </pic:nvPicPr>
                <pic:blipFill>
                  <a:blip r:embed="rId1"/>
                  <a:srcRect b="35382" l="6331" r="6135" t="35008"/>
                  <a:stretch>
                    <a:fillRect/>
                  </a:stretch>
                </pic:blipFill>
                <pic:spPr>
                  <a:xfrm>
                    <a:off x="0" y="0"/>
                    <a:ext cx="1655487" cy="55996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240" w:before="24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40" w:lineRule="auto"/>
    </w:pPr>
    <w:rPr>
      <w:b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lineRule="auto"/>
    </w:pPr>
    <w:rPr>
      <w:color w:val="666666"/>
      <w:sz w:val="22"/>
      <w:szCs w:val="22"/>
    </w:rPr>
  </w:style>
  <w:style w:type="paragraph" w:styleId="Heading6">
    <w:name w:val="heading 6"/>
    <w:basedOn w:val="Normal"/>
    <w:next w:val="Normal"/>
    <w:pPr>
      <w:keepNext w:val="1"/>
      <w:keepLines w:val="1"/>
      <w:spacing w:after="80" w:lineRule="auto"/>
    </w:pPr>
    <w:rPr>
      <w:i w:val="1"/>
      <w:color w:val="666666"/>
      <w:sz w:val="22"/>
      <w:szCs w:val="22"/>
    </w:rPr>
  </w:style>
  <w:style w:type="paragraph" w:styleId="Title">
    <w:name w:val="Title"/>
    <w:basedOn w:val="Normal"/>
    <w:next w:val="Normal"/>
    <w:pPr>
      <w:keepNext w:val="1"/>
      <w:keepLines w:val="1"/>
      <w:spacing w:after="60" w:lineRule="auto"/>
    </w:pPr>
    <w:rPr>
      <w:b w:val="1"/>
      <w:sz w:val="32"/>
      <w:szCs w:val="3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ufv.arcabc.ca/islandora/object/ufv%3A55046/datastream/PDF/view" TargetMode="External"/><Relationship Id="rId11" Type="http://schemas.openxmlformats.org/officeDocument/2006/relationships/hyperlink" Target="https://openaccess.city.ac.uk/id/eprint/15193/3/LRP%20revised%20Manuscript%2019-03-2015.pdf" TargetMode="External"/><Relationship Id="rId22" Type="http://schemas.openxmlformats.org/officeDocument/2006/relationships/footer" Target="footer1.xml"/><Relationship Id="rId10" Type="http://schemas.openxmlformats.org/officeDocument/2006/relationships/hyperlink" Target="https://papers.ssrn.com/sol3/Delivery.cfm?abstractid=2980245" TargetMode="External"/><Relationship Id="rId21" Type="http://schemas.openxmlformats.org/officeDocument/2006/relationships/header" Target="header1.xml"/><Relationship Id="rId13" Type="http://schemas.openxmlformats.org/officeDocument/2006/relationships/hyperlink" Target="https://www.theseus.fi/bitstream/handle/10024/130889/Hietala_Akseli%202017.pdf?sequence=1/1000" TargetMode="External"/><Relationship Id="rId12" Type="http://schemas.openxmlformats.org/officeDocument/2006/relationships/hyperlink" Target="https://www.sciencedirect.com/science/article/pii/S002463012200063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apers.ssrn.com/sol3/Delivery.cfm?abstractid=3381690" TargetMode="External"/><Relationship Id="rId15" Type="http://schemas.openxmlformats.org/officeDocument/2006/relationships/hyperlink" Target="https://www.researchgate.net/profile/Mohammad-Okour/publication/346192700_Knowledge_Management_Systems_Usage_Application_of_Diffusion_of_Innovation_Theory/links/60dd14f1a6fdccb745f8597b/Knowledge-Management-Systems-Usage-Application-of-Diffusion-of-Innovation-Theory.pdf" TargetMode="External"/><Relationship Id="rId14" Type="http://schemas.openxmlformats.org/officeDocument/2006/relationships/hyperlink" Target="https://s-space.snu.ac.kr/bitstream/10371/173938/1/4.%EC%96%91%ED%99%8D%EC%84%9D.pdf" TargetMode="External"/><Relationship Id="rId17" Type="http://schemas.openxmlformats.org/officeDocument/2006/relationships/hyperlink" Target="https://www.researchgate.net/profile/Bodo-Schlegelmilch/publication/356217288_The_Routledge_Companion_to_Strategic_Marketing/links/6196956b07be5f31b796d463/The-Routledge-Companion-to-Strategic-Marketing.pdf" TargetMode="External"/><Relationship Id="rId16" Type="http://schemas.openxmlformats.org/officeDocument/2006/relationships/hyperlink" Target="https://ir-library.ku.ac.ke/bitstream/handle/123456789/18504/Innovation?sequence=1" TargetMode="External"/><Relationship Id="rId5" Type="http://schemas.openxmlformats.org/officeDocument/2006/relationships/styles" Target="styles.xml"/><Relationship Id="rId19" Type="http://schemas.openxmlformats.org/officeDocument/2006/relationships/hyperlink" Target="https://ir.law.utk.edu/cgi/viewcontent.cgi?article=1792&amp;context=utklaw_facpubs" TargetMode="External"/><Relationship Id="rId6" Type="http://schemas.openxmlformats.org/officeDocument/2006/relationships/image" Target="media/image1.png"/><Relationship Id="rId18" Type="http://schemas.openxmlformats.org/officeDocument/2006/relationships/hyperlink" Target="http://sewiki.ru/images/8/8a/Stark-PLM.pdf" TargetMode="External"/><Relationship Id="rId7" Type="http://schemas.openxmlformats.org/officeDocument/2006/relationships/hyperlink" Target="https://bussecon.com/ojs/index.php/brss/article/download/206/82" TargetMode="External"/><Relationship Id="rId8" Type="http://schemas.openxmlformats.org/officeDocument/2006/relationships/hyperlink" Target="https://journals.sagepub.com/doi/pdf/10.1177/0022242923121747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