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chart2.xml" ContentType="application/vnd.openxmlformats-officedocument.drawingml.chart+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pPr w:leftFromText="180" w:rightFromText="180" w:vertAnchor="page" w:horzAnchor="margin" w:tblpY="4156"/>
        <w:tblW w:w="949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438"/>
        <w:gridCol w:w="6055"/>
      </w:tblGrid>
      <w:tr w:rsidR="009632AB" w14:paraId="0AA493A6" w14:textId="77777777" w:rsidTr="009632AB">
        <w:tc>
          <w:tcPr>
            <w:tcW w:w="3438" w:type="dxa"/>
            <w:shd w:val="clear" w:color="auto" w:fill="D9D9D9"/>
          </w:tcPr>
          <w:p w14:paraId="463D8C07" w14:textId="77777777" w:rsidR="009632AB" w:rsidRPr="009632AB" w:rsidRDefault="009632AB" w:rsidP="009632AB">
            <w:pPr>
              <w:spacing w:before="120" w:after="120" w:line="360" w:lineRule="auto"/>
              <w:rPr>
                <w:rFonts w:ascii="Arial" w:eastAsia="Tahoma" w:hAnsi="Arial" w:cs="Arial"/>
                <w:sz w:val="32"/>
                <w:szCs w:val="32"/>
              </w:rPr>
            </w:pPr>
            <w:r w:rsidRPr="009632AB">
              <w:rPr>
                <w:rFonts w:ascii="Arial" w:eastAsia="Tahoma" w:hAnsi="Arial" w:cs="Arial"/>
                <w:sz w:val="32"/>
                <w:szCs w:val="32"/>
              </w:rPr>
              <w:t>Student Name:</w:t>
            </w:r>
          </w:p>
        </w:tc>
        <w:tc>
          <w:tcPr>
            <w:tcW w:w="6055" w:type="dxa"/>
          </w:tcPr>
          <w:p w14:paraId="4231C6CE" w14:textId="77777777" w:rsidR="009632AB" w:rsidRPr="009632AB" w:rsidRDefault="009632AB" w:rsidP="009632AB">
            <w:pPr>
              <w:spacing w:before="120" w:after="120" w:line="360" w:lineRule="auto"/>
              <w:rPr>
                <w:rFonts w:ascii="Arial" w:eastAsia="Tahoma" w:hAnsi="Arial" w:cs="Arial"/>
                <w:color w:val="EE0000"/>
                <w:szCs w:val="24"/>
              </w:rPr>
            </w:pPr>
            <w:r w:rsidRPr="009632AB">
              <w:rPr>
                <w:rFonts w:ascii="Arial" w:eastAsia="Tahoma" w:hAnsi="Arial" w:cs="Arial"/>
                <w:color w:val="EE0000"/>
                <w:szCs w:val="24"/>
              </w:rPr>
              <w:t>Carla Okeefe</w:t>
            </w:r>
          </w:p>
        </w:tc>
      </w:tr>
      <w:tr w:rsidR="009632AB" w14:paraId="647B1179" w14:textId="77777777" w:rsidTr="009632AB">
        <w:tc>
          <w:tcPr>
            <w:tcW w:w="3438" w:type="dxa"/>
            <w:shd w:val="clear" w:color="auto" w:fill="D9D9D9"/>
          </w:tcPr>
          <w:p w14:paraId="66C0ED5E" w14:textId="77777777" w:rsidR="009632AB" w:rsidRPr="009632AB" w:rsidRDefault="009632AB" w:rsidP="009632AB">
            <w:pPr>
              <w:spacing w:before="120" w:after="120" w:line="360" w:lineRule="auto"/>
              <w:rPr>
                <w:rFonts w:ascii="Arial" w:eastAsia="Tahoma" w:hAnsi="Arial" w:cs="Arial"/>
                <w:sz w:val="32"/>
                <w:szCs w:val="32"/>
              </w:rPr>
            </w:pPr>
            <w:r w:rsidRPr="009632AB">
              <w:rPr>
                <w:rFonts w:ascii="Arial" w:eastAsia="Tahoma" w:hAnsi="Arial" w:cs="Arial"/>
                <w:sz w:val="32"/>
                <w:szCs w:val="32"/>
              </w:rPr>
              <w:t>Student Number:</w:t>
            </w:r>
          </w:p>
        </w:tc>
        <w:tc>
          <w:tcPr>
            <w:tcW w:w="6055" w:type="dxa"/>
          </w:tcPr>
          <w:p w14:paraId="125F137B" w14:textId="67E69DCB" w:rsidR="009632AB" w:rsidRPr="009632AB" w:rsidRDefault="009632AB" w:rsidP="009632AB">
            <w:pPr>
              <w:spacing w:before="120" w:after="120" w:line="360" w:lineRule="auto"/>
              <w:rPr>
                <w:rFonts w:ascii="Arial" w:eastAsia="Tahoma" w:hAnsi="Arial" w:cs="Arial"/>
                <w:color w:val="EE0000"/>
                <w:szCs w:val="24"/>
              </w:rPr>
            </w:pPr>
            <w:r w:rsidRPr="009632AB">
              <w:rPr>
                <w:rFonts w:ascii="Arial" w:eastAsia="Tahoma" w:hAnsi="Arial" w:cs="Arial"/>
                <w:color w:val="EE0000"/>
                <w:szCs w:val="24"/>
              </w:rPr>
              <w:t>2433175</w:t>
            </w:r>
          </w:p>
        </w:tc>
      </w:tr>
      <w:tr w:rsidR="009632AB" w14:paraId="529E37E8" w14:textId="77777777" w:rsidTr="009632AB">
        <w:tc>
          <w:tcPr>
            <w:tcW w:w="3438" w:type="dxa"/>
            <w:shd w:val="clear" w:color="auto" w:fill="D9D9D9"/>
          </w:tcPr>
          <w:p w14:paraId="605A4D36" w14:textId="77777777" w:rsidR="009632AB" w:rsidRPr="009632AB" w:rsidRDefault="009632AB" w:rsidP="009632AB">
            <w:pPr>
              <w:spacing w:before="120" w:after="120" w:line="360" w:lineRule="auto"/>
              <w:rPr>
                <w:rFonts w:ascii="Arial" w:eastAsia="Tahoma" w:hAnsi="Arial" w:cs="Arial"/>
                <w:sz w:val="32"/>
                <w:szCs w:val="32"/>
              </w:rPr>
            </w:pPr>
            <w:r w:rsidRPr="009632AB">
              <w:rPr>
                <w:rFonts w:ascii="Arial" w:eastAsia="Tahoma" w:hAnsi="Arial" w:cs="Arial"/>
                <w:sz w:val="32"/>
                <w:szCs w:val="32"/>
              </w:rPr>
              <w:t>Module No:</w:t>
            </w:r>
          </w:p>
        </w:tc>
        <w:tc>
          <w:tcPr>
            <w:tcW w:w="6055" w:type="dxa"/>
          </w:tcPr>
          <w:p w14:paraId="0350ECEF" w14:textId="77777777" w:rsidR="009632AB" w:rsidRPr="009632AB" w:rsidRDefault="009632AB" w:rsidP="009632AB">
            <w:pPr>
              <w:spacing w:before="120" w:after="120" w:line="360" w:lineRule="auto"/>
              <w:rPr>
                <w:rFonts w:ascii="Arial" w:eastAsia="Tahoma" w:hAnsi="Arial" w:cs="Arial"/>
                <w:color w:val="EE0000"/>
                <w:szCs w:val="24"/>
              </w:rPr>
            </w:pPr>
            <w:r w:rsidRPr="009632AB">
              <w:rPr>
                <w:rFonts w:ascii="Arial" w:eastAsia="Tahoma" w:hAnsi="Arial" w:cs="Arial"/>
                <w:color w:val="EE0000"/>
                <w:szCs w:val="24"/>
              </w:rPr>
              <w:t>BMSK5010</w:t>
            </w:r>
          </w:p>
        </w:tc>
      </w:tr>
      <w:tr w:rsidR="009632AB" w:rsidRPr="00E201F3" w14:paraId="430706B1" w14:textId="77777777" w:rsidTr="009632AB">
        <w:trPr>
          <w:trHeight w:val="413"/>
        </w:trPr>
        <w:tc>
          <w:tcPr>
            <w:tcW w:w="3438" w:type="dxa"/>
            <w:shd w:val="clear" w:color="auto" w:fill="D9D9D9"/>
          </w:tcPr>
          <w:p w14:paraId="1AD3AA22" w14:textId="77777777" w:rsidR="009632AB" w:rsidRPr="009632AB" w:rsidRDefault="009632AB" w:rsidP="009632AB">
            <w:pPr>
              <w:spacing w:before="120" w:after="120" w:line="360" w:lineRule="auto"/>
              <w:rPr>
                <w:rFonts w:ascii="Arial" w:eastAsia="Tahoma" w:hAnsi="Arial" w:cs="Arial"/>
                <w:szCs w:val="24"/>
              </w:rPr>
            </w:pPr>
            <w:r w:rsidRPr="009632AB">
              <w:rPr>
                <w:rFonts w:ascii="Arial" w:eastAsia="Tahoma" w:hAnsi="Arial" w:cs="Arial"/>
                <w:szCs w:val="24"/>
              </w:rPr>
              <w:t>Module Title:</w:t>
            </w:r>
          </w:p>
        </w:tc>
        <w:tc>
          <w:tcPr>
            <w:tcW w:w="6055" w:type="dxa"/>
          </w:tcPr>
          <w:p w14:paraId="4532A594" w14:textId="77777777" w:rsidR="009632AB" w:rsidRPr="009632AB" w:rsidRDefault="009632AB" w:rsidP="009632AB">
            <w:pPr>
              <w:spacing w:before="120" w:after="120" w:line="360" w:lineRule="auto"/>
              <w:rPr>
                <w:rFonts w:ascii="Arial" w:eastAsia="Tahoma" w:hAnsi="Arial" w:cs="Arial"/>
                <w:bCs/>
                <w:color w:val="EE0000"/>
                <w:szCs w:val="24"/>
              </w:rPr>
            </w:pPr>
            <w:r w:rsidRPr="009632AB">
              <w:rPr>
                <w:rFonts w:ascii="Arial" w:hAnsi="Arial" w:cs="Arial"/>
                <w:bCs/>
                <w:color w:val="EE0000"/>
              </w:rPr>
              <w:t>Developing Relationships and Workplace Achievement</w:t>
            </w:r>
          </w:p>
        </w:tc>
      </w:tr>
    </w:tbl>
    <w:p w14:paraId="7F988BAA" w14:textId="77777777" w:rsidR="00364431" w:rsidRPr="009632AB" w:rsidRDefault="00364431" w:rsidP="009632AB">
      <w:pPr>
        <w:spacing w:before="2400"/>
        <w:rPr>
          <w:rFonts w:asciiTheme="majorHAnsi" w:hAnsiTheme="majorHAnsi" w:cstheme="majorHAnsi"/>
          <w:b/>
          <w:szCs w:val="24"/>
        </w:rPr>
      </w:pPr>
      <w:r w:rsidRPr="00E201F3">
        <w:rPr>
          <w:rFonts w:asciiTheme="majorHAnsi" w:hAnsiTheme="majorHAnsi" w:cstheme="majorHAnsi"/>
          <w:b/>
          <w:noProof/>
          <w:szCs w:val="24"/>
        </w:rPr>
        <w:drawing>
          <wp:anchor distT="0" distB="0" distL="114300" distR="114300" simplePos="0" relativeHeight="251660288" behindDoc="0" locked="0" layoutInCell="1" allowOverlap="1" wp14:anchorId="49B7A82C" wp14:editId="0ABADC3F">
            <wp:simplePos x="0" y="0"/>
            <wp:positionH relativeFrom="column">
              <wp:posOffset>-581025</wp:posOffset>
            </wp:positionH>
            <wp:positionV relativeFrom="paragraph">
              <wp:posOffset>579</wp:posOffset>
            </wp:positionV>
            <wp:extent cx="2628900" cy="883341"/>
            <wp:effectExtent l="0" t="0" r="0" b="0"/>
            <wp:wrapSquare wrapText="bothSides"/>
            <wp:docPr id="5919814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39570" cy="886926"/>
                    </a:xfrm>
                    <a:prstGeom prst="rect">
                      <a:avLst/>
                    </a:prstGeom>
                    <a:noFill/>
                  </pic:spPr>
                </pic:pic>
              </a:graphicData>
            </a:graphic>
            <wp14:sizeRelH relativeFrom="page">
              <wp14:pctWidth>0</wp14:pctWidth>
            </wp14:sizeRelH>
            <wp14:sizeRelV relativeFrom="page">
              <wp14:pctHeight>0</wp14:pctHeight>
            </wp14:sizeRelV>
          </wp:anchor>
        </w:drawing>
      </w:r>
    </w:p>
    <w:p w14:paraId="1A32F105" w14:textId="77777777" w:rsidR="00E201F3" w:rsidRPr="00E201F3" w:rsidRDefault="00E201F3" w:rsidP="00E201F3">
      <w:pPr>
        <w:spacing w:before="120" w:after="120" w:line="240" w:lineRule="auto"/>
        <w:rPr>
          <w:rFonts w:asciiTheme="majorHAnsi" w:eastAsia="Tahoma" w:hAnsiTheme="majorHAnsi" w:cstheme="majorHAnsi"/>
          <w:color w:val="000000"/>
          <w:sz w:val="22"/>
        </w:rPr>
      </w:pPr>
    </w:p>
    <w:p w14:paraId="2F5514D3" w14:textId="77777777" w:rsidR="009632AB" w:rsidRDefault="009632AB" w:rsidP="00E201F3">
      <w:pPr>
        <w:pStyle w:val="NoSpacing"/>
      </w:pPr>
    </w:p>
    <w:p w14:paraId="6E0CAB7B" w14:textId="77777777" w:rsidR="009632AB" w:rsidRDefault="009632AB" w:rsidP="00E201F3">
      <w:pPr>
        <w:pStyle w:val="NoSpacing"/>
      </w:pPr>
    </w:p>
    <w:p w14:paraId="771B7CCD" w14:textId="77777777" w:rsidR="009632AB" w:rsidRPr="009632AB" w:rsidRDefault="009632AB" w:rsidP="009632AB">
      <w:pPr>
        <w:pStyle w:val="NoSpacing"/>
        <w:jc w:val="center"/>
        <w:rPr>
          <w:rFonts w:ascii="Arial" w:hAnsi="Arial" w:cs="Arial"/>
          <w:sz w:val="30"/>
          <w:szCs w:val="30"/>
        </w:rPr>
      </w:pPr>
      <w:r w:rsidRPr="009632AB">
        <w:rPr>
          <w:rFonts w:ascii="Arial" w:hAnsi="Arial" w:cs="Arial"/>
          <w:sz w:val="30"/>
          <w:szCs w:val="30"/>
        </w:rPr>
        <w:t>Applied Leadership and Management in the Workplace</w:t>
      </w:r>
    </w:p>
    <w:p w14:paraId="748FACB2" w14:textId="77777777" w:rsidR="009632AB" w:rsidRPr="009632AB" w:rsidRDefault="009632AB" w:rsidP="009632AB">
      <w:pPr>
        <w:pStyle w:val="NoSpacing"/>
        <w:jc w:val="center"/>
        <w:rPr>
          <w:rFonts w:ascii="Arial" w:hAnsi="Arial" w:cs="Arial"/>
          <w:sz w:val="30"/>
          <w:szCs w:val="30"/>
        </w:rPr>
      </w:pPr>
      <w:r w:rsidRPr="009632AB">
        <w:rPr>
          <w:rFonts w:ascii="Arial" w:hAnsi="Arial" w:cs="Arial"/>
          <w:sz w:val="30"/>
          <w:szCs w:val="30"/>
        </w:rPr>
        <w:t>Module Assignment Submission</w:t>
      </w:r>
    </w:p>
    <w:p w14:paraId="46E11BFB" w14:textId="77777777" w:rsidR="009632AB" w:rsidRPr="009632AB" w:rsidRDefault="009632AB" w:rsidP="00E201F3">
      <w:pPr>
        <w:pStyle w:val="NoSpacing"/>
        <w:rPr>
          <w:rFonts w:ascii="Arial" w:hAnsi="Arial" w:cs="Arial"/>
        </w:rPr>
      </w:pPr>
    </w:p>
    <w:p w14:paraId="44FB34A4" w14:textId="77777777" w:rsidR="009632AB" w:rsidRPr="009632AB" w:rsidRDefault="009632AB" w:rsidP="00E201F3">
      <w:pPr>
        <w:pStyle w:val="NoSpacing"/>
        <w:rPr>
          <w:rFonts w:ascii="Arial" w:hAnsi="Arial" w:cs="Arial"/>
        </w:rPr>
      </w:pPr>
    </w:p>
    <w:p w14:paraId="741F43DA" w14:textId="77777777" w:rsidR="00364431" w:rsidRPr="009632AB" w:rsidRDefault="00364431" w:rsidP="00E201F3">
      <w:pPr>
        <w:pStyle w:val="NoSpacing"/>
        <w:rPr>
          <w:rFonts w:ascii="Arial" w:hAnsi="Arial" w:cs="Arial"/>
          <w:b/>
          <w:bCs/>
          <w:sz w:val="24"/>
          <w:szCs w:val="24"/>
        </w:rPr>
      </w:pPr>
    </w:p>
    <w:p w14:paraId="6E7AFEF3" w14:textId="77777777" w:rsidR="00E201F3" w:rsidRPr="009632AB" w:rsidRDefault="00E201F3" w:rsidP="00E201F3">
      <w:pPr>
        <w:pStyle w:val="NoSpacing"/>
        <w:rPr>
          <w:rFonts w:ascii="Arial" w:hAnsi="Arial" w:cs="Arial"/>
          <w:b/>
          <w:bCs/>
          <w:sz w:val="24"/>
          <w:szCs w:val="24"/>
        </w:rPr>
      </w:pPr>
      <w:r w:rsidRPr="009632AB">
        <w:rPr>
          <w:rFonts w:ascii="Arial" w:hAnsi="Arial" w:cs="Arial"/>
          <w:b/>
          <w:bCs/>
          <w:sz w:val="24"/>
          <w:szCs w:val="24"/>
        </w:rPr>
        <w:t>Statement of Confirmation of Authenticity</w:t>
      </w:r>
    </w:p>
    <w:p w14:paraId="7F939ABF" w14:textId="77777777" w:rsidR="00E201F3" w:rsidRPr="009632AB" w:rsidRDefault="00E201F3" w:rsidP="00E201F3">
      <w:pPr>
        <w:pStyle w:val="NoSpacing"/>
        <w:rPr>
          <w:rFonts w:ascii="Arial" w:hAnsi="Arial" w:cs="Arial"/>
          <w:sz w:val="24"/>
          <w:szCs w:val="24"/>
        </w:rPr>
      </w:pPr>
      <w:r w:rsidRPr="009632AB">
        <w:rPr>
          <w:rFonts w:ascii="Arial" w:hAnsi="Arial" w:cs="Arial"/>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5CA495EF" w14:textId="77777777" w:rsidR="00E201F3" w:rsidRPr="009632AB" w:rsidRDefault="00E201F3" w:rsidP="00E201F3">
      <w:pPr>
        <w:pStyle w:val="NoSpacing"/>
        <w:rPr>
          <w:rFonts w:ascii="Arial" w:hAnsi="Arial" w:cs="Arial"/>
          <w:sz w:val="24"/>
          <w:szCs w:val="24"/>
        </w:rPr>
      </w:pPr>
      <w:r w:rsidRPr="009632AB">
        <w:rPr>
          <w:rFonts w:ascii="Arial" w:hAnsi="Arial" w:cs="Arial"/>
          <w:sz w:val="24"/>
          <w:szCs w:val="24"/>
        </w:rPr>
        <w:t>Attention is drawn to the plagiarism and unfair practice policies of both the University and of ILM.</w:t>
      </w:r>
    </w:p>
    <w:p w14:paraId="3118D81A" w14:textId="77777777" w:rsidR="00E201F3" w:rsidRPr="009632AB" w:rsidRDefault="00E201F3" w:rsidP="00E201F3">
      <w:pPr>
        <w:pStyle w:val="NoSpacing"/>
        <w:rPr>
          <w:rFonts w:ascii="Arial" w:hAnsi="Arial" w:cs="Arial"/>
          <w:bCs/>
          <w:sz w:val="24"/>
          <w:szCs w:val="24"/>
        </w:rPr>
      </w:pPr>
    </w:p>
    <w:p w14:paraId="212734F7" w14:textId="77777777" w:rsidR="00E201F3" w:rsidRPr="009632AB" w:rsidRDefault="00E201F3" w:rsidP="00E201F3">
      <w:pPr>
        <w:pStyle w:val="NoSpacing"/>
        <w:rPr>
          <w:rFonts w:ascii="Arial" w:hAnsi="Arial" w:cs="Arial"/>
          <w:sz w:val="24"/>
          <w:szCs w:val="24"/>
        </w:rPr>
      </w:pPr>
      <w:r w:rsidRPr="009632AB">
        <w:rPr>
          <w:rFonts w:ascii="Arial" w:hAnsi="Arial" w:cs="Arial"/>
          <w:b/>
          <w:sz w:val="24"/>
          <w:szCs w:val="24"/>
        </w:rPr>
        <w:t>AI Declaration:</w:t>
      </w:r>
      <w:r w:rsidRPr="009632AB">
        <w:rPr>
          <w:rFonts w:ascii="Arial" w:hAnsi="Arial" w:cs="Arial"/>
          <w:sz w:val="24"/>
          <w:szCs w:val="24"/>
        </w:rPr>
        <w:t xml:space="preserve"> I confirm that </w:t>
      </w:r>
      <w:r w:rsidRPr="009632AB">
        <w:rPr>
          <w:rFonts w:ascii="Arial" w:hAnsi="Arial" w:cs="Arial"/>
          <w:b/>
          <w:sz w:val="24"/>
          <w:szCs w:val="24"/>
        </w:rPr>
        <w:t>I have not used Generative AI</w:t>
      </w:r>
      <w:r w:rsidRPr="009632AB">
        <w:rPr>
          <w:rFonts w:ascii="Arial" w:hAnsi="Arial" w:cs="Arial"/>
          <w:sz w:val="24"/>
          <w:szCs w:val="24"/>
        </w:rPr>
        <w:t xml:space="preserve"> to create any text, creative materials or code for submission. Any AI use was limited to permitted research, assignment structure and proofreading of my own work. AI may be used to help plan the structure or format of a table, but the content must be my own. AI must not be used to create graphs, charts, images or other assessed visual material for submission unless specifically permitted in the assignment brief.</w:t>
      </w:r>
    </w:p>
    <w:p w14:paraId="7827A133" w14:textId="77777777" w:rsidR="00364431" w:rsidRPr="009632AB" w:rsidRDefault="00364431" w:rsidP="00E201F3">
      <w:pPr>
        <w:pStyle w:val="NoSpacing"/>
        <w:rPr>
          <w:rFonts w:ascii="Arial" w:hAnsi="Arial" w:cs="Arial"/>
          <w:sz w:val="24"/>
          <w:szCs w:val="24"/>
        </w:rPr>
      </w:pPr>
    </w:p>
    <w:p w14:paraId="23600795" w14:textId="77777777" w:rsidR="00364431" w:rsidRPr="009632AB" w:rsidRDefault="00364431" w:rsidP="009632AB">
      <w:pPr>
        <w:pStyle w:val="NoSpacing"/>
        <w:rPr>
          <w:rFonts w:ascii="Arial" w:hAnsi="Arial" w:cs="Arial"/>
          <w:sz w:val="24"/>
          <w:szCs w:val="24"/>
          <w:lang w:val="en-GB"/>
        </w:rPr>
      </w:pPr>
      <w:r w:rsidRPr="009632AB">
        <w:rPr>
          <w:rFonts w:ascii="Arial" w:hAnsi="Arial" w:cs="Arial"/>
          <w:sz w:val="24"/>
          <w:szCs w:val="24"/>
          <w:lang w:val="en-GB"/>
        </w:rPr>
        <w:t>Artificial intelligence (AI) tools, including ChatGPT, were used to support the research and preparation of this report. This included identifying relevant academic literature</w:t>
      </w:r>
      <w:r w:rsidR="00D716DE">
        <w:rPr>
          <w:rFonts w:ascii="Arial" w:hAnsi="Arial" w:cs="Arial"/>
          <w:sz w:val="24"/>
          <w:szCs w:val="24"/>
          <w:lang w:val="en-GB"/>
        </w:rPr>
        <w:t xml:space="preserve"> and </w:t>
      </w:r>
      <w:r w:rsidRPr="009632AB">
        <w:rPr>
          <w:rFonts w:ascii="Arial" w:hAnsi="Arial" w:cs="Arial"/>
          <w:sz w:val="24"/>
          <w:szCs w:val="24"/>
          <w:lang w:val="en-GB"/>
        </w:rPr>
        <w:t>exploring theoretical models</w:t>
      </w:r>
      <w:r w:rsidR="00D716DE">
        <w:rPr>
          <w:rFonts w:ascii="Arial" w:hAnsi="Arial" w:cs="Arial"/>
          <w:sz w:val="24"/>
          <w:szCs w:val="24"/>
          <w:lang w:val="en-GB"/>
        </w:rPr>
        <w:t xml:space="preserve">. </w:t>
      </w:r>
      <w:r w:rsidR="001501D9" w:rsidRPr="009632AB">
        <w:rPr>
          <w:rFonts w:ascii="Arial" w:hAnsi="Arial" w:cs="Arial"/>
          <w:sz w:val="24"/>
          <w:szCs w:val="24"/>
        </w:rPr>
        <w:br w:type="page"/>
      </w:r>
    </w:p>
    <w:sdt>
      <w:sdtPr>
        <w:rPr>
          <w:rFonts w:ascii="Arial" w:eastAsiaTheme="minorEastAsia" w:hAnsi="Arial" w:cs="Arial"/>
          <w:b w:val="0"/>
          <w:bCs w:val="0"/>
          <w:color w:val="232323"/>
          <w:sz w:val="24"/>
          <w:szCs w:val="22"/>
        </w:rPr>
        <w:id w:val="-2047290549"/>
        <w:docPartObj>
          <w:docPartGallery w:val="Table of Contents"/>
          <w:docPartUnique/>
        </w:docPartObj>
      </w:sdtPr>
      <w:sdtEndPr>
        <w:rPr>
          <w:noProof/>
        </w:rPr>
      </w:sdtEndPr>
      <w:sdtContent>
        <w:p w14:paraId="360FA1E4" w14:textId="77777777" w:rsidR="00364431" w:rsidRPr="009632AB" w:rsidRDefault="00364431">
          <w:pPr>
            <w:pStyle w:val="TOCHeading"/>
            <w:rPr>
              <w:rFonts w:ascii="Arial" w:hAnsi="Arial" w:cs="Arial"/>
            </w:rPr>
          </w:pPr>
          <w:r w:rsidRPr="009632AB">
            <w:rPr>
              <w:rFonts w:ascii="Arial" w:hAnsi="Arial" w:cs="Arial"/>
            </w:rPr>
            <w:t>Contents</w:t>
          </w:r>
        </w:p>
        <w:p w14:paraId="10C27B9A" w14:textId="77777777" w:rsidR="00D716DE" w:rsidRDefault="00364431">
          <w:pPr>
            <w:pStyle w:val="TOC1"/>
            <w:tabs>
              <w:tab w:val="left" w:pos="480"/>
              <w:tab w:val="right" w:leader="dot" w:pos="9350"/>
            </w:tabs>
            <w:rPr>
              <w:rFonts w:asciiTheme="minorHAnsi" w:hAnsiTheme="minorHAnsi"/>
              <w:noProof/>
              <w:color w:val="auto"/>
              <w:kern w:val="2"/>
              <w:szCs w:val="24"/>
              <w:lang w:val="en-GB" w:eastAsia="en-GB"/>
              <w14:ligatures w14:val="standardContextual"/>
            </w:rPr>
          </w:pPr>
          <w:r w:rsidRPr="009632AB">
            <w:rPr>
              <w:rFonts w:ascii="Arial" w:hAnsi="Arial" w:cs="Arial"/>
            </w:rPr>
            <w:fldChar w:fldCharType="begin"/>
          </w:r>
          <w:r w:rsidRPr="009632AB">
            <w:rPr>
              <w:rFonts w:ascii="Arial" w:hAnsi="Arial" w:cs="Arial"/>
            </w:rPr>
            <w:instrText xml:space="preserve"> TOC \o "1-3" \h \z \u </w:instrText>
          </w:r>
          <w:r w:rsidRPr="009632AB">
            <w:rPr>
              <w:rFonts w:ascii="Arial" w:hAnsi="Arial" w:cs="Arial"/>
            </w:rPr>
            <w:fldChar w:fldCharType="separate"/>
          </w:r>
          <w:hyperlink w:anchor="_Toc242012564" w:history="1">
            <w:r w:rsidR="00D716DE" w:rsidRPr="00AD3912">
              <w:rPr>
                <w:rStyle w:val="Hyperlink"/>
                <w:rFonts w:ascii="Arial" w:hAnsi="Arial" w:cs="Arial"/>
                <w:noProof/>
                <w:lang w:val="en-GB"/>
              </w:rPr>
              <w:t>1.</w:t>
            </w:r>
            <w:r w:rsidR="00D716DE">
              <w:rPr>
                <w:rFonts w:asciiTheme="minorHAnsi" w:hAnsiTheme="minorHAnsi"/>
                <w:noProof/>
                <w:color w:val="auto"/>
                <w:kern w:val="2"/>
                <w:szCs w:val="24"/>
                <w:lang w:val="en-GB" w:eastAsia="en-GB"/>
                <w14:ligatures w14:val="standardContextual"/>
              </w:rPr>
              <w:tab/>
            </w:r>
            <w:r w:rsidR="00D716DE" w:rsidRPr="00AD3912">
              <w:rPr>
                <w:rStyle w:val="Hyperlink"/>
                <w:rFonts w:ascii="Arial" w:hAnsi="Arial" w:cs="Arial"/>
                <w:noProof/>
                <w:lang w:val="en-GB"/>
              </w:rPr>
              <w:t>Introduction</w:t>
            </w:r>
            <w:r w:rsidR="00D716DE">
              <w:rPr>
                <w:noProof/>
                <w:webHidden/>
              </w:rPr>
              <w:tab/>
            </w:r>
            <w:r w:rsidR="00D716DE">
              <w:rPr>
                <w:noProof/>
                <w:webHidden/>
              </w:rPr>
              <w:fldChar w:fldCharType="begin"/>
            </w:r>
            <w:r w:rsidR="00D716DE">
              <w:rPr>
                <w:noProof/>
                <w:webHidden/>
              </w:rPr>
              <w:instrText xml:space="preserve"> PAGEREF _Toc242012564 \h </w:instrText>
            </w:r>
            <w:r w:rsidR="00D716DE">
              <w:rPr>
                <w:noProof/>
                <w:webHidden/>
              </w:rPr>
            </w:r>
            <w:r w:rsidR="00D716DE">
              <w:rPr>
                <w:noProof/>
                <w:webHidden/>
              </w:rPr>
              <w:fldChar w:fldCharType="separate"/>
            </w:r>
            <w:r w:rsidR="00D716DE">
              <w:rPr>
                <w:noProof/>
                <w:webHidden/>
              </w:rPr>
              <w:t>5</w:t>
            </w:r>
            <w:r w:rsidR="00D716DE">
              <w:rPr>
                <w:noProof/>
                <w:webHidden/>
              </w:rPr>
              <w:fldChar w:fldCharType="end"/>
            </w:r>
          </w:hyperlink>
        </w:p>
        <w:p w14:paraId="100C7946" w14:textId="77777777" w:rsidR="00D716DE" w:rsidRDefault="00D716DE">
          <w:pPr>
            <w:pStyle w:val="TOC1"/>
            <w:tabs>
              <w:tab w:val="right" w:leader="dot" w:pos="9350"/>
            </w:tabs>
            <w:rPr>
              <w:rFonts w:asciiTheme="minorHAnsi" w:hAnsiTheme="minorHAnsi"/>
              <w:noProof/>
              <w:color w:val="auto"/>
              <w:kern w:val="2"/>
              <w:szCs w:val="24"/>
              <w:lang w:val="en-GB" w:eastAsia="en-GB"/>
              <w14:ligatures w14:val="standardContextual"/>
            </w:rPr>
          </w:pPr>
          <w:hyperlink w:anchor="_Toc242012565" w:history="1">
            <w:r w:rsidRPr="00AD3912">
              <w:rPr>
                <w:rStyle w:val="Hyperlink"/>
                <w:rFonts w:ascii="Arial" w:hAnsi="Arial" w:cs="Arial"/>
                <w:noProof/>
                <w:lang w:val="en-GB"/>
              </w:rPr>
              <w:t>2. Operational context</w:t>
            </w:r>
            <w:r>
              <w:rPr>
                <w:noProof/>
                <w:webHidden/>
              </w:rPr>
              <w:tab/>
            </w:r>
            <w:r>
              <w:rPr>
                <w:noProof/>
                <w:webHidden/>
              </w:rPr>
              <w:fldChar w:fldCharType="begin"/>
            </w:r>
            <w:r>
              <w:rPr>
                <w:noProof/>
                <w:webHidden/>
              </w:rPr>
              <w:instrText xml:space="preserve"> PAGEREF _Toc242012565 \h </w:instrText>
            </w:r>
            <w:r>
              <w:rPr>
                <w:noProof/>
                <w:webHidden/>
              </w:rPr>
            </w:r>
            <w:r>
              <w:rPr>
                <w:noProof/>
                <w:webHidden/>
              </w:rPr>
              <w:fldChar w:fldCharType="separate"/>
            </w:r>
            <w:r>
              <w:rPr>
                <w:noProof/>
                <w:webHidden/>
              </w:rPr>
              <w:t>6</w:t>
            </w:r>
            <w:r>
              <w:rPr>
                <w:noProof/>
                <w:webHidden/>
              </w:rPr>
              <w:fldChar w:fldCharType="end"/>
            </w:r>
          </w:hyperlink>
        </w:p>
        <w:p w14:paraId="499519FE" w14:textId="77777777" w:rsidR="00D716DE" w:rsidRDefault="00D716DE">
          <w:pPr>
            <w:pStyle w:val="TOC1"/>
            <w:tabs>
              <w:tab w:val="right" w:leader="dot" w:pos="9350"/>
            </w:tabs>
            <w:rPr>
              <w:rFonts w:asciiTheme="minorHAnsi" w:hAnsiTheme="minorHAnsi"/>
              <w:noProof/>
              <w:color w:val="auto"/>
              <w:kern w:val="2"/>
              <w:szCs w:val="24"/>
              <w:lang w:val="en-GB" w:eastAsia="en-GB"/>
              <w14:ligatures w14:val="standardContextual"/>
            </w:rPr>
          </w:pPr>
          <w:hyperlink w:anchor="_Toc242012566" w:history="1">
            <w:r w:rsidRPr="00AD3912">
              <w:rPr>
                <w:rStyle w:val="Hyperlink"/>
                <w:rFonts w:ascii="Arial" w:hAnsi="Arial" w:cs="Arial"/>
                <w:noProof/>
              </w:rPr>
              <w:t>3. Critical assessment of the organisational benefits of individual development</w:t>
            </w:r>
            <w:r>
              <w:rPr>
                <w:noProof/>
                <w:webHidden/>
              </w:rPr>
              <w:tab/>
            </w:r>
            <w:r>
              <w:rPr>
                <w:noProof/>
                <w:webHidden/>
              </w:rPr>
              <w:fldChar w:fldCharType="begin"/>
            </w:r>
            <w:r>
              <w:rPr>
                <w:noProof/>
                <w:webHidden/>
              </w:rPr>
              <w:instrText xml:space="preserve"> PAGEREF _Toc242012566 \h </w:instrText>
            </w:r>
            <w:r>
              <w:rPr>
                <w:noProof/>
                <w:webHidden/>
              </w:rPr>
            </w:r>
            <w:r>
              <w:rPr>
                <w:noProof/>
                <w:webHidden/>
              </w:rPr>
              <w:fldChar w:fldCharType="separate"/>
            </w:r>
            <w:r>
              <w:rPr>
                <w:noProof/>
                <w:webHidden/>
              </w:rPr>
              <w:t>6</w:t>
            </w:r>
            <w:r>
              <w:rPr>
                <w:noProof/>
                <w:webHidden/>
              </w:rPr>
              <w:fldChar w:fldCharType="end"/>
            </w:r>
          </w:hyperlink>
        </w:p>
        <w:p w14:paraId="7812FB83" w14:textId="77777777" w:rsidR="00D716DE" w:rsidRDefault="00D716DE">
          <w:pPr>
            <w:pStyle w:val="TOC2"/>
            <w:tabs>
              <w:tab w:val="right" w:leader="dot" w:pos="9350"/>
            </w:tabs>
            <w:rPr>
              <w:rFonts w:asciiTheme="minorHAnsi" w:hAnsiTheme="minorHAnsi"/>
              <w:noProof/>
              <w:color w:val="auto"/>
              <w:kern w:val="2"/>
              <w:szCs w:val="24"/>
              <w:lang w:val="en-GB" w:eastAsia="en-GB"/>
              <w14:ligatures w14:val="standardContextual"/>
            </w:rPr>
          </w:pPr>
          <w:hyperlink w:anchor="_Toc242012567" w:history="1">
            <w:r w:rsidRPr="00AD3912">
              <w:rPr>
                <w:rStyle w:val="Hyperlink"/>
                <w:rFonts w:ascii="Arial" w:hAnsi="Arial" w:cs="Arial"/>
                <w:noProof/>
              </w:rPr>
              <w:t>3.1 Operational reliability, quality and client retention</w:t>
            </w:r>
            <w:r>
              <w:rPr>
                <w:noProof/>
                <w:webHidden/>
              </w:rPr>
              <w:tab/>
            </w:r>
            <w:r>
              <w:rPr>
                <w:noProof/>
                <w:webHidden/>
              </w:rPr>
              <w:fldChar w:fldCharType="begin"/>
            </w:r>
            <w:r>
              <w:rPr>
                <w:noProof/>
                <w:webHidden/>
              </w:rPr>
              <w:instrText xml:space="preserve"> PAGEREF _Toc242012567 \h </w:instrText>
            </w:r>
            <w:r>
              <w:rPr>
                <w:noProof/>
                <w:webHidden/>
              </w:rPr>
            </w:r>
            <w:r>
              <w:rPr>
                <w:noProof/>
                <w:webHidden/>
              </w:rPr>
              <w:fldChar w:fldCharType="separate"/>
            </w:r>
            <w:r>
              <w:rPr>
                <w:noProof/>
                <w:webHidden/>
              </w:rPr>
              <w:t>6</w:t>
            </w:r>
            <w:r>
              <w:rPr>
                <w:noProof/>
                <w:webHidden/>
              </w:rPr>
              <w:fldChar w:fldCharType="end"/>
            </w:r>
          </w:hyperlink>
        </w:p>
        <w:p w14:paraId="0B47D36B" w14:textId="77777777" w:rsidR="00D716DE" w:rsidRDefault="00D716DE">
          <w:pPr>
            <w:pStyle w:val="TOC2"/>
            <w:tabs>
              <w:tab w:val="right" w:leader="dot" w:pos="9350"/>
            </w:tabs>
            <w:rPr>
              <w:rFonts w:asciiTheme="minorHAnsi" w:hAnsiTheme="minorHAnsi"/>
              <w:noProof/>
              <w:color w:val="auto"/>
              <w:kern w:val="2"/>
              <w:szCs w:val="24"/>
              <w:lang w:val="en-GB" w:eastAsia="en-GB"/>
              <w14:ligatures w14:val="standardContextual"/>
            </w:rPr>
          </w:pPr>
          <w:hyperlink w:anchor="_Toc242012568" w:history="1">
            <w:r w:rsidRPr="00AD3912">
              <w:rPr>
                <w:rStyle w:val="Hyperlink"/>
                <w:rFonts w:ascii="Arial" w:hAnsi="Arial" w:cs="Arial"/>
                <w:noProof/>
              </w:rPr>
              <w:t>3.2 Motivation, retention and progression</w:t>
            </w:r>
            <w:r>
              <w:rPr>
                <w:noProof/>
                <w:webHidden/>
              </w:rPr>
              <w:tab/>
            </w:r>
            <w:r>
              <w:rPr>
                <w:noProof/>
                <w:webHidden/>
              </w:rPr>
              <w:fldChar w:fldCharType="begin"/>
            </w:r>
            <w:r>
              <w:rPr>
                <w:noProof/>
                <w:webHidden/>
              </w:rPr>
              <w:instrText xml:space="preserve"> PAGEREF _Toc242012568 \h </w:instrText>
            </w:r>
            <w:r>
              <w:rPr>
                <w:noProof/>
                <w:webHidden/>
              </w:rPr>
            </w:r>
            <w:r>
              <w:rPr>
                <w:noProof/>
                <w:webHidden/>
              </w:rPr>
              <w:fldChar w:fldCharType="separate"/>
            </w:r>
            <w:r>
              <w:rPr>
                <w:noProof/>
                <w:webHidden/>
              </w:rPr>
              <w:t>7</w:t>
            </w:r>
            <w:r>
              <w:rPr>
                <w:noProof/>
                <w:webHidden/>
              </w:rPr>
              <w:fldChar w:fldCharType="end"/>
            </w:r>
          </w:hyperlink>
        </w:p>
        <w:p w14:paraId="5D86690A" w14:textId="77777777" w:rsidR="00D716DE" w:rsidRDefault="00D716DE">
          <w:pPr>
            <w:pStyle w:val="TOC2"/>
            <w:tabs>
              <w:tab w:val="right" w:leader="dot" w:pos="9350"/>
            </w:tabs>
            <w:rPr>
              <w:rFonts w:asciiTheme="minorHAnsi" w:hAnsiTheme="minorHAnsi"/>
              <w:noProof/>
              <w:color w:val="auto"/>
              <w:kern w:val="2"/>
              <w:szCs w:val="24"/>
              <w:lang w:val="en-GB" w:eastAsia="en-GB"/>
              <w14:ligatures w14:val="standardContextual"/>
            </w:rPr>
          </w:pPr>
          <w:hyperlink w:anchor="_Toc242012569" w:history="1">
            <w:r w:rsidRPr="00AD3912">
              <w:rPr>
                <w:rStyle w:val="Hyperlink"/>
                <w:rFonts w:ascii="Arial" w:hAnsi="Arial" w:cs="Arial"/>
                <w:noProof/>
              </w:rPr>
              <w:t>3.3 Team collaboration, conflict reduction and sustainable capacity</w:t>
            </w:r>
            <w:r>
              <w:rPr>
                <w:noProof/>
                <w:webHidden/>
              </w:rPr>
              <w:tab/>
            </w:r>
            <w:r>
              <w:rPr>
                <w:noProof/>
                <w:webHidden/>
              </w:rPr>
              <w:fldChar w:fldCharType="begin"/>
            </w:r>
            <w:r>
              <w:rPr>
                <w:noProof/>
                <w:webHidden/>
              </w:rPr>
              <w:instrText xml:space="preserve"> PAGEREF _Toc242012569 \h </w:instrText>
            </w:r>
            <w:r>
              <w:rPr>
                <w:noProof/>
                <w:webHidden/>
              </w:rPr>
            </w:r>
            <w:r>
              <w:rPr>
                <w:noProof/>
                <w:webHidden/>
              </w:rPr>
              <w:fldChar w:fldCharType="separate"/>
            </w:r>
            <w:r>
              <w:rPr>
                <w:noProof/>
                <w:webHidden/>
              </w:rPr>
              <w:t>8</w:t>
            </w:r>
            <w:r>
              <w:rPr>
                <w:noProof/>
                <w:webHidden/>
              </w:rPr>
              <w:fldChar w:fldCharType="end"/>
            </w:r>
          </w:hyperlink>
        </w:p>
        <w:p w14:paraId="0878952E" w14:textId="77777777" w:rsidR="00D716DE" w:rsidRDefault="00D716DE">
          <w:pPr>
            <w:pStyle w:val="TOC2"/>
            <w:tabs>
              <w:tab w:val="right" w:leader="dot" w:pos="9350"/>
            </w:tabs>
            <w:rPr>
              <w:rFonts w:asciiTheme="minorHAnsi" w:hAnsiTheme="minorHAnsi"/>
              <w:noProof/>
              <w:color w:val="auto"/>
              <w:kern w:val="2"/>
              <w:szCs w:val="24"/>
              <w:lang w:val="en-GB" w:eastAsia="en-GB"/>
              <w14:ligatures w14:val="standardContextual"/>
            </w:rPr>
          </w:pPr>
          <w:hyperlink w:anchor="_Toc242012570" w:history="1">
            <w:r w:rsidRPr="00AD3912">
              <w:rPr>
                <w:rStyle w:val="Hyperlink"/>
                <w:rFonts w:ascii="Arial" w:hAnsi="Arial" w:cs="Arial"/>
                <w:noProof/>
              </w:rPr>
              <w:t>3.4 Internal SWOT analysis</w:t>
            </w:r>
            <w:r>
              <w:rPr>
                <w:noProof/>
                <w:webHidden/>
              </w:rPr>
              <w:tab/>
            </w:r>
            <w:r>
              <w:rPr>
                <w:noProof/>
                <w:webHidden/>
              </w:rPr>
              <w:fldChar w:fldCharType="begin"/>
            </w:r>
            <w:r>
              <w:rPr>
                <w:noProof/>
                <w:webHidden/>
              </w:rPr>
              <w:instrText xml:space="preserve"> PAGEREF _Toc242012570 \h </w:instrText>
            </w:r>
            <w:r>
              <w:rPr>
                <w:noProof/>
                <w:webHidden/>
              </w:rPr>
            </w:r>
            <w:r>
              <w:rPr>
                <w:noProof/>
                <w:webHidden/>
              </w:rPr>
              <w:fldChar w:fldCharType="separate"/>
            </w:r>
            <w:r>
              <w:rPr>
                <w:noProof/>
                <w:webHidden/>
              </w:rPr>
              <w:t>9</w:t>
            </w:r>
            <w:r>
              <w:rPr>
                <w:noProof/>
                <w:webHidden/>
              </w:rPr>
              <w:fldChar w:fldCharType="end"/>
            </w:r>
          </w:hyperlink>
        </w:p>
        <w:p w14:paraId="14FFB272" w14:textId="77777777" w:rsidR="00D716DE" w:rsidRDefault="00D716DE">
          <w:pPr>
            <w:pStyle w:val="TOC2"/>
            <w:tabs>
              <w:tab w:val="right" w:leader="dot" w:pos="9350"/>
            </w:tabs>
            <w:rPr>
              <w:rFonts w:asciiTheme="minorHAnsi" w:hAnsiTheme="minorHAnsi"/>
              <w:noProof/>
              <w:color w:val="auto"/>
              <w:kern w:val="2"/>
              <w:szCs w:val="24"/>
              <w:lang w:val="en-GB" w:eastAsia="en-GB"/>
              <w14:ligatures w14:val="standardContextual"/>
            </w:rPr>
          </w:pPr>
          <w:hyperlink w:anchor="_Toc242012571" w:history="1">
            <w:r w:rsidRPr="00AD3912">
              <w:rPr>
                <w:rStyle w:val="Hyperlink"/>
                <w:rFonts w:ascii="Arial" w:hAnsi="Arial" w:cs="Arial"/>
                <w:noProof/>
              </w:rPr>
              <w:t>3.5 External PEST analysis</w:t>
            </w:r>
            <w:r>
              <w:rPr>
                <w:noProof/>
                <w:webHidden/>
              </w:rPr>
              <w:tab/>
            </w:r>
            <w:r>
              <w:rPr>
                <w:noProof/>
                <w:webHidden/>
              </w:rPr>
              <w:fldChar w:fldCharType="begin"/>
            </w:r>
            <w:r>
              <w:rPr>
                <w:noProof/>
                <w:webHidden/>
              </w:rPr>
              <w:instrText xml:space="preserve"> PAGEREF _Toc242012571 \h </w:instrText>
            </w:r>
            <w:r>
              <w:rPr>
                <w:noProof/>
                <w:webHidden/>
              </w:rPr>
            </w:r>
            <w:r>
              <w:rPr>
                <w:noProof/>
                <w:webHidden/>
              </w:rPr>
              <w:fldChar w:fldCharType="separate"/>
            </w:r>
            <w:r>
              <w:rPr>
                <w:noProof/>
                <w:webHidden/>
              </w:rPr>
              <w:t>10</w:t>
            </w:r>
            <w:r>
              <w:rPr>
                <w:noProof/>
                <w:webHidden/>
              </w:rPr>
              <w:fldChar w:fldCharType="end"/>
            </w:r>
          </w:hyperlink>
        </w:p>
        <w:p w14:paraId="306D83C0" w14:textId="77777777" w:rsidR="00D716DE" w:rsidRDefault="00D716DE">
          <w:pPr>
            <w:pStyle w:val="TOC1"/>
            <w:tabs>
              <w:tab w:val="right" w:leader="dot" w:pos="9350"/>
            </w:tabs>
            <w:rPr>
              <w:rFonts w:asciiTheme="minorHAnsi" w:hAnsiTheme="minorHAnsi"/>
              <w:noProof/>
              <w:color w:val="auto"/>
              <w:kern w:val="2"/>
              <w:szCs w:val="24"/>
              <w:lang w:val="en-GB" w:eastAsia="en-GB"/>
              <w14:ligatures w14:val="standardContextual"/>
            </w:rPr>
          </w:pPr>
          <w:hyperlink w:anchor="_Toc242012572" w:history="1">
            <w:r w:rsidRPr="00AD3912">
              <w:rPr>
                <w:rStyle w:val="Hyperlink"/>
                <w:rFonts w:ascii="Arial" w:hAnsi="Arial" w:cs="Arial"/>
                <w:noProof/>
              </w:rPr>
              <w:t>4. Managing an individual's personal-development expectations</w:t>
            </w:r>
            <w:r>
              <w:rPr>
                <w:noProof/>
                <w:webHidden/>
              </w:rPr>
              <w:tab/>
            </w:r>
            <w:r>
              <w:rPr>
                <w:noProof/>
                <w:webHidden/>
              </w:rPr>
              <w:fldChar w:fldCharType="begin"/>
            </w:r>
            <w:r>
              <w:rPr>
                <w:noProof/>
                <w:webHidden/>
              </w:rPr>
              <w:instrText xml:space="preserve"> PAGEREF _Toc242012572 \h </w:instrText>
            </w:r>
            <w:r>
              <w:rPr>
                <w:noProof/>
                <w:webHidden/>
              </w:rPr>
            </w:r>
            <w:r>
              <w:rPr>
                <w:noProof/>
                <w:webHidden/>
              </w:rPr>
              <w:fldChar w:fldCharType="separate"/>
            </w:r>
            <w:r>
              <w:rPr>
                <w:noProof/>
                <w:webHidden/>
              </w:rPr>
              <w:t>10</w:t>
            </w:r>
            <w:r>
              <w:rPr>
                <w:noProof/>
                <w:webHidden/>
              </w:rPr>
              <w:fldChar w:fldCharType="end"/>
            </w:r>
          </w:hyperlink>
        </w:p>
        <w:p w14:paraId="74642966" w14:textId="77777777" w:rsidR="00D716DE" w:rsidRDefault="00D716DE">
          <w:pPr>
            <w:pStyle w:val="TOC2"/>
            <w:tabs>
              <w:tab w:val="right" w:leader="dot" w:pos="9350"/>
            </w:tabs>
            <w:rPr>
              <w:rFonts w:asciiTheme="minorHAnsi" w:hAnsiTheme="minorHAnsi"/>
              <w:noProof/>
              <w:color w:val="auto"/>
              <w:kern w:val="2"/>
              <w:szCs w:val="24"/>
              <w:lang w:val="en-GB" w:eastAsia="en-GB"/>
              <w14:ligatures w14:val="standardContextual"/>
            </w:rPr>
          </w:pPr>
          <w:hyperlink w:anchor="_Toc242012573" w:history="1">
            <w:r w:rsidRPr="00AD3912">
              <w:rPr>
                <w:rStyle w:val="Hyperlink"/>
                <w:rFonts w:ascii="Arial" w:hAnsi="Arial" w:cs="Arial"/>
                <w:noProof/>
              </w:rPr>
              <w:t>4.1 Diagnose aspirations collaboratively rather than making assumptions</w:t>
            </w:r>
            <w:r>
              <w:rPr>
                <w:noProof/>
                <w:webHidden/>
              </w:rPr>
              <w:tab/>
            </w:r>
            <w:r>
              <w:rPr>
                <w:noProof/>
                <w:webHidden/>
              </w:rPr>
              <w:fldChar w:fldCharType="begin"/>
            </w:r>
            <w:r>
              <w:rPr>
                <w:noProof/>
                <w:webHidden/>
              </w:rPr>
              <w:instrText xml:space="preserve"> PAGEREF _Toc242012573 \h </w:instrText>
            </w:r>
            <w:r>
              <w:rPr>
                <w:noProof/>
                <w:webHidden/>
              </w:rPr>
            </w:r>
            <w:r>
              <w:rPr>
                <w:noProof/>
                <w:webHidden/>
              </w:rPr>
              <w:fldChar w:fldCharType="separate"/>
            </w:r>
            <w:r>
              <w:rPr>
                <w:noProof/>
                <w:webHidden/>
              </w:rPr>
              <w:t>10</w:t>
            </w:r>
            <w:r>
              <w:rPr>
                <w:noProof/>
                <w:webHidden/>
              </w:rPr>
              <w:fldChar w:fldCharType="end"/>
            </w:r>
          </w:hyperlink>
        </w:p>
        <w:p w14:paraId="4195274A" w14:textId="77777777" w:rsidR="00D716DE" w:rsidRDefault="00D716DE">
          <w:pPr>
            <w:pStyle w:val="TOC2"/>
            <w:tabs>
              <w:tab w:val="right" w:leader="dot" w:pos="9350"/>
            </w:tabs>
            <w:rPr>
              <w:rFonts w:asciiTheme="minorHAnsi" w:hAnsiTheme="minorHAnsi"/>
              <w:noProof/>
              <w:color w:val="auto"/>
              <w:kern w:val="2"/>
              <w:szCs w:val="24"/>
              <w:lang w:val="en-GB" w:eastAsia="en-GB"/>
              <w14:ligatures w14:val="standardContextual"/>
            </w:rPr>
          </w:pPr>
          <w:hyperlink w:anchor="_Toc242012574" w:history="1">
            <w:r w:rsidRPr="00AD3912">
              <w:rPr>
                <w:rStyle w:val="Hyperlink"/>
                <w:rFonts w:ascii="Arial" w:hAnsi="Arial" w:cs="Arial"/>
                <w:noProof/>
              </w:rPr>
              <w:t>4.2 Negotiate realistic opportunities and a fair psychological contract</w:t>
            </w:r>
            <w:r>
              <w:rPr>
                <w:noProof/>
                <w:webHidden/>
              </w:rPr>
              <w:tab/>
            </w:r>
            <w:r>
              <w:rPr>
                <w:noProof/>
                <w:webHidden/>
              </w:rPr>
              <w:fldChar w:fldCharType="begin"/>
            </w:r>
            <w:r>
              <w:rPr>
                <w:noProof/>
                <w:webHidden/>
              </w:rPr>
              <w:instrText xml:space="preserve"> PAGEREF _Toc242012574 \h </w:instrText>
            </w:r>
            <w:r>
              <w:rPr>
                <w:noProof/>
                <w:webHidden/>
              </w:rPr>
            </w:r>
            <w:r>
              <w:rPr>
                <w:noProof/>
                <w:webHidden/>
              </w:rPr>
              <w:fldChar w:fldCharType="separate"/>
            </w:r>
            <w:r>
              <w:rPr>
                <w:noProof/>
                <w:webHidden/>
              </w:rPr>
              <w:t>12</w:t>
            </w:r>
            <w:r>
              <w:rPr>
                <w:noProof/>
                <w:webHidden/>
              </w:rPr>
              <w:fldChar w:fldCharType="end"/>
            </w:r>
          </w:hyperlink>
        </w:p>
        <w:p w14:paraId="121117D4" w14:textId="77777777" w:rsidR="00D716DE" w:rsidRDefault="00D716DE">
          <w:pPr>
            <w:pStyle w:val="TOC2"/>
            <w:tabs>
              <w:tab w:val="right" w:leader="dot" w:pos="9350"/>
            </w:tabs>
            <w:rPr>
              <w:rFonts w:asciiTheme="minorHAnsi" w:hAnsiTheme="minorHAnsi"/>
              <w:noProof/>
              <w:color w:val="auto"/>
              <w:kern w:val="2"/>
              <w:szCs w:val="24"/>
              <w:lang w:val="en-GB" w:eastAsia="en-GB"/>
              <w14:ligatures w14:val="standardContextual"/>
            </w:rPr>
          </w:pPr>
          <w:hyperlink w:anchor="_Toc242012575" w:history="1">
            <w:r w:rsidRPr="00AD3912">
              <w:rPr>
                <w:rStyle w:val="Hyperlink"/>
                <w:rFonts w:ascii="Arial" w:hAnsi="Arial" w:cs="Arial"/>
                <w:noProof/>
              </w:rPr>
              <w:t>4.3 Conflict stages, feedback and psychological safety</w:t>
            </w:r>
            <w:r>
              <w:rPr>
                <w:noProof/>
                <w:webHidden/>
              </w:rPr>
              <w:tab/>
            </w:r>
            <w:r>
              <w:rPr>
                <w:noProof/>
                <w:webHidden/>
              </w:rPr>
              <w:fldChar w:fldCharType="begin"/>
            </w:r>
            <w:r>
              <w:rPr>
                <w:noProof/>
                <w:webHidden/>
              </w:rPr>
              <w:instrText xml:space="preserve"> PAGEREF _Toc242012575 \h </w:instrText>
            </w:r>
            <w:r>
              <w:rPr>
                <w:noProof/>
                <w:webHidden/>
              </w:rPr>
            </w:r>
            <w:r>
              <w:rPr>
                <w:noProof/>
                <w:webHidden/>
              </w:rPr>
              <w:fldChar w:fldCharType="separate"/>
            </w:r>
            <w:r>
              <w:rPr>
                <w:noProof/>
                <w:webHidden/>
              </w:rPr>
              <w:t>12</w:t>
            </w:r>
            <w:r>
              <w:rPr>
                <w:noProof/>
                <w:webHidden/>
              </w:rPr>
              <w:fldChar w:fldCharType="end"/>
            </w:r>
          </w:hyperlink>
        </w:p>
        <w:p w14:paraId="34CBE09B" w14:textId="77777777" w:rsidR="00D716DE" w:rsidRDefault="00D716DE">
          <w:pPr>
            <w:pStyle w:val="TOC1"/>
            <w:tabs>
              <w:tab w:val="right" w:leader="dot" w:pos="9350"/>
            </w:tabs>
            <w:rPr>
              <w:rFonts w:asciiTheme="minorHAnsi" w:hAnsiTheme="minorHAnsi"/>
              <w:noProof/>
              <w:color w:val="auto"/>
              <w:kern w:val="2"/>
              <w:szCs w:val="24"/>
              <w:lang w:val="en-GB" w:eastAsia="en-GB"/>
              <w14:ligatures w14:val="standardContextual"/>
            </w:rPr>
          </w:pPr>
          <w:hyperlink w:anchor="_Toc242012576" w:history="1">
            <w:r w:rsidRPr="00AD3912">
              <w:rPr>
                <w:rStyle w:val="Hyperlink"/>
                <w:rFonts w:ascii="Arial" w:hAnsi="Arial" w:cs="Arial"/>
                <w:noProof/>
              </w:rPr>
              <w:t>5. Critical evaluation of development vehicles</w:t>
            </w:r>
            <w:r>
              <w:rPr>
                <w:noProof/>
                <w:webHidden/>
              </w:rPr>
              <w:tab/>
            </w:r>
            <w:r>
              <w:rPr>
                <w:noProof/>
                <w:webHidden/>
              </w:rPr>
              <w:fldChar w:fldCharType="begin"/>
            </w:r>
            <w:r>
              <w:rPr>
                <w:noProof/>
                <w:webHidden/>
              </w:rPr>
              <w:instrText xml:space="preserve"> PAGEREF _Toc242012576 \h </w:instrText>
            </w:r>
            <w:r>
              <w:rPr>
                <w:noProof/>
                <w:webHidden/>
              </w:rPr>
            </w:r>
            <w:r>
              <w:rPr>
                <w:noProof/>
                <w:webHidden/>
              </w:rPr>
              <w:fldChar w:fldCharType="separate"/>
            </w:r>
            <w:r>
              <w:rPr>
                <w:noProof/>
                <w:webHidden/>
              </w:rPr>
              <w:t>14</w:t>
            </w:r>
            <w:r>
              <w:rPr>
                <w:noProof/>
                <w:webHidden/>
              </w:rPr>
              <w:fldChar w:fldCharType="end"/>
            </w:r>
          </w:hyperlink>
        </w:p>
        <w:p w14:paraId="0C7463D1" w14:textId="77777777" w:rsidR="00D716DE" w:rsidRDefault="00D716DE">
          <w:pPr>
            <w:pStyle w:val="TOC2"/>
            <w:tabs>
              <w:tab w:val="right" w:leader="dot" w:pos="9350"/>
            </w:tabs>
            <w:rPr>
              <w:rFonts w:asciiTheme="minorHAnsi" w:hAnsiTheme="minorHAnsi"/>
              <w:noProof/>
              <w:color w:val="auto"/>
              <w:kern w:val="2"/>
              <w:szCs w:val="24"/>
              <w:lang w:val="en-GB" w:eastAsia="en-GB"/>
              <w14:ligatures w14:val="standardContextual"/>
            </w:rPr>
          </w:pPr>
          <w:hyperlink w:anchor="_Toc242012577" w:history="1">
            <w:r w:rsidRPr="00AD3912">
              <w:rPr>
                <w:rStyle w:val="Hyperlink"/>
                <w:rFonts w:ascii="Arial" w:hAnsi="Arial" w:cs="Arial"/>
                <w:noProof/>
              </w:rPr>
              <w:t>5.1 Structured induction and formal or digital learning</w:t>
            </w:r>
            <w:r>
              <w:rPr>
                <w:noProof/>
                <w:webHidden/>
              </w:rPr>
              <w:tab/>
            </w:r>
            <w:r>
              <w:rPr>
                <w:noProof/>
                <w:webHidden/>
              </w:rPr>
              <w:fldChar w:fldCharType="begin"/>
            </w:r>
            <w:r>
              <w:rPr>
                <w:noProof/>
                <w:webHidden/>
              </w:rPr>
              <w:instrText xml:space="preserve"> PAGEREF _Toc242012577 \h </w:instrText>
            </w:r>
            <w:r>
              <w:rPr>
                <w:noProof/>
                <w:webHidden/>
              </w:rPr>
            </w:r>
            <w:r>
              <w:rPr>
                <w:noProof/>
                <w:webHidden/>
              </w:rPr>
              <w:fldChar w:fldCharType="separate"/>
            </w:r>
            <w:r>
              <w:rPr>
                <w:noProof/>
                <w:webHidden/>
              </w:rPr>
              <w:t>14</w:t>
            </w:r>
            <w:r>
              <w:rPr>
                <w:noProof/>
                <w:webHidden/>
              </w:rPr>
              <w:fldChar w:fldCharType="end"/>
            </w:r>
          </w:hyperlink>
        </w:p>
        <w:p w14:paraId="682603AB" w14:textId="77777777" w:rsidR="00D716DE" w:rsidRDefault="00D716DE">
          <w:pPr>
            <w:pStyle w:val="TOC2"/>
            <w:tabs>
              <w:tab w:val="right" w:leader="dot" w:pos="9350"/>
            </w:tabs>
            <w:rPr>
              <w:rFonts w:asciiTheme="minorHAnsi" w:hAnsiTheme="minorHAnsi"/>
              <w:noProof/>
              <w:color w:val="auto"/>
              <w:kern w:val="2"/>
              <w:szCs w:val="24"/>
              <w:lang w:val="en-GB" w:eastAsia="en-GB"/>
              <w14:ligatures w14:val="standardContextual"/>
            </w:rPr>
          </w:pPr>
          <w:hyperlink w:anchor="_Toc242012578" w:history="1">
            <w:r w:rsidRPr="00AD3912">
              <w:rPr>
                <w:rStyle w:val="Hyperlink"/>
                <w:rFonts w:ascii="Arial" w:hAnsi="Arial" w:cs="Arial"/>
                <w:noProof/>
              </w:rPr>
              <w:t>5.2 Coaching, mentoring and supervised experiential practice</w:t>
            </w:r>
            <w:r>
              <w:rPr>
                <w:noProof/>
                <w:webHidden/>
              </w:rPr>
              <w:tab/>
            </w:r>
            <w:r>
              <w:rPr>
                <w:noProof/>
                <w:webHidden/>
              </w:rPr>
              <w:fldChar w:fldCharType="begin"/>
            </w:r>
            <w:r>
              <w:rPr>
                <w:noProof/>
                <w:webHidden/>
              </w:rPr>
              <w:instrText xml:space="preserve"> PAGEREF _Toc242012578 \h </w:instrText>
            </w:r>
            <w:r>
              <w:rPr>
                <w:noProof/>
                <w:webHidden/>
              </w:rPr>
            </w:r>
            <w:r>
              <w:rPr>
                <w:noProof/>
                <w:webHidden/>
              </w:rPr>
              <w:fldChar w:fldCharType="separate"/>
            </w:r>
            <w:r>
              <w:rPr>
                <w:noProof/>
                <w:webHidden/>
              </w:rPr>
              <w:t>15</w:t>
            </w:r>
            <w:r>
              <w:rPr>
                <w:noProof/>
                <w:webHidden/>
              </w:rPr>
              <w:fldChar w:fldCharType="end"/>
            </w:r>
          </w:hyperlink>
        </w:p>
        <w:p w14:paraId="1567A08C" w14:textId="77777777" w:rsidR="00D716DE" w:rsidRDefault="00D716DE">
          <w:pPr>
            <w:pStyle w:val="TOC2"/>
            <w:tabs>
              <w:tab w:val="right" w:leader="dot" w:pos="9350"/>
            </w:tabs>
            <w:rPr>
              <w:rFonts w:asciiTheme="minorHAnsi" w:hAnsiTheme="minorHAnsi"/>
              <w:noProof/>
              <w:color w:val="auto"/>
              <w:kern w:val="2"/>
              <w:szCs w:val="24"/>
              <w:lang w:val="en-GB" w:eastAsia="en-GB"/>
              <w14:ligatures w14:val="standardContextual"/>
            </w:rPr>
          </w:pPr>
          <w:hyperlink w:anchor="_Toc242012579" w:history="1">
            <w:r w:rsidRPr="00AD3912">
              <w:rPr>
                <w:rStyle w:val="Hyperlink"/>
                <w:rFonts w:ascii="Arial" w:hAnsi="Arial" w:cs="Arial"/>
                <w:noProof/>
              </w:rPr>
              <w:t>5.3 Peer learning, cross-training and qualifications</w:t>
            </w:r>
            <w:r>
              <w:rPr>
                <w:noProof/>
                <w:webHidden/>
              </w:rPr>
              <w:tab/>
            </w:r>
            <w:r>
              <w:rPr>
                <w:noProof/>
                <w:webHidden/>
              </w:rPr>
              <w:fldChar w:fldCharType="begin"/>
            </w:r>
            <w:r>
              <w:rPr>
                <w:noProof/>
                <w:webHidden/>
              </w:rPr>
              <w:instrText xml:space="preserve"> PAGEREF _Toc242012579 \h </w:instrText>
            </w:r>
            <w:r>
              <w:rPr>
                <w:noProof/>
                <w:webHidden/>
              </w:rPr>
            </w:r>
            <w:r>
              <w:rPr>
                <w:noProof/>
                <w:webHidden/>
              </w:rPr>
              <w:fldChar w:fldCharType="separate"/>
            </w:r>
            <w:r>
              <w:rPr>
                <w:noProof/>
                <w:webHidden/>
              </w:rPr>
              <w:t>15</w:t>
            </w:r>
            <w:r>
              <w:rPr>
                <w:noProof/>
                <w:webHidden/>
              </w:rPr>
              <w:fldChar w:fldCharType="end"/>
            </w:r>
          </w:hyperlink>
        </w:p>
        <w:p w14:paraId="4386E424" w14:textId="77777777" w:rsidR="00D716DE" w:rsidRDefault="00D716DE">
          <w:pPr>
            <w:pStyle w:val="TOC2"/>
            <w:tabs>
              <w:tab w:val="right" w:leader="dot" w:pos="9350"/>
            </w:tabs>
            <w:rPr>
              <w:rFonts w:asciiTheme="minorHAnsi" w:hAnsiTheme="minorHAnsi"/>
              <w:noProof/>
              <w:color w:val="auto"/>
              <w:kern w:val="2"/>
              <w:szCs w:val="24"/>
              <w:lang w:val="en-GB" w:eastAsia="en-GB"/>
              <w14:ligatures w14:val="standardContextual"/>
            </w:rPr>
          </w:pPr>
          <w:hyperlink w:anchor="_Toc242012580" w:history="1">
            <w:r w:rsidRPr="00AD3912">
              <w:rPr>
                <w:rStyle w:val="Hyperlink"/>
                <w:rFonts w:ascii="Arial" w:hAnsi="Arial" w:cs="Arial"/>
                <w:noProof/>
              </w:rPr>
              <w:t>5.4 Evaluation, fairness and limitations</w:t>
            </w:r>
            <w:r>
              <w:rPr>
                <w:noProof/>
                <w:webHidden/>
              </w:rPr>
              <w:tab/>
            </w:r>
            <w:r>
              <w:rPr>
                <w:noProof/>
                <w:webHidden/>
              </w:rPr>
              <w:fldChar w:fldCharType="begin"/>
            </w:r>
            <w:r>
              <w:rPr>
                <w:noProof/>
                <w:webHidden/>
              </w:rPr>
              <w:instrText xml:space="preserve"> PAGEREF _Toc242012580 \h </w:instrText>
            </w:r>
            <w:r>
              <w:rPr>
                <w:noProof/>
                <w:webHidden/>
              </w:rPr>
            </w:r>
            <w:r>
              <w:rPr>
                <w:noProof/>
                <w:webHidden/>
              </w:rPr>
              <w:fldChar w:fldCharType="separate"/>
            </w:r>
            <w:r>
              <w:rPr>
                <w:noProof/>
                <w:webHidden/>
              </w:rPr>
              <w:t>16</w:t>
            </w:r>
            <w:r>
              <w:rPr>
                <w:noProof/>
                <w:webHidden/>
              </w:rPr>
              <w:fldChar w:fldCharType="end"/>
            </w:r>
          </w:hyperlink>
        </w:p>
        <w:p w14:paraId="28EB0548" w14:textId="77777777" w:rsidR="00D716DE" w:rsidRDefault="00D716DE">
          <w:pPr>
            <w:pStyle w:val="TOC1"/>
            <w:tabs>
              <w:tab w:val="right" w:leader="dot" w:pos="9350"/>
            </w:tabs>
            <w:rPr>
              <w:rFonts w:asciiTheme="minorHAnsi" w:hAnsiTheme="minorHAnsi"/>
              <w:noProof/>
              <w:color w:val="auto"/>
              <w:kern w:val="2"/>
              <w:szCs w:val="24"/>
              <w:lang w:val="en-GB" w:eastAsia="en-GB"/>
              <w14:ligatures w14:val="standardContextual"/>
            </w:rPr>
          </w:pPr>
          <w:hyperlink w:anchor="_Toc242012581" w:history="1">
            <w:r w:rsidRPr="00AD3912">
              <w:rPr>
                <w:rStyle w:val="Hyperlink"/>
                <w:rFonts w:ascii="Arial" w:hAnsi="Arial" w:cs="Arial"/>
                <w:noProof/>
              </w:rPr>
              <w:t>6. Detailed 12-week individual development and performance plan</w:t>
            </w:r>
            <w:r>
              <w:rPr>
                <w:noProof/>
                <w:webHidden/>
              </w:rPr>
              <w:tab/>
            </w:r>
            <w:r>
              <w:rPr>
                <w:noProof/>
                <w:webHidden/>
              </w:rPr>
              <w:fldChar w:fldCharType="begin"/>
            </w:r>
            <w:r>
              <w:rPr>
                <w:noProof/>
                <w:webHidden/>
              </w:rPr>
              <w:instrText xml:space="preserve"> PAGEREF _Toc242012581 \h </w:instrText>
            </w:r>
            <w:r>
              <w:rPr>
                <w:noProof/>
                <w:webHidden/>
              </w:rPr>
            </w:r>
            <w:r>
              <w:rPr>
                <w:noProof/>
                <w:webHidden/>
              </w:rPr>
              <w:fldChar w:fldCharType="separate"/>
            </w:r>
            <w:r>
              <w:rPr>
                <w:noProof/>
                <w:webHidden/>
              </w:rPr>
              <w:t>17</w:t>
            </w:r>
            <w:r>
              <w:rPr>
                <w:noProof/>
                <w:webHidden/>
              </w:rPr>
              <w:fldChar w:fldCharType="end"/>
            </w:r>
          </w:hyperlink>
        </w:p>
        <w:p w14:paraId="5B366A94" w14:textId="77777777" w:rsidR="00D716DE" w:rsidRDefault="00D716DE">
          <w:pPr>
            <w:pStyle w:val="TOC2"/>
            <w:tabs>
              <w:tab w:val="right" w:leader="dot" w:pos="9350"/>
            </w:tabs>
            <w:rPr>
              <w:rFonts w:asciiTheme="minorHAnsi" w:hAnsiTheme="minorHAnsi"/>
              <w:noProof/>
              <w:color w:val="auto"/>
              <w:kern w:val="2"/>
              <w:szCs w:val="24"/>
              <w:lang w:val="en-GB" w:eastAsia="en-GB"/>
              <w14:ligatures w14:val="standardContextual"/>
            </w:rPr>
          </w:pPr>
          <w:hyperlink w:anchor="_Toc242012582" w:history="1">
            <w:r w:rsidRPr="00AD3912">
              <w:rPr>
                <w:rStyle w:val="Hyperlink"/>
                <w:rFonts w:ascii="Arial" w:hAnsi="Arial" w:cs="Arial"/>
                <w:noProof/>
              </w:rPr>
              <w:t>6.1 Baseline, objectives and accountability</w:t>
            </w:r>
            <w:r>
              <w:rPr>
                <w:noProof/>
                <w:webHidden/>
              </w:rPr>
              <w:tab/>
            </w:r>
            <w:r>
              <w:rPr>
                <w:noProof/>
                <w:webHidden/>
              </w:rPr>
              <w:fldChar w:fldCharType="begin"/>
            </w:r>
            <w:r>
              <w:rPr>
                <w:noProof/>
                <w:webHidden/>
              </w:rPr>
              <w:instrText xml:space="preserve"> PAGEREF _Toc242012582 \h </w:instrText>
            </w:r>
            <w:r>
              <w:rPr>
                <w:noProof/>
                <w:webHidden/>
              </w:rPr>
            </w:r>
            <w:r>
              <w:rPr>
                <w:noProof/>
                <w:webHidden/>
              </w:rPr>
              <w:fldChar w:fldCharType="separate"/>
            </w:r>
            <w:r>
              <w:rPr>
                <w:noProof/>
                <w:webHidden/>
              </w:rPr>
              <w:t>18</w:t>
            </w:r>
            <w:r>
              <w:rPr>
                <w:noProof/>
                <w:webHidden/>
              </w:rPr>
              <w:fldChar w:fldCharType="end"/>
            </w:r>
          </w:hyperlink>
        </w:p>
        <w:p w14:paraId="51A39E49" w14:textId="77777777" w:rsidR="00D716DE" w:rsidRDefault="00D716DE">
          <w:pPr>
            <w:pStyle w:val="TOC2"/>
            <w:tabs>
              <w:tab w:val="right" w:leader="dot" w:pos="9350"/>
            </w:tabs>
            <w:rPr>
              <w:rFonts w:asciiTheme="minorHAnsi" w:hAnsiTheme="minorHAnsi"/>
              <w:noProof/>
              <w:color w:val="auto"/>
              <w:kern w:val="2"/>
              <w:szCs w:val="24"/>
              <w:lang w:val="en-GB" w:eastAsia="en-GB"/>
              <w14:ligatures w14:val="standardContextual"/>
            </w:rPr>
          </w:pPr>
          <w:hyperlink w:anchor="_Toc242012583" w:history="1">
            <w:r w:rsidRPr="00AD3912">
              <w:rPr>
                <w:rStyle w:val="Hyperlink"/>
                <w:rFonts w:ascii="Arial" w:hAnsi="Arial" w:cs="Arial"/>
                <w:noProof/>
              </w:rPr>
              <w:t>6.2 Development action plan</w:t>
            </w:r>
            <w:r>
              <w:rPr>
                <w:noProof/>
                <w:webHidden/>
              </w:rPr>
              <w:tab/>
            </w:r>
            <w:r>
              <w:rPr>
                <w:noProof/>
                <w:webHidden/>
              </w:rPr>
              <w:fldChar w:fldCharType="begin"/>
            </w:r>
            <w:r>
              <w:rPr>
                <w:noProof/>
                <w:webHidden/>
              </w:rPr>
              <w:instrText xml:space="preserve"> PAGEREF _Toc242012583 \h </w:instrText>
            </w:r>
            <w:r>
              <w:rPr>
                <w:noProof/>
                <w:webHidden/>
              </w:rPr>
            </w:r>
            <w:r>
              <w:rPr>
                <w:noProof/>
                <w:webHidden/>
              </w:rPr>
              <w:fldChar w:fldCharType="separate"/>
            </w:r>
            <w:r>
              <w:rPr>
                <w:noProof/>
                <w:webHidden/>
              </w:rPr>
              <w:t>19</w:t>
            </w:r>
            <w:r>
              <w:rPr>
                <w:noProof/>
                <w:webHidden/>
              </w:rPr>
              <w:fldChar w:fldCharType="end"/>
            </w:r>
          </w:hyperlink>
        </w:p>
        <w:p w14:paraId="0CFC2D4A" w14:textId="77777777" w:rsidR="00D716DE" w:rsidRDefault="00D716DE">
          <w:pPr>
            <w:pStyle w:val="TOC2"/>
            <w:tabs>
              <w:tab w:val="right" w:leader="dot" w:pos="9350"/>
            </w:tabs>
            <w:rPr>
              <w:rFonts w:asciiTheme="minorHAnsi" w:hAnsiTheme="minorHAnsi"/>
              <w:noProof/>
              <w:color w:val="auto"/>
              <w:kern w:val="2"/>
              <w:szCs w:val="24"/>
              <w:lang w:val="en-GB" w:eastAsia="en-GB"/>
              <w14:ligatures w14:val="standardContextual"/>
            </w:rPr>
          </w:pPr>
          <w:hyperlink w:anchor="_Toc242012584" w:history="1">
            <w:r w:rsidRPr="00AD3912">
              <w:rPr>
                <w:rStyle w:val="Hyperlink"/>
                <w:rFonts w:ascii="Arial" w:hAnsi="Arial" w:cs="Arial"/>
                <w:noProof/>
              </w:rPr>
              <w:t>6.3 Performance reviews, appraisal and escalation</w:t>
            </w:r>
            <w:r>
              <w:rPr>
                <w:noProof/>
                <w:webHidden/>
              </w:rPr>
              <w:tab/>
            </w:r>
            <w:r>
              <w:rPr>
                <w:noProof/>
                <w:webHidden/>
              </w:rPr>
              <w:fldChar w:fldCharType="begin"/>
            </w:r>
            <w:r>
              <w:rPr>
                <w:noProof/>
                <w:webHidden/>
              </w:rPr>
              <w:instrText xml:space="preserve"> PAGEREF _Toc242012584 \h </w:instrText>
            </w:r>
            <w:r>
              <w:rPr>
                <w:noProof/>
                <w:webHidden/>
              </w:rPr>
            </w:r>
            <w:r>
              <w:rPr>
                <w:noProof/>
                <w:webHidden/>
              </w:rPr>
              <w:fldChar w:fldCharType="separate"/>
            </w:r>
            <w:r>
              <w:rPr>
                <w:noProof/>
                <w:webHidden/>
              </w:rPr>
              <w:t>22</w:t>
            </w:r>
            <w:r>
              <w:rPr>
                <w:noProof/>
                <w:webHidden/>
              </w:rPr>
              <w:fldChar w:fldCharType="end"/>
            </w:r>
          </w:hyperlink>
        </w:p>
        <w:p w14:paraId="41623065" w14:textId="77777777" w:rsidR="00D716DE" w:rsidRDefault="00D716DE">
          <w:pPr>
            <w:pStyle w:val="TOC2"/>
            <w:tabs>
              <w:tab w:val="right" w:leader="dot" w:pos="9350"/>
            </w:tabs>
            <w:rPr>
              <w:rFonts w:asciiTheme="minorHAnsi" w:hAnsiTheme="minorHAnsi"/>
              <w:noProof/>
              <w:color w:val="auto"/>
              <w:kern w:val="2"/>
              <w:szCs w:val="24"/>
              <w:lang w:val="en-GB" w:eastAsia="en-GB"/>
              <w14:ligatures w14:val="standardContextual"/>
            </w:rPr>
          </w:pPr>
          <w:hyperlink w:anchor="_Toc242012585" w:history="1">
            <w:r w:rsidRPr="00AD3912">
              <w:rPr>
                <w:rStyle w:val="Hyperlink"/>
                <w:rFonts w:ascii="Arial" w:hAnsi="Arial" w:cs="Arial"/>
                <w:noProof/>
              </w:rPr>
              <w:t>6.4 Measuring organisational achievement without distorting behaviour</w:t>
            </w:r>
            <w:r>
              <w:rPr>
                <w:noProof/>
                <w:webHidden/>
              </w:rPr>
              <w:tab/>
            </w:r>
            <w:r>
              <w:rPr>
                <w:noProof/>
                <w:webHidden/>
              </w:rPr>
              <w:fldChar w:fldCharType="begin"/>
            </w:r>
            <w:r>
              <w:rPr>
                <w:noProof/>
                <w:webHidden/>
              </w:rPr>
              <w:instrText xml:space="preserve"> PAGEREF _Toc242012585 \h </w:instrText>
            </w:r>
            <w:r>
              <w:rPr>
                <w:noProof/>
                <w:webHidden/>
              </w:rPr>
            </w:r>
            <w:r>
              <w:rPr>
                <w:noProof/>
                <w:webHidden/>
              </w:rPr>
              <w:fldChar w:fldCharType="separate"/>
            </w:r>
            <w:r>
              <w:rPr>
                <w:noProof/>
                <w:webHidden/>
              </w:rPr>
              <w:t>23</w:t>
            </w:r>
            <w:r>
              <w:rPr>
                <w:noProof/>
                <w:webHidden/>
              </w:rPr>
              <w:fldChar w:fldCharType="end"/>
            </w:r>
          </w:hyperlink>
        </w:p>
        <w:p w14:paraId="6EE77B97" w14:textId="77777777" w:rsidR="00D716DE" w:rsidRDefault="00D716DE">
          <w:pPr>
            <w:pStyle w:val="TOC2"/>
            <w:tabs>
              <w:tab w:val="right" w:leader="dot" w:pos="9350"/>
            </w:tabs>
            <w:rPr>
              <w:rFonts w:asciiTheme="minorHAnsi" w:hAnsiTheme="minorHAnsi"/>
              <w:noProof/>
              <w:color w:val="auto"/>
              <w:kern w:val="2"/>
              <w:szCs w:val="24"/>
              <w:lang w:val="en-GB" w:eastAsia="en-GB"/>
              <w14:ligatures w14:val="standardContextual"/>
            </w:rPr>
          </w:pPr>
          <w:hyperlink w:anchor="_Toc242012586" w:history="1">
            <w:r w:rsidRPr="00AD3912">
              <w:rPr>
                <w:rStyle w:val="Hyperlink"/>
                <w:rFonts w:ascii="Arial" w:hAnsi="Arial" w:cs="Arial"/>
                <w:noProof/>
              </w:rPr>
              <w:t>6.5 Sustainability and succession beyond the initial plan</w:t>
            </w:r>
            <w:r>
              <w:rPr>
                <w:noProof/>
                <w:webHidden/>
              </w:rPr>
              <w:tab/>
            </w:r>
            <w:r>
              <w:rPr>
                <w:noProof/>
                <w:webHidden/>
              </w:rPr>
              <w:fldChar w:fldCharType="begin"/>
            </w:r>
            <w:r>
              <w:rPr>
                <w:noProof/>
                <w:webHidden/>
              </w:rPr>
              <w:instrText xml:space="preserve"> PAGEREF _Toc242012586 \h </w:instrText>
            </w:r>
            <w:r>
              <w:rPr>
                <w:noProof/>
                <w:webHidden/>
              </w:rPr>
            </w:r>
            <w:r>
              <w:rPr>
                <w:noProof/>
                <w:webHidden/>
              </w:rPr>
              <w:fldChar w:fldCharType="separate"/>
            </w:r>
            <w:r>
              <w:rPr>
                <w:noProof/>
                <w:webHidden/>
              </w:rPr>
              <w:t>25</w:t>
            </w:r>
            <w:r>
              <w:rPr>
                <w:noProof/>
                <w:webHidden/>
              </w:rPr>
              <w:fldChar w:fldCharType="end"/>
            </w:r>
          </w:hyperlink>
        </w:p>
        <w:p w14:paraId="417D3515" w14:textId="77777777" w:rsidR="00D716DE" w:rsidRDefault="00D716DE">
          <w:pPr>
            <w:pStyle w:val="TOC1"/>
            <w:tabs>
              <w:tab w:val="right" w:leader="dot" w:pos="9350"/>
            </w:tabs>
            <w:rPr>
              <w:rFonts w:asciiTheme="minorHAnsi" w:hAnsiTheme="minorHAnsi"/>
              <w:noProof/>
              <w:color w:val="auto"/>
              <w:kern w:val="2"/>
              <w:szCs w:val="24"/>
              <w:lang w:val="en-GB" w:eastAsia="en-GB"/>
              <w14:ligatures w14:val="standardContextual"/>
            </w:rPr>
          </w:pPr>
          <w:hyperlink w:anchor="_Toc242012587" w:history="1">
            <w:r w:rsidRPr="00AD3912">
              <w:rPr>
                <w:rStyle w:val="Hyperlink"/>
                <w:rFonts w:ascii="Arial" w:hAnsi="Arial" w:cs="Arial"/>
                <w:noProof/>
              </w:rPr>
              <w:t>7. Recommendations</w:t>
            </w:r>
            <w:r>
              <w:rPr>
                <w:noProof/>
                <w:webHidden/>
              </w:rPr>
              <w:tab/>
            </w:r>
            <w:r>
              <w:rPr>
                <w:noProof/>
                <w:webHidden/>
              </w:rPr>
              <w:fldChar w:fldCharType="begin"/>
            </w:r>
            <w:r>
              <w:rPr>
                <w:noProof/>
                <w:webHidden/>
              </w:rPr>
              <w:instrText xml:space="preserve"> PAGEREF _Toc242012587 \h </w:instrText>
            </w:r>
            <w:r>
              <w:rPr>
                <w:noProof/>
                <w:webHidden/>
              </w:rPr>
            </w:r>
            <w:r>
              <w:rPr>
                <w:noProof/>
                <w:webHidden/>
              </w:rPr>
              <w:fldChar w:fldCharType="separate"/>
            </w:r>
            <w:r>
              <w:rPr>
                <w:noProof/>
                <w:webHidden/>
              </w:rPr>
              <w:t>26</w:t>
            </w:r>
            <w:r>
              <w:rPr>
                <w:noProof/>
                <w:webHidden/>
              </w:rPr>
              <w:fldChar w:fldCharType="end"/>
            </w:r>
          </w:hyperlink>
        </w:p>
        <w:p w14:paraId="7B6A4FC0" w14:textId="77777777" w:rsidR="00D716DE" w:rsidRDefault="00D716DE">
          <w:pPr>
            <w:pStyle w:val="TOC1"/>
            <w:tabs>
              <w:tab w:val="right" w:leader="dot" w:pos="9350"/>
            </w:tabs>
            <w:rPr>
              <w:rFonts w:asciiTheme="minorHAnsi" w:hAnsiTheme="minorHAnsi"/>
              <w:noProof/>
              <w:color w:val="auto"/>
              <w:kern w:val="2"/>
              <w:szCs w:val="24"/>
              <w:lang w:val="en-GB" w:eastAsia="en-GB"/>
              <w14:ligatures w14:val="standardContextual"/>
            </w:rPr>
          </w:pPr>
          <w:hyperlink w:anchor="_Toc242012588" w:history="1">
            <w:r w:rsidRPr="00AD3912">
              <w:rPr>
                <w:rStyle w:val="Hyperlink"/>
                <w:rFonts w:ascii="Arial" w:hAnsi="Arial" w:cs="Arial"/>
                <w:noProof/>
              </w:rPr>
              <w:t>8. Conclusion</w:t>
            </w:r>
            <w:r>
              <w:rPr>
                <w:noProof/>
                <w:webHidden/>
              </w:rPr>
              <w:tab/>
            </w:r>
            <w:r>
              <w:rPr>
                <w:noProof/>
                <w:webHidden/>
              </w:rPr>
              <w:fldChar w:fldCharType="begin"/>
            </w:r>
            <w:r>
              <w:rPr>
                <w:noProof/>
                <w:webHidden/>
              </w:rPr>
              <w:instrText xml:space="preserve"> PAGEREF _Toc242012588 \h </w:instrText>
            </w:r>
            <w:r>
              <w:rPr>
                <w:noProof/>
                <w:webHidden/>
              </w:rPr>
            </w:r>
            <w:r>
              <w:rPr>
                <w:noProof/>
                <w:webHidden/>
              </w:rPr>
              <w:fldChar w:fldCharType="separate"/>
            </w:r>
            <w:r>
              <w:rPr>
                <w:noProof/>
                <w:webHidden/>
              </w:rPr>
              <w:t>26</w:t>
            </w:r>
            <w:r>
              <w:rPr>
                <w:noProof/>
                <w:webHidden/>
              </w:rPr>
              <w:fldChar w:fldCharType="end"/>
            </w:r>
          </w:hyperlink>
        </w:p>
        <w:p w14:paraId="388272E2" w14:textId="77777777" w:rsidR="00D716DE" w:rsidRDefault="00D716DE">
          <w:pPr>
            <w:pStyle w:val="TOC1"/>
            <w:tabs>
              <w:tab w:val="right" w:leader="dot" w:pos="9350"/>
            </w:tabs>
            <w:rPr>
              <w:rFonts w:asciiTheme="minorHAnsi" w:hAnsiTheme="minorHAnsi"/>
              <w:noProof/>
              <w:color w:val="auto"/>
              <w:kern w:val="2"/>
              <w:szCs w:val="24"/>
              <w:lang w:val="en-GB" w:eastAsia="en-GB"/>
              <w14:ligatures w14:val="standardContextual"/>
            </w:rPr>
          </w:pPr>
          <w:hyperlink w:anchor="_Toc242012589" w:history="1">
            <w:r w:rsidRPr="00AD3912">
              <w:rPr>
                <w:rStyle w:val="Hyperlink"/>
                <w:rFonts w:ascii="Arial" w:hAnsi="Arial" w:cs="Arial"/>
                <w:noProof/>
              </w:rPr>
              <w:t>References</w:t>
            </w:r>
            <w:r>
              <w:rPr>
                <w:noProof/>
                <w:webHidden/>
              </w:rPr>
              <w:tab/>
            </w:r>
            <w:r>
              <w:rPr>
                <w:noProof/>
                <w:webHidden/>
              </w:rPr>
              <w:fldChar w:fldCharType="begin"/>
            </w:r>
            <w:r>
              <w:rPr>
                <w:noProof/>
                <w:webHidden/>
              </w:rPr>
              <w:instrText xml:space="preserve"> PAGEREF _Toc242012589 \h </w:instrText>
            </w:r>
            <w:r>
              <w:rPr>
                <w:noProof/>
                <w:webHidden/>
              </w:rPr>
            </w:r>
            <w:r>
              <w:rPr>
                <w:noProof/>
                <w:webHidden/>
              </w:rPr>
              <w:fldChar w:fldCharType="separate"/>
            </w:r>
            <w:r>
              <w:rPr>
                <w:noProof/>
                <w:webHidden/>
              </w:rPr>
              <w:t>28</w:t>
            </w:r>
            <w:r>
              <w:rPr>
                <w:noProof/>
                <w:webHidden/>
              </w:rPr>
              <w:fldChar w:fldCharType="end"/>
            </w:r>
          </w:hyperlink>
        </w:p>
        <w:p w14:paraId="7F7E24EF" w14:textId="77777777" w:rsidR="00364431" w:rsidRPr="009632AB" w:rsidRDefault="00364431">
          <w:pPr>
            <w:rPr>
              <w:rFonts w:ascii="Arial" w:hAnsi="Arial" w:cs="Arial"/>
            </w:rPr>
          </w:pPr>
          <w:r w:rsidRPr="009632AB">
            <w:rPr>
              <w:rFonts w:ascii="Arial" w:hAnsi="Arial" w:cs="Arial"/>
              <w:b/>
              <w:bCs/>
              <w:noProof/>
            </w:rPr>
            <w:fldChar w:fldCharType="end"/>
          </w:r>
        </w:p>
      </w:sdtContent>
    </w:sdt>
    <w:p w14:paraId="255BE70D" w14:textId="77777777" w:rsidR="00364431" w:rsidRPr="009632AB" w:rsidRDefault="00364431" w:rsidP="00364431">
      <w:pPr>
        <w:rPr>
          <w:rFonts w:ascii="Arial" w:hAnsi="Arial" w:cs="Arial"/>
        </w:rPr>
      </w:pPr>
    </w:p>
    <w:p w14:paraId="51BBABDF" w14:textId="77777777" w:rsidR="00364431" w:rsidRPr="009632AB" w:rsidRDefault="00364431" w:rsidP="00E201F3">
      <w:pPr>
        <w:pStyle w:val="Heading1"/>
        <w:rPr>
          <w:rFonts w:ascii="Arial" w:hAnsi="Arial" w:cs="Arial"/>
        </w:rPr>
      </w:pPr>
    </w:p>
    <w:p w14:paraId="27BD7529" w14:textId="77777777" w:rsidR="00364431" w:rsidRPr="009632AB" w:rsidRDefault="00364431" w:rsidP="00E201F3">
      <w:pPr>
        <w:pStyle w:val="Heading1"/>
        <w:rPr>
          <w:rFonts w:ascii="Arial" w:hAnsi="Arial" w:cs="Arial"/>
        </w:rPr>
      </w:pPr>
    </w:p>
    <w:p w14:paraId="2A4475FF" w14:textId="77777777" w:rsidR="00364431" w:rsidRPr="009632AB" w:rsidRDefault="00364431" w:rsidP="00E201F3">
      <w:pPr>
        <w:pStyle w:val="Heading1"/>
        <w:rPr>
          <w:rFonts w:ascii="Arial" w:hAnsi="Arial" w:cs="Arial"/>
        </w:rPr>
      </w:pPr>
    </w:p>
    <w:p w14:paraId="1F6F71C9" w14:textId="77777777" w:rsidR="00364431" w:rsidRPr="009632AB" w:rsidRDefault="00364431" w:rsidP="00E201F3">
      <w:pPr>
        <w:pStyle w:val="Heading1"/>
        <w:rPr>
          <w:rFonts w:ascii="Arial" w:hAnsi="Arial" w:cs="Arial"/>
        </w:rPr>
      </w:pPr>
    </w:p>
    <w:p w14:paraId="116CDDB3" w14:textId="77777777" w:rsidR="00C57349" w:rsidRPr="009632AB" w:rsidRDefault="00C57349" w:rsidP="00364431">
      <w:pPr>
        <w:pStyle w:val="Heading1"/>
        <w:pageBreakBefore/>
        <w:numPr>
          <w:ilvl w:val="0"/>
          <w:numId w:val="10"/>
        </w:numPr>
        <w:rPr>
          <w:rFonts w:ascii="Arial" w:hAnsi="Arial" w:cs="Arial"/>
          <w:lang w:val="en-GB"/>
        </w:rPr>
      </w:pPr>
      <w:bookmarkStart w:id="0" w:name="_Toc242012564"/>
      <w:r w:rsidRPr="009632AB">
        <w:rPr>
          <w:rFonts w:ascii="Arial" w:hAnsi="Arial" w:cs="Arial"/>
          <w:lang w:val="en-GB"/>
        </w:rPr>
        <w:lastRenderedPageBreak/>
        <w:t>Introduction</w:t>
      </w:r>
      <w:bookmarkEnd w:id="0"/>
    </w:p>
    <w:p w14:paraId="1881DFEA" w14:textId="77777777" w:rsidR="00364431" w:rsidRPr="009632AB" w:rsidRDefault="00364431" w:rsidP="00364431">
      <w:pPr>
        <w:rPr>
          <w:rFonts w:ascii="Arial" w:hAnsi="Arial" w:cs="Arial"/>
        </w:rPr>
      </w:pPr>
      <w:r w:rsidRPr="009632AB">
        <w:rPr>
          <w:rFonts w:ascii="Arial" w:hAnsi="Arial" w:cs="Arial"/>
        </w:rPr>
        <w:t>Developing Workplace Relationships, Individual Achievement and Performance Management at Foresite Recruitment Ltd</w:t>
      </w:r>
    </w:p>
    <w:p w14:paraId="4977DD36" w14:textId="77777777" w:rsidR="00364431" w:rsidRPr="009632AB" w:rsidRDefault="00364431" w:rsidP="00364431">
      <w:pPr>
        <w:rPr>
          <w:rFonts w:ascii="Arial" w:hAnsi="Arial" w:cs="Arial"/>
        </w:rPr>
      </w:pPr>
      <w:r w:rsidRPr="009632AB">
        <w:rPr>
          <w:rFonts w:ascii="Arial" w:hAnsi="Arial" w:cs="Arial"/>
        </w:rPr>
        <w:t xml:space="preserve">Case-study note: Employee A is an illustrative, new </w:t>
      </w:r>
      <w:proofErr w:type="spellStart"/>
      <w:r w:rsidRPr="009632AB">
        <w:rPr>
          <w:rFonts w:ascii="Arial" w:hAnsi="Arial" w:cs="Arial"/>
        </w:rPr>
        <w:t>resourcer</w:t>
      </w:r>
      <w:proofErr w:type="spellEnd"/>
      <w:r w:rsidRPr="009632AB">
        <w:rPr>
          <w:rFonts w:ascii="Arial" w:hAnsi="Arial" w:cs="Arial"/>
        </w:rPr>
        <w:t xml:space="preserve">. </w:t>
      </w:r>
    </w:p>
    <w:p w14:paraId="166E4C38" w14:textId="6723C8DC" w:rsidR="00C57349" w:rsidRPr="009632AB" w:rsidRDefault="00C57349" w:rsidP="00C57349">
      <w:pPr>
        <w:rPr>
          <w:rFonts w:ascii="Arial" w:hAnsi="Arial" w:cs="Arial"/>
          <w:lang w:val="en-GB"/>
        </w:rPr>
      </w:pPr>
      <w:r w:rsidRPr="009632AB">
        <w:rPr>
          <w:rFonts w:ascii="Arial" w:hAnsi="Arial" w:cs="Arial"/>
          <w:lang w:val="en-GB"/>
        </w:rPr>
        <w:t xml:space="preserve">The report critically examines how individual development, career expectation management and constructive working relationships can strengthen collaboration, service quality and performance. An illustrative newly appointed </w:t>
      </w:r>
      <w:proofErr w:type="spellStart"/>
      <w:r w:rsidRPr="009632AB">
        <w:rPr>
          <w:rFonts w:ascii="Arial" w:hAnsi="Arial" w:cs="Arial"/>
          <w:lang w:val="en-GB"/>
        </w:rPr>
        <w:t>resourcer</w:t>
      </w:r>
      <w:proofErr w:type="spellEnd"/>
      <w:r w:rsidRPr="009632AB">
        <w:rPr>
          <w:rFonts w:ascii="Arial" w:hAnsi="Arial" w:cs="Arial"/>
          <w:lang w:val="en-GB"/>
        </w:rPr>
        <w:t xml:space="preserve"> (Employee A) is used throughout to evaluate practical development needs and progression opportunities. The analysis draws on organisational psychology, career theory, peer-reviewed research and current UK professional guidance, applying SWOT and PEST analyses, Holland’s vocational interests, Schein’s career anchors, conflict-management approaches and a phased 12-week development plan. It considers both potential benefits and constraints, including protected training time, fairness, confidentiality, transfer of learning and the limitations of productivity-only targets.</w:t>
      </w:r>
    </w:p>
    <w:p w14:paraId="206EAD87" w14:textId="21657EC0" w:rsidR="00C57349" w:rsidRPr="009632AB" w:rsidRDefault="00C57349" w:rsidP="00C57349">
      <w:pPr>
        <w:rPr>
          <w:rFonts w:ascii="Arial" w:hAnsi="Arial" w:cs="Arial"/>
          <w:lang w:val="en-GB"/>
        </w:rPr>
      </w:pPr>
      <w:r w:rsidRPr="009632AB">
        <w:rPr>
          <w:rFonts w:ascii="Arial" w:hAnsi="Arial" w:cs="Arial"/>
          <w:lang w:val="en-GB"/>
        </w:rPr>
        <w:t xml:space="preserve">The approach is a critical, workplace case study, informed by management knowledge of </w:t>
      </w:r>
      <w:proofErr w:type="spellStart"/>
      <w:r w:rsidRPr="009632AB">
        <w:rPr>
          <w:rFonts w:ascii="Arial" w:hAnsi="Arial" w:cs="Arial"/>
          <w:lang w:val="en-GB"/>
        </w:rPr>
        <w:t>Foresite’s</w:t>
      </w:r>
      <w:proofErr w:type="spellEnd"/>
      <w:r w:rsidRPr="009632AB">
        <w:rPr>
          <w:rFonts w:ascii="Arial" w:hAnsi="Arial" w:cs="Arial"/>
          <w:lang w:val="en-GB"/>
        </w:rPr>
        <w:t xml:space="preserve"> temporary New Homes operation rather than an independent audit. Employee A’s initial development needs remain provisional and would require confirmation through an induction discussion, observation and feedback. The proposed strategy is to establish realistic expectations, identify job-relevant skills gaps, combine supervised workplace learning with coaching and suitable formal training, then review progress against evidence-based performance measures. As company-specific baseline results, confidential appraisal records and verified training costs are </w:t>
      </w:r>
      <w:r w:rsidRPr="009632AB">
        <w:rPr>
          <w:rFonts w:ascii="Arial" w:hAnsi="Arial" w:cs="Arial"/>
          <w:lang w:val="en-GB"/>
        </w:rPr>
        <w:lastRenderedPageBreak/>
        <w:t>unavailable, diagnostic results and proposed targets, budgets and milestones are illustrative planning assumptions, not reported organisational findings.</w:t>
      </w:r>
    </w:p>
    <w:p w14:paraId="5103DBD3" w14:textId="77777777" w:rsidR="00C57349" w:rsidRPr="009632AB" w:rsidRDefault="00C57349" w:rsidP="00C57349">
      <w:pPr>
        <w:pStyle w:val="Heading1"/>
        <w:rPr>
          <w:rFonts w:ascii="Arial" w:hAnsi="Arial" w:cs="Arial"/>
          <w:lang w:val="en-GB"/>
        </w:rPr>
      </w:pPr>
      <w:bookmarkStart w:id="1" w:name="_Toc242012565"/>
      <w:r w:rsidRPr="009632AB">
        <w:rPr>
          <w:rFonts w:ascii="Arial" w:hAnsi="Arial" w:cs="Arial"/>
          <w:lang w:val="en-GB"/>
        </w:rPr>
        <w:t>2. Operational context</w:t>
      </w:r>
      <w:bookmarkEnd w:id="1"/>
    </w:p>
    <w:p w14:paraId="1C1507F2" w14:textId="77777777" w:rsidR="00C57349" w:rsidRPr="009632AB" w:rsidRDefault="00C57349" w:rsidP="00C57349">
      <w:pPr>
        <w:rPr>
          <w:rFonts w:ascii="Arial" w:hAnsi="Arial" w:cs="Arial"/>
          <w:lang w:val="en-GB"/>
        </w:rPr>
      </w:pPr>
      <w:r w:rsidRPr="009632AB">
        <w:rPr>
          <w:rFonts w:ascii="Arial" w:hAnsi="Arial" w:cs="Arial"/>
          <w:lang w:val="en-GB"/>
        </w:rPr>
        <w:t>Foresite Recruitment Ltd supplies temporary and permanent staffing within the New Homes sector. This report concentrates on its temporary recruitment operation, which sources and supports New Homes Sales Advisors, Customer Care Coordinators and administrators across several UK regions. Work involves matching availability and experience to development sites, coordinating bookings, checking induction and training requirements, confirming attendance, resolving client concerns and maintaining handovers between colleagues. In this setting, an individual’s competence is not merely personal: incomplete information, miscommunication or delayed escalation can affect client service, temporary workers, payroll and the organisation's reputation.</w:t>
      </w:r>
    </w:p>
    <w:p w14:paraId="6DDE7DAB" w14:textId="77777777" w:rsidR="0098777A" w:rsidRPr="009632AB" w:rsidRDefault="001501D9">
      <w:pPr>
        <w:pStyle w:val="Heading1"/>
        <w:rPr>
          <w:rFonts w:ascii="Arial" w:hAnsi="Arial" w:cs="Arial"/>
        </w:rPr>
      </w:pPr>
      <w:bookmarkStart w:id="2" w:name="_Toc242012566"/>
      <w:r w:rsidRPr="009632AB">
        <w:rPr>
          <w:rFonts w:ascii="Arial" w:hAnsi="Arial" w:cs="Arial"/>
        </w:rPr>
        <w:t>3. Critical assessment of the organisational benefits of individual development</w:t>
      </w:r>
      <w:bookmarkEnd w:id="2"/>
    </w:p>
    <w:p w14:paraId="0B87F027" w14:textId="77777777" w:rsidR="0098777A" w:rsidRPr="009632AB" w:rsidRDefault="001501D9">
      <w:pPr>
        <w:pStyle w:val="Heading2"/>
        <w:rPr>
          <w:rFonts w:ascii="Arial" w:hAnsi="Arial" w:cs="Arial"/>
        </w:rPr>
      </w:pPr>
      <w:bookmarkStart w:id="3" w:name="_Toc242012567"/>
      <w:r w:rsidRPr="009632AB">
        <w:rPr>
          <w:rFonts w:ascii="Arial" w:hAnsi="Arial" w:cs="Arial"/>
        </w:rPr>
        <w:t>3.1 Operational reliability, quality and client retention</w:t>
      </w:r>
      <w:bookmarkEnd w:id="3"/>
    </w:p>
    <w:p w14:paraId="7914B259" w14:textId="77777777" w:rsidR="0098777A" w:rsidRPr="009632AB" w:rsidRDefault="001501D9">
      <w:pPr>
        <w:rPr>
          <w:rFonts w:ascii="Arial" w:hAnsi="Arial" w:cs="Arial"/>
        </w:rPr>
      </w:pPr>
      <w:r w:rsidRPr="009632AB">
        <w:rPr>
          <w:rFonts w:ascii="Arial" w:hAnsi="Arial" w:cs="Arial"/>
        </w:rPr>
        <w:t xml:space="preserve">First, systematic development may improve service quality. A resourcer trained in candidate screening, booking confirmation, escalation and clear handovers should be better positioned to prevent unfilled shifts and inconsistent information. Training research reports benefits for employees, teams and organisations; however, completion of a course does not automatically translate into performance (Aguinis &amp; Kraiger, 2009; Baldwin &amp; Ford, 1988). At Foresite, this distinction means that success should be measured through correctly completed bookings and client feedback, not attendance at </w:t>
      </w:r>
      <w:r w:rsidRPr="009632AB">
        <w:rPr>
          <w:rFonts w:ascii="Arial" w:hAnsi="Arial" w:cs="Arial"/>
        </w:rPr>
        <w:lastRenderedPageBreak/>
        <w:t>a training session. Standardising minimum information in booking notes is valuable, but excessively rigid scripts can reduce discretion when clients have unusual needs.</w:t>
      </w:r>
    </w:p>
    <w:p w14:paraId="2A0B0AA7" w14:textId="77777777" w:rsidR="0098777A" w:rsidRPr="009632AB" w:rsidRDefault="001501D9">
      <w:pPr>
        <w:rPr>
          <w:rFonts w:ascii="Arial" w:hAnsi="Arial" w:cs="Arial"/>
        </w:rPr>
      </w:pPr>
      <w:r w:rsidRPr="009632AB">
        <w:rPr>
          <w:rFonts w:ascii="Arial" w:hAnsi="Arial" w:cs="Arial"/>
        </w:rPr>
        <w:t>Second, competency growth can create resilience during weekends, sickness or fluctuating demand. Cross-trained colleagues can respond to late requests without depending entirely on one experienced consultant. Blume et al. (2010) found that learner motivation and supportive workplaces are associated with transfer of training. Conversely, indiscriminate cross-training risks creating a superficial generalist who understands several tasks but cannot resolve complex problems. Foresite should prioritise a core competence standard before widening responsibilities.</w:t>
      </w:r>
    </w:p>
    <w:p w14:paraId="04A46823" w14:textId="77777777" w:rsidR="0098777A" w:rsidRPr="009632AB" w:rsidRDefault="001501D9">
      <w:pPr>
        <w:rPr>
          <w:rFonts w:ascii="Arial" w:hAnsi="Arial" w:cs="Arial"/>
        </w:rPr>
      </w:pPr>
      <w:r w:rsidRPr="009632AB">
        <w:rPr>
          <w:rFonts w:ascii="Arial" w:hAnsi="Arial" w:cs="Arial"/>
        </w:rPr>
        <w:t>Third, reliable development can enhance client confidence, particularly where the agency is entrusted with customer-facing representatives at a property development. The business case is nevertheless conditional: spending time mentoring an employee during a busy coverage period creates short-term capacity costs. Strategic alignment between learning and operational needs is therefore essential (Chartered Institute of Personnel and Development [CIPD], 2025c; Salas et al., 2012). No causal claim about Foresite's actual revenue or retention is justified without measured pre- and post-development data.</w:t>
      </w:r>
    </w:p>
    <w:p w14:paraId="323BB46C" w14:textId="77777777" w:rsidR="0098777A" w:rsidRPr="009632AB" w:rsidRDefault="001501D9">
      <w:pPr>
        <w:pStyle w:val="Heading2"/>
        <w:rPr>
          <w:rFonts w:ascii="Arial" w:hAnsi="Arial" w:cs="Arial"/>
        </w:rPr>
      </w:pPr>
      <w:bookmarkStart w:id="4" w:name="_Toc242012568"/>
      <w:r w:rsidRPr="009632AB">
        <w:rPr>
          <w:rFonts w:ascii="Arial" w:hAnsi="Arial" w:cs="Arial"/>
        </w:rPr>
        <w:t>3.2 Motivation, retention and progression</w:t>
      </w:r>
      <w:bookmarkEnd w:id="4"/>
    </w:p>
    <w:p w14:paraId="3785656E" w14:textId="77777777" w:rsidR="0098777A" w:rsidRPr="009632AB" w:rsidRDefault="001501D9">
      <w:pPr>
        <w:rPr>
          <w:rFonts w:ascii="Arial" w:hAnsi="Arial" w:cs="Arial"/>
        </w:rPr>
      </w:pPr>
      <w:r w:rsidRPr="009632AB">
        <w:rPr>
          <w:rFonts w:ascii="Arial" w:hAnsi="Arial" w:cs="Arial"/>
        </w:rPr>
        <w:t xml:space="preserve">A second set of benefits concerns engagement and retention. Development discussions show staff that competence and future opportunities matter, while offering the organisation a pipeline for succession. Self-determination theory suggests that autonomy, competence and relatedness are important conditions for sustainable motivation (Deci &amp; Ryan, 2000). Employee A should therefore help choose meaningful </w:t>
      </w:r>
      <w:r w:rsidRPr="009632AB">
        <w:rPr>
          <w:rFonts w:ascii="Arial" w:hAnsi="Arial" w:cs="Arial"/>
        </w:rPr>
        <w:lastRenderedPageBreak/>
        <w:t>goals rather than simply receive a manager-designed checklist. Yet development can also raise expectations of promotion or pay that cannot be met. Psychological contracts can be damaged if management implies guaranteed progression, so transparency is as important as encouragement (Rousseau, 1989; CIPD, 2026a).</w:t>
      </w:r>
    </w:p>
    <w:p w14:paraId="139110C5" w14:textId="77777777" w:rsidR="0098777A" w:rsidRPr="009632AB" w:rsidRDefault="001501D9">
      <w:pPr>
        <w:rPr>
          <w:rFonts w:ascii="Arial" w:hAnsi="Arial" w:cs="Arial"/>
        </w:rPr>
      </w:pPr>
      <w:r w:rsidRPr="009632AB">
        <w:rPr>
          <w:rFonts w:ascii="Arial" w:hAnsi="Arial" w:cs="Arial"/>
        </w:rPr>
        <w:t>Supportive feedback and psychologically safe questions offer a third organisational benefit: employees are more likely to report uncertainty before minor mistakes become expensive incidents. Edmondson's (1999) team research links psychological safety with learning behaviour. This does not remove accountability; it requires mistakes to be reviewed proportionately and objectively. A culture that praises openness but penalises every reported error would undermine the intended benefit. Foresite must also ensure development resources are allocated fairly rather than reserved for employees who are most confident in requesting them (Colquitt et al., 2001).</w:t>
      </w:r>
    </w:p>
    <w:p w14:paraId="3F3D06F2" w14:textId="77777777" w:rsidR="0098777A" w:rsidRPr="009632AB" w:rsidRDefault="001501D9">
      <w:pPr>
        <w:pStyle w:val="Heading2"/>
        <w:rPr>
          <w:rFonts w:ascii="Arial" w:hAnsi="Arial" w:cs="Arial"/>
        </w:rPr>
      </w:pPr>
      <w:bookmarkStart w:id="5" w:name="_Toc242012569"/>
      <w:r w:rsidRPr="009632AB">
        <w:rPr>
          <w:rFonts w:ascii="Arial" w:hAnsi="Arial" w:cs="Arial"/>
        </w:rPr>
        <w:t>3.3 Team collaboration, conflict reduction and sustainable capacity</w:t>
      </w:r>
      <w:bookmarkEnd w:id="5"/>
    </w:p>
    <w:p w14:paraId="2340404B" w14:textId="77777777" w:rsidR="0098777A" w:rsidRPr="009632AB" w:rsidRDefault="001501D9">
      <w:pPr>
        <w:rPr>
          <w:rFonts w:ascii="Arial" w:hAnsi="Arial" w:cs="Arial"/>
        </w:rPr>
      </w:pPr>
      <w:r w:rsidRPr="009632AB">
        <w:rPr>
          <w:rFonts w:ascii="Arial" w:hAnsi="Arial" w:cs="Arial"/>
        </w:rPr>
        <w:t>Relationships are a further performance resource. Clear roles reduce avoidable tension between resourcing, client-facing consultants and payroll; reciprocal coaching improves continuity at handover. Social-learning perspectives explain why competence develops through participation, observation and professional communities as well as formal teaching (Wenger, 1998; Eraut, 2004). However, close teams may become resistant to outside ideas. Rotating peer reviews and capturing lessons learned can counter informal knowledge silos.</w:t>
      </w:r>
    </w:p>
    <w:p w14:paraId="72EF3092" w14:textId="77777777" w:rsidR="0098777A" w:rsidRPr="009632AB" w:rsidRDefault="001501D9">
      <w:pPr>
        <w:rPr>
          <w:rFonts w:ascii="Arial" w:hAnsi="Arial" w:cs="Arial"/>
        </w:rPr>
      </w:pPr>
      <w:r w:rsidRPr="009632AB">
        <w:rPr>
          <w:rFonts w:ascii="Arial" w:hAnsi="Arial" w:cs="Arial"/>
        </w:rPr>
        <w:t xml:space="preserve">A critical implication for sustainability is to build capability without normalising unpaid availability or unmanageable workloads. Fair workloads, protected learning time and clear responsibilities protect wellbeing, especially when urgent site requests conflict with </w:t>
      </w:r>
      <w:r w:rsidRPr="009632AB">
        <w:rPr>
          <w:rFonts w:ascii="Arial" w:hAnsi="Arial" w:cs="Arial"/>
        </w:rPr>
        <w:lastRenderedPageBreak/>
        <w:t>administrative accuracy. Staff development should contribute to better collaboration rather than merely intensify targets. Overall, Foresite will benefit most where quality, motivation and resilience are evaluated together, rather than treating individual output as the only success criterion (DeNisi &amp; Murphy, 2017; CIPD, 2026b).</w:t>
      </w:r>
    </w:p>
    <w:p w14:paraId="5D273B23" w14:textId="77777777" w:rsidR="00896E49" w:rsidRPr="009632AB" w:rsidRDefault="001501D9">
      <w:pPr>
        <w:rPr>
          <w:rFonts w:ascii="Arial" w:hAnsi="Arial" w:cs="Arial"/>
        </w:rPr>
      </w:pPr>
      <w:r w:rsidRPr="009632AB">
        <w:rPr>
          <w:rFonts w:ascii="Arial" w:hAnsi="Arial" w:cs="Arial"/>
        </w:rPr>
        <w:t>Taken together, three distinct propositions emerge: job-specific skills improve accuracy, cross-training protects service continuity, and supportive development can improve retention and knowledge sharing. Nevertheless, studies of training benefits and transfer caution against assuming that increased competence will automatically improve commercial outcomes (Aguinis &amp; Kraiger, 2009; Baldwin &amp; Ford, 1988). Foresite should test these propositions separately through quality audits, peer feedback and retention trends, while accounting for workload and market conditions.</w:t>
      </w:r>
    </w:p>
    <w:p w14:paraId="45148F59" w14:textId="77777777" w:rsidR="0098777A" w:rsidRPr="009632AB" w:rsidRDefault="001501D9">
      <w:pPr>
        <w:pStyle w:val="Heading2"/>
        <w:rPr>
          <w:rFonts w:ascii="Arial" w:hAnsi="Arial" w:cs="Arial"/>
        </w:rPr>
      </w:pPr>
      <w:bookmarkStart w:id="6" w:name="_Toc242012570"/>
      <w:r w:rsidRPr="009632AB">
        <w:rPr>
          <w:rFonts w:ascii="Arial" w:hAnsi="Arial" w:cs="Arial"/>
        </w:rPr>
        <w:t>3.4 Internal SWOT analysis</w:t>
      </w:r>
      <w:bookmarkEnd w:id="6"/>
    </w:p>
    <w:tbl>
      <w:tblPr>
        <w:tblStyle w:val="TableGrid"/>
        <w:tblW w:w="0" w:type="auto"/>
        <w:jc w:val="center"/>
        <w:tblLook w:val="04A0" w:firstRow="1" w:lastRow="0" w:firstColumn="1" w:lastColumn="0" w:noHBand="0" w:noVBand="1"/>
      </w:tblPr>
      <w:tblGrid>
        <w:gridCol w:w="4675"/>
        <w:gridCol w:w="4675"/>
      </w:tblGrid>
      <w:tr w:rsidR="0098777A" w:rsidRPr="009632AB" w14:paraId="72856675" w14:textId="77777777">
        <w:trPr>
          <w:tblHeader/>
          <w:jc w:val="center"/>
        </w:trPr>
        <w:tc>
          <w:tcPr>
            <w:tcW w:w="4680" w:type="dxa"/>
            <w:shd w:val="clear" w:color="auto" w:fill="E7EBEF"/>
            <w:vAlign w:val="center"/>
          </w:tcPr>
          <w:p w14:paraId="40CC16CF" w14:textId="77777777" w:rsidR="0098777A" w:rsidRPr="00D716DE" w:rsidRDefault="001501D9">
            <w:pPr>
              <w:spacing w:after="60" w:line="276" w:lineRule="auto"/>
              <w:rPr>
                <w:rFonts w:ascii="Arial" w:hAnsi="Arial" w:cs="Arial"/>
                <w:szCs w:val="24"/>
              </w:rPr>
            </w:pPr>
            <w:r w:rsidRPr="00D716DE">
              <w:rPr>
                <w:rFonts w:ascii="Arial" w:hAnsi="Arial" w:cs="Arial"/>
                <w:b/>
                <w:szCs w:val="24"/>
              </w:rPr>
              <w:t>Strengths</w:t>
            </w:r>
          </w:p>
        </w:tc>
        <w:tc>
          <w:tcPr>
            <w:tcW w:w="4680" w:type="dxa"/>
            <w:shd w:val="clear" w:color="auto" w:fill="E7EBEF"/>
            <w:vAlign w:val="center"/>
          </w:tcPr>
          <w:p w14:paraId="7093D5FE" w14:textId="77777777" w:rsidR="0098777A" w:rsidRPr="00D716DE" w:rsidRDefault="001501D9">
            <w:pPr>
              <w:spacing w:after="60" w:line="276" w:lineRule="auto"/>
              <w:rPr>
                <w:rFonts w:ascii="Arial" w:hAnsi="Arial" w:cs="Arial"/>
                <w:szCs w:val="24"/>
              </w:rPr>
            </w:pPr>
            <w:r w:rsidRPr="00D716DE">
              <w:rPr>
                <w:rFonts w:ascii="Arial" w:hAnsi="Arial" w:cs="Arial"/>
                <w:b/>
                <w:szCs w:val="24"/>
              </w:rPr>
              <w:t>Weaknesses</w:t>
            </w:r>
          </w:p>
        </w:tc>
      </w:tr>
      <w:tr w:rsidR="0098777A" w:rsidRPr="009632AB" w14:paraId="2E2E950D" w14:textId="77777777">
        <w:trPr>
          <w:jc w:val="center"/>
        </w:trPr>
        <w:tc>
          <w:tcPr>
            <w:tcW w:w="4680" w:type="dxa"/>
            <w:vAlign w:val="center"/>
          </w:tcPr>
          <w:p w14:paraId="02B89A02" w14:textId="77777777" w:rsidR="0098777A" w:rsidRPr="00D716DE" w:rsidRDefault="001501D9">
            <w:pPr>
              <w:spacing w:after="60" w:line="276" w:lineRule="auto"/>
              <w:rPr>
                <w:rFonts w:ascii="Arial" w:hAnsi="Arial" w:cs="Arial"/>
                <w:szCs w:val="24"/>
              </w:rPr>
            </w:pPr>
            <w:r w:rsidRPr="00D716DE">
              <w:rPr>
                <w:rFonts w:ascii="Arial" w:hAnsi="Arial" w:cs="Arial"/>
                <w:szCs w:val="24"/>
              </w:rPr>
              <w:t>Established sector-specific knowledge; close client contact; varied live assignments support experiential learning</w:t>
            </w:r>
          </w:p>
        </w:tc>
        <w:tc>
          <w:tcPr>
            <w:tcW w:w="4680" w:type="dxa"/>
            <w:vAlign w:val="center"/>
          </w:tcPr>
          <w:p w14:paraId="7EF8E9CF" w14:textId="77777777" w:rsidR="0098777A" w:rsidRPr="00D716DE" w:rsidRDefault="001501D9">
            <w:pPr>
              <w:spacing w:after="60" w:line="276" w:lineRule="auto"/>
              <w:rPr>
                <w:rFonts w:ascii="Arial" w:hAnsi="Arial" w:cs="Arial"/>
                <w:szCs w:val="24"/>
              </w:rPr>
            </w:pPr>
            <w:r w:rsidRPr="00D716DE">
              <w:rPr>
                <w:rFonts w:ascii="Arial" w:hAnsi="Arial" w:cs="Arial"/>
                <w:szCs w:val="24"/>
              </w:rPr>
              <w:t>Time-critical bookings; reliance on tacit knowledge; interruptions can displace coaching</w:t>
            </w:r>
          </w:p>
        </w:tc>
      </w:tr>
      <w:tr w:rsidR="0098777A" w:rsidRPr="009632AB" w14:paraId="79DE2425" w14:textId="77777777">
        <w:trPr>
          <w:jc w:val="center"/>
        </w:trPr>
        <w:tc>
          <w:tcPr>
            <w:tcW w:w="4680" w:type="dxa"/>
            <w:vAlign w:val="center"/>
          </w:tcPr>
          <w:p w14:paraId="4C18DF06" w14:textId="77777777" w:rsidR="0098777A" w:rsidRPr="00D716DE" w:rsidRDefault="001501D9">
            <w:pPr>
              <w:spacing w:after="60" w:line="276" w:lineRule="auto"/>
              <w:rPr>
                <w:rFonts w:ascii="Arial" w:hAnsi="Arial" w:cs="Arial"/>
                <w:szCs w:val="24"/>
              </w:rPr>
            </w:pPr>
            <w:r w:rsidRPr="00D716DE">
              <w:rPr>
                <w:rFonts w:ascii="Arial" w:hAnsi="Arial" w:cs="Arial"/>
                <w:szCs w:val="24"/>
              </w:rPr>
              <w:t>Opportunities</w:t>
            </w:r>
          </w:p>
        </w:tc>
        <w:tc>
          <w:tcPr>
            <w:tcW w:w="4680" w:type="dxa"/>
            <w:vAlign w:val="center"/>
          </w:tcPr>
          <w:p w14:paraId="7130D812" w14:textId="77777777" w:rsidR="0098777A" w:rsidRPr="00D716DE" w:rsidRDefault="001501D9">
            <w:pPr>
              <w:spacing w:after="60" w:line="276" w:lineRule="auto"/>
              <w:rPr>
                <w:rFonts w:ascii="Arial" w:hAnsi="Arial" w:cs="Arial"/>
                <w:szCs w:val="24"/>
              </w:rPr>
            </w:pPr>
            <w:r w:rsidRPr="00D716DE">
              <w:rPr>
                <w:rFonts w:ascii="Arial" w:hAnsi="Arial" w:cs="Arial"/>
                <w:szCs w:val="24"/>
              </w:rPr>
              <w:t>Threats</w:t>
            </w:r>
          </w:p>
        </w:tc>
      </w:tr>
      <w:tr w:rsidR="0098777A" w:rsidRPr="009632AB" w14:paraId="3790393B" w14:textId="77777777">
        <w:trPr>
          <w:jc w:val="center"/>
        </w:trPr>
        <w:tc>
          <w:tcPr>
            <w:tcW w:w="4680" w:type="dxa"/>
            <w:vAlign w:val="center"/>
          </w:tcPr>
          <w:p w14:paraId="5A1D9826" w14:textId="77777777" w:rsidR="0098777A" w:rsidRPr="00D716DE" w:rsidRDefault="001501D9">
            <w:pPr>
              <w:spacing w:after="60" w:line="276" w:lineRule="auto"/>
              <w:rPr>
                <w:rFonts w:ascii="Arial" w:hAnsi="Arial" w:cs="Arial"/>
                <w:szCs w:val="24"/>
              </w:rPr>
            </w:pPr>
            <w:proofErr w:type="gramStart"/>
            <w:r w:rsidRPr="00D716DE">
              <w:rPr>
                <w:rFonts w:ascii="Arial" w:hAnsi="Arial" w:cs="Arial"/>
                <w:szCs w:val="24"/>
              </w:rPr>
              <w:t>Cross-training</w:t>
            </w:r>
            <w:proofErr w:type="gramEnd"/>
            <w:r w:rsidRPr="00D716DE">
              <w:rPr>
                <w:rFonts w:ascii="Arial" w:hAnsi="Arial" w:cs="Arial"/>
                <w:szCs w:val="24"/>
              </w:rPr>
              <w:t xml:space="preserve"> and succession; consistent client handovers; digital learning records</w:t>
            </w:r>
          </w:p>
        </w:tc>
        <w:tc>
          <w:tcPr>
            <w:tcW w:w="4680" w:type="dxa"/>
            <w:vAlign w:val="center"/>
          </w:tcPr>
          <w:p w14:paraId="3C62DB9F" w14:textId="77777777" w:rsidR="0098777A" w:rsidRPr="00D716DE" w:rsidRDefault="001501D9">
            <w:pPr>
              <w:spacing w:after="60" w:line="276" w:lineRule="auto"/>
              <w:rPr>
                <w:rFonts w:ascii="Arial" w:hAnsi="Arial" w:cs="Arial"/>
                <w:szCs w:val="24"/>
              </w:rPr>
            </w:pPr>
            <w:r w:rsidRPr="00D716DE">
              <w:rPr>
                <w:rFonts w:ascii="Arial" w:hAnsi="Arial" w:cs="Arial"/>
                <w:szCs w:val="24"/>
              </w:rPr>
              <w:t>Market uncertainty; competition for experienced candidates; privacy, legal or client-reputation risks</w:t>
            </w:r>
          </w:p>
        </w:tc>
      </w:tr>
    </w:tbl>
    <w:p w14:paraId="32F05770" w14:textId="77777777" w:rsidR="00D716DE" w:rsidRDefault="00D716DE">
      <w:pPr>
        <w:rPr>
          <w:rFonts w:ascii="Arial" w:hAnsi="Arial" w:cs="Arial"/>
        </w:rPr>
      </w:pPr>
    </w:p>
    <w:p w14:paraId="495736B5" w14:textId="77777777" w:rsidR="0098777A" w:rsidRPr="009632AB" w:rsidRDefault="001501D9">
      <w:pPr>
        <w:rPr>
          <w:rFonts w:ascii="Arial" w:hAnsi="Arial" w:cs="Arial"/>
        </w:rPr>
      </w:pPr>
      <w:r w:rsidRPr="009632AB">
        <w:rPr>
          <w:rFonts w:ascii="Arial" w:hAnsi="Arial" w:cs="Arial"/>
        </w:rPr>
        <w:t>The SWOT is a diagnostic interpretation, not a survey result. Three conclusions follow. Internal knowledge offers an efficient starting point for mentoring, but should be documented; speed is useful commercially, but must not displace compliance; and training will generate little value without protected practice and management follow-through (Burke &amp; Hutchins, 2007).</w:t>
      </w:r>
    </w:p>
    <w:p w14:paraId="31DAA17C" w14:textId="77777777" w:rsidR="0098777A" w:rsidRPr="009632AB" w:rsidRDefault="001501D9">
      <w:pPr>
        <w:pStyle w:val="Heading2"/>
        <w:rPr>
          <w:rFonts w:ascii="Arial" w:hAnsi="Arial" w:cs="Arial"/>
        </w:rPr>
      </w:pPr>
      <w:bookmarkStart w:id="7" w:name="_Toc242012571"/>
      <w:r w:rsidRPr="009632AB">
        <w:rPr>
          <w:rFonts w:ascii="Arial" w:hAnsi="Arial" w:cs="Arial"/>
        </w:rPr>
        <w:lastRenderedPageBreak/>
        <w:t>3.5 External PEST analysis</w:t>
      </w:r>
      <w:bookmarkEnd w:id="7"/>
    </w:p>
    <w:tbl>
      <w:tblPr>
        <w:tblStyle w:val="TableGrid"/>
        <w:tblW w:w="0" w:type="auto"/>
        <w:jc w:val="center"/>
        <w:tblLook w:val="04A0" w:firstRow="1" w:lastRow="0" w:firstColumn="1" w:lastColumn="0" w:noHBand="0" w:noVBand="1"/>
      </w:tblPr>
      <w:tblGrid>
        <w:gridCol w:w="4675"/>
        <w:gridCol w:w="4675"/>
      </w:tblGrid>
      <w:tr w:rsidR="0098777A" w:rsidRPr="009632AB" w14:paraId="5B824C55" w14:textId="77777777">
        <w:trPr>
          <w:tblHeader/>
          <w:jc w:val="center"/>
        </w:trPr>
        <w:tc>
          <w:tcPr>
            <w:tcW w:w="4680" w:type="dxa"/>
            <w:shd w:val="clear" w:color="auto" w:fill="E7EBEF"/>
            <w:vAlign w:val="center"/>
          </w:tcPr>
          <w:p w14:paraId="2B71E2D2" w14:textId="77777777" w:rsidR="0098777A" w:rsidRPr="00D716DE" w:rsidRDefault="001501D9">
            <w:pPr>
              <w:spacing w:after="60" w:line="276" w:lineRule="auto"/>
              <w:rPr>
                <w:rFonts w:ascii="Arial" w:hAnsi="Arial" w:cs="Arial"/>
                <w:szCs w:val="24"/>
              </w:rPr>
            </w:pPr>
            <w:r w:rsidRPr="00D716DE">
              <w:rPr>
                <w:rFonts w:ascii="Arial" w:hAnsi="Arial" w:cs="Arial"/>
                <w:b/>
                <w:szCs w:val="24"/>
              </w:rPr>
              <w:t>Political/legal</w:t>
            </w:r>
          </w:p>
        </w:tc>
        <w:tc>
          <w:tcPr>
            <w:tcW w:w="4680" w:type="dxa"/>
            <w:shd w:val="clear" w:color="auto" w:fill="E7EBEF"/>
            <w:vAlign w:val="center"/>
          </w:tcPr>
          <w:p w14:paraId="4B1764C9" w14:textId="77777777" w:rsidR="0098777A" w:rsidRPr="00D716DE" w:rsidRDefault="001501D9">
            <w:pPr>
              <w:spacing w:after="60" w:line="276" w:lineRule="auto"/>
              <w:rPr>
                <w:rFonts w:ascii="Arial" w:hAnsi="Arial" w:cs="Arial"/>
                <w:szCs w:val="24"/>
              </w:rPr>
            </w:pPr>
            <w:r w:rsidRPr="00D716DE">
              <w:rPr>
                <w:rFonts w:ascii="Arial" w:hAnsi="Arial" w:cs="Arial"/>
                <w:b/>
                <w:szCs w:val="24"/>
              </w:rPr>
              <w:t>Economic</w:t>
            </w:r>
          </w:p>
        </w:tc>
      </w:tr>
      <w:tr w:rsidR="0098777A" w:rsidRPr="009632AB" w14:paraId="7E026A79" w14:textId="77777777">
        <w:trPr>
          <w:jc w:val="center"/>
        </w:trPr>
        <w:tc>
          <w:tcPr>
            <w:tcW w:w="4680" w:type="dxa"/>
            <w:vAlign w:val="center"/>
          </w:tcPr>
          <w:p w14:paraId="30B74680" w14:textId="77777777" w:rsidR="0098777A" w:rsidRPr="00D716DE" w:rsidRDefault="001501D9">
            <w:pPr>
              <w:spacing w:after="60" w:line="276" w:lineRule="auto"/>
              <w:rPr>
                <w:rFonts w:ascii="Arial" w:hAnsi="Arial" w:cs="Arial"/>
                <w:szCs w:val="24"/>
              </w:rPr>
            </w:pPr>
            <w:r w:rsidRPr="00D716DE">
              <w:rPr>
                <w:rFonts w:ascii="Arial" w:hAnsi="Arial" w:cs="Arial"/>
                <w:szCs w:val="24"/>
              </w:rPr>
              <w:t>Employment standards, equality, working-time obligations and appropriate processing of candidate data affect training and supervision</w:t>
            </w:r>
          </w:p>
        </w:tc>
        <w:tc>
          <w:tcPr>
            <w:tcW w:w="4680" w:type="dxa"/>
            <w:vAlign w:val="center"/>
          </w:tcPr>
          <w:p w14:paraId="02186C61" w14:textId="77777777" w:rsidR="0098777A" w:rsidRPr="00D716DE" w:rsidRDefault="001501D9">
            <w:pPr>
              <w:spacing w:after="60" w:line="276" w:lineRule="auto"/>
              <w:rPr>
                <w:rFonts w:ascii="Arial" w:hAnsi="Arial" w:cs="Arial"/>
                <w:szCs w:val="24"/>
              </w:rPr>
            </w:pPr>
            <w:r w:rsidRPr="00D716DE">
              <w:rPr>
                <w:rFonts w:ascii="Arial" w:hAnsi="Arial" w:cs="Arial"/>
                <w:szCs w:val="24"/>
              </w:rPr>
              <w:t>Variable housing-market demand and client budget pressure may affect bookings and training resources</w:t>
            </w:r>
          </w:p>
        </w:tc>
      </w:tr>
      <w:tr w:rsidR="0098777A" w:rsidRPr="009632AB" w14:paraId="5E2F60D1" w14:textId="77777777">
        <w:trPr>
          <w:jc w:val="center"/>
        </w:trPr>
        <w:tc>
          <w:tcPr>
            <w:tcW w:w="4680" w:type="dxa"/>
            <w:vAlign w:val="center"/>
          </w:tcPr>
          <w:p w14:paraId="3DBBAEBA" w14:textId="77777777" w:rsidR="0098777A" w:rsidRPr="00D716DE" w:rsidRDefault="001501D9">
            <w:pPr>
              <w:spacing w:after="60" w:line="276" w:lineRule="auto"/>
              <w:rPr>
                <w:rFonts w:ascii="Arial" w:hAnsi="Arial" w:cs="Arial"/>
                <w:szCs w:val="24"/>
              </w:rPr>
            </w:pPr>
            <w:r w:rsidRPr="00D716DE">
              <w:rPr>
                <w:rFonts w:ascii="Arial" w:hAnsi="Arial" w:cs="Arial"/>
                <w:szCs w:val="24"/>
              </w:rPr>
              <w:t>Social</w:t>
            </w:r>
          </w:p>
        </w:tc>
        <w:tc>
          <w:tcPr>
            <w:tcW w:w="4680" w:type="dxa"/>
            <w:vAlign w:val="center"/>
          </w:tcPr>
          <w:p w14:paraId="642AEF68" w14:textId="77777777" w:rsidR="0098777A" w:rsidRPr="00D716DE" w:rsidRDefault="001501D9">
            <w:pPr>
              <w:spacing w:after="60" w:line="276" w:lineRule="auto"/>
              <w:rPr>
                <w:rFonts w:ascii="Arial" w:hAnsi="Arial" w:cs="Arial"/>
                <w:szCs w:val="24"/>
              </w:rPr>
            </w:pPr>
            <w:r w:rsidRPr="00D716DE">
              <w:rPr>
                <w:rFonts w:ascii="Arial" w:hAnsi="Arial" w:cs="Arial"/>
                <w:szCs w:val="24"/>
              </w:rPr>
              <w:t>Technological</w:t>
            </w:r>
          </w:p>
        </w:tc>
      </w:tr>
      <w:tr w:rsidR="0098777A" w:rsidRPr="009632AB" w14:paraId="2755026C" w14:textId="77777777">
        <w:trPr>
          <w:jc w:val="center"/>
        </w:trPr>
        <w:tc>
          <w:tcPr>
            <w:tcW w:w="4680" w:type="dxa"/>
            <w:vAlign w:val="center"/>
          </w:tcPr>
          <w:p w14:paraId="5AA20B50" w14:textId="77777777" w:rsidR="0098777A" w:rsidRPr="00D716DE" w:rsidRDefault="001501D9">
            <w:pPr>
              <w:spacing w:after="60" w:line="276" w:lineRule="auto"/>
              <w:rPr>
                <w:rFonts w:ascii="Arial" w:hAnsi="Arial" w:cs="Arial"/>
                <w:szCs w:val="24"/>
              </w:rPr>
            </w:pPr>
            <w:r w:rsidRPr="00D716DE">
              <w:rPr>
                <w:rFonts w:ascii="Arial" w:hAnsi="Arial" w:cs="Arial"/>
                <w:szCs w:val="24"/>
              </w:rPr>
              <w:t>Candidates seek fairness, communication and flexibility; dispersed teams require deliberate collaboration</w:t>
            </w:r>
          </w:p>
        </w:tc>
        <w:tc>
          <w:tcPr>
            <w:tcW w:w="4680" w:type="dxa"/>
            <w:vAlign w:val="center"/>
          </w:tcPr>
          <w:p w14:paraId="1598F0A7" w14:textId="77777777" w:rsidR="0098777A" w:rsidRPr="00D716DE" w:rsidRDefault="001501D9">
            <w:pPr>
              <w:spacing w:after="60" w:line="276" w:lineRule="auto"/>
              <w:rPr>
                <w:rFonts w:ascii="Arial" w:hAnsi="Arial" w:cs="Arial"/>
                <w:szCs w:val="24"/>
              </w:rPr>
            </w:pPr>
            <w:r w:rsidRPr="00D716DE">
              <w:rPr>
                <w:rFonts w:ascii="Arial" w:hAnsi="Arial" w:cs="Arial"/>
                <w:szCs w:val="24"/>
              </w:rPr>
              <w:t>Applicant tracking systems, CRM records and automation can improve consistency but introduce accuracy and privacy risks</w:t>
            </w:r>
          </w:p>
        </w:tc>
      </w:tr>
    </w:tbl>
    <w:p w14:paraId="034AB537" w14:textId="77777777" w:rsidR="00FB2E43" w:rsidRDefault="00FB2E43">
      <w:pPr>
        <w:rPr>
          <w:rFonts w:ascii="Arial" w:hAnsi="Arial" w:cs="Arial"/>
        </w:rPr>
      </w:pPr>
    </w:p>
    <w:p w14:paraId="6416B97F" w14:textId="77777777" w:rsidR="0098777A" w:rsidRPr="009632AB" w:rsidRDefault="001501D9">
      <w:pPr>
        <w:rPr>
          <w:rFonts w:ascii="Arial" w:hAnsi="Arial" w:cs="Arial"/>
        </w:rPr>
      </w:pPr>
      <w:r w:rsidRPr="009632AB">
        <w:rPr>
          <w:rFonts w:ascii="Arial" w:hAnsi="Arial" w:cs="Arial"/>
        </w:rPr>
        <w:t>The PEST analysis suggests that Employee A's professional judgement should be developed alongside system skills. Equality obligations require consistent access to learning and fair appraisal, while record-keeping must be proportionate and secure (Equality and Human Rights Commission, 2015; Information Commissioner's Office, 2025). Economic uncertainty favours modular, low-cost interventions, although underinvestment can create operational errors. Technological efficiency should be tested against quality rather than assuming automated activity indicates relationship success.</w:t>
      </w:r>
    </w:p>
    <w:p w14:paraId="56D73805" w14:textId="77777777" w:rsidR="0098777A" w:rsidRPr="009632AB" w:rsidRDefault="001501D9">
      <w:pPr>
        <w:pStyle w:val="Heading1"/>
        <w:rPr>
          <w:rFonts w:ascii="Arial" w:hAnsi="Arial" w:cs="Arial"/>
        </w:rPr>
      </w:pPr>
      <w:bookmarkStart w:id="8" w:name="_Toc242012572"/>
      <w:r w:rsidRPr="009632AB">
        <w:rPr>
          <w:rFonts w:ascii="Arial" w:hAnsi="Arial" w:cs="Arial"/>
        </w:rPr>
        <w:t>4. Managing an individual's personal-development expectations</w:t>
      </w:r>
      <w:bookmarkEnd w:id="8"/>
    </w:p>
    <w:p w14:paraId="198D0477" w14:textId="77777777" w:rsidR="0098777A" w:rsidRPr="009632AB" w:rsidRDefault="001501D9">
      <w:pPr>
        <w:pStyle w:val="Heading2"/>
        <w:rPr>
          <w:rFonts w:ascii="Arial" w:hAnsi="Arial" w:cs="Arial"/>
        </w:rPr>
      </w:pPr>
      <w:bookmarkStart w:id="9" w:name="_Toc242012573"/>
      <w:r w:rsidRPr="009632AB">
        <w:rPr>
          <w:rFonts w:ascii="Arial" w:hAnsi="Arial" w:cs="Arial"/>
        </w:rPr>
        <w:t>4.1 Diagnose aspirations collaboratively rather than making assumptions</w:t>
      </w:r>
      <w:bookmarkEnd w:id="9"/>
    </w:p>
    <w:p w14:paraId="51F10B3E" w14:textId="77777777" w:rsidR="0098777A" w:rsidRPr="009632AB" w:rsidRDefault="001501D9">
      <w:pPr>
        <w:rPr>
          <w:rFonts w:ascii="Arial" w:hAnsi="Arial" w:cs="Arial"/>
        </w:rPr>
      </w:pPr>
      <w:r w:rsidRPr="009632AB">
        <w:rPr>
          <w:rFonts w:ascii="Arial" w:hAnsi="Arial" w:cs="Arial"/>
        </w:rPr>
        <w:t xml:space="preserve">Managing expectations begins with a private conversation about Employee A's preferred responsibilities, current confidence, constraints and career aspirations. Self-assessment, observed booking work, a competency checklist, colleague feedback and examples of client communication should be triangulated; no single manager judgement should determine a development label. Noe (1986) argues that trainee attitudes and </w:t>
      </w:r>
      <w:r w:rsidRPr="009632AB">
        <w:rPr>
          <w:rFonts w:ascii="Arial" w:hAnsi="Arial" w:cs="Arial"/>
        </w:rPr>
        <w:lastRenderedPageBreak/>
        <w:t xml:space="preserve">motivation shape training effectiveness, while Lent et al. (1994) emphasise self-efficacy, expected outcomes and goals in career development. A resourcer may value mastery and stability rather than progression to management. Management should therefore distinguish </w:t>
      </w:r>
      <w:r w:rsidRPr="009632AB">
        <w:rPr>
          <w:rFonts w:ascii="Arial" w:hAnsi="Arial" w:cs="Arial"/>
          <w:i/>
        </w:rPr>
        <w:t>willingness</w:t>
      </w:r>
      <w:r w:rsidRPr="009632AB">
        <w:rPr>
          <w:rFonts w:ascii="Arial" w:hAnsi="Arial" w:cs="Arial"/>
        </w:rPr>
        <w:t xml:space="preserve"> to develop from </w:t>
      </w:r>
      <w:r w:rsidRPr="009632AB">
        <w:rPr>
          <w:rFonts w:ascii="Arial" w:hAnsi="Arial" w:cs="Arial"/>
          <w:i/>
        </w:rPr>
        <w:t>readiness</w:t>
      </w:r>
      <w:r w:rsidRPr="009632AB">
        <w:rPr>
          <w:rFonts w:ascii="Arial" w:hAnsi="Arial" w:cs="Arial"/>
        </w:rPr>
        <w:t xml:space="preserve"> to take on additional responsibility.</w:t>
      </w:r>
    </w:p>
    <w:p w14:paraId="27492457" w14:textId="77777777" w:rsidR="0098777A" w:rsidRPr="009632AB" w:rsidRDefault="001501D9">
      <w:pPr>
        <w:rPr>
          <w:rFonts w:ascii="Arial" w:hAnsi="Arial" w:cs="Arial"/>
        </w:rPr>
      </w:pPr>
      <w:r w:rsidRPr="009632AB">
        <w:rPr>
          <w:rFonts w:ascii="Arial" w:hAnsi="Arial" w:cs="Arial"/>
        </w:rPr>
        <w:t>Holland's RIASEC theory offers one discussion prompt. Resourcing may draw on Social interests (supporting people), Enterprising interests (negotiating and influencing), and Conventional interests (accurate records). Holland (1997) proposed person-environment congruence as relevant to vocational satisfaction, and the ONET Interest Profiler provides a recognised application (National Center for O*NET Development, n.d.). Yet RIASEC must not be used as a hiring filter or assumed to diagnose Employee A. Job roles mix activities, interests change, and a self-report tool cannot substitute for observed ability. The outcome should be a conversation about engaging assignments, not a permanent classification.</w:t>
      </w:r>
    </w:p>
    <w:p w14:paraId="3C03D6C7" w14:textId="77777777" w:rsidR="0098777A" w:rsidRPr="009632AB" w:rsidRDefault="001501D9">
      <w:pPr>
        <w:rPr>
          <w:rFonts w:ascii="Arial" w:hAnsi="Arial" w:cs="Arial"/>
        </w:rPr>
      </w:pPr>
      <w:r w:rsidRPr="009632AB">
        <w:rPr>
          <w:rFonts w:ascii="Arial" w:hAnsi="Arial" w:cs="Arial"/>
        </w:rPr>
        <w:t xml:space="preserve">Schein's career-anchors framework provides a complementary explanation of </w:t>
      </w:r>
      <w:r w:rsidRPr="009632AB">
        <w:rPr>
          <w:rFonts w:ascii="Arial" w:hAnsi="Arial" w:cs="Arial"/>
          <w:i/>
        </w:rPr>
        <w:t>why</w:t>
      </w:r>
      <w:r w:rsidRPr="009632AB">
        <w:rPr>
          <w:rFonts w:ascii="Arial" w:hAnsi="Arial" w:cs="Arial"/>
        </w:rPr>
        <w:t xml:space="preserve"> an individual may prefer certain pathways. Eight anchors include technical/functional competence, general management, autonomy, security, entrepreneurial creativity, service, challenge and lifestyle (Schein, 1996; Massachusetts Institute of Technology, 2023). Employee A might prioritise technical confidence and job security before client-facing autonomy. However, career-anchor research has been criticised for theoretical and measurement limitations (Feldman &amp; Bolino, 1996). The two models should be treated as reflective lenses, never as objective proof of an individual's fixed personality.</w:t>
      </w:r>
    </w:p>
    <w:p w14:paraId="7A535A78" w14:textId="77777777" w:rsidR="0098777A" w:rsidRPr="009632AB" w:rsidRDefault="001501D9">
      <w:pPr>
        <w:pStyle w:val="Heading2"/>
        <w:rPr>
          <w:rFonts w:ascii="Arial" w:hAnsi="Arial" w:cs="Arial"/>
        </w:rPr>
      </w:pPr>
      <w:bookmarkStart w:id="10" w:name="_Toc242012574"/>
      <w:r w:rsidRPr="009632AB">
        <w:rPr>
          <w:rFonts w:ascii="Arial" w:hAnsi="Arial" w:cs="Arial"/>
        </w:rPr>
        <w:lastRenderedPageBreak/>
        <w:t>4.2 Negotiate realistic opportunities and a fair psychological contract</w:t>
      </w:r>
      <w:bookmarkEnd w:id="10"/>
    </w:p>
    <w:p w14:paraId="6AC2A70D" w14:textId="77777777" w:rsidR="0098777A" w:rsidRPr="009632AB" w:rsidRDefault="001501D9">
      <w:pPr>
        <w:rPr>
          <w:rFonts w:ascii="Arial" w:hAnsi="Arial" w:cs="Arial"/>
        </w:rPr>
      </w:pPr>
      <w:r w:rsidRPr="009632AB">
        <w:rPr>
          <w:rFonts w:ascii="Arial" w:hAnsi="Arial" w:cs="Arial"/>
        </w:rPr>
        <w:t>Three distinct expectations must be made explicit: the employee's aspiration, the job's current performance standard and the business's capacity to offer advancement. In an induction conversation, the manager can explain that demonstrating accurate bookings and independent candidate follow-up may create eligibility for wider responsibility, but does not guarantee promotion, commission or a new title. Expectancy-based motivation requires clarity about which effort is likely to produce performance and which outcomes the employer can legitimately provide (Vroom, 1964). Goals should be jointly formulated, stretching but attainable, and adjusted if staffing demands change (Locke &amp; Latham, 2002).</w:t>
      </w:r>
    </w:p>
    <w:p w14:paraId="488F887F" w14:textId="77777777" w:rsidR="009A6947" w:rsidRPr="009632AB" w:rsidRDefault="001501D9">
      <w:pPr>
        <w:rPr>
          <w:rFonts w:ascii="Arial" w:hAnsi="Arial" w:cs="Arial"/>
        </w:rPr>
      </w:pPr>
      <w:r w:rsidRPr="009632AB">
        <w:rPr>
          <w:rFonts w:ascii="Arial" w:hAnsi="Arial" w:cs="Arial"/>
        </w:rPr>
        <w:t>The manager's own communication approach is assertive: expectations are expressed clearly, issues addressed promptly and evidence is used to challenge missed steps. Constructive assertiveness should be separated from aggressive control. Listening, inviting disagreement and checking understanding counter the danger that a direct management style silences a less experienced colleague. An assertive manager might say that all Thursday handover details must be accurate while asking what barriers prevent completion. This balances accountability with autonomy and relatedness (Deci &amp; Ryan, 2000). Recorded agreements should include employee comments, training access, reasonable adjustments where applicable and review dates (</w:t>
      </w:r>
      <w:proofErr w:type="spellStart"/>
      <w:r w:rsidRPr="009632AB">
        <w:rPr>
          <w:rFonts w:ascii="Arial" w:hAnsi="Arial" w:cs="Arial"/>
        </w:rPr>
        <w:t>Acas</w:t>
      </w:r>
      <w:proofErr w:type="spellEnd"/>
      <w:r w:rsidRPr="009632AB">
        <w:rPr>
          <w:rFonts w:ascii="Arial" w:hAnsi="Arial" w:cs="Arial"/>
        </w:rPr>
        <w:t>, 2026).</w:t>
      </w:r>
    </w:p>
    <w:p w14:paraId="457443C2" w14:textId="77777777" w:rsidR="0098777A" w:rsidRPr="009632AB" w:rsidRDefault="001501D9">
      <w:pPr>
        <w:pStyle w:val="Heading2"/>
        <w:rPr>
          <w:rFonts w:ascii="Arial" w:hAnsi="Arial" w:cs="Arial"/>
        </w:rPr>
      </w:pPr>
      <w:bookmarkStart w:id="11" w:name="_Toc242012575"/>
      <w:r w:rsidRPr="009632AB">
        <w:rPr>
          <w:rFonts w:ascii="Arial" w:hAnsi="Arial" w:cs="Arial"/>
        </w:rPr>
        <w:t>4.3 Conflict stages, feedback and psychological safety</w:t>
      </w:r>
      <w:bookmarkEnd w:id="11"/>
    </w:p>
    <w:p w14:paraId="1858383B" w14:textId="77777777" w:rsidR="0098777A" w:rsidRPr="009632AB" w:rsidRDefault="001501D9">
      <w:pPr>
        <w:rPr>
          <w:rFonts w:ascii="Arial" w:hAnsi="Arial" w:cs="Arial"/>
        </w:rPr>
      </w:pPr>
      <w:r w:rsidRPr="009632AB">
        <w:rPr>
          <w:rFonts w:ascii="Arial" w:hAnsi="Arial" w:cs="Arial"/>
        </w:rPr>
        <w:t xml:space="preserve">Conflict can develop in recognisable stages: latent conditions (unclear responsibility or time pressure), perceived conflict (different interpretations), felt conflict (frustration), manifest conflict (argument, withdrawal or errors) and aftermath (repair or recurring </w:t>
      </w:r>
      <w:r w:rsidRPr="009632AB">
        <w:rPr>
          <w:rFonts w:ascii="Arial" w:hAnsi="Arial" w:cs="Arial"/>
        </w:rPr>
        <w:lastRenderedPageBreak/>
        <w:t>distrust) (Pondy, 1967). At Foresite, an incomplete weekend handover might begin as competing priorities, escalate when an urgent cover request is missed, and become personal if blame is assigned publicly. Early clarification of responsibility is preferable to waiting for a formal grievance.</w:t>
      </w:r>
    </w:p>
    <w:p w14:paraId="0B71DF3E" w14:textId="77777777" w:rsidR="0098777A" w:rsidRPr="009632AB" w:rsidRDefault="001501D9">
      <w:pPr>
        <w:rPr>
          <w:rFonts w:ascii="Arial" w:hAnsi="Arial" w:cs="Arial"/>
        </w:rPr>
      </w:pPr>
      <w:r w:rsidRPr="009632AB">
        <w:rPr>
          <w:rFonts w:ascii="Arial" w:hAnsi="Arial" w:cs="Arial"/>
        </w:rPr>
        <w:t>Thomas and Kilmann distinguish competing, collaborating, compromising, avoiding and accommodating as different balances of assertiveness and cooperation (Kilmann &amp; Thomas, 1977). An assertive manager may appropriately compete where compliance or candidate safety is non-negotiable, collaborate to redesign a handover, compromise over scheduling, accommodate a minor preference, and briefly avoid a heated exchange until a constructive discussion is possible. An exclusively competing style can damage trust; conversely, accommodating every breach undermines fairness. The appropriate sequence is to establish facts privately, hear both accounts, state required standards, agree actions, document proportionately and revisit outcomes. Serious allegations require established formal procedures rather than informal settlement (Acas, 2024, 2025).</w:t>
      </w:r>
    </w:p>
    <w:p w14:paraId="2A8DFCA8" w14:textId="77777777" w:rsidR="0098777A" w:rsidRPr="009632AB" w:rsidRDefault="001501D9">
      <w:pPr>
        <w:rPr>
          <w:rFonts w:ascii="Arial" w:hAnsi="Arial" w:cs="Arial"/>
        </w:rPr>
      </w:pPr>
      <w:r w:rsidRPr="009632AB">
        <w:rPr>
          <w:rFonts w:ascii="Arial" w:hAnsi="Arial" w:cs="Arial"/>
        </w:rPr>
        <w:t>Feedback should focus on observable actions: for example, whether essential booking fields were completed, not whether Employee A has a 'poor attitude'. Kluger and DeNisi (1996) found that feedback does not uniformly improve performance; some interventions reduce it. Short, specific coaching after a shift therefore offers advantages over accusatory weekly summaries, provided patterns and accountability remain documented. Employee feedback should also be recorded so the process is genuinely two-way.</w:t>
      </w:r>
    </w:p>
    <w:p w14:paraId="2422762D" w14:textId="77777777" w:rsidR="0098777A" w:rsidRPr="009632AB" w:rsidRDefault="001501D9">
      <w:pPr>
        <w:rPr>
          <w:rFonts w:ascii="Arial" w:hAnsi="Arial" w:cs="Arial"/>
        </w:rPr>
      </w:pPr>
      <w:r w:rsidRPr="009632AB">
        <w:rPr>
          <w:rFonts w:ascii="Arial" w:hAnsi="Arial" w:cs="Arial"/>
        </w:rPr>
        <w:lastRenderedPageBreak/>
        <w:t>Three competing considerations therefore shape expectation management: individual career fit, organisational opportunity and interpersonal fairness. Holland (1997) helps explore preferred activities, whereas Schein (1996) focuses on enduring career priorities; neither predicts vacancy availability or competence. Rousseau (1989) additionally explains why implied promises can damage trust. Consequently, an assertive but collaborative manager should document what is achievable now, what remains conditional and when both parties will reconsider the agreement.</w:t>
      </w:r>
    </w:p>
    <w:p w14:paraId="591C5837" w14:textId="77777777" w:rsidR="0098777A" w:rsidRPr="009632AB" w:rsidRDefault="001501D9">
      <w:pPr>
        <w:pStyle w:val="Heading1"/>
        <w:rPr>
          <w:rFonts w:ascii="Arial" w:hAnsi="Arial" w:cs="Arial"/>
        </w:rPr>
      </w:pPr>
      <w:bookmarkStart w:id="12" w:name="_Toc242012576"/>
      <w:r w:rsidRPr="009632AB">
        <w:rPr>
          <w:rFonts w:ascii="Arial" w:hAnsi="Arial" w:cs="Arial"/>
        </w:rPr>
        <w:t>5. Critical evaluation of development vehicles</w:t>
      </w:r>
      <w:bookmarkEnd w:id="12"/>
    </w:p>
    <w:p w14:paraId="2F7114D7" w14:textId="77777777" w:rsidR="0098777A" w:rsidRPr="009632AB" w:rsidRDefault="001501D9">
      <w:pPr>
        <w:pStyle w:val="Heading2"/>
        <w:rPr>
          <w:rFonts w:ascii="Arial" w:hAnsi="Arial" w:cs="Arial"/>
        </w:rPr>
      </w:pPr>
      <w:bookmarkStart w:id="13" w:name="_Toc242012577"/>
      <w:r w:rsidRPr="009632AB">
        <w:rPr>
          <w:rFonts w:ascii="Arial" w:hAnsi="Arial" w:cs="Arial"/>
        </w:rPr>
        <w:t>5.1 Structured induction and formal or digital learning</w:t>
      </w:r>
      <w:bookmarkEnd w:id="13"/>
    </w:p>
    <w:p w14:paraId="2039544C" w14:textId="77777777" w:rsidR="0098777A" w:rsidRDefault="001501D9">
      <w:pPr>
        <w:rPr>
          <w:rFonts w:ascii="Arial" w:hAnsi="Arial" w:cs="Arial"/>
        </w:rPr>
      </w:pPr>
      <w:r w:rsidRPr="009632AB">
        <w:rPr>
          <w:rFonts w:ascii="Arial" w:hAnsi="Arial" w:cs="Arial"/>
        </w:rPr>
        <w:t>Formal instruction is appropriate for non-negotiable knowledge: candidate right-to-work checking, confidentiality, relevant New Homes training requirements, booking rules, escalation procedures and basic CRM accuracy. Standard materials can produce consistency across shifts and reduce the risk of individual mentors sharing contradictory practices. Its weaknesses are information overload, time away from productive work and the false assumption that passing a quiz establishes competence. Evidence-based training design requires practical rehearsal, feedback and support after the course (Salas et al., 2012; CIPD, n.d.). Employee A should therefore complete brief modules followed by simulated booking scenarios and supervised real tasks.</w:t>
      </w:r>
    </w:p>
    <w:p w14:paraId="5263B96E" w14:textId="77777777" w:rsidR="00D716DE" w:rsidRDefault="00D716DE">
      <w:pPr>
        <w:rPr>
          <w:rFonts w:ascii="Arial" w:hAnsi="Arial" w:cs="Arial"/>
        </w:rPr>
      </w:pPr>
    </w:p>
    <w:p w14:paraId="56CD9849" w14:textId="77777777" w:rsidR="00D716DE" w:rsidRDefault="00D716DE">
      <w:pPr>
        <w:rPr>
          <w:rFonts w:ascii="Arial" w:hAnsi="Arial" w:cs="Arial"/>
        </w:rPr>
      </w:pPr>
    </w:p>
    <w:p w14:paraId="285814DE" w14:textId="77777777" w:rsidR="00D716DE" w:rsidRDefault="00D716DE">
      <w:pPr>
        <w:rPr>
          <w:rFonts w:ascii="Arial" w:hAnsi="Arial" w:cs="Arial"/>
        </w:rPr>
      </w:pPr>
    </w:p>
    <w:p w14:paraId="56255526" w14:textId="77777777" w:rsidR="00D716DE" w:rsidRPr="009632AB" w:rsidRDefault="00D716DE">
      <w:pPr>
        <w:rPr>
          <w:rFonts w:ascii="Arial" w:hAnsi="Arial" w:cs="Arial"/>
        </w:rPr>
      </w:pPr>
    </w:p>
    <w:p w14:paraId="71407E19" w14:textId="77777777" w:rsidR="0098777A" w:rsidRPr="00D716DE" w:rsidRDefault="001501D9">
      <w:pPr>
        <w:pStyle w:val="Heading2"/>
        <w:rPr>
          <w:rFonts w:ascii="Arial" w:hAnsi="Arial" w:cs="Arial"/>
        </w:rPr>
      </w:pPr>
      <w:bookmarkStart w:id="14" w:name="_Toc242012578"/>
      <w:r w:rsidRPr="00D716DE">
        <w:rPr>
          <w:rFonts w:ascii="Arial" w:hAnsi="Arial" w:cs="Arial"/>
        </w:rPr>
        <w:lastRenderedPageBreak/>
        <w:t>5.2 Coaching, mentoring and supervised experiential practice</w:t>
      </w:r>
      <w:bookmarkEnd w:id="14"/>
    </w:p>
    <w:p w14:paraId="5232897B" w14:textId="77777777" w:rsidR="0098777A" w:rsidRDefault="001501D9">
      <w:r>
        <w:t>One-to-one coaching offers tailored feedback on difficult calls, prioritisation, handling objections and clear client updates. Mentoring can explain tacit industry knowledge and professional expectations across a longer relationship (CIPD, 2025a). The GROW structure—goal, reality, options, will—may support reflective conversations, while reflective cycles encourage evaluation of decisions rather than rote repetition (Kolb, 1984). Coaching demands capable managers and protected time; an overly dominant manager can turn it into instructions disguised as questions. Mentors may also pass on outdated habits. A simple quality checklist and peer observation reduce these risks.</w:t>
      </w:r>
    </w:p>
    <w:p w14:paraId="77D10C05" w14:textId="77777777" w:rsidR="0098777A" w:rsidRDefault="001501D9">
      <w:r>
        <w:t>Supervised practice has the strongest immediate contextual relevance. Employee A can first shadow candidate screening, then conduct calls with feedback, and finally manage an agreed portfolio with independent spot checks. Workplace learning research highlights the importance of informal opportunities but also their uneven access (Eraut, 2004). For this reason, practice should be planned rather than dependent on whichever assignment happens to arise. A trainee should not be given unsupervised high-risk compliance decisions purely to accelerate independence.</w:t>
      </w:r>
    </w:p>
    <w:p w14:paraId="29C721F1" w14:textId="77777777" w:rsidR="0098777A" w:rsidRPr="009632AB" w:rsidRDefault="001501D9">
      <w:pPr>
        <w:pStyle w:val="Heading2"/>
        <w:rPr>
          <w:rFonts w:ascii="Arial" w:hAnsi="Arial" w:cs="Arial"/>
        </w:rPr>
      </w:pPr>
      <w:bookmarkStart w:id="15" w:name="_Toc242012579"/>
      <w:r w:rsidRPr="009632AB">
        <w:rPr>
          <w:rFonts w:ascii="Arial" w:hAnsi="Arial" w:cs="Arial"/>
        </w:rPr>
        <w:t>5.3 Peer learning, cross-training and qualifications</w:t>
      </w:r>
      <w:bookmarkEnd w:id="15"/>
    </w:p>
    <w:p w14:paraId="576DD36C" w14:textId="77777777" w:rsidR="0098777A" w:rsidRPr="009632AB" w:rsidRDefault="001501D9">
      <w:pPr>
        <w:rPr>
          <w:rFonts w:ascii="Arial" w:hAnsi="Arial" w:cs="Arial"/>
        </w:rPr>
      </w:pPr>
      <w:r w:rsidRPr="009632AB">
        <w:rPr>
          <w:rFonts w:ascii="Arial" w:hAnsi="Arial" w:cs="Arial"/>
        </w:rPr>
        <w:t xml:space="preserve">Peer case reviews and cross-training between resourcing, temporary bookings and administrative handovers could develop shared mental models and resilience. Tuckman's (1965) model suggests groups may move through forming, storming, norming and performing, although real teams do not reliably progress in a fixed order. Cross-functional reviews can reveal hidden process problems; their weaknesses are coordination cost and groupthink. External qualifications or professional development </w:t>
      </w:r>
      <w:r w:rsidRPr="009632AB">
        <w:rPr>
          <w:rFonts w:ascii="Arial" w:hAnsi="Arial" w:cs="Arial"/>
        </w:rPr>
        <w:lastRenderedPageBreak/>
        <w:t>can build broad career capability, but may be disproportionate when the immediate problem is accurate data entry or timely escalation. Development vehicles therefore need to be selected by the cause of the gap, not their perceived prestige.</w:t>
      </w:r>
    </w:p>
    <w:p w14:paraId="2B54AAE8" w14:textId="77777777" w:rsidR="0098777A" w:rsidRPr="009632AB" w:rsidRDefault="001501D9">
      <w:pPr>
        <w:rPr>
          <w:rFonts w:ascii="Arial" w:hAnsi="Arial" w:cs="Arial"/>
        </w:rPr>
      </w:pPr>
      <w:r w:rsidRPr="009632AB">
        <w:rPr>
          <w:rFonts w:ascii="Arial" w:hAnsi="Arial" w:cs="Arial"/>
        </w:rPr>
        <w:t>A useful comparison is to judge interventions against five criteria: relevance, transfer, time and cost, accessibility, and evidential strength. Formal modules score highly for consistency but less highly for contextual transfer; coaching is flexible but manager-dependent; supervised practice supports real transfer but needs close quality control; external study supports succession but has a delayed return. Research on training transfer indicates that supportive supervision, opportunities to apply learning and sustained follow-up matter substantially (Baldwin &amp; Ford, 1988; Blume et al., 2010; Burke &amp; Hutchins, 2007). An integrated blend is preferable to adopting a single preferred 'learning style'. Reviews have found insufficient evidence for matching teaching strictly to fixed visual, auditory or kinaesthetic learner types (Pashler et al., 2008).</w:t>
      </w:r>
    </w:p>
    <w:p w14:paraId="6A2D437F" w14:textId="77777777" w:rsidR="0098777A" w:rsidRPr="009632AB" w:rsidRDefault="001501D9">
      <w:pPr>
        <w:pStyle w:val="Heading2"/>
        <w:rPr>
          <w:rFonts w:ascii="Arial" w:hAnsi="Arial" w:cs="Arial"/>
        </w:rPr>
      </w:pPr>
      <w:bookmarkStart w:id="16" w:name="_Toc242012580"/>
      <w:r w:rsidRPr="009632AB">
        <w:rPr>
          <w:rFonts w:ascii="Arial" w:hAnsi="Arial" w:cs="Arial"/>
        </w:rPr>
        <w:t>5.4 Evaluation, fairness and limitations</w:t>
      </w:r>
      <w:bookmarkEnd w:id="16"/>
    </w:p>
    <w:p w14:paraId="65834856" w14:textId="77777777" w:rsidR="0098777A" w:rsidRPr="009632AB" w:rsidRDefault="001501D9">
      <w:pPr>
        <w:rPr>
          <w:rFonts w:ascii="Arial" w:hAnsi="Arial" w:cs="Arial"/>
        </w:rPr>
      </w:pPr>
      <w:r w:rsidRPr="009632AB">
        <w:rPr>
          <w:rFonts w:ascii="Arial" w:hAnsi="Arial" w:cs="Arial"/>
        </w:rPr>
        <w:t xml:space="preserve">Kirkpatrick-style evaluation asks whether participants valued learning, acquired knowledge, changed workplace behaviour and achieved relevant results (Kirkpatrick &amp; Kirkpatrick, 2006). In Foresite, positive trainee feedback is insufficient unless booking accuracy and handover quality subsequently improve. Evidence should combine sampled records, colleague observations, error trends and client comments while accounting for seasonal differences and case complexity. ROI claims should not attribute every improvement to training. Appraisal systems themselves may distort </w:t>
      </w:r>
      <w:r w:rsidRPr="009632AB">
        <w:rPr>
          <w:rFonts w:ascii="Arial" w:hAnsi="Arial" w:cs="Arial"/>
        </w:rPr>
        <w:lastRenderedPageBreak/>
        <w:t>behaviour if narrow targets encourage rapid but incomplete placements (DeNisi &amp; Murphy, 2017).</w:t>
      </w:r>
    </w:p>
    <w:p w14:paraId="787AE5FA" w14:textId="77777777" w:rsidR="0098777A" w:rsidRPr="009632AB" w:rsidRDefault="001501D9">
      <w:pPr>
        <w:rPr>
          <w:rFonts w:ascii="Arial" w:hAnsi="Arial" w:cs="Arial"/>
        </w:rPr>
      </w:pPr>
      <w:r w:rsidRPr="009632AB">
        <w:rPr>
          <w:rFonts w:ascii="Arial" w:hAnsi="Arial" w:cs="Arial"/>
        </w:rPr>
        <w:t>Fairness requires all comparable resourcers to know the competency criteria and have similar chances to access coaching. Candidate and staff records should be confidential, limited to legitimate purposes and retained under applicable company policy. Individual performance should not be compared using public leaderboards containing sensitive remarks; the employee should see and correct factual records. Development opportunities and adjustments must be consistent with equality and employment responsibilities (Information Commissioner's Office, 2025; Equality and Human Rights Commission, 2015; Acas, 2026).</w:t>
      </w:r>
    </w:p>
    <w:p w14:paraId="1DD5A6C0" w14:textId="77777777" w:rsidR="0098777A" w:rsidRPr="009632AB" w:rsidRDefault="001501D9">
      <w:pPr>
        <w:rPr>
          <w:rFonts w:ascii="Arial" w:hAnsi="Arial" w:cs="Arial"/>
        </w:rPr>
      </w:pPr>
      <w:r w:rsidRPr="009632AB">
        <w:rPr>
          <w:rFonts w:ascii="Arial" w:hAnsi="Arial" w:cs="Arial"/>
        </w:rPr>
        <w:t>The evaluation yields three practical judgements. Formal instruction is preferable where a consistent legal or procedural standard is required; coaching and supervised practice are more defensible for contextual judgement; peer learning supports handover continuity. However, transfer depends on follow-up and a supportive work setting rather than delivery method alone (Salas et al., 2012; Blume et al., 2010). A blended programme is justified only when assessed against observable deficiencies and equal access, not assumptions about fixed learning styles (Pashler et al., 2008).</w:t>
      </w:r>
    </w:p>
    <w:p w14:paraId="286AE234" w14:textId="77777777" w:rsidR="0098777A" w:rsidRPr="009632AB" w:rsidRDefault="001501D9">
      <w:pPr>
        <w:pStyle w:val="Heading1"/>
        <w:rPr>
          <w:rFonts w:ascii="Arial" w:hAnsi="Arial" w:cs="Arial"/>
        </w:rPr>
      </w:pPr>
      <w:bookmarkStart w:id="17" w:name="_Toc242012581"/>
      <w:r w:rsidRPr="009632AB">
        <w:rPr>
          <w:rFonts w:ascii="Arial" w:hAnsi="Arial" w:cs="Arial"/>
        </w:rPr>
        <w:t>6. Detailed 12-week individual development and performance plan</w:t>
      </w:r>
      <w:bookmarkEnd w:id="17"/>
    </w:p>
    <w:p w14:paraId="27749F30" w14:textId="77777777" w:rsidR="00896E49" w:rsidRPr="009632AB" w:rsidRDefault="004C336C" w:rsidP="00896E49">
      <w:pPr>
        <w:rPr>
          <w:rFonts w:ascii="Arial" w:hAnsi="Arial" w:cs="Arial"/>
        </w:rPr>
      </w:pPr>
      <w:r w:rsidRPr="009632AB">
        <w:rPr>
          <w:rFonts w:ascii="Arial" w:hAnsi="Arial" w:cs="Arial"/>
        </w:rPr>
        <w:t>The proposed 12-week development plan provides Foresite Recruitment with a structured approach to assessing individual performance, identifying development needs and monitoring improvements. Performance would be measured through booking accuracy, communication standards and handover compliance, supported by regular feedback and performance reviews.</w:t>
      </w:r>
    </w:p>
    <w:p w14:paraId="400BB40D" w14:textId="77777777" w:rsidR="004C336C" w:rsidRPr="009632AB" w:rsidRDefault="004C336C" w:rsidP="004C336C">
      <w:pPr>
        <w:rPr>
          <w:rFonts w:ascii="Arial" w:hAnsi="Arial" w:cs="Arial"/>
          <w:lang w:val="en-GB"/>
        </w:rPr>
      </w:pPr>
      <w:r w:rsidRPr="009632AB">
        <w:rPr>
          <w:rFonts w:ascii="Arial" w:hAnsi="Arial" w:cs="Arial"/>
          <w:b/>
          <w:lang w:val="en-GB"/>
        </w:rPr>
        <w:lastRenderedPageBreak/>
        <w:t>Figure 1</w:t>
      </w:r>
    </w:p>
    <w:p w14:paraId="1C0738BB" w14:textId="012662E7" w:rsidR="004C336C" w:rsidRPr="009632AB" w:rsidRDefault="004C336C" w:rsidP="004C336C">
      <w:pPr>
        <w:rPr>
          <w:rFonts w:ascii="Arial" w:hAnsi="Arial" w:cs="Arial"/>
          <w:lang w:val="en-GB"/>
        </w:rPr>
      </w:pPr>
      <w:r w:rsidRPr="009632AB">
        <w:rPr>
          <w:rFonts w:ascii="Arial" w:hAnsi="Arial" w:cs="Arial"/>
          <w:i/>
          <w:lang w:val="en-GB"/>
        </w:rPr>
        <w:t>Illustrative Employee Performance Progress Over a 12-Week Development Period</w:t>
      </w:r>
    </w:p>
    <w:p w14:paraId="5C1827E3" w14:textId="1280F534" w:rsidR="008E226B" w:rsidRPr="009632AB" w:rsidRDefault="00C5587C">
      <w:pPr>
        <w:rPr>
          <w:rFonts w:ascii="Arial" w:hAnsi="Arial" w:cs="Arial"/>
        </w:rPr>
      </w:pPr>
      <w:r>
        <w:rPr>
          <w:noProof/>
        </w:rPr>
        <w:drawing>
          <wp:inline distT="0" distB="0" distL="0" distR="0" wp14:anchorId="784B7FB3" wp14:editId="6B0B072C">
            <wp:extent cx="5943600" cy="2001520"/>
            <wp:effectExtent l="0" t="0" r="0" b="17780"/>
            <wp:docPr id="710241507" name="Chart 1">
              <a:extLst xmlns:a="http://schemas.openxmlformats.org/drawingml/2006/main">
                <a:ext uri="{FF2B5EF4-FFF2-40B4-BE49-F238E27FC236}">
                  <a16:creationId xmlns:a16="http://schemas.microsoft.com/office/drawing/2014/main" id="{00000000-0008-0000-0000-000002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25BF1405" w14:textId="77777777" w:rsidR="004C336C" w:rsidRPr="009632AB" w:rsidRDefault="004C336C" w:rsidP="00896E49">
      <w:pPr>
        <w:rPr>
          <w:rFonts w:ascii="Arial" w:hAnsi="Arial" w:cs="Arial"/>
        </w:rPr>
      </w:pPr>
    </w:p>
    <w:p w14:paraId="2E6FD484" w14:textId="77777777" w:rsidR="004C336C" w:rsidRPr="009632AB" w:rsidRDefault="004C336C" w:rsidP="004C336C">
      <w:pPr>
        <w:rPr>
          <w:rFonts w:ascii="Arial" w:hAnsi="Arial" w:cs="Arial"/>
          <w:lang w:val="en-GB"/>
        </w:rPr>
      </w:pPr>
      <w:r w:rsidRPr="009632AB">
        <w:rPr>
          <w:rFonts w:ascii="Arial" w:hAnsi="Arial" w:cs="Arial"/>
          <w:lang w:val="en-GB"/>
        </w:rPr>
        <w:t>As illustrated in Figure 1, the proposed performance indicators provide a structured method for assessing employee development over a 12-week period. Regular reviews would enable management to identify development gaps and provide timely feedback. This supports Locke and Latham’s (2002) goal-setting theory, which emphasises the importance of clear and measurable objectives.</w:t>
      </w:r>
    </w:p>
    <w:p w14:paraId="1338977C" w14:textId="77777777" w:rsidR="004C336C" w:rsidRPr="009632AB" w:rsidRDefault="004C336C" w:rsidP="004C336C">
      <w:pPr>
        <w:rPr>
          <w:rFonts w:ascii="Arial" w:hAnsi="Arial" w:cs="Arial"/>
          <w:lang w:val="en-GB"/>
        </w:rPr>
      </w:pPr>
      <w:r w:rsidRPr="009632AB">
        <w:rPr>
          <w:rFonts w:ascii="Arial" w:hAnsi="Arial" w:cs="Arial"/>
          <w:lang w:val="en-GB"/>
        </w:rPr>
        <w:t>However, quantitative indicators may not fully reflect improvements in confidence, collaboration and interpersonal skills. Therefore, these measures should be supported by one-to-one reviews, coaching observations and feedback from colleagues.</w:t>
      </w:r>
    </w:p>
    <w:p w14:paraId="7D18271E" w14:textId="77777777" w:rsidR="0098777A" w:rsidRPr="009632AB" w:rsidRDefault="001501D9">
      <w:pPr>
        <w:pStyle w:val="Heading2"/>
        <w:rPr>
          <w:rFonts w:ascii="Arial" w:hAnsi="Arial" w:cs="Arial"/>
        </w:rPr>
      </w:pPr>
      <w:bookmarkStart w:id="18" w:name="_Toc242012582"/>
      <w:r w:rsidRPr="009632AB">
        <w:rPr>
          <w:rFonts w:ascii="Arial" w:hAnsi="Arial" w:cs="Arial"/>
        </w:rPr>
        <w:t>6.1 Baseline, objectives and accountability</w:t>
      </w:r>
      <w:bookmarkEnd w:id="18"/>
    </w:p>
    <w:p w14:paraId="22A19725" w14:textId="77777777" w:rsidR="0098777A" w:rsidRPr="009632AB" w:rsidRDefault="001501D9">
      <w:pPr>
        <w:rPr>
          <w:rFonts w:ascii="Arial" w:hAnsi="Arial" w:cs="Arial"/>
        </w:rPr>
      </w:pPr>
      <w:r w:rsidRPr="009632AB">
        <w:rPr>
          <w:rFonts w:ascii="Arial" w:hAnsi="Arial" w:cs="Arial"/>
        </w:rPr>
        <w:t xml:space="preserve">Employee A's proposed learning needs are (1) consistent booking and candidate-record accuracy, (2) confident, respectful communication and conflict de-escalation, and (3) independent prioritisation and dependable handovers. These are illustrative needs awaiting a baseline assessment, not findings about an actual employee. During week 1, the manager and employee should jointly review a small representative sample of tasks, </w:t>
      </w:r>
      <w:r w:rsidRPr="009632AB">
        <w:rPr>
          <w:rFonts w:ascii="Arial" w:hAnsi="Arial" w:cs="Arial"/>
        </w:rPr>
        <w:lastRenderedPageBreak/>
        <w:t>examine training history, clarify any accessibility needs and record Employee A's career preferences. A role-specific competence matrix using behavioural descriptions should distinguish 'observes', 'performs with supervision' and 'performs independently'. Colquitt et al. (2001) support the importance of procedural and interpersonal fairness; a transparent baseline is therefore preferable to undocumented impressions.</w:t>
      </w:r>
    </w:p>
    <w:p w14:paraId="2C3039FD" w14:textId="77777777" w:rsidR="00BE6B98" w:rsidRDefault="001501D9">
      <w:pPr>
        <w:rPr>
          <w:rFonts w:ascii="Arial" w:hAnsi="Arial" w:cs="Arial"/>
        </w:rPr>
      </w:pPr>
      <w:r w:rsidRPr="009632AB">
        <w:rPr>
          <w:rFonts w:ascii="Arial" w:hAnsi="Arial" w:cs="Arial"/>
        </w:rPr>
        <w:t>The plan uses SMART goals and implementation prompts ('when a shift is confirmed, check X, record Y and communicate Z') because specific goals aid self-regulation and help translate intentions into action (Locke &amp; Latham, 2002; Gollwitzer, 1999). The illustrative targets below are subject to renegotiation after baseline sampling. The temp-desk manager owns coaching and quality assurance; Employee A owns practice and self-reflection; relevant colleagues validate handover effectiveness. Reviews occur weekly for four weeks, fortnightly to week 8, and formally at week 12.</w:t>
      </w:r>
    </w:p>
    <w:p w14:paraId="653CD0AA" w14:textId="77777777" w:rsidR="001570B6" w:rsidRDefault="001570B6">
      <w:pPr>
        <w:rPr>
          <w:rFonts w:ascii="Arial" w:hAnsi="Arial" w:cs="Arial"/>
        </w:rPr>
      </w:pPr>
    </w:p>
    <w:p w14:paraId="40291746" w14:textId="77777777" w:rsidR="001570B6" w:rsidRDefault="001570B6">
      <w:pPr>
        <w:rPr>
          <w:rFonts w:ascii="Arial" w:hAnsi="Arial" w:cs="Arial"/>
        </w:rPr>
      </w:pPr>
    </w:p>
    <w:p w14:paraId="2B7412A3" w14:textId="77777777" w:rsidR="001570B6" w:rsidRDefault="001570B6">
      <w:pPr>
        <w:rPr>
          <w:rFonts w:ascii="Arial" w:hAnsi="Arial" w:cs="Arial"/>
        </w:rPr>
      </w:pPr>
    </w:p>
    <w:p w14:paraId="2FA3741D" w14:textId="77777777" w:rsidR="001570B6" w:rsidRDefault="001570B6">
      <w:pPr>
        <w:rPr>
          <w:rFonts w:ascii="Arial" w:hAnsi="Arial" w:cs="Arial"/>
        </w:rPr>
      </w:pPr>
    </w:p>
    <w:p w14:paraId="6F59F197" w14:textId="77777777" w:rsidR="001570B6" w:rsidRDefault="001570B6">
      <w:pPr>
        <w:rPr>
          <w:rFonts w:ascii="Arial" w:hAnsi="Arial" w:cs="Arial"/>
        </w:rPr>
      </w:pPr>
    </w:p>
    <w:p w14:paraId="2D46F569" w14:textId="77777777" w:rsidR="001570B6" w:rsidRDefault="001570B6">
      <w:pPr>
        <w:rPr>
          <w:rFonts w:ascii="Arial" w:hAnsi="Arial" w:cs="Arial"/>
        </w:rPr>
      </w:pPr>
    </w:p>
    <w:p w14:paraId="0B258BCE" w14:textId="77777777" w:rsidR="001570B6" w:rsidRDefault="001570B6">
      <w:pPr>
        <w:rPr>
          <w:rFonts w:ascii="Arial" w:hAnsi="Arial" w:cs="Arial"/>
        </w:rPr>
      </w:pPr>
    </w:p>
    <w:p w14:paraId="10795841" w14:textId="77777777" w:rsidR="001570B6" w:rsidRDefault="001570B6">
      <w:pPr>
        <w:rPr>
          <w:rFonts w:ascii="Arial" w:hAnsi="Arial" w:cs="Arial"/>
        </w:rPr>
      </w:pPr>
    </w:p>
    <w:p w14:paraId="79BD9633" w14:textId="77777777" w:rsidR="001570B6" w:rsidRPr="009632AB" w:rsidRDefault="001570B6">
      <w:pPr>
        <w:rPr>
          <w:rFonts w:ascii="Arial" w:hAnsi="Arial" w:cs="Arial"/>
        </w:rPr>
      </w:pPr>
    </w:p>
    <w:p w14:paraId="512D66B1" w14:textId="77777777" w:rsidR="0098777A" w:rsidRPr="009632AB" w:rsidRDefault="001501D9">
      <w:pPr>
        <w:pStyle w:val="Heading2"/>
        <w:rPr>
          <w:rFonts w:ascii="Arial" w:hAnsi="Arial" w:cs="Arial"/>
        </w:rPr>
      </w:pPr>
      <w:bookmarkStart w:id="19" w:name="_Toc242012583"/>
      <w:r w:rsidRPr="009632AB">
        <w:rPr>
          <w:rFonts w:ascii="Arial" w:hAnsi="Arial" w:cs="Arial"/>
        </w:rPr>
        <w:lastRenderedPageBreak/>
        <w:t>6.2 Development action plan</w:t>
      </w:r>
      <w:bookmarkEnd w:id="19"/>
    </w:p>
    <w:p w14:paraId="78F304FD" w14:textId="2B023A0A" w:rsidR="001570B6" w:rsidRDefault="004C336C" w:rsidP="004C336C">
      <w:pPr>
        <w:rPr>
          <w:rFonts w:ascii="Arial" w:hAnsi="Arial" w:cs="Arial"/>
          <w:lang w:val="en-GB"/>
        </w:rPr>
      </w:pPr>
      <w:r w:rsidRPr="009632AB">
        <w:rPr>
          <w:rFonts w:ascii="Arial" w:hAnsi="Arial" w:cs="Arial"/>
          <w:lang w:val="en-GB"/>
        </w:rPr>
        <w:t>Performance should also be evaluated against agreed standards to establish whether the development activities have achieved the intended outcomes.</w:t>
      </w:r>
    </w:p>
    <w:p w14:paraId="3F2B5D7E" w14:textId="77777777" w:rsidR="001570B6" w:rsidRPr="001570B6" w:rsidRDefault="001570B6" w:rsidP="004C336C">
      <w:pPr>
        <w:rPr>
          <w:rFonts w:ascii="Arial" w:hAnsi="Arial" w:cs="Arial"/>
          <w:lang w:val="en-GB"/>
        </w:rPr>
      </w:pPr>
    </w:p>
    <w:tbl>
      <w:tblPr>
        <w:tblStyle w:val="TableGrid"/>
        <w:tblW w:w="0" w:type="auto"/>
        <w:jc w:val="center"/>
        <w:tblLook w:val="04A0" w:firstRow="1" w:lastRow="0" w:firstColumn="1" w:lastColumn="0" w:noHBand="0" w:noVBand="1"/>
      </w:tblPr>
      <w:tblGrid>
        <w:gridCol w:w="2338"/>
        <w:gridCol w:w="2339"/>
        <w:gridCol w:w="2336"/>
        <w:gridCol w:w="2337"/>
      </w:tblGrid>
      <w:tr w:rsidR="0098777A" w:rsidRPr="009632AB" w14:paraId="012F6A90" w14:textId="77777777">
        <w:trPr>
          <w:tblHeader/>
          <w:jc w:val="center"/>
        </w:trPr>
        <w:tc>
          <w:tcPr>
            <w:tcW w:w="2340" w:type="dxa"/>
            <w:shd w:val="clear" w:color="auto" w:fill="E7EBEF"/>
            <w:vAlign w:val="center"/>
          </w:tcPr>
          <w:p w14:paraId="5DCF167B" w14:textId="77777777" w:rsidR="0098777A" w:rsidRPr="001570B6" w:rsidRDefault="001501D9">
            <w:pPr>
              <w:spacing w:after="60" w:line="276" w:lineRule="auto"/>
              <w:rPr>
                <w:rFonts w:ascii="Arial" w:hAnsi="Arial" w:cs="Arial"/>
                <w:szCs w:val="24"/>
              </w:rPr>
            </w:pPr>
            <w:r w:rsidRPr="001570B6">
              <w:rPr>
                <w:rFonts w:ascii="Arial" w:hAnsi="Arial" w:cs="Arial"/>
                <w:b/>
                <w:szCs w:val="24"/>
              </w:rPr>
              <w:t>Need, outcome and evidence</w:t>
            </w:r>
          </w:p>
        </w:tc>
        <w:tc>
          <w:tcPr>
            <w:tcW w:w="2340" w:type="dxa"/>
            <w:shd w:val="clear" w:color="auto" w:fill="E7EBEF"/>
            <w:vAlign w:val="center"/>
          </w:tcPr>
          <w:p w14:paraId="6C9E6384" w14:textId="77777777" w:rsidR="0098777A" w:rsidRPr="001570B6" w:rsidRDefault="001501D9">
            <w:pPr>
              <w:spacing w:after="60" w:line="276" w:lineRule="auto"/>
              <w:rPr>
                <w:rFonts w:ascii="Arial" w:hAnsi="Arial" w:cs="Arial"/>
                <w:szCs w:val="24"/>
              </w:rPr>
            </w:pPr>
            <w:r w:rsidRPr="001570B6">
              <w:rPr>
                <w:rFonts w:ascii="Arial" w:hAnsi="Arial" w:cs="Arial"/>
                <w:b/>
                <w:szCs w:val="24"/>
              </w:rPr>
              <w:t>Actions and support</w:t>
            </w:r>
          </w:p>
        </w:tc>
        <w:tc>
          <w:tcPr>
            <w:tcW w:w="2340" w:type="dxa"/>
            <w:shd w:val="clear" w:color="auto" w:fill="E7EBEF"/>
            <w:vAlign w:val="center"/>
          </w:tcPr>
          <w:p w14:paraId="135CC24E" w14:textId="77777777" w:rsidR="0098777A" w:rsidRPr="001570B6" w:rsidRDefault="001501D9">
            <w:pPr>
              <w:spacing w:after="60" w:line="276" w:lineRule="auto"/>
              <w:rPr>
                <w:rFonts w:ascii="Arial" w:hAnsi="Arial" w:cs="Arial"/>
                <w:szCs w:val="24"/>
              </w:rPr>
            </w:pPr>
            <w:r w:rsidRPr="001570B6">
              <w:rPr>
                <w:rFonts w:ascii="Arial" w:hAnsi="Arial" w:cs="Arial"/>
                <w:b/>
                <w:szCs w:val="24"/>
              </w:rPr>
              <w:t>Timescale and owner</w:t>
            </w:r>
          </w:p>
        </w:tc>
        <w:tc>
          <w:tcPr>
            <w:tcW w:w="2340" w:type="dxa"/>
            <w:shd w:val="clear" w:color="auto" w:fill="E7EBEF"/>
            <w:vAlign w:val="center"/>
          </w:tcPr>
          <w:p w14:paraId="6896EDD8" w14:textId="77777777" w:rsidR="0098777A" w:rsidRPr="001570B6" w:rsidRDefault="001501D9">
            <w:pPr>
              <w:spacing w:after="60" w:line="276" w:lineRule="auto"/>
              <w:rPr>
                <w:rFonts w:ascii="Arial" w:hAnsi="Arial" w:cs="Arial"/>
                <w:szCs w:val="24"/>
              </w:rPr>
            </w:pPr>
            <w:r w:rsidRPr="001570B6">
              <w:rPr>
                <w:rFonts w:ascii="Arial" w:hAnsi="Arial" w:cs="Arial"/>
                <w:b/>
                <w:szCs w:val="24"/>
              </w:rPr>
              <w:t>Proposed success test</w:t>
            </w:r>
          </w:p>
        </w:tc>
      </w:tr>
      <w:tr w:rsidR="0098777A" w:rsidRPr="009632AB" w14:paraId="7668D0CA" w14:textId="77777777">
        <w:trPr>
          <w:jc w:val="center"/>
        </w:trPr>
        <w:tc>
          <w:tcPr>
            <w:tcW w:w="2340" w:type="dxa"/>
            <w:vAlign w:val="center"/>
          </w:tcPr>
          <w:p w14:paraId="1317C9CB" w14:textId="77777777" w:rsidR="0098777A" w:rsidRPr="001570B6" w:rsidRDefault="001501D9">
            <w:pPr>
              <w:spacing w:after="60" w:line="276" w:lineRule="auto"/>
              <w:rPr>
                <w:rFonts w:ascii="Arial" w:hAnsi="Arial" w:cs="Arial"/>
                <w:szCs w:val="24"/>
              </w:rPr>
            </w:pPr>
            <w:r w:rsidRPr="001570B6">
              <w:rPr>
                <w:rFonts w:ascii="Arial" w:hAnsi="Arial" w:cs="Arial"/>
                <w:szCs w:val="24"/>
              </w:rPr>
              <w:t>Records and compliance: correct information and audit trail</w:t>
            </w:r>
          </w:p>
        </w:tc>
        <w:tc>
          <w:tcPr>
            <w:tcW w:w="2340" w:type="dxa"/>
            <w:vAlign w:val="center"/>
          </w:tcPr>
          <w:p w14:paraId="12A51C0F" w14:textId="77777777" w:rsidR="0098777A" w:rsidRPr="001570B6" w:rsidRDefault="001501D9">
            <w:pPr>
              <w:spacing w:after="60" w:line="276" w:lineRule="auto"/>
              <w:rPr>
                <w:rFonts w:ascii="Arial" w:hAnsi="Arial" w:cs="Arial"/>
                <w:szCs w:val="24"/>
              </w:rPr>
            </w:pPr>
            <w:r w:rsidRPr="001570B6">
              <w:rPr>
                <w:rFonts w:ascii="Arial" w:hAnsi="Arial" w:cs="Arial"/>
                <w:szCs w:val="24"/>
              </w:rPr>
              <w:t>Review policies, observe examples, practise in CRM, use mandatory checklist and manager spot checks</w:t>
            </w:r>
          </w:p>
        </w:tc>
        <w:tc>
          <w:tcPr>
            <w:tcW w:w="2340" w:type="dxa"/>
            <w:vAlign w:val="center"/>
          </w:tcPr>
          <w:p w14:paraId="633229FA" w14:textId="77777777" w:rsidR="0098777A" w:rsidRPr="001570B6" w:rsidRDefault="001501D9">
            <w:pPr>
              <w:spacing w:after="60" w:line="276" w:lineRule="auto"/>
              <w:rPr>
                <w:rFonts w:ascii="Arial" w:hAnsi="Arial" w:cs="Arial"/>
                <w:szCs w:val="24"/>
              </w:rPr>
            </w:pPr>
            <w:r w:rsidRPr="001570B6">
              <w:rPr>
                <w:rFonts w:ascii="Arial" w:hAnsi="Arial" w:cs="Arial"/>
                <w:szCs w:val="24"/>
              </w:rPr>
              <w:t>Weeks 1–4; resourcer with manager</w:t>
            </w:r>
          </w:p>
        </w:tc>
        <w:tc>
          <w:tcPr>
            <w:tcW w:w="2340" w:type="dxa"/>
            <w:vAlign w:val="center"/>
          </w:tcPr>
          <w:p w14:paraId="168138B2" w14:textId="77777777" w:rsidR="0098777A" w:rsidRPr="001570B6" w:rsidRDefault="001501D9">
            <w:pPr>
              <w:spacing w:after="60" w:line="276" w:lineRule="auto"/>
              <w:rPr>
                <w:rFonts w:ascii="Arial" w:hAnsi="Arial" w:cs="Arial"/>
                <w:szCs w:val="24"/>
              </w:rPr>
            </w:pPr>
            <w:r w:rsidRPr="001570B6">
              <w:rPr>
                <w:rFonts w:ascii="Arial" w:hAnsi="Arial" w:cs="Arial"/>
                <w:szCs w:val="24"/>
              </w:rPr>
              <w:t>At least 95% of sampled standard booking records complete by week 4; zero uncorrected critical compliance omissions</w:t>
            </w:r>
          </w:p>
        </w:tc>
      </w:tr>
      <w:tr w:rsidR="0098777A" w:rsidRPr="009632AB" w14:paraId="3EBEEA7F" w14:textId="77777777">
        <w:trPr>
          <w:jc w:val="center"/>
        </w:trPr>
        <w:tc>
          <w:tcPr>
            <w:tcW w:w="2340" w:type="dxa"/>
            <w:vAlign w:val="center"/>
          </w:tcPr>
          <w:p w14:paraId="2E1EC434" w14:textId="77777777" w:rsidR="0098777A" w:rsidRPr="001570B6" w:rsidRDefault="001501D9">
            <w:pPr>
              <w:spacing w:after="60" w:line="276" w:lineRule="auto"/>
              <w:rPr>
                <w:rFonts w:ascii="Arial" w:hAnsi="Arial" w:cs="Arial"/>
                <w:szCs w:val="24"/>
              </w:rPr>
            </w:pPr>
            <w:r w:rsidRPr="001570B6">
              <w:rPr>
                <w:rFonts w:ascii="Arial" w:hAnsi="Arial" w:cs="Arial"/>
                <w:szCs w:val="24"/>
              </w:rPr>
              <w:t>Candidate and client communication: accurate, respectful updates</w:t>
            </w:r>
          </w:p>
        </w:tc>
        <w:tc>
          <w:tcPr>
            <w:tcW w:w="2340" w:type="dxa"/>
            <w:vAlign w:val="center"/>
          </w:tcPr>
          <w:p w14:paraId="6D59CB3D" w14:textId="77777777" w:rsidR="0098777A" w:rsidRPr="001570B6" w:rsidRDefault="001501D9">
            <w:pPr>
              <w:spacing w:after="60" w:line="276" w:lineRule="auto"/>
              <w:rPr>
                <w:rFonts w:ascii="Arial" w:hAnsi="Arial" w:cs="Arial"/>
                <w:szCs w:val="24"/>
              </w:rPr>
            </w:pPr>
            <w:r w:rsidRPr="001570B6">
              <w:rPr>
                <w:rFonts w:ascii="Arial" w:hAnsi="Arial" w:cs="Arial"/>
                <w:szCs w:val="24"/>
              </w:rPr>
              <w:t>Shadow calls; role-play difficult scenarios; practise active listening, confirmation and escalation; review selected messages</w:t>
            </w:r>
          </w:p>
        </w:tc>
        <w:tc>
          <w:tcPr>
            <w:tcW w:w="2340" w:type="dxa"/>
            <w:vAlign w:val="center"/>
          </w:tcPr>
          <w:p w14:paraId="28D6E6E3" w14:textId="77777777" w:rsidR="0098777A" w:rsidRPr="001570B6" w:rsidRDefault="001501D9">
            <w:pPr>
              <w:spacing w:after="60" w:line="276" w:lineRule="auto"/>
              <w:rPr>
                <w:rFonts w:ascii="Arial" w:hAnsi="Arial" w:cs="Arial"/>
                <w:szCs w:val="24"/>
              </w:rPr>
            </w:pPr>
            <w:r w:rsidRPr="001570B6">
              <w:rPr>
                <w:rFonts w:ascii="Arial" w:hAnsi="Arial" w:cs="Arial"/>
                <w:szCs w:val="24"/>
              </w:rPr>
              <w:t>Weeks 2–8; resourcer and coach</w:t>
            </w:r>
          </w:p>
        </w:tc>
        <w:tc>
          <w:tcPr>
            <w:tcW w:w="2340" w:type="dxa"/>
            <w:vAlign w:val="center"/>
          </w:tcPr>
          <w:p w14:paraId="57645287" w14:textId="77777777" w:rsidR="0098777A" w:rsidRPr="001570B6" w:rsidRDefault="001501D9">
            <w:pPr>
              <w:spacing w:after="60" w:line="276" w:lineRule="auto"/>
              <w:rPr>
                <w:rFonts w:ascii="Arial" w:hAnsi="Arial" w:cs="Arial"/>
                <w:szCs w:val="24"/>
              </w:rPr>
            </w:pPr>
            <w:r w:rsidRPr="001570B6">
              <w:rPr>
                <w:rFonts w:ascii="Arial" w:hAnsi="Arial" w:cs="Arial"/>
                <w:szCs w:val="24"/>
              </w:rPr>
              <w:t>At least 4/5 on agreed behaviour rubric in 3 observed scenarios; concerns escalated within agreed process</w:t>
            </w:r>
          </w:p>
        </w:tc>
      </w:tr>
      <w:tr w:rsidR="0098777A" w:rsidRPr="009632AB" w14:paraId="5547A6AD" w14:textId="77777777">
        <w:trPr>
          <w:jc w:val="center"/>
        </w:trPr>
        <w:tc>
          <w:tcPr>
            <w:tcW w:w="2340" w:type="dxa"/>
            <w:vAlign w:val="center"/>
          </w:tcPr>
          <w:p w14:paraId="3D36E1BA" w14:textId="77777777" w:rsidR="0098777A" w:rsidRPr="001570B6" w:rsidRDefault="001501D9">
            <w:pPr>
              <w:spacing w:after="60" w:line="276" w:lineRule="auto"/>
              <w:rPr>
                <w:rFonts w:ascii="Arial" w:hAnsi="Arial" w:cs="Arial"/>
                <w:szCs w:val="24"/>
              </w:rPr>
            </w:pPr>
            <w:r w:rsidRPr="001570B6">
              <w:rPr>
                <w:rFonts w:ascii="Arial" w:hAnsi="Arial" w:cs="Arial"/>
                <w:szCs w:val="24"/>
              </w:rPr>
              <w:t>Prioritisation and handovers: dependable autonomous work</w:t>
            </w:r>
          </w:p>
        </w:tc>
        <w:tc>
          <w:tcPr>
            <w:tcW w:w="2340" w:type="dxa"/>
            <w:vAlign w:val="center"/>
          </w:tcPr>
          <w:p w14:paraId="7D7E835E" w14:textId="77777777" w:rsidR="0098777A" w:rsidRPr="001570B6" w:rsidRDefault="001501D9">
            <w:pPr>
              <w:spacing w:after="60" w:line="276" w:lineRule="auto"/>
              <w:rPr>
                <w:rFonts w:ascii="Arial" w:hAnsi="Arial" w:cs="Arial"/>
                <w:szCs w:val="24"/>
              </w:rPr>
            </w:pPr>
            <w:r w:rsidRPr="001570B6">
              <w:rPr>
                <w:rFonts w:ascii="Arial" w:hAnsi="Arial" w:cs="Arial"/>
                <w:szCs w:val="24"/>
              </w:rPr>
              <w:t>Daily priorities, workload triage, supervised Thursday handover, peer review, weekly reflection</w:t>
            </w:r>
          </w:p>
        </w:tc>
        <w:tc>
          <w:tcPr>
            <w:tcW w:w="2340" w:type="dxa"/>
            <w:vAlign w:val="center"/>
          </w:tcPr>
          <w:p w14:paraId="7982B571" w14:textId="77777777" w:rsidR="0098777A" w:rsidRPr="001570B6" w:rsidRDefault="001501D9">
            <w:pPr>
              <w:spacing w:after="60" w:line="276" w:lineRule="auto"/>
              <w:rPr>
                <w:rFonts w:ascii="Arial" w:hAnsi="Arial" w:cs="Arial"/>
                <w:szCs w:val="24"/>
              </w:rPr>
            </w:pPr>
            <w:r w:rsidRPr="001570B6">
              <w:rPr>
                <w:rFonts w:ascii="Arial" w:hAnsi="Arial" w:cs="Arial"/>
                <w:szCs w:val="24"/>
              </w:rPr>
              <w:t>Weeks 3–12; resourcer and temp-desk team</w:t>
            </w:r>
          </w:p>
        </w:tc>
        <w:tc>
          <w:tcPr>
            <w:tcW w:w="2340" w:type="dxa"/>
            <w:vAlign w:val="center"/>
          </w:tcPr>
          <w:p w14:paraId="2677997A" w14:textId="77777777" w:rsidR="0098777A" w:rsidRPr="001570B6" w:rsidRDefault="001501D9">
            <w:pPr>
              <w:spacing w:after="60" w:line="276" w:lineRule="auto"/>
              <w:rPr>
                <w:rFonts w:ascii="Arial" w:hAnsi="Arial" w:cs="Arial"/>
                <w:szCs w:val="24"/>
              </w:rPr>
            </w:pPr>
            <w:r w:rsidRPr="001570B6">
              <w:rPr>
                <w:rFonts w:ascii="Arial" w:hAnsi="Arial" w:cs="Arial"/>
                <w:szCs w:val="24"/>
              </w:rPr>
              <w:t xml:space="preserve">At least 95% sampled </w:t>
            </w:r>
            <w:proofErr w:type="gramStart"/>
            <w:r w:rsidRPr="001570B6">
              <w:rPr>
                <w:rFonts w:ascii="Arial" w:hAnsi="Arial" w:cs="Arial"/>
                <w:szCs w:val="24"/>
              </w:rPr>
              <w:t>on-time</w:t>
            </w:r>
            <w:proofErr w:type="gramEnd"/>
            <w:r w:rsidRPr="001570B6">
              <w:rPr>
                <w:rFonts w:ascii="Arial" w:hAnsi="Arial" w:cs="Arial"/>
                <w:szCs w:val="24"/>
              </w:rPr>
              <w:t>, complete handovers by week 8 and sustained through week 12</w:t>
            </w:r>
          </w:p>
        </w:tc>
      </w:tr>
      <w:tr w:rsidR="0098777A" w:rsidRPr="009632AB" w14:paraId="2A3F228C" w14:textId="77777777">
        <w:trPr>
          <w:jc w:val="center"/>
        </w:trPr>
        <w:tc>
          <w:tcPr>
            <w:tcW w:w="2340" w:type="dxa"/>
            <w:vAlign w:val="center"/>
          </w:tcPr>
          <w:p w14:paraId="38D20E05" w14:textId="77777777" w:rsidR="0098777A" w:rsidRPr="001570B6" w:rsidRDefault="001501D9">
            <w:pPr>
              <w:spacing w:after="60" w:line="276" w:lineRule="auto"/>
              <w:rPr>
                <w:rFonts w:ascii="Arial" w:hAnsi="Arial" w:cs="Arial"/>
                <w:szCs w:val="24"/>
              </w:rPr>
            </w:pPr>
            <w:r w:rsidRPr="001570B6">
              <w:rPr>
                <w:rFonts w:ascii="Arial" w:hAnsi="Arial" w:cs="Arial"/>
                <w:szCs w:val="24"/>
              </w:rPr>
              <w:t>Career growth and collaboration: shared knowledge</w:t>
            </w:r>
          </w:p>
        </w:tc>
        <w:tc>
          <w:tcPr>
            <w:tcW w:w="2340" w:type="dxa"/>
            <w:vAlign w:val="center"/>
          </w:tcPr>
          <w:p w14:paraId="6D70A11E" w14:textId="77777777" w:rsidR="0098777A" w:rsidRPr="001570B6" w:rsidRDefault="001501D9">
            <w:pPr>
              <w:spacing w:after="60" w:line="276" w:lineRule="auto"/>
              <w:rPr>
                <w:rFonts w:ascii="Arial" w:hAnsi="Arial" w:cs="Arial"/>
                <w:szCs w:val="24"/>
              </w:rPr>
            </w:pPr>
            <w:r w:rsidRPr="001570B6">
              <w:rPr>
                <w:rFonts w:ascii="Arial" w:hAnsi="Arial" w:cs="Arial"/>
                <w:szCs w:val="24"/>
              </w:rPr>
              <w:t>Explore RIASEC/anchors as optional reflective exercises; shadow another function; lead one learning review</w:t>
            </w:r>
          </w:p>
        </w:tc>
        <w:tc>
          <w:tcPr>
            <w:tcW w:w="2340" w:type="dxa"/>
            <w:vAlign w:val="center"/>
          </w:tcPr>
          <w:p w14:paraId="14E1EACC" w14:textId="77777777" w:rsidR="0098777A" w:rsidRPr="001570B6" w:rsidRDefault="001501D9">
            <w:pPr>
              <w:spacing w:after="60" w:line="276" w:lineRule="auto"/>
              <w:rPr>
                <w:rFonts w:ascii="Arial" w:hAnsi="Arial" w:cs="Arial"/>
                <w:szCs w:val="24"/>
              </w:rPr>
            </w:pPr>
            <w:r w:rsidRPr="001570B6">
              <w:rPr>
                <w:rFonts w:ascii="Arial" w:hAnsi="Arial" w:cs="Arial"/>
                <w:szCs w:val="24"/>
              </w:rPr>
              <w:t>Weeks 5–12; employee and manager</w:t>
            </w:r>
          </w:p>
        </w:tc>
        <w:tc>
          <w:tcPr>
            <w:tcW w:w="2340" w:type="dxa"/>
            <w:vAlign w:val="center"/>
          </w:tcPr>
          <w:p w14:paraId="39F940FE" w14:textId="77777777" w:rsidR="0098777A" w:rsidRPr="001570B6" w:rsidRDefault="001501D9">
            <w:pPr>
              <w:spacing w:after="60" w:line="276" w:lineRule="auto"/>
              <w:rPr>
                <w:rFonts w:ascii="Arial" w:hAnsi="Arial" w:cs="Arial"/>
                <w:szCs w:val="24"/>
              </w:rPr>
            </w:pPr>
            <w:r w:rsidRPr="001570B6">
              <w:rPr>
                <w:rFonts w:ascii="Arial" w:hAnsi="Arial" w:cs="Arial"/>
                <w:szCs w:val="24"/>
              </w:rPr>
              <w:t>Demonstrates one process improvement, supported by peer feedback and feasibility review</w:t>
            </w:r>
          </w:p>
        </w:tc>
      </w:tr>
    </w:tbl>
    <w:p w14:paraId="0C16E58E" w14:textId="77777777" w:rsidR="00E201F3" w:rsidRPr="009632AB" w:rsidRDefault="00E201F3" w:rsidP="004C336C">
      <w:pPr>
        <w:rPr>
          <w:rFonts w:ascii="Arial" w:hAnsi="Arial" w:cs="Arial"/>
          <w:b/>
          <w:bCs/>
          <w:lang w:val="en-GB"/>
        </w:rPr>
      </w:pPr>
    </w:p>
    <w:p w14:paraId="65713B6C" w14:textId="77777777" w:rsidR="00E201F3" w:rsidRPr="009632AB" w:rsidRDefault="00E201F3" w:rsidP="004C336C">
      <w:pPr>
        <w:rPr>
          <w:rFonts w:ascii="Arial" w:hAnsi="Arial" w:cs="Arial"/>
          <w:b/>
          <w:bCs/>
          <w:lang w:val="en-GB"/>
        </w:rPr>
      </w:pPr>
    </w:p>
    <w:p w14:paraId="440178F9" w14:textId="77777777" w:rsidR="00D716DE" w:rsidRPr="00D716DE" w:rsidRDefault="00D716DE" w:rsidP="00D716DE">
      <w:pPr>
        <w:keepNext/>
        <w:rPr>
          <w:rFonts w:ascii="Arial" w:hAnsi="Arial" w:cs="Arial"/>
          <w:lang w:val="en-GB"/>
        </w:rPr>
      </w:pPr>
      <w:r w:rsidRPr="00D716DE">
        <w:rPr>
          <w:rFonts w:ascii="Arial" w:hAnsi="Arial" w:cs="Arial"/>
          <w:b/>
          <w:lang w:val="en-GB"/>
        </w:rPr>
        <w:lastRenderedPageBreak/>
        <w:t>Table 1</w:t>
      </w:r>
    </w:p>
    <w:p w14:paraId="078AC107" w14:textId="77777777" w:rsidR="00D716DE" w:rsidRPr="00D716DE" w:rsidRDefault="00D716DE" w:rsidP="00D716DE">
      <w:pPr>
        <w:keepNext/>
        <w:rPr>
          <w:rFonts w:ascii="Arial" w:hAnsi="Arial" w:cs="Arial"/>
          <w:lang w:val="en-GB"/>
        </w:rPr>
      </w:pPr>
      <w:r w:rsidRPr="00D716DE">
        <w:rPr>
          <w:rFonts w:ascii="Arial" w:hAnsi="Arial" w:cs="Arial"/>
          <w:i/>
          <w:lang w:val="en-GB"/>
        </w:rPr>
        <w:t>Illustrative Individual Performance Monitoring Over 12 Weeks</w:t>
      </w:r>
    </w:p>
    <w:tbl>
      <w:tblPr>
        <w:tblW w:w="10893" w:type="dxa"/>
        <w:tblInd w:w="-901" w:type="dxa"/>
        <w:tblLook w:val="04A0" w:firstRow="1" w:lastRow="0" w:firstColumn="1" w:lastColumn="0" w:noHBand="0" w:noVBand="1"/>
      </w:tblPr>
      <w:tblGrid>
        <w:gridCol w:w="3782"/>
        <w:gridCol w:w="2565"/>
        <w:gridCol w:w="1118"/>
        <w:gridCol w:w="1118"/>
        <w:gridCol w:w="1305"/>
        <w:gridCol w:w="1005"/>
      </w:tblGrid>
      <w:tr w:rsidR="00D716DE" w:rsidRPr="00D716DE" w14:paraId="53402E67" w14:textId="77777777" w:rsidTr="00D716DE">
        <w:trPr>
          <w:trHeight w:val="544"/>
        </w:trPr>
        <w:tc>
          <w:tcPr>
            <w:tcW w:w="10893" w:type="dxa"/>
            <w:gridSpan w:val="6"/>
            <w:tcBorders>
              <w:top w:val="nil"/>
              <w:left w:val="nil"/>
              <w:bottom w:val="nil"/>
              <w:right w:val="nil"/>
            </w:tcBorders>
            <w:shd w:val="clear" w:color="000000" w:fill="183153"/>
            <w:noWrap/>
            <w:vAlign w:val="center"/>
            <w:hideMark/>
          </w:tcPr>
          <w:p w14:paraId="711BD17A" w14:textId="77777777" w:rsidR="00D716DE" w:rsidRPr="00D716DE" w:rsidRDefault="00D716DE" w:rsidP="00D716DE">
            <w:pPr>
              <w:spacing w:line="240" w:lineRule="auto"/>
              <w:rPr>
                <w:rFonts w:ascii="Arial" w:eastAsia="Times New Roman" w:hAnsi="Arial" w:cs="Arial"/>
                <w:b/>
                <w:bCs/>
                <w:color w:val="FFFFFF"/>
                <w:sz w:val="32"/>
                <w:szCs w:val="32"/>
                <w:lang w:val="en-GB" w:eastAsia="en-GB"/>
              </w:rPr>
            </w:pPr>
            <w:r w:rsidRPr="00D716DE">
              <w:rPr>
                <w:rFonts w:ascii="Arial" w:eastAsia="Times New Roman" w:hAnsi="Arial" w:cs="Arial"/>
                <w:b/>
                <w:bCs/>
                <w:color w:val="FFFFFF"/>
                <w:sz w:val="32"/>
                <w:szCs w:val="32"/>
                <w:lang w:val="en-GB" w:eastAsia="en-GB"/>
              </w:rPr>
              <w:t>FORESITE RECRUITMENT | Individual Development Tracker</w:t>
            </w:r>
          </w:p>
        </w:tc>
      </w:tr>
      <w:tr w:rsidR="00D716DE" w:rsidRPr="00D716DE" w14:paraId="3B9B3579" w14:textId="77777777" w:rsidTr="00D716DE">
        <w:trPr>
          <w:trHeight w:val="422"/>
        </w:trPr>
        <w:tc>
          <w:tcPr>
            <w:tcW w:w="10893" w:type="dxa"/>
            <w:gridSpan w:val="6"/>
            <w:tcBorders>
              <w:top w:val="nil"/>
              <w:left w:val="nil"/>
              <w:bottom w:val="nil"/>
              <w:right w:val="nil"/>
            </w:tcBorders>
            <w:shd w:val="clear" w:color="000000" w:fill="FEF3C7"/>
            <w:noWrap/>
            <w:vAlign w:val="bottom"/>
            <w:hideMark/>
          </w:tcPr>
          <w:p w14:paraId="604113A3" w14:textId="77777777" w:rsidR="00D716DE" w:rsidRPr="00D716DE" w:rsidRDefault="00D716DE" w:rsidP="00D716DE">
            <w:pPr>
              <w:spacing w:line="240" w:lineRule="auto"/>
              <w:rPr>
                <w:rFonts w:ascii="Arial" w:eastAsia="Times New Roman" w:hAnsi="Arial" w:cs="Arial"/>
                <w:i/>
                <w:iCs/>
                <w:color w:val="92400E"/>
                <w:sz w:val="22"/>
                <w:lang w:val="en-GB" w:eastAsia="en-GB"/>
              </w:rPr>
            </w:pPr>
            <w:r w:rsidRPr="00D716DE">
              <w:rPr>
                <w:rFonts w:ascii="Arial" w:eastAsia="Times New Roman" w:hAnsi="Arial" w:cs="Arial"/>
                <w:i/>
                <w:iCs/>
                <w:color w:val="92400E"/>
                <w:sz w:val="22"/>
                <w:lang w:val="en-GB" w:eastAsia="en-GB"/>
              </w:rPr>
              <w:t>Illustrative performance figures only — replace with measured employee results before using as workplace evidence.</w:t>
            </w:r>
          </w:p>
        </w:tc>
      </w:tr>
      <w:tr w:rsidR="00D716DE" w:rsidRPr="00D716DE" w14:paraId="703D7624" w14:textId="77777777" w:rsidTr="00D716DE">
        <w:trPr>
          <w:trHeight w:val="260"/>
        </w:trPr>
        <w:tc>
          <w:tcPr>
            <w:tcW w:w="3782" w:type="dxa"/>
            <w:tcBorders>
              <w:top w:val="nil"/>
              <w:left w:val="nil"/>
              <w:bottom w:val="nil"/>
              <w:right w:val="nil"/>
            </w:tcBorders>
            <w:noWrap/>
            <w:vAlign w:val="bottom"/>
            <w:hideMark/>
          </w:tcPr>
          <w:p w14:paraId="4C5F33F4" w14:textId="77777777" w:rsidR="00D716DE" w:rsidRPr="00D716DE" w:rsidRDefault="00D716DE" w:rsidP="00D716DE">
            <w:pPr>
              <w:spacing w:line="240" w:lineRule="auto"/>
              <w:rPr>
                <w:rFonts w:ascii="Arial" w:eastAsia="Times New Roman" w:hAnsi="Arial" w:cs="Arial"/>
                <w:i/>
                <w:iCs/>
                <w:color w:val="92400E"/>
                <w:sz w:val="22"/>
                <w:lang w:val="en-GB" w:eastAsia="en-GB"/>
              </w:rPr>
            </w:pPr>
          </w:p>
        </w:tc>
        <w:tc>
          <w:tcPr>
            <w:tcW w:w="2565" w:type="dxa"/>
            <w:tcBorders>
              <w:top w:val="nil"/>
              <w:left w:val="nil"/>
              <w:bottom w:val="nil"/>
              <w:right w:val="nil"/>
            </w:tcBorders>
            <w:noWrap/>
            <w:vAlign w:val="bottom"/>
            <w:hideMark/>
          </w:tcPr>
          <w:p w14:paraId="7B58FF0A" w14:textId="77777777" w:rsidR="00D716DE" w:rsidRPr="00D716DE" w:rsidRDefault="00D716DE" w:rsidP="00D716DE">
            <w:pPr>
              <w:spacing w:line="240" w:lineRule="auto"/>
              <w:rPr>
                <w:rFonts w:ascii="Arial" w:eastAsia="Times New Roman" w:hAnsi="Arial" w:cs="Arial"/>
                <w:color w:val="auto"/>
                <w:sz w:val="20"/>
                <w:szCs w:val="20"/>
                <w:lang w:val="en-GB" w:eastAsia="en-GB"/>
              </w:rPr>
            </w:pPr>
          </w:p>
        </w:tc>
        <w:tc>
          <w:tcPr>
            <w:tcW w:w="1118" w:type="dxa"/>
            <w:tcBorders>
              <w:top w:val="nil"/>
              <w:left w:val="nil"/>
              <w:bottom w:val="nil"/>
              <w:right w:val="nil"/>
            </w:tcBorders>
            <w:noWrap/>
            <w:vAlign w:val="bottom"/>
            <w:hideMark/>
          </w:tcPr>
          <w:p w14:paraId="203D15F3" w14:textId="77777777" w:rsidR="00D716DE" w:rsidRPr="00D716DE" w:rsidRDefault="00D716DE" w:rsidP="00D716DE">
            <w:pPr>
              <w:spacing w:line="240" w:lineRule="auto"/>
              <w:rPr>
                <w:rFonts w:ascii="Arial" w:eastAsia="Times New Roman" w:hAnsi="Arial" w:cs="Arial"/>
                <w:color w:val="auto"/>
                <w:sz w:val="20"/>
                <w:szCs w:val="20"/>
                <w:lang w:val="en-GB" w:eastAsia="en-GB"/>
              </w:rPr>
            </w:pPr>
          </w:p>
        </w:tc>
        <w:tc>
          <w:tcPr>
            <w:tcW w:w="1118" w:type="dxa"/>
            <w:tcBorders>
              <w:top w:val="nil"/>
              <w:left w:val="nil"/>
              <w:bottom w:val="nil"/>
              <w:right w:val="nil"/>
            </w:tcBorders>
            <w:noWrap/>
            <w:vAlign w:val="bottom"/>
            <w:hideMark/>
          </w:tcPr>
          <w:p w14:paraId="627FD3BB" w14:textId="77777777" w:rsidR="00D716DE" w:rsidRPr="00D716DE" w:rsidRDefault="00D716DE" w:rsidP="00D716DE">
            <w:pPr>
              <w:spacing w:line="240" w:lineRule="auto"/>
              <w:rPr>
                <w:rFonts w:ascii="Arial" w:eastAsia="Times New Roman" w:hAnsi="Arial" w:cs="Arial"/>
                <w:color w:val="auto"/>
                <w:sz w:val="20"/>
                <w:szCs w:val="20"/>
                <w:lang w:val="en-GB" w:eastAsia="en-GB"/>
              </w:rPr>
            </w:pPr>
          </w:p>
        </w:tc>
        <w:tc>
          <w:tcPr>
            <w:tcW w:w="1305" w:type="dxa"/>
            <w:tcBorders>
              <w:top w:val="nil"/>
              <w:left w:val="nil"/>
              <w:bottom w:val="nil"/>
              <w:right w:val="nil"/>
            </w:tcBorders>
            <w:noWrap/>
            <w:vAlign w:val="bottom"/>
            <w:hideMark/>
          </w:tcPr>
          <w:p w14:paraId="5CEA9F93" w14:textId="77777777" w:rsidR="00D716DE" w:rsidRPr="00D716DE" w:rsidRDefault="00D716DE" w:rsidP="00D716DE">
            <w:pPr>
              <w:spacing w:line="240" w:lineRule="auto"/>
              <w:rPr>
                <w:rFonts w:ascii="Arial" w:eastAsia="Times New Roman" w:hAnsi="Arial" w:cs="Arial"/>
                <w:color w:val="auto"/>
                <w:sz w:val="20"/>
                <w:szCs w:val="20"/>
                <w:lang w:val="en-GB" w:eastAsia="en-GB"/>
              </w:rPr>
            </w:pPr>
          </w:p>
        </w:tc>
        <w:tc>
          <w:tcPr>
            <w:tcW w:w="1003" w:type="dxa"/>
            <w:tcBorders>
              <w:top w:val="nil"/>
              <w:left w:val="nil"/>
              <w:bottom w:val="nil"/>
              <w:right w:val="nil"/>
            </w:tcBorders>
            <w:noWrap/>
            <w:vAlign w:val="bottom"/>
            <w:hideMark/>
          </w:tcPr>
          <w:p w14:paraId="2FF8A0CC" w14:textId="77777777" w:rsidR="00D716DE" w:rsidRPr="00D716DE" w:rsidRDefault="00D716DE" w:rsidP="00D716DE">
            <w:pPr>
              <w:spacing w:line="240" w:lineRule="auto"/>
              <w:rPr>
                <w:rFonts w:ascii="Arial" w:eastAsia="Times New Roman" w:hAnsi="Arial" w:cs="Arial"/>
                <w:color w:val="auto"/>
                <w:sz w:val="20"/>
                <w:szCs w:val="20"/>
                <w:lang w:val="en-GB" w:eastAsia="en-GB"/>
              </w:rPr>
            </w:pPr>
          </w:p>
        </w:tc>
      </w:tr>
      <w:tr w:rsidR="00D716DE" w:rsidRPr="00D716DE" w14:paraId="5FDD46A5" w14:textId="77777777" w:rsidTr="00D716DE">
        <w:trPr>
          <w:trHeight w:val="393"/>
        </w:trPr>
        <w:tc>
          <w:tcPr>
            <w:tcW w:w="3782" w:type="dxa"/>
            <w:tcBorders>
              <w:top w:val="nil"/>
              <w:left w:val="nil"/>
              <w:bottom w:val="nil"/>
              <w:right w:val="nil"/>
            </w:tcBorders>
            <w:shd w:val="clear" w:color="000000" w:fill="2563A6"/>
            <w:noWrap/>
            <w:vAlign w:val="bottom"/>
            <w:hideMark/>
          </w:tcPr>
          <w:p w14:paraId="00EA4096" w14:textId="77777777" w:rsidR="00D716DE" w:rsidRPr="00D716DE" w:rsidRDefault="00D716DE" w:rsidP="00D716DE">
            <w:pPr>
              <w:spacing w:line="240" w:lineRule="auto"/>
              <w:rPr>
                <w:rFonts w:ascii="Arial" w:eastAsia="Times New Roman" w:hAnsi="Arial" w:cs="Arial"/>
                <w:b/>
                <w:bCs/>
                <w:color w:val="FFFFFF"/>
                <w:sz w:val="22"/>
                <w:lang w:val="en-GB" w:eastAsia="en-GB"/>
              </w:rPr>
            </w:pPr>
            <w:r w:rsidRPr="00D716DE">
              <w:rPr>
                <w:rFonts w:ascii="Arial" w:eastAsia="Times New Roman" w:hAnsi="Arial" w:cs="Arial"/>
                <w:b/>
                <w:bCs/>
                <w:color w:val="FFFFFF"/>
                <w:sz w:val="22"/>
                <w:lang w:val="en-GB" w:eastAsia="en-GB"/>
              </w:rPr>
              <w:t>Performance measure</w:t>
            </w:r>
          </w:p>
        </w:tc>
        <w:tc>
          <w:tcPr>
            <w:tcW w:w="2565" w:type="dxa"/>
            <w:tcBorders>
              <w:top w:val="nil"/>
              <w:left w:val="nil"/>
              <w:bottom w:val="nil"/>
              <w:right w:val="nil"/>
            </w:tcBorders>
            <w:shd w:val="clear" w:color="000000" w:fill="2563A6"/>
            <w:noWrap/>
            <w:vAlign w:val="bottom"/>
            <w:hideMark/>
          </w:tcPr>
          <w:p w14:paraId="35BC778F" w14:textId="77777777" w:rsidR="00D716DE" w:rsidRPr="00D716DE" w:rsidRDefault="00D716DE" w:rsidP="00D716DE">
            <w:pPr>
              <w:spacing w:line="240" w:lineRule="auto"/>
              <w:rPr>
                <w:rFonts w:ascii="Arial" w:eastAsia="Times New Roman" w:hAnsi="Arial" w:cs="Arial"/>
                <w:b/>
                <w:bCs/>
                <w:color w:val="FFFFFF"/>
                <w:sz w:val="22"/>
                <w:lang w:val="en-GB" w:eastAsia="en-GB"/>
              </w:rPr>
            </w:pPr>
            <w:r w:rsidRPr="00D716DE">
              <w:rPr>
                <w:rFonts w:ascii="Arial" w:eastAsia="Times New Roman" w:hAnsi="Arial" w:cs="Arial"/>
                <w:b/>
                <w:bCs/>
                <w:color w:val="FFFFFF"/>
                <w:sz w:val="22"/>
                <w:lang w:val="en-GB" w:eastAsia="en-GB"/>
              </w:rPr>
              <w:t>Baseline</w:t>
            </w:r>
          </w:p>
        </w:tc>
        <w:tc>
          <w:tcPr>
            <w:tcW w:w="1118" w:type="dxa"/>
            <w:tcBorders>
              <w:top w:val="nil"/>
              <w:left w:val="nil"/>
              <w:bottom w:val="nil"/>
              <w:right w:val="nil"/>
            </w:tcBorders>
            <w:shd w:val="clear" w:color="000000" w:fill="2563A6"/>
            <w:noWrap/>
            <w:vAlign w:val="bottom"/>
            <w:hideMark/>
          </w:tcPr>
          <w:p w14:paraId="1A438437" w14:textId="77777777" w:rsidR="00D716DE" w:rsidRPr="00D716DE" w:rsidRDefault="00D716DE" w:rsidP="00D716DE">
            <w:pPr>
              <w:spacing w:line="240" w:lineRule="auto"/>
              <w:rPr>
                <w:rFonts w:ascii="Arial" w:eastAsia="Times New Roman" w:hAnsi="Arial" w:cs="Arial"/>
                <w:b/>
                <w:bCs/>
                <w:color w:val="FFFFFF"/>
                <w:sz w:val="22"/>
                <w:lang w:val="en-GB" w:eastAsia="en-GB"/>
              </w:rPr>
            </w:pPr>
            <w:r w:rsidRPr="00D716DE">
              <w:rPr>
                <w:rFonts w:ascii="Arial" w:eastAsia="Times New Roman" w:hAnsi="Arial" w:cs="Arial"/>
                <w:b/>
                <w:bCs/>
                <w:color w:val="FFFFFF"/>
                <w:sz w:val="22"/>
                <w:lang w:val="en-GB" w:eastAsia="en-GB"/>
              </w:rPr>
              <w:t>Week 4</w:t>
            </w:r>
          </w:p>
        </w:tc>
        <w:tc>
          <w:tcPr>
            <w:tcW w:w="1118" w:type="dxa"/>
            <w:tcBorders>
              <w:top w:val="nil"/>
              <w:left w:val="nil"/>
              <w:bottom w:val="nil"/>
              <w:right w:val="nil"/>
            </w:tcBorders>
            <w:shd w:val="clear" w:color="000000" w:fill="2563A6"/>
            <w:noWrap/>
            <w:vAlign w:val="bottom"/>
            <w:hideMark/>
          </w:tcPr>
          <w:p w14:paraId="2B33FA10" w14:textId="77777777" w:rsidR="00D716DE" w:rsidRPr="00D716DE" w:rsidRDefault="00D716DE" w:rsidP="00D716DE">
            <w:pPr>
              <w:spacing w:line="240" w:lineRule="auto"/>
              <w:rPr>
                <w:rFonts w:ascii="Arial" w:eastAsia="Times New Roman" w:hAnsi="Arial" w:cs="Arial"/>
                <w:b/>
                <w:bCs/>
                <w:color w:val="FFFFFF"/>
                <w:sz w:val="22"/>
                <w:lang w:val="en-GB" w:eastAsia="en-GB"/>
              </w:rPr>
            </w:pPr>
            <w:r w:rsidRPr="00D716DE">
              <w:rPr>
                <w:rFonts w:ascii="Arial" w:eastAsia="Times New Roman" w:hAnsi="Arial" w:cs="Arial"/>
                <w:b/>
                <w:bCs/>
                <w:color w:val="FFFFFF"/>
                <w:sz w:val="22"/>
                <w:lang w:val="en-GB" w:eastAsia="en-GB"/>
              </w:rPr>
              <w:t>Week 8</w:t>
            </w:r>
          </w:p>
        </w:tc>
        <w:tc>
          <w:tcPr>
            <w:tcW w:w="1305" w:type="dxa"/>
            <w:tcBorders>
              <w:top w:val="nil"/>
              <w:left w:val="nil"/>
              <w:bottom w:val="nil"/>
              <w:right w:val="nil"/>
            </w:tcBorders>
            <w:shd w:val="clear" w:color="000000" w:fill="2563A6"/>
            <w:noWrap/>
            <w:vAlign w:val="bottom"/>
            <w:hideMark/>
          </w:tcPr>
          <w:p w14:paraId="040D079D" w14:textId="77777777" w:rsidR="00D716DE" w:rsidRPr="00D716DE" w:rsidRDefault="00D716DE" w:rsidP="00D716DE">
            <w:pPr>
              <w:spacing w:line="240" w:lineRule="auto"/>
              <w:rPr>
                <w:rFonts w:ascii="Arial" w:eastAsia="Times New Roman" w:hAnsi="Arial" w:cs="Arial"/>
                <w:b/>
                <w:bCs/>
                <w:color w:val="FFFFFF"/>
                <w:sz w:val="22"/>
                <w:lang w:val="en-GB" w:eastAsia="en-GB"/>
              </w:rPr>
            </w:pPr>
            <w:r w:rsidRPr="00D716DE">
              <w:rPr>
                <w:rFonts w:ascii="Arial" w:eastAsia="Times New Roman" w:hAnsi="Arial" w:cs="Arial"/>
                <w:b/>
                <w:bCs/>
                <w:color w:val="FFFFFF"/>
                <w:sz w:val="22"/>
                <w:lang w:val="en-GB" w:eastAsia="en-GB"/>
              </w:rPr>
              <w:t>Week 12</w:t>
            </w:r>
          </w:p>
        </w:tc>
        <w:tc>
          <w:tcPr>
            <w:tcW w:w="1003" w:type="dxa"/>
            <w:tcBorders>
              <w:top w:val="nil"/>
              <w:left w:val="nil"/>
              <w:bottom w:val="nil"/>
              <w:right w:val="nil"/>
            </w:tcBorders>
            <w:shd w:val="clear" w:color="000000" w:fill="2563A6"/>
            <w:noWrap/>
            <w:vAlign w:val="bottom"/>
            <w:hideMark/>
          </w:tcPr>
          <w:p w14:paraId="02E9D6AC" w14:textId="77777777" w:rsidR="00D716DE" w:rsidRPr="00D716DE" w:rsidRDefault="00D716DE" w:rsidP="00D716DE">
            <w:pPr>
              <w:spacing w:line="240" w:lineRule="auto"/>
              <w:rPr>
                <w:rFonts w:ascii="Arial" w:eastAsia="Times New Roman" w:hAnsi="Arial" w:cs="Arial"/>
                <w:b/>
                <w:bCs/>
                <w:color w:val="FFFFFF"/>
                <w:sz w:val="22"/>
                <w:lang w:val="en-GB" w:eastAsia="en-GB"/>
              </w:rPr>
            </w:pPr>
            <w:r w:rsidRPr="00D716DE">
              <w:rPr>
                <w:rFonts w:ascii="Arial" w:eastAsia="Times New Roman" w:hAnsi="Arial" w:cs="Arial"/>
                <w:b/>
                <w:bCs/>
                <w:color w:val="FFFFFF"/>
                <w:sz w:val="22"/>
                <w:lang w:val="en-GB" w:eastAsia="en-GB"/>
              </w:rPr>
              <w:t>Target</w:t>
            </w:r>
          </w:p>
        </w:tc>
      </w:tr>
      <w:tr w:rsidR="00D716DE" w:rsidRPr="00D716DE" w14:paraId="26FD4FCB" w14:textId="77777777" w:rsidTr="00D716DE">
        <w:trPr>
          <w:trHeight w:val="376"/>
        </w:trPr>
        <w:tc>
          <w:tcPr>
            <w:tcW w:w="3782" w:type="dxa"/>
            <w:tcBorders>
              <w:top w:val="nil"/>
              <w:left w:val="nil"/>
              <w:bottom w:val="nil"/>
              <w:right w:val="nil"/>
            </w:tcBorders>
            <w:noWrap/>
            <w:vAlign w:val="bottom"/>
            <w:hideMark/>
          </w:tcPr>
          <w:p w14:paraId="46EC10B2" w14:textId="77777777" w:rsidR="00D716DE" w:rsidRPr="00D716DE" w:rsidRDefault="00D716DE" w:rsidP="00D716DE">
            <w:pPr>
              <w:spacing w:line="240" w:lineRule="auto"/>
              <w:rPr>
                <w:rFonts w:ascii="Arial" w:eastAsia="Times New Roman" w:hAnsi="Arial" w:cs="Arial"/>
                <w:color w:val="auto"/>
                <w:sz w:val="22"/>
                <w:lang w:val="en-GB" w:eastAsia="en-GB"/>
              </w:rPr>
            </w:pPr>
            <w:r w:rsidRPr="00D716DE">
              <w:rPr>
                <w:rFonts w:ascii="Arial" w:eastAsia="Times New Roman" w:hAnsi="Arial" w:cs="Arial"/>
                <w:color w:val="auto"/>
                <w:sz w:val="22"/>
                <w:lang w:val="en-GB" w:eastAsia="en-GB"/>
              </w:rPr>
              <w:t>Booking record accuracy</w:t>
            </w:r>
          </w:p>
        </w:tc>
        <w:tc>
          <w:tcPr>
            <w:tcW w:w="2565" w:type="dxa"/>
            <w:tcBorders>
              <w:top w:val="nil"/>
              <w:left w:val="nil"/>
              <w:bottom w:val="nil"/>
              <w:right w:val="nil"/>
            </w:tcBorders>
            <w:shd w:val="clear" w:color="000000" w:fill="E8F3FB"/>
            <w:noWrap/>
            <w:vAlign w:val="bottom"/>
            <w:hideMark/>
          </w:tcPr>
          <w:p w14:paraId="69494498" w14:textId="77777777" w:rsidR="00D716DE" w:rsidRPr="00D716DE" w:rsidRDefault="00D716DE" w:rsidP="00D716DE">
            <w:pPr>
              <w:spacing w:line="240" w:lineRule="auto"/>
              <w:jc w:val="right"/>
              <w:rPr>
                <w:rFonts w:ascii="Arial" w:eastAsia="Times New Roman" w:hAnsi="Arial" w:cs="Arial"/>
                <w:color w:val="auto"/>
                <w:sz w:val="22"/>
                <w:lang w:val="en-GB" w:eastAsia="en-GB"/>
              </w:rPr>
            </w:pPr>
            <w:r w:rsidRPr="00D716DE">
              <w:rPr>
                <w:rFonts w:ascii="Arial" w:eastAsia="Times New Roman" w:hAnsi="Arial" w:cs="Arial"/>
                <w:color w:val="auto"/>
                <w:sz w:val="22"/>
                <w:lang w:val="en-GB" w:eastAsia="en-GB"/>
              </w:rPr>
              <w:t>68%</w:t>
            </w:r>
          </w:p>
        </w:tc>
        <w:tc>
          <w:tcPr>
            <w:tcW w:w="1118" w:type="dxa"/>
            <w:tcBorders>
              <w:top w:val="nil"/>
              <w:left w:val="nil"/>
              <w:bottom w:val="nil"/>
              <w:right w:val="nil"/>
            </w:tcBorders>
            <w:shd w:val="clear" w:color="000000" w:fill="E8F3FB"/>
            <w:noWrap/>
            <w:vAlign w:val="bottom"/>
            <w:hideMark/>
          </w:tcPr>
          <w:p w14:paraId="3AD96372" w14:textId="77777777" w:rsidR="00D716DE" w:rsidRPr="00D716DE" w:rsidRDefault="00D716DE" w:rsidP="00D716DE">
            <w:pPr>
              <w:spacing w:line="240" w:lineRule="auto"/>
              <w:jc w:val="right"/>
              <w:rPr>
                <w:rFonts w:ascii="Arial" w:eastAsia="Times New Roman" w:hAnsi="Arial" w:cs="Arial"/>
                <w:color w:val="auto"/>
                <w:sz w:val="22"/>
                <w:lang w:val="en-GB" w:eastAsia="en-GB"/>
              </w:rPr>
            </w:pPr>
            <w:r w:rsidRPr="00D716DE">
              <w:rPr>
                <w:rFonts w:ascii="Arial" w:eastAsia="Times New Roman" w:hAnsi="Arial" w:cs="Arial"/>
                <w:color w:val="auto"/>
                <w:sz w:val="22"/>
                <w:lang w:val="en-GB" w:eastAsia="en-GB"/>
              </w:rPr>
              <w:t>78%</w:t>
            </w:r>
          </w:p>
        </w:tc>
        <w:tc>
          <w:tcPr>
            <w:tcW w:w="1118" w:type="dxa"/>
            <w:tcBorders>
              <w:top w:val="nil"/>
              <w:left w:val="nil"/>
              <w:bottom w:val="nil"/>
              <w:right w:val="nil"/>
            </w:tcBorders>
            <w:shd w:val="clear" w:color="000000" w:fill="E8F3FB"/>
            <w:noWrap/>
            <w:vAlign w:val="bottom"/>
            <w:hideMark/>
          </w:tcPr>
          <w:p w14:paraId="40C8D94A" w14:textId="77777777" w:rsidR="00D716DE" w:rsidRPr="00D716DE" w:rsidRDefault="00D716DE" w:rsidP="00D716DE">
            <w:pPr>
              <w:spacing w:line="240" w:lineRule="auto"/>
              <w:jc w:val="right"/>
              <w:rPr>
                <w:rFonts w:ascii="Arial" w:eastAsia="Times New Roman" w:hAnsi="Arial" w:cs="Arial"/>
                <w:color w:val="auto"/>
                <w:sz w:val="22"/>
                <w:lang w:val="en-GB" w:eastAsia="en-GB"/>
              </w:rPr>
            </w:pPr>
            <w:r w:rsidRPr="00D716DE">
              <w:rPr>
                <w:rFonts w:ascii="Arial" w:eastAsia="Times New Roman" w:hAnsi="Arial" w:cs="Arial"/>
                <w:color w:val="auto"/>
                <w:sz w:val="22"/>
                <w:lang w:val="en-GB" w:eastAsia="en-GB"/>
              </w:rPr>
              <w:t>88%</w:t>
            </w:r>
          </w:p>
        </w:tc>
        <w:tc>
          <w:tcPr>
            <w:tcW w:w="1305" w:type="dxa"/>
            <w:tcBorders>
              <w:top w:val="nil"/>
              <w:left w:val="nil"/>
              <w:bottom w:val="nil"/>
              <w:right w:val="nil"/>
            </w:tcBorders>
            <w:shd w:val="clear" w:color="000000" w:fill="E8F3FB"/>
            <w:noWrap/>
            <w:vAlign w:val="bottom"/>
            <w:hideMark/>
          </w:tcPr>
          <w:p w14:paraId="7444D3A8" w14:textId="77777777" w:rsidR="00D716DE" w:rsidRPr="00D716DE" w:rsidRDefault="00D716DE" w:rsidP="00D716DE">
            <w:pPr>
              <w:spacing w:line="240" w:lineRule="auto"/>
              <w:jc w:val="right"/>
              <w:rPr>
                <w:rFonts w:ascii="Arial" w:eastAsia="Times New Roman" w:hAnsi="Arial" w:cs="Arial"/>
                <w:color w:val="auto"/>
                <w:sz w:val="22"/>
                <w:lang w:val="en-GB" w:eastAsia="en-GB"/>
              </w:rPr>
            </w:pPr>
            <w:r w:rsidRPr="00D716DE">
              <w:rPr>
                <w:rFonts w:ascii="Arial" w:eastAsia="Times New Roman" w:hAnsi="Arial" w:cs="Arial"/>
                <w:color w:val="auto"/>
                <w:sz w:val="22"/>
                <w:lang w:val="en-GB" w:eastAsia="en-GB"/>
              </w:rPr>
              <w:t>96%</w:t>
            </w:r>
          </w:p>
        </w:tc>
        <w:tc>
          <w:tcPr>
            <w:tcW w:w="1003" w:type="dxa"/>
            <w:tcBorders>
              <w:top w:val="nil"/>
              <w:left w:val="nil"/>
              <w:bottom w:val="nil"/>
              <w:right w:val="nil"/>
            </w:tcBorders>
            <w:shd w:val="clear" w:color="000000" w:fill="DDF3E2"/>
            <w:noWrap/>
            <w:vAlign w:val="bottom"/>
            <w:hideMark/>
          </w:tcPr>
          <w:p w14:paraId="0F78C3D4" w14:textId="77777777" w:rsidR="00D716DE" w:rsidRPr="00D716DE" w:rsidRDefault="00D716DE" w:rsidP="00D716DE">
            <w:pPr>
              <w:spacing w:line="240" w:lineRule="auto"/>
              <w:jc w:val="right"/>
              <w:rPr>
                <w:rFonts w:ascii="Arial" w:eastAsia="Times New Roman" w:hAnsi="Arial" w:cs="Arial"/>
                <w:color w:val="auto"/>
                <w:sz w:val="22"/>
                <w:lang w:val="en-GB" w:eastAsia="en-GB"/>
              </w:rPr>
            </w:pPr>
            <w:r w:rsidRPr="00D716DE">
              <w:rPr>
                <w:rFonts w:ascii="Arial" w:eastAsia="Times New Roman" w:hAnsi="Arial" w:cs="Arial"/>
                <w:color w:val="auto"/>
                <w:sz w:val="22"/>
                <w:lang w:val="en-GB" w:eastAsia="en-GB"/>
              </w:rPr>
              <w:t>95%</w:t>
            </w:r>
          </w:p>
        </w:tc>
      </w:tr>
      <w:tr w:rsidR="00D716DE" w:rsidRPr="00D716DE" w14:paraId="3FC79232" w14:textId="77777777" w:rsidTr="00D716DE">
        <w:trPr>
          <w:trHeight w:val="376"/>
        </w:trPr>
        <w:tc>
          <w:tcPr>
            <w:tcW w:w="3782" w:type="dxa"/>
            <w:tcBorders>
              <w:top w:val="nil"/>
              <w:left w:val="nil"/>
              <w:bottom w:val="nil"/>
              <w:right w:val="nil"/>
            </w:tcBorders>
            <w:noWrap/>
            <w:vAlign w:val="bottom"/>
            <w:hideMark/>
          </w:tcPr>
          <w:p w14:paraId="5EEAE5ED" w14:textId="77777777" w:rsidR="00D716DE" w:rsidRPr="00D716DE" w:rsidRDefault="00D716DE" w:rsidP="00D716DE">
            <w:pPr>
              <w:spacing w:line="240" w:lineRule="auto"/>
              <w:rPr>
                <w:rFonts w:ascii="Arial" w:eastAsia="Times New Roman" w:hAnsi="Arial" w:cs="Arial"/>
                <w:color w:val="auto"/>
                <w:sz w:val="22"/>
                <w:lang w:val="en-GB" w:eastAsia="en-GB"/>
              </w:rPr>
            </w:pPr>
            <w:r w:rsidRPr="00D716DE">
              <w:rPr>
                <w:rFonts w:ascii="Arial" w:eastAsia="Times New Roman" w:hAnsi="Arial" w:cs="Arial"/>
                <w:color w:val="auto"/>
                <w:sz w:val="22"/>
                <w:lang w:val="en-GB" w:eastAsia="en-GB"/>
              </w:rPr>
              <w:t>Communication assessment</w:t>
            </w:r>
          </w:p>
        </w:tc>
        <w:tc>
          <w:tcPr>
            <w:tcW w:w="2565" w:type="dxa"/>
            <w:tcBorders>
              <w:top w:val="nil"/>
              <w:left w:val="nil"/>
              <w:bottom w:val="nil"/>
              <w:right w:val="nil"/>
            </w:tcBorders>
            <w:shd w:val="clear" w:color="000000" w:fill="E8F3FB"/>
            <w:noWrap/>
            <w:vAlign w:val="bottom"/>
            <w:hideMark/>
          </w:tcPr>
          <w:p w14:paraId="7483A45D" w14:textId="77777777" w:rsidR="00D716DE" w:rsidRPr="00D716DE" w:rsidRDefault="00D716DE" w:rsidP="00D716DE">
            <w:pPr>
              <w:spacing w:line="240" w:lineRule="auto"/>
              <w:jc w:val="right"/>
              <w:rPr>
                <w:rFonts w:ascii="Arial" w:eastAsia="Times New Roman" w:hAnsi="Arial" w:cs="Arial"/>
                <w:color w:val="auto"/>
                <w:sz w:val="22"/>
                <w:lang w:val="en-GB" w:eastAsia="en-GB"/>
              </w:rPr>
            </w:pPr>
            <w:r w:rsidRPr="00D716DE">
              <w:rPr>
                <w:rFonts w:ascii="Arial" w:eastAsia="Times New Roman" w:hAnsi="Arial" w:cs="Arial"/>
                <w:color w:val="auto"/>
                <w:sz w:val="22"/>
                <w:lang w:val="en-GB" w:eastAsia="en-GB"/>
              </w:rPr>
              <w:t>55%</w:t>
            </w:r>
          </w:p>
        </w:tc>
        <w:tc>
          <w:tcPr>
            <w:tcW w:w="1118" w:type="dxa"/>
            <w:tcBorders>
              <w:top w:val="nil"/>
              <w:left w:val="nil"/>
              <w:bottom w:val="nil"/>
              <w:right w:val="nil"/>
            </w:tcBorders>
            <w:shd w:val="clear" w:color="000000" w:fill="E8F3FB"/>
            <w:noWrap/>
            <w:vAlign w:val="bottom"/>
            <w:hideMark/>
          </w:tcPr>
          <w:p w14:paraId="794579DE" w14:textId="77777777" w:rsidR="00D716DE" w:rsidRPr="00D716DE" w:rsidRDefault="00D716DE" w:rsidP="00D716DE">
            <w:pPr>
              <w:spacing w:line="240" w:lineRule="auto"/>
              <w:jc w:val="right"/>
              <w:rPr>
                <w:rFonts w:ascii="Arial" w:eastAsia="Times New Roman" w:hAnsi="Arial" w:cs="Arial"/>
                <w:color w:val="auto"/>
                <w:sz w:val="22"/>
                <w:lang w:val="en-GB" w:eastAsia="en-GB"/>
              </w:rPr>
            </w:pPr>
            <w:r w:rsidRPr="00D716DE">
              <w:rPr>
                <w:rFonts w:ascii="Arial" w:eastAsia="Times New Roman" w:hAnsi="Arial" w:cs="Arial"/>
                <w:color w:val="auto"/>
                <w:sz w:val="22"/>
                <w:lang w:val="en-GB" w:eastAsia="en-GB"/>
              </w:rPr>
              <w:t>65%</w:t>
            </w:r>
          </w:p>
        </w:tc>
        <w:tc>
          <w:tcPr>
            <w:tcW w:w="1118" w:type="dxa"/>
            <w:tcBorders>
              <w:top w:val="nil"/>
              <w:left w:val="nil"/>
              <w:bottom w:val="nil"/>
              <w:right w:val="nil"/>
            </w:tcBorders>
            <w:shd w:val="clear" w:color="000000" w:fill="E8F3FB"/>
            <w:noWrap/>
            <w:vAlign w:val="bottom"/>
            <w:hideMark/>
          </w:tcPr>
          <w:p w14:paraId="7961440A" w14:textId="77777777" w:rsidR="00D716DE" w:rsidRPr="00D716DE" w:rsidRDefault="00D716DE" w:rsidP="00D716DE">
            <w:pPr>
              <w:spacing w:line="240" w:lineRule="auto"/>
              <w:jc w:val="right"/>
              <w:rPr>
                <w:rFonts w:ascii="Arial" w:eastAsia="Times New Roman" w:hAnsi="Arial" w:cs="Arial"/>
                <w:color w:val="auto"/>
                <w:sz w:val="22"/>
                <w:lang w:val="en-GB" w:eastAsia="en-GB"/>
              </w:rPr>
            </w:pPr>
            <w:r w:rsidRPr="00D716DE">
              <w:rPr>
                <w:rFonts w:ascii="Arial" w:eastAsia="Times New Roman" w:hAnsi="Arial" w:cs="Arial"/>
                <w:color w:val="auto"/>
                <w:sz w:val="22"/>
                <w:lang w:val="en-GB" w:eastAsia="en-GB"/>
              </w:rPr>
              <w:t>75%</w:t>
            </w:r>
          </w:p>
        </w:tc>
        <w:tc>
          <w:tcPr>
            <w:tcW w:w="1305" w:type="dxa"/>
            <w:tcBorders>
              <w:top w:val="nil"/>
              <w:left w:val="nil"/>
              <w:bottom w:val="nil"/>
              <w:right w:val="nil"/>
            </w:tcBorders>
            <w:shd w:val="clear" w:color="000000" w:fill="E8F3FB"/>
            <w:noWrap/>
            <w:vAlign w:val="bottom"/>
            <w:hideMark/>
          </w:tcPr>
          <w:p w14:paraId="237C205B" w14:textId="77777777" w:rsidR="00D716DE" w:rsidRPr="00D716DE" w:rsidRDefault="00D716DE" w:rsidP="00D716DE">
            <w:pPr>
              <w:spacing w:line="240" w:lineRule="auto"/>
              <w:jc w:val="right"/>
              <w:rPr>
                <w:rFonts w:ascii="Arial" w:eastAsia="Times New Roman" w:hAnsi="Arial" w:cs="Arial"/>
                <w:color w:val="auto"/>
                <w:sz w:val="22"/>
                <w:lang w:val="en-GB" w:eastAsia="en-GB"/>
              </w:rPr>
            </w:pPr>
            <w:r w:rsidRPr="00D716DE">
              <w:rPr>
                <w:rFonts w:ascii="Arial" w:eastAsia="Times New Roman" w:hAnsi="Arial" w:cs="Arial"/>
                <w:color w:val="auto"/>
                <w:sz w:val="22"/>
                <w:lang w:val="en-GB" w:eastAsia="en-GB"/>
              </w:rPr>
              <w:t>85%</w:t>
            </w:r>
          </w:p>
        </w:tc>
        <w:tc>
          <w:tcPr>
            <w:tcW w:w="1003" w:type="dxa"/>
            <w:tcBorders>
              <w:top w:val="nil"/>
              <w:left w:val="nil"/>
              <w:bottom w:val="nil"/>
              <w:right w:val="nil"/>
            </w:tcBorders>
            <w:shd w:val="clear" w:color="000000" w:fill="DDF3E2"/>
            <w:noWrap/>
            <w:vAlign w:val="bottom"/>
            <w:hideMark/>
          </w:tcPr>
          <w:p w14:paraId="6BF20C1C" w14:textId="77777777" w:rsidR="00D716DE" w:rsidRPr="00D716DE" w:rsidRDefault="00D716DE" w:rsidP="00D716DE">
            <w:pPr>
              <w:spacing w:line="240" w:lineRule="auto"/>
              <w:jc w:val="right"/>
              <w:rPr>
                <w:rFonts w:ascii="Arial" w:eastAsia="Times New Roman" w:hAnsi="Arial" w:cs="Arial"/>
                <w:color w:val="auto"/>
                <w:sz w:val="22"/>
                <w:lang w:val="en-GB" w:eastAsia="en-GB"/>
              </w:rPr>
            </w:pPr>
            <w:r w:rsidRPr="00D716DE">
              <w:rPr>
                <w:rFonts w:ascii="Arial" w:eastAsia="Times New Roman" w:hAnsi="Arial" w:cs="Arial"/>
                <w:color w:val="auto"/>
                <w:sz w:val="22"/>
                <w:lang w:val="en-GB" w:eastAsia="en-GB"/>
              </w:rPr>
              <w:t>80%</w:t>
            </w:r>
          </w:p>
        </w:tc>
      </w:tr>
      <w:tr w:rsidR="00D716DE" w:rsidRPr="00D716DE" w14:paraId="24876EAC" w14:textId="77777777" w:rsidTr="00D716DE">
        <w:trPr>
          <w:trHeight w:val="376"/>
        </w:trPr>
        <w:tc>
          <w:tcPr>
            <w:tcW w:w="3782" w:type="dxa"/>
            <w:tcBorders>
              <w:top w:val="nil"/>
              <w:left w:val="nil"/>
              <w:bottom w:val="nil"/>
              <w:right w:val="nil"/>
            </w:tcBorders>
            <w:noWrap/>
            <w:vAlign w:val="bottom"/>
            <w:hideMark/>
          </w:tcPr>
          <w:p w14:paraId="66406419" w14:textId="77777777" w:rsidR="00D716DE" w:rsidRPr="00D716DE" w:rsidRDefault="00D716DE" w:rsidP="00D716DE">
            <w:pPr>
              <w:spacing w:line="240" w:lineRule="auto"/>
              <w:rPr>
                <w:rFonts w:ascii="Arial" w:eastAsia="Times New Roman" w:hAnsi="Arial" w:cs="Arial"/>
                <w:color w:val="auto"/>
                <w:sz w:val="22"/>
                <w:lang w:val="en-GB" w:eastAsia="en-GB"/>
              </w:rPr>
            </w:pPr>
            <w:r w:rsidRPr="00D716DE">
              <w:rPr>
                <w:rFonts w:ascii="Arial" w:eastAsia="Times New Roman" w:hAnsi="Arial" w:cs="Arial"/>
                <w:color w:val="auto"/>
                <w:sz w:val="22"/>
                <w:lang w:val="en-GB" w:eastAsia="en-GB"/>
              </w:rPr>
              <w:t>On-time handovers</w:t>
            </w:r>
          </w:p>
        </w:tc>
        <w:tc>
          <w:tcPr>
            <w:tcW w:w="2565" w:type="dxa"/>
            <w:tcBorders>
              <w:top w:val="nil"/>
              <w:left w:val="nil"/>
              <w:bottom w:val="nil"/>
              <w:right w:val="nil"/>
            </w:tcBorders>
            <w:shd w:val="clear" w:color="000000" w:fill="E8F3FB"/>
            <w:noWrap/>
            <w:vAlign w:val="bottom"/>
            <w:hideMark/>
          </w:tcPr>
          <w:p w14:paraId="4F4D0E6A" w14:textId="77777777" w:rsidR="00D716DE" w:rsidRPr="00D716DE" w:rsidRDefault="00D716DE" w:rsidP="00D716DE">
            <w:pPr>
              <w:spacing w:line="240" w:lineRule="auto"/>
              <w:jc w:val="right"/>
              <w:rPr>
                <w:rFonts w:ascii="Arial" w:eastAsia="Times New Roman" w:hAnsi="Arial" w:cs="Arial"/>
                <w:color w:val="auto"/>
                <w:sz w:val="22"/>
                <w:lang w:val="en-GB" w:eastAsia="en-GB"/>
              </w:rPr>
            </w:pPr>
            <w:r w:rsidRPr="00D716DE">
              <w:rPr>
                <w:rFonts w:ascii="Arial" w:eastAsia="Times New Roman" w:hAnsi="Arial" w:cs="Arial"/>
                <w:color w:val="auto"/>
                <w:sz w:val="22"/>
                <w:lang w:val="en-GB" w:eastAsia="en-GB"/>
              </w:rPr>
              <w:t>70%</w:t>
            </w:r>
          </w:p>
        </w:tc>
        <w:tc>
          <w:tcPr>
            <w:tcW w:w="1118" w:type="dxa"/>
            <w:tcBorders>
              <w:top w:val="nil"/>
              <w:left w:val="nil"/>
              <w:bottom w:val="nil"/>
              <w:right w:val="nil"/>
            </w:tcBorders>
            <w:shd w:val="clear" w:color="000000" w:fill="E8F3FB"/>
            <w:noWrap/>
            <w:vAlign w:val="bottom"/>
            <w:hideMark/>
          </w:tcPr>
          <w:p w14:paraId="5A2ED199" w14:textId="77777777" w:rsidR="00D716DE" w:rsidRPr="00D716DE" w:rsidRDefault="00D716DE" w:rsidP="00D716DE">
            <w:pPr>
              <w:spacing w:line="240" w:lineRule="auto"/>
              <w:jc w:val="right"/>
              <w:rPr>
                <w:rFonts w:ascii="Arial" w:eastAsia="Times New Roman" w:hAnsi="Arial" w:cs="Arial"/>
                <w:color w:val="auto"/>
                <w:sz w:val="22"/>
                <w:lang w:val="en-GB" w:eastAsia="en-GB"/>
              </w:rPr>
            </w:pPr>
            <w:r w:rsidRPr="00D716DE">
              <w:rPr>
                <w:rFonts w:ascii="Arial" w:eastAsia="Times New Roman" w:hAnsi="Arial" w:cs="Arial"/>
                <w:color w:val="auto"/>
                <w:sz w:val="22"/>
                <w:lang w:val="en-GB" w:eastAsia="en-GB"/>
              </w:rPr>
              <w:t>82%</w:t>
            </w:r>
          </w:p>
        </w:tc>
        <w:tc>
          <w:tcPr>
            <w:tcW w:w="1118" w:type="dxa"/>
            <w:tcBorders>
              <w:top w:val="nil"/>
              <w:left w:val="nil"/>
              <w:bottom w:val="nil"/>
              <w:right w:val="nil"/>
            </w:tcBorders>
            <w:shd w:val="clear" w:color="000000" w:fill="E8F3FB"/>
            <w:noWrap/>
            <w:vAlign w:val="bottom"/>
            <w:hideMark/>
          </w:tcPr>
          <w:p w14:paraId="512BB34C" w14:textId="77777777" w:rsidR="00D716DE" w:rsidRPr="00D716DE" w:rsidRDefault="00D716DE" w:rsidP="00D716DE">
            <w:pPr>
              <w:spacing w:line="240" w:lineRule="auto"/>
              <w:jc w:val="right"/>
              <w:rPr>
                <w:rFonts w:ascii="Arial" w:eastAsia="Times New Roman" w:hAnsi="Arial" w:cs="Arial"/>
                <w:color w:val="auto"/>
                <w:sz w:val="22"/>
                <w:lang w:val="en-GB" w:eastAsia="en-GB"/>
              </w:rPr>
            </w:pPr>
            <w:r w:rsidRPr="00D716DE">
              <w:rPr>
                <w:rFonts w:ascii="Arial" w:eastAsia="Times New Roman" w:hAnsi="Arial" w:cs="Arial"/>
                <w:color w:val="auto"/>
                <w:sz w:val="22"/>
                <w:lang w:val="en-GB" w:eastAsia="en-GB"/>
              </w:rPr>
              <w:t>90%</w:t>
            </w:r>
          </w:p>
        </w:tc>
        <w:tc>
          <w:tcPr>
            <w:tcW w:w="1305" w:type="dxa"/>
            <w:tcBorders>
              <w:top w:val="nil"/>
              <w:left w:val="nil"/>
              <w:bottom w:val="nil"/>
              <w:right w:val="nil"/>
            </w:tcBorders>
            <w:shd w:val="clear" w:color="000000" w:fill="E8F3FB"/>
            <w:noWrap/>
            <w:vAlign w:val="bottom"/>
            <w:hideMark/>
          </w:tcPr>
          <w:p w14:paraId="148A46D9" w14:textId="77777777" w:rsidR="00D716DE" w:rsidRPr="00D716DE" w:rsidRDefault="00D716DE" w:rsidP="00D716DE">
            <w:pPr>
              <w:spacing w:line="240" w:lineRule="auto"/>
              <w:jc w:val="right"/>
              <w:rPr>
                <w:rFonts w:ascii="Arial" w:eastAsia="Times New Roman" w:hAnsi="Arial" w:cs="Arial"/>
                <w:color w:val="auto"/>
                <w:sz w:val="22"/>
                <w:lang w:val="en-GB" w:eastAsia="en-GB"/>
              </w:rPr>
            </w:pPr>
            <w:r w:rsidRPr="00D716DE">
              <w:rPr>
                <w:rFonts w:ascii="Arial" w:eastAsia="Times New Roman" w:hAnsi="Arial" w:cs="Arial"/>
                <w:color w:val="auto"/>
                <w:sz w:val="22"/>
                <w:lang w:val="en-GB" w:eastAsia="en-GB"/>
              </w:rPr>
              <w:t>97%</w:t>
            </w:r>
          </w:p>
        </w:tc>
        <w:tc>
          <w:tcPr>
            <w:tcW w:w="1003" w:type="dxa"/>
            <w:tcBorders>
              <w:top w:val="nil"/>
              <w:left w:val="nil"/>
              <w:bottom w:val="nil"/>
              <w:right w:val="nil"/>
            </w:tcBorders>
            <w:shd w:val="clear" w:color="000000" w:fill="DDF3E2"/>
            <w:noWrap/>
            <w:vAlign w:val="bottom"/>
            <w:hideMark/>
          </w:tcPr>
          <w:p w14:paraId="17CCBD50" w14:textId="77777777" w:rsidR="00D716DE" w:rsidRPr="00D716DE" w:rsidRDefault="00D716DE" w:rsidP="00D716DE">
            <w:pPr>
              <w:spacing w:line="240" w:lineRule="auto"/>
              <w:jc w:val="right"/>
              <w:rPr>
                <w:rFonts w:ascii="Arial" w:eastAsia="Times New Roman" w:hAnsi="Arial" w:cs="Arial"/>
                <w:color w:val="auto"/>
                <w:sz w:val="22"/>
                <w:lang w:val="en-GB" w:eastAsia="en-GB"/>
              </w:rPr>
            </w:pPr>
            <w:r w:rsidRPr="00D716DE">
              <w:rPr>
                <w:rFonts w:ascii="Arial" w:eastAsia="Times New Roman" w:hAnsi="Arial" w:cs="Arial"/>
                <w:color w:val="auto"/>
                <w:sz w:val="22"/>
                <w:lang w:val="en-GB" w:eastAsia="en-GB"/>
              </w:rPr>
              <w:t>95%</w:t>
            </w:r>
          </w:p>
        </w:tc>
      </w:tr>
      <w:tr w:rsidR="00D716DE" w:rsidRPr="00D716DE" w14:paraId="32916F69" w14:textId="77777777" w:rsidTr="00D716DE">
        <w:trPr>
          <w:trHeight w:val="260"/>
        </w:trPr>
        <w:tc>
          <w:tcPr>
            <w:tcW w:w="3782" w:type="dxa"/>
            <w:tcBorders>
              <w:top w:val="nil"/>
              <w:left w:val="nil"/>
              <w:bottom w:val="nil"/>
              <w:right w:val="nil"/>
            </w:tcBorders>
            <w:noWrap/>
            <w:vAlign w:val="bottom"/>
            <w:hideMark/>
          </w:tcPr>
          <w:p w14:paraId="7AAD7055" w14:textId="77777777" w:rsidR="00D716DE" w:rsidRPr="00D716DE" w:rsidRDefault="00D716DE" w:rsidP="00D716DE">
            <w:pPr>
              <w:spacing w:line="240" w:lineRule="auto"/>
              <w:jc w:val="right"/>
              <w:rPr>
                <w:rFonts w:ascii="Arial" w:eastAsia="Times New Roman" w:hAnsi="Arial" w:cs="Arial"/>
                <w:color w:val="auto"/>
                <w:sz w:val="22"/>
                <w:lang w:val="en-GB" w:eastAsia="en-GB"/>
              </w:rPr>
            </w:pPr>
          </w:p>
        </w:tc>
        <w:tc>
          <w:tcPr>
            <w:tcW w:w="2565" w:type="dxa"/>
            <w:tcBorders>
              <w:top w:val="nil"/>
              <w:left w:val="nil"/>
              <w:bottom w:val="nil"/>
              <w:right w:val="nil"/>
            </w:tcBorders>
            <w:noWrap/>
            <w:vAlign w:val="bottom"/>
            <w:hideMark/>
          </w:tcPr>
          <w:p w14:paraId="6ABB6164" w14:textId="77777777" w:rsidR="00D716DE" w:rsidRPr="00D716DE" w:rsidRDefault="00D716DE" w:rsidP="00D716DE">
            <w:pPr>
              <w:spacing w:line="240" w:lineRule="auto"/>
              <w:rPr>
                <w:rFonts w:ascii="Arial" w:eastAsia="Times New Roman" w:hAnsi="Arial" w:cs="Arial"/>
                <w:color w:val="auto"/>
                <w:sz w:val="20"/>
                <w:szCs w:val="20"/>
                <w:lang w:val="en-GB" w:eastAsia="en-GB"/>
              </w:rPr>
            </w:pPr>
          </w:p>
        </w:tc>
        <w:tc>
          <w:tcPr>
            <w:tcW w:w="1118" w:type="dxa"/>
            <w:tcBorders>
              <w:top w:val="nil"/>
              <w:left w:val="nil"/>
              <w:bottom w:val="nil"/>
              <w:right w:val="nil"/>
            </w:tcBorders>
            <w:noWrap/>
            <w:vAlign w:val="bottom"/>
            <w:hideMark/>
          </w:tcPr>
          <w:p w14:paraId="3194248D" w14:textId="77777777" w:rsidR="00D716DE" w:rsidRPr="00D716DE" w:rsidRDefault="00D716DE" w:rsidP="00D716DE">
            <w:pPr>
              <w:spacing w:line="240" w:lineRule="auto"/>
              <w:rPr>
                <w:rFonts w:ascii="Arial" w:eastAsia="Times New Roman" w:hAnsi="Arial" w:cs="Arial"/>
                <w:color w:val="auto"/>
                <w:sz w:val="20"/>
                <w:szCs w:val="20"/>
                <w:lang w:val="en-GB" w:eastAsia="en-GB"/>
              </w:rPr>
            </w:pPr>
          </w:p>
        </w:tc>
        <w:tc>
          <w:tcPr>
            <w:tcW w:w="1118" w:type="dxa"/>
            <w:tcBorders>
              <w:top w:val="nil"/>
              <w:left w:val="nil"/>
              <w:bottom w:val="nil"/>
              <w:right w:val="nil"/>
            </w:tcBorders>
            <w:noWrap/>
            <w:vAlign w:val="bottom"/>
            <w:hideMark/>
          </w:tcPr>
          <w:p w14:paraId="1B4B0C4B" w14:textId="77777777" w:rsidR="00D716DE" w:rsidRPr="00D716DE" w:rsidRDefault="00D716DE" w:rsidP="00D716DE">
            <w:pPr>
              <w:spacing w:line="240" w:lineRule="auto"/>
              <w:rPr>
                <w:rFonts w:ascii="Arial" w:eastAsia="Times New Roman" w:hAnsi="Arial" w:cs="Arial"/>
                <w:color w:val="auto"/>
                <w:sz w:val="20"/>
                <w:szCs w:val="20"/>
                <w:lang w:val="en-GB" w:eastAsia="en-GB"/>
              </w:rPr>
            </w:pPr>
          </w:p>
        </w:tc>
        <w:tc>
          <w:tcPr>
            <w:tcW w:w="1305" w:type="dxa"/>
            <w:tcBorders>
              <w:top w:val="nil"/>
              <w:left w:val="nil"/>
              <w:bottom w:val="nil"/>
              <w:right w:val="nil"/>
            </w:tcBorders>
            <w:noWrap/>
            <w:vAlign w:val="bottom"/>
            <w:hideMark/>
          </w:tcPr>
          <w:p w14:paraId="29234F45" w14:textId="77777777" w:rsidR="00D716DE" w:rsidRPr="00D716DE" w:rsidRDefault="00D716DE" w:rsidP="00D716DE">
            <w:pPr>
              <w:spacing w:line="240" w:lineRule="auto"/>
              <w:rPr>
                <w:rFonts w:ascii="Arial" w:eastAsia="Times New Roman" w:hAnsi="Arial" w:cs="Arial"/>
                <w:color w:val="auto"/>
                <w:sz w:val="20"/>
                <w:szCs w:val="20"/>
                <w:lang w:val="en-GB" w:eastAsia="en-GB"/>
              </w:rPr>
            </w:pPr>
          </w:p>
        </w:tc>
        <w:tc>
          <w:tcPr>
            <w:tcW w:w="1003" w:type="dxa"/>
            <w:tcBorders>
              <w:top w:val="nil"/>
              <w:left w:val="nil"/>
              <w:bottom w:val="nil"/>
              <w:right w:val="nil"/>
            </w:tcBorders>
            <w:noWrap/>
            <w:vAlign w:val="bottom"/>
            <w:hideMark/>
          </w:tcPr>
          <w:p w14:paraId="4AA4E27B" w14:textId="77777777" w:rsidR="00D716DE" w:rsidRPr="00D716DE" w:rsidRDefault="00D716DE" w:rsidP="00D716DE">
            <w:pPr>
              <w:spacing w:line="240" w:lineRule="auto"/>
              <w:rPr>
                <w:rFonts w:ascii="Arial" w:eastAsia="Times New Roman" w:hAnsi="Arial" w:cs="Arial"/>
                <w:color w:val="auto"/>
                <w:sz w:val="20"/>
                <w:szCs w:val="20"/>
                <w:lang w:val="en-GB" w:eastAsia="en-GB"/>
              </w:rPr>
            </w:pPr>
          </w:p>
        </w:tc>
      </w:tr>
      <w:tr w:rsidR="00D716DE" w:rsidRPr="00D716DE" w14:paraId="1700FB48" w14:textId="77777777" w:rsidTr="00D716DE">
        <w:trPr>
          <w:trHeight w:val="260"/>
        </w:trPr>
        <w:tc>
          <w:tcPr>
            <w:tcW w:w="10893" w:type="dxa"/>
            <w:gridSpan w:val="6"/>
            <w:tcBorders>
              <w:top w:val="nil"/>
              <w:left w:val="nil"/>
              <w:bottom w:val="nil"/>
              <w:right w:val="nil"/>
            </w:tcBorders>
            <w:shd w:val="clear" w:color="000000" w:fill="183153"/>
            <w:noWrap/>
            <w:vAlign w:val="bottom"/>
            <w:hideMark/>
          </w:tcPr>
          <w:p w14:paraId="106BEA1C" w14:textId="77777777" w:rsidR="00D716DE" w:rsidRPr="00D716DE" w:rsidRDefault="00D716DE" w:rsidP="00D716DE">
            <w:pPr>
              <w:spacing w:line="240" w:lineRule="auto"/>
              <w:rPr>
                <w:rFonts w:ascii="Arial" w:eastAsia="Times New Roman" w:hAnsi="Arial" w:cs="Arial"/>
                <w:b/>
                <w:bCs/>
                <w:color w:val="FFFFFF"/>
                <w:sz w:val="22"/>
                <w:lang w:val="en-GB" w:eastAsia="en-GB"/>
              </w:rPr>
            </w:pPr>
            <w:r w:rsidRPr="00D716DE">
              <w:rPr>
                <w:rFonts w:ascii="Arial" w:eastAsia="Times New Roman" w:hAnsi="Arial" w:cs="Arial"/>
                <w:b/>
                <w:bCs/>
                <w:color w:val="FFFFFF"/>
                <w:sz w:val="22"/>
                <w:lang w:val="en-GB" w:eastAsia="en-GB"/>
              </w:rPr>
              <w:t>Target attainment at Week 12</w:t>
            </w:r>
          </w:p>
        </w:tc>
      </w:tr>
      <w:tr w:rsidR="00D716DE" w:rsidRPr="00D716DE" w14:paraId="46230248" w14:textId="77777777" w:rsidTr="00D716DE">
        <w:trPr>
          <w:trHeight w:val="260"/>
        </w:trPr>
        <w:tc>
          <w:tcPr>
            <w:tcW w:w="3782" w:type="dxa"/>
            <w:tcBorders>
              <w:top w:val="nil"/>
              <w:left w:val="nil"/>
              <w:bottom w:val="nil"/>
              <w:right w:val="nil"/>
            </w:tcBorders>
            <w:shd w:val="clear" w:color="000000" w:fill="DBEAFE"/>
            <w:noWrap/>
            <w:vAlign w:val="bottom"/>
            <w:hideMark/>
          </w:tcPr>
          <w:p w14:paraId="1BB4BB18" w14:textId="77777777" w:rsidR="00D716DE" w:rsidRPr="00D716DE" w:rsidRDefault="00D716DE" w:rsidP="00D716DE">
            <w:pPr>
              <w:spacing w:line="240" w:lineRule="auto"/>
              <w:rPr>
                <w:rFonts w:ascii="Arial" w:eastAsia="Times New Roman" w:hAnsi="Arial" w:cs="Arial"/>
                <w:b/>
                <w:bCs/>
                <w:color w:val="auto"/>
                <w:sz w:val="22"/>
                <w:lang w:val="en-GB" w:eastAsia="en-GB"/>
              </w:rPr>
            </w:pPr>
            <w:r w:rsidRPr="00D716DE">
              <w:rPr>
                <w:rFonts w:ascii="Arial" w:eastAsia="Times New Roman" w:hAnsi="Arial" w:cs="Arial"/>
                <w:b/>
                <w:bCs/>
                <w:color w:val="auto"/>
                <w:sz w:val="22"/>
                <w:lang w:val="en-GB" w:eastAsia="en-GB"/>
              </w:rPr>
              <w:t>Measure</w:t>
            </w:r>
          </w:p>
        </w:tc>
        <w:tc>
          <w:tcPr>
            <w:tcW w:w="2565" w:type="dxa"/>
            <w:tcBorders>
              <w:top w:val="nil"/>
              <w:left w:val="nil"/>
              <w:bottom w:val="nil"/>
              <w:right w:val="nil"/>
            </w:tcBorders>
            <w:shd w:val="clear" w:color="000000" w:fill="DBEAFE"/>
            <w:noWrap/>
            <w:vAlign w:val="bottom"/>
            <w:hideMark/>
          </w:tcPr>
          <w:p w14:paraId="7F7A5B8F" w14:textId="77777777" w:rsidR="00D716DE" w:rsidRPr="00D716DE" w:rsidRDefault="00D716DE" w:rsidP="00D716DE">
            <w:pPr>
              <w:spacing w:line="240" w:lineRule="auto"/>
              <w:rPr>
                <w:rFonts w:ascii="Arial" w:eastAsia="Times New Roman" w:hAnsi="Arial" w:cs="Arial"/>
                <w:b/>
                <w:bCs/>
                <w:color w:val="auto"/>
                <w:sz w:val="22"/>
                <w:lang w:val="en-GB" w:eastAsia="en-GB"/>
              </w:rPr>
            </w:pPr>
            <w:r w:rsidRPr="00D716DE">
              <w:rPr>
                <w:rFonts w:ascii="Arial" w:eastAsia="Times New Roman" w:hAnsi="Arial" w:cs="Arial"/>
                <w:b/>
                <w:bCs/>
                <w:color w:val="auto"/>
                <w:sz w:val="22"/>
                <w:lang w:val="en-GB" w:eastAsia="en-GB"/>
              </w:rPr>
              <w:t>Gap versus target</w:t>
            </w:r>
          </w:p>
        </w:tc>
        <w:tc>
          <w:tcPr>
            <w:tcW w:w="1118" w:type="dxa"/>
            <w:tcBorders>
              <w:top w:val="nil"/>
              <w:left w:val="nil"/>
              <w:bottom w:val="nil"/>
              <w:right w:val="nil"/>
            </w:tcBorders>
            <w:shd w:val="clear" w:color="000000" w:fill="DBEAFE"/>
            <w:noWrap/>
            <w:vAlign w:val="bottom"/>
            <w:hideMark/>
          </w:tcPr>
          <w:p w14:paraId="141786F8" w14:textId="77777777" w:rsidR="00D716DE" w:rsidRPr="00D716DE" w:rsidRDefault="00D716DE" w:rsidP="00D716DE">
            <w:pPr>
              <w:spacing w:line="240" w:lineRule="auto"/>
              <w:rPr>
                <w:rFonts w:ascii="Arial" w:eastAsia="Times New Roman" w:hAnsi="Arial" w:cs="Arial"/>
                <w:b/>
                <w:bCs/>
                <w:color w:val="auto"/>
                <w:sz w:val="22"/>
                <w:lang w:val="en-GB" w:eastAsia="en-GB"/>
              </w:rPr>
            </w:pPr>
            <w:r w:rsidRPr="00D716DE">
              <w:rPr>
                <w:rFonts w:ascii="Arial" w:eastAsia="Times New Roman" w:hAnsi="Arial" w:cs="Arial"/>
                <w:b/>
                <w:bCs/>
                <w:color w:val="auto"/>
                <w:sz w:val="22"/>
                <w:lang w:val="en-GB" w:eastAsia="en-GB"/>
              </w:rPr>
              <w:t>Status</w:t>
            </w:r>
          </w:p>
        </w:tc>
        <w:tc>
          <w:tcPr>
            <w:tcW w:w="1118" w:type="dxa"/>
            <w:tcBorders>
              <w:top w:val="nil"/>
              <w:left w:val="nil"/>
              <w:bottom w:val="nil"/>
              <w:right w:val="nil"/>
            </w:tcBorders>
            <w:noWrap/>
            <w:vAlign w:val="bottom"/>
            <w:hideMark/>
          </w:tcPr>
          <w:p w14:paraId="65A1A20C" w14:textId="77777777" w:rsidR="00D716DE" w:rsidRPr="00D716DE" w:rsidRDefault="00D716DE" w:rsidP="00D716DE">
            <w:pPr>
              <w:spacing w:line="240" w:lineRule="auto"/>
              <w:rPr>
                <w:rFonts w:ascii="Arial" w:eastAsia="Times New Roman" w:hAnsi="Arial" w:cs="Arial"/>
                <w:b/>
                <w:bCs/>
                <w:color w:val="auto"/>
                <w:sz w:val="22"/>
                <w:lang w:val="en-GB" w:eastAsia="en-GB"/>
              </w:rPr>
            </w:pPr>
          </w:p>
        </w:tc>
        <w:tc>
          <w:tcPr>
            <w:tcW w:w="1305" w:type="dxa"/>
            <w:tcBorders>
              <w:top w:val="nil"/>
              <w:left w:val="nil"/>
              <w:bottom w:val="nil"/>
              <w:right w:val="nil"/>
            </w:tcBorders>
            <w:noWrap/>
            <w:vAlign w:val="bottom"/>
            <w:hideMark/>
          </w:tcPr>
          <w:p w14:paraId="04D28AEB" w14:textId="77777777" w:rsidR="00D716DE" w:rsidRPr="00D716DE" w:rsidRDefault="00D716DE" w:rsidP="00D716DE">
            <w:pPr>
              <w:spacing w:line="240" w:lineRule="auto"/>
              <w:rPr>
                <w:rFonts w:ascii="Arial" w:eastAsia="Times New Roman" w:hAnsi="Arial" w:cs="Arial"/>
                <w:color w:val="auto"/>
                <w:sz w:val="20"/>
                <w:szCs w:val="20"/>
                <w:lang w:val="en-GB" w:eastAsia="en-GB"/>
              </w:rPr>
            </w:pPr>
          </w:p>
        </w:tc>
        <w:tc>
          <w:tcPr>
            <w:tcW w:w="1003" w:type="dxa"/>
            <w:tcBorders>
              <w:top w:val="nil"/>
              <w:left w:val="nil"/>
              <w:bottom w:val="nil"/>
              <w:right w:val="nil"/>
            </w:tcBorders>
            <w:noWrap/>
            <w:vAlign w:val="bottom"/>
            <w:hideMark/>
          </w:tcPr>
          <w:p w14:paraId="1C2803B5" w14:textId="77777777" w:rsidR="00D716DE" w:rsidRPr="00D716DE" w:rsidRDefault="00D716DE" w:rsidP="00D716DE">
            <w:pPr>
              <w:spacing w:line="240" w:lineRule="auto"/>
              <w:rPr>
                <w:rFonts w:ascii="Arial" w:eastAsia="Times New Roman" w:hAnsi="Arial" w:cs="Arial"/>
                <w:color w:val="auto"/>
                <w:sz w:val="20"/>
                <w:szCs w:val="20"/>
                <w:lang w:val="en-GB" w:eastAsia="en-GB"/>
              </w:rPr>
            </w:pPr>
          </w:p>
        </w:tc>
      </w:tr>
      <w:tr w:rsidR="00D716DE" w:rsidRPr="00D716DE" w14:paraId="103D6D91" w14:textId="77777777" w:rsidTr="00D716DE">
        <w:trPr>
          <w:trHeight w:val="260"/>
        </w:trPr>
        <w:tc>
          <w:tcPr>
            <w:tcW w:w="3782" w:type="dxa"/>
            <w:tcBorders>
              <w:top w:val="nil"/>
              <w:left w:val="nil"/>
              <w:bottom w:val="nil"/>
              <w:right w:val="nil"/>
            </w:tcBorders>
            <w:noWrap/>
            <w:vAlign w:val="bottom"/>
            <w:hideMark/>
          </w:tcPr>
          <w:p w14:paraId="481B6197" w14:textId="77777777" w:rsidR="00D716DE" w:rsidRPr="00D716DE" w:rsidRDefault="00D716DE" w:rsidP="00D716DE">
            <w:pPr>
              <w:spacing w:line="240" w:lineRule="auto"/>
              <w:rPr>
                <w:rFonts w:ascii="Arial" w:eastAsia="Times New Roman" w:hAnsi="Arial" w:cs="Arial"/>
                <w:color w:val="auto"/>
                <w:sz w:val="22"/>
                <w:lang w:val="en-GB" w:eastAsia="en-GB"/>
              </w:rPr>
            </w:pPr>
            <w:r w:rsidRPr="00D716DE">
              <w:rPr>
                <w:rFonts w:ascii="Arial" w:eastAsia="Times New Roman" w:hAnsi="Arial" w:cs="Arial"/>
                <w:color w:val="auto"/>
                <w:sz w:val="22"/>
                <w:lang w:val="en-GB" w:eastAsia="en-GB"/>
              </w:rPr>
              <w:t>Booking record accuracy</w:t>
            </w:r>
          </w:p>
        </w:tc>
        <w:tc>
          <w:tcPr>
            <w:tcW w:w="2565" w:type="dxa"/>
            <w:tcBorders>
              <w:top w:val="nil"/>
              <w:left w:val="nil"/>
              <w:bottom w:val="nil"/>
              <w:right w:val="nil"/>
            </w:tcBorders>
            <w:noWrap/>
            <w:vAlign w:val="bottom"/>
            <w:hideMark/>
          </w:tcPr>
          <w:p w14:paraId="5D7BCB19" w14:textId="77777777" w:rsidR="00D716DE" w:rsidRPr="00D716DE" w:rsidRDefault="00D716DE" w:rsidP="00D716DE">
            <w:pPr>
              <w:spacing w:line="240" w:lineRule="auto"/>
              <w:jc w:val="right"/>
              <w:rPr>
                <w:rFonts w:ascii="Arial" w:eastAsia="Times New Roman" w:hAnsi="Arial" w:cs="Arial"/>
                <w:color w:val="auto"/>
                <w:sz w:val="22"/>
                <w:lang w:val="en-GB" w:eastAsia="en-GB"/>
              </w:rPr>
            </w:pPr>
            <w:r w:rsidRPr="00D716DE">
              <w:rPr>
                <w:rFonts w:ascii="Arial" w:eastAsia="Times New Roman" w:hAnsi="Arial" w:cs="Arial"/>
                <w:color w:val="auto"/>
                <w:sz w:val="22"/>
                <w:lang w:val="en-GB" w:eastAsia="en-GB"/>
              </w:rPr>
              <w:t>+1%</w:t>
            </w:r>
          </w:p>
        </w:tc>
        <w:tc>
          <w:tcPr>
            <w:tcW w:w="1118" w:type="dxa"/>
            <w:tcBorders>
              <w:top w:val="nil"/>
              <w:left w:val="nil"/>
              <w:bottom w:val="nil"/>
              <w:right w:val="nil"/>
            </w:tcBorders>
            <w:noWrap/>
            <w:vAlign w:val="bottom"/>
            <w:hideMark/>
          </w:tcPr>
          <w:p w14:paraId="712B77D6" w14:textId="77777777" w:rsidR="00D716DE" w:rsidRPr="00D716DE" w:rsidRDefault="00D716DE" w:rsidP="00D716DE">
            <w:pPr>
              <w:spacing w:line="240" w:lineRule="auto"/>
              <w:rPr>
                <w:rFonts w:ascii="Arial" w:eastAsia="Times New Roman" w:hAnsi="Arial" w:cs="Arial"/>
                <w:color w:val="auto"/>
                <w:sz w:val="22"/>
                <w:lang w:val="en-GB" w:eastAsia="en-GB"/>
              </w:rPr>
            </w:pPr>
            <w:r w:rsidRPr="00D716DE">
              <w:rPr>
                <w:rFonts w:ascii="Arial" w:eastAsia="Times New Roman" w:hAnsi="Arial" w:cs="Arial"/>
                <w:color w:val="auto"/>
                <w:sz w:val="22"/>
                <w:lang w:val="en-GB" w:eastAsia="en-GB"/>
              </w:rPr>
              <w:t>Met</w:t>
            </w:r>
          </w:p>
        </w:tc>
        <w:tc>
          <w:tcPr>
            <w:tcW w:w="1118" w:type="dxa"/>
            <w:tcBorders>
              <w:top w:val="nil"/>
              <w:left w:val="nil"/>
              <w:bottom w:val="nil"/>
              <w:right w:val="nil"/>
            </w:tcBorders>
            <w:noWrap/>
            <w:vAlign w:val="bottom"/>
            <w:hideMark/>
          </w:tcPr>
          <w:p w14:paraId="2BA15351" w14:textId="77777777" w:rsidR="00D716DE" w:rsidRPr="00D716DE" w:rsidRDefault="00D716DE" w:rsidP="00D716DE">
            <w:pPr>
              <w:spacing w:line="240" w:lineRule="auto"/>
              <w:rPr>
                <w:rFonts w:ascii="Arial" w:eastAsia="Times New Roman" w:hAnsi="Arial" w:cs="Arial"/>
                <w:color w:val="auto"/>
                <w:sz w:val="22"/>
                <w:lang w:val="en-GB" w:eastAsia="en-GB"/>
              </w:rPr>
            </w:pPr>
          </w:p>
        </w:tc>
        <w:tc>
          <w:tcPr>
            <w:tcW w:w="1305" w:type="dxa"/>
            <w:tcBorders>
              <w:top w:val="nil"/>
              <w:left w:val="nil"/>
              <w:bottom w:val="nil"/>
              <w:right w:val="nil"/>
            </w:tcBorders>
            <w:noWrap/>
            <w:vAlign w:val="bottom"/>
            <w:hideMark/>
          </w:tcPr>
          <w:p w14:paraId="67060697" w14:textId="77777777" w:rsidR="00D716DE" w:rsidRPr="00D716DE" w:rsidRDefault="00D716DE" w:rsidP="00D716DE">
            <w:pPr>
              <w:spacing w:line="240" w:lineRule="auto"/>
              <w:rPr>
                <w:rFonts w:ascii="Arial" w:eastAsia="Times New Roman" w:hAnsi="Arial" w:cs="Arial"/>
                <w:color w:val="auto"/>
                <w:sz w:val="20"/>
                <w:szCs w:val="20"/>
                <w:lang w:val="en-GB" w:eastAsia="en-GB"/>
              </w:rPr>
            </w:pPr>
          </w:p>
        </w:tc>
        <w:tc>
          <w:tcPr>
            <w:tcW w:w="1003" w:type="dxa"/>
            <w:tcBorders>
              <w:top w:val="nil"/>
              <w:left w:val="nil"/>
              <w:bottom w:val="nil"/>
              <w:right w:val="nil"/>
            </w:tcBorders>
            <w:noWrap/>
            <w:vAlign w:val="bottom"/>
            <w:hideMark/>
          </w:tcPr>
          <w:p w14:paraId="6D37C996" w14:textId="77777777" w:rsidR="00D716DE" w:rsidRPr="00D716DE" w:rsidRDefault="00D716DE" w:rsidP="00D716DE">
            <w:pPr>
              <w:spacing w:line="240" w:lineRule="auto"/>
              <w:rPr>
                <w:rFonts w:ascii="Arial" w:eastAsia="Times New Roman" w:hAnsi="Arial" w:cs="Arial"/>
                <w:color w:val="auto"/>
                <w:sz w:val="20"/>
                <w:szCs w:val="20"/>
                <w:lang w:val="en-GB" w:eastAsia="en-GB"/>
              </w:rPr>
            </w:pPr>
          </w:p>
        </w:tc>
      </w:tr>
      <w:tr w:rsidR="00D716DE" w:rsidRPr="00D716DE" w14:paraId="0DF32DFA" w14:textId="77777777" w:rsidTr="00D716DE">
        <w:trPr>
          <w:trHeight w:val="260"/>
        </w:trPr>
        <w:tc>
          <w:tcPr>
            <w:tcW w:w="3782" w:type="dxa"/>
            <w:tcBorders>
              <w:top w:val="nil"/>
              <w:left w:val="nil"/>
              <w:bottom w:val="nil"/>
              <w:right w:val="nil"/>
            </w:tcBorders>
            <w:noWrap/>
            <w:vAlign w:val="bottom"/>
            <w:hideMark/>
          </w:tcPr>
          <w:p w14:paraId="1FA100B6" w14:textId="77777777" w:rsidR="00D716DE" w:rsidRPr="00D716DE" w:rsidRDefault="00D716DE" w:rsidP="00D716DE">
            <w:pPr>
              <w:spacing w:line="240" w:lineRule="auto"/>
              <w:rPr>
                <w:rFonts w:ascii="Arial" w:eastAsia="Times New Roman" w:hAnsi="Arial" w:cs="Arial"/>
                <w:color w:val="auto"/>
                <w:sz w:val="22"/>
                <w:lang w:val="en-GB" w:eastAsia="en-GB"/>
              </w:rPr>
            </w:pPr>
            <w:r w:rsidRPr="00D716DE">
              <w:rPr>
                <w:rFonts w:ascii="Arial" w:eastAsia="Times New Roman" w:hAnsi="Arial" w:cs="Arial"/>
                <w:color w:val="auto"/>
                <w:sz w:val="22"/>
                <w:lang w:val="en-GB" w:eastAsia="en-GB"/>
              </w:rPr>
              <w:t>Communication assessment</w:t>
            </w:r>
          </w:p>
        </w:tc>
        <w:tc>
          <w:tcPr>
            <w:tcW w:w="2565" w:type="dxa"/>
            <w:tcBorders>
              <w:top w:val="nil"/>
              <w:left w:val="nil"/>
              <w:bottom w:val="nil"/>
              <w:right w:val="nil"/>
            </w:tcBorders>
            <w:noWrap/>
            <w:vAlign w:val="bottom"/>
            <w:hideMark/>
          </w:tcPr>
          <w:p w14:paraId="7EA4FFF5" w14:textId="77777777" w:rsidR="00D716DE" w:rsidRPr="00D716DE" w:rsidRDefault="00D716DE" w:rsidP="00D716DE">
            <w:pPr>
              <w:spacing w:line="240" w:lineRule="auto"/>
              <w:jc w:val="right"/>
              <w:rPr>
                <w:rFonts w:ascii="Arial" w:eastAsia="Times New Roman" w:hAnsi="Arial" w:cs="Arial"/>
                <w:color w:val="auto"/>
                <w:sz w:val="22"/>
                <w:lang w:val="en-GB" w:eastAsia="en-GB"/>
              </w:rPr>
            </w:pPr>
            <w:r w:rsidRPr="00D716DE">
              <w:rPr>
                <w:rFonts w:ascii="Arial" w:eastAsia="Times New Roman" w:hAnsi="Arial" w:cs="Arial"/>
                <w:color w:val="auto"/>
                <w:sz w:val="22"/>
                <w:lang w:val="en-GB" w:eastAsia="en-GB"/>
              </w:rPr>
              <w:t>+5%</w:t>
            </w:r>
          </w:p>
        </w:tc>
        <w:tc>
          <w:tcPr>
            <w:tcW w:w="1118" w:type="dxa"/>
            <w:tcBorders>
              <w:top w:val="nil"/>
              <w:left w:val="nil"/>
              <w:bottom w:val="nil"/>
              <w:right w:val="nil"/>
            </w:tcBorders>
            <w:noWrap/>
            <w:vAlign w:val="bottom"/>
            <w:hideMark/>
          </w:tcPr>
          <w:p w14:paraId="1AFC62E7" w14:textId="77777777" w:rsidR="00D716DE" w:rsidRPr="00D716DE" w:rsidRDefault="00D716DE" w:rsidP="00D716DE">
            <w:pPr>
              <w:spacing w:line="240" w:lineRule="auto"/>
              <w:rPr>
                <w:rFonts w:ascii="Arial" w:eastAsia="Times New Roman" w:hAnsi="Arial" w:cs="Arial"/>
                <w:color w:val="auto"/>
                <w:sz w:val="22"/>
                <w:lang w:val="en-GB" w:eastAsia="en-GB"/>
              </w:rPr>
            </w:pPr>
            <w:r w:rsidRPr="00D716DE">
              <w:rPr>
                <w:rFonts w:ascii="Arial" w:eastAsia="Times New Roman" w:hAnsi="Arial" w:cs="Arial"/>
                <w:color w:val="auto"/>
                <w:sz w:val="22"/>
                <w:lang w:val="en-GB" w:eastAsia="en-GB"/>
              </w:rPr>
              <w:t>Met</w:t>
            </w:r>
          </w:p>
        </w:tc>
        <w:tc>
          <w:tcPr>
            <w:tcW w:w="1118" w:type="dxa"/>
            <w:tcBorders>
              <w:top w:val="nil"/>
              <w:left w:val="nil"/>
              <w:bottom w:val="nil"/>
              <w:right w:val="nil"/>
            </w:tcBorders>
            <w:noWrap/>
            <w:vAlign w:val="bottom"/>
            <w:hideMark/>
          </w:tcPr>
          <w:p w14:paraId="5F6AE5FF" w14:textId="77777777" w:rsidR="00D716DE" w:rsidRPr="00D716DE" w:rsidRDefault="00D716DE" w:rsidP="00D716DE">
            <w:pPr>
              <w:spacing w:line="240" w:lineRule="auto"/>
              <w:rPr>
                <w:rFonts w:ascii="Arial" w:eastAsia="Times New Roman" w:hAnsi="Arial" w:cs="Arial"/>
                <w:color w:val="auto"/>
                <w:sz w:val="22"/>
                <w:lang w:val="en-GB" w:eastAsia="en-GB"/>
              </w:rPr>
            </w:pPr>
          </w:p>
        </w:tc>
        <w:tc>
          <w:tcPr>
            <w:tcW w:w="1305" w:type="dxa"/>
            <w:tcBorders>
              <w:top w:val="nil"/>
              <w:left w:val="nil"/>
              <w:bottom w:val="nil"/>
              <w:right w:val="nil"/>
            </w:tcBorders>
            <w:noWrap/>
            <w:vAlign w:val="bottom"/>
            <w:hideMark/>
          </w:tcPr>
          <w:p w14:paraId="23065CAD" w14:textId="77777777" w:rsidR="00D716DE" w:rsidRPr="00D716DE" w:rsidRDefault="00D716DE" w:rsidP="00D716DE">
            <w:pPr>
              <w:spacing w:line="240" w:lineRule="auto"/>
              <w:rPr>
                <w:rFonts w:ascii="Arial" w:eastAsia="Times New Roman" w:hAnsi="Arial" w:cs="Arial"/>
                <w:color w:val="auto"/>
                <w:sz w:val="20"/>
                <w:szCs w:val="20"/>
                <w:lang w:val="en-GB" w:eastAsia="en-GB"/>
              </w:rPr>
            </w:pPr>
          </w:p>
        </w:tc>
        <w:tc>
          <w:tcPr>
            <w:tcW w:w="1003" w:type="dxa"/>
            <w:tcBorders>
              <w:top w:val="nil"/>
              <w:left w:val="nil"/>
              <w:bottom w:val="nil"/>
              <w:right w:val="nil"/>
            </w:tcBorders>
            <w:noWrap/>
            <w:vAlign w:val="bottom"/>
            <w:hideMark/>
          </w:tcPr>
          <w:p w14:paraId="461E280C" w14:textId="77777777" w:rsidR="00D716DE" w:rsidRPr="00D716DE" w:rsidRDefault="00D716DE" w:rsidP="00D716DE">
            <w:pPr>
              <w:spacing w:line="240" w:lineRule="auto"/>
              <w:rPr>
                <w:rFonts w:ascii="Arial" w:eastAsia="Times New Roman" w:hAnsi="Arial" w:cs="Arial"/>
                <w:color w:val="auto"/>
                <w:sz w:val="20"/>
                <w:szCs w:val="20"/>
                <w:lang w:val="en-GB" w:eastAsia="en-GB"/>
              </w:rPr>
            </w:pPr>
          </w:p>
        </w:tc>
      </w:tr>
      <w:tr w:rsidR="00D716DE" w:rsidRPr="00D716DE" w14:paraId="70C1FE05" w14:textId="77777777" w:rsidTr="00D716DE">
        <w:trPr>
          <w:trHeight w:val="260"/>
        </w:trPr>
        <w:tc>
          <w:tcPr>
            <w:tcW w:w="3782" w:type="dxa"/>
            <w:tcBorders>
              <w:top w:val="nil"/>
              <w:left w:val="nil"/>
              <w:bottom w:val="nil"/>
              <w:right w:val="nil"/>
            </w:tcBorders>
            <w:noWrap/>
            <w:vAlign w:val="bottom"/>
            <w:hideMark/>
          </w:tcPr>
          <w:p w14:paraId="45378C96" w14:textId="77777777" w:rsidR="00D716DE" w:rsidRPr="00D716DE" w:rsidRDefault="00D716DE" w:rsidP="00D716DE">
            <w:pPr>
              <w:spacing w:line="240" w:lineRule="auto"/>
              <w:rPr>
                <w:rFonts w:ascii="Arial" w:eastAsia="Times New Roman" w:hAnsi="Arial" w:cs="Arial"/>
                <w:color w:val="auto"/>
                <w:sz w:val="22"/>
                <w:lang w:val="en-GB" w:eastAsia="en-GB"/>
              </w:rPr>
            </w:pPr>
            <w:r w:rsidRPr="00D716DE">
              <w:rPr>
                <w:rFonts w:ascii="Arial" w:eastAsia="Times New Roman" w:hAnsi="Arial" w:cs="Arial"/>
                <w:color w:val="auto"/>
                <w:sz w:val="22"/>
                <w:lang w:val="en-GB" w:eastAsia="en-GB"/>
              </w:rPr>
              <w:t>On-time handovers</w:t>
            </w:r>
          </w:p>
        </w:tc>
        <w:tc>
          <w:tcPr>
            <w:tcW w:w="2565" w:type="dxa"/>
            <w:tcBorders>
              <w:top w:val="nil"/>
              <w:left w:val="nil"/>
              <w:bottom w:val="nil"/>
              <w:right w:val="nil"/>
            </w:tcBorders>
            <w:noWrap/>
            <w:vAlign w:val="bottom"/>
            <w:hideMark/>
          </w:tcPr>
          <w:p w14:paraId="7F193C3E" w14:textId="77777777" w:rsidR="00D716DE" w:rsidRPr="00D716DE" w:rsidRDefault="00D716DE" w:rsidP="00D716DE">
            <w:pPr>
              <w:spacing w:line="240" w:lineRule="auto"/>
              <w:jc w:val="right"/>
              <w:rPr>
                <w:rFonts w:ascii="Arial" w:eastAsia="Times New Roman" w:hAnsi="Arial" w:cs="Arial"/>
                <w:color w:val="auto"/>
                <w:sz w:val="22"/>
                <w:lang w:val="en-GB" w:eastAsia="en-GB"/>
              </w:rPr>
            </w:pPr>
            <w:r w:rsidRPr="00D716DE">
              <w:rPr>
                <w:rFonts w:ascii="Arial" w:eastAsia="Times New Roman" w:hAnsi="Arial" w:cs="Arial"/>
                <w:color w:val="auto"/>
                <w:sz w:val="22"/>
                <w:lang w:val="en-GB" w:eastAsia="en-GB"/>
              </w:rPr>
              <w:t>+2%</w:t>
            </w:r>
          </w:p>
        </w:tc>
        <w:tc>
          <w:tcPr>
            <w:tcW w:w="1118" w:type="dxa"/>
            <w:tcBorders>
              <w:top w:val="nil"/>
              <w:left w:val="nil"/>
              <w:bottom w:val="nil"/>
              <w:right w:val="nil"/>
            </w:tcBorders>
            <w:noWrap/>
            <w:vAlign w:val="bottom"/>
            <w:hideMark/>
          </w:tcPr>
          <w:p w14:paraId="062909FE" w14:textId="77777777" w:rsidR="00D716DE" w:rsidRPr="00D716DE" w:rsidRDefault="00D716DE" w:rsidP="00D716DE">
            <w:pPr>
              <w:spacing w:line="240" w:lineRule="auto"/>
              <w:rPr>
                <w:rFonts w:ascii="Arial" w:eastAsia="Times New Roman" w:hAnsi="Arial" w:cs="Arial"/>
                <w:color w:val="auto"/>
                <w:sz w:val="22"/>
                <w:lang w:val="en-GB" w:eastAsia="en-GB"/>
              </w:rPr>
            </w:pPr>
            <w:r w:rsidRPr="00D716DE">
              <w:rPr>
                <w:rFonts w:ascii="Arial" w:eastAsia="Times New Roman" w:hAnsi="Arial" w:cs="Arial"/>
                <w:color w:val="auto"/>
                <w:sz w:val="22"/>
                <w:lang w:val="en-GB" w:eastAsia="en-GB"/>
              </w:rPr>
              <w:t>Met</w:t>
            </w:r>
          </w:p>
        </w:tc>
        <w:tc>
          <w:tcPr>
            <w:tcW w:w="1118" w:type="dxa"/>
            <w:tcBorders>
              <w:top w:val="nil"/>
              <w:left w:val="nil"/>
              <w:bottom w:val="nil"/>
              <w:right w:val="nil"/>
            </w:tcBorders>
            <w:noWrap/>
            <w:vAlign w:val="bottom"/>
            <w:hideMark/>
          </w:tcPr>
          <w:p w14:paraId="6F71054D" w14:textId="77777777" w:rsidR="00D716DE" w:rsidRPr="00D716DE" w:rsidRDefault="00D716DE" w:rsidP="00D716DE">
            <w:pPr>
              <w:spacing w:line="240" w:lineRule="auto"/>
              <w:rPr>
                <w:rFonts w:ascii="Arial" w:eastAsia="Times New Roman" w:hAnsi="Arial" w:cs="Arial"/>
                <w:color w:val="auto"/>
                <w:sz w:val="22"/>
                <w:lang w:val="en-GB" w:eastAsia="en-GB"/>
              </w:rPr>
            </w:pPr>
          </w:p>
        </w:tc>
        <w:tc>
          <w:tcPr>
            <w:tcW w:w="1305" w:type="dxa"/>
            <w:tcBorders>
              <w:top w:val="nil"/>
              <w:left w:val="nil"/>
              <w:bottom w:val="nil"/>
              <w:right w:val="nil"/>
            </w:tcBorders>
            <w:noWrap/>
            <w:vAlign w:val="bottom"/>
            <w:hideMark/>
          </w:tcPr>
          <w:p w14:paraId="5DE5455F" w14:textId="77777777" w:rsidR="00D716DE" w:rsidRPr="00D716DE" w:rsidRDefault="00D716DE" w:rsidP="00D716DE">
            <w:pPr>
              <w:spacing w:line="240" w:lineRule="auto"/>
              <w:rPr>
                <w:rFonts w:ascii="Arial" w:eastAsia="Times New Roman" w:hAnsi="Arial" w:cs="Arial"/>
                <w:color w:val="auto"/>
                <w:sz w:val="20"/>
                <w:szCs w:val="20"/>
                <w:lang w:val="en-GB" w:eastAsia="en-GB"/>
              </w:rPr>
            </w:pPr>
          </w:p>
        </w:tc>
        <w:tc>
          <w:tcPr>
            <w:tcW w:w="1003" w:type="dxa"/>
            <w:tcBorders>
              <w:top w:val="nil"/>
              <w:left w:val="nil"/>
              <w:bottom w:val="nil"/>
              <w:right w:val="nil"/>
            </w:tcBorders>
            <w:noWrap/>
            <w:vAlign w:val="bottom"/>
            <w:hideMark/>
          </w:tcPr>
          <w:p w14:paraId="3FA324A7" w14:textId="77777777" w:rsidR="00D716DE" w:rsidRPr="00D716DE" w:rsidRDefault="00D716DE" w:rsidP="00D716DE">
            <w:pPr>
              <w:spacing w:line="240" w:lineRule="auto"/>
              <w:rPr>
                <w:rFonts w:ascii="Arial" w:eastAsia="Times New Roman" w:hAnsi="Arial" w:cs="Arial"/>
                <w:color w:val="auto"/>
                <w:sz w:val="20"/>
                <w:szCs w:val="20"/>
                <w:lang w:val="en-GB" w:eastAsia="en-GB"/>
              </w:rPr>
            </w:pPr>
          </w:p>
        </w:tc>
      </w:tr>
      <w:tr w:rsidR="00D716DE" w:rsidRPr="00D716DE" w14:paraId="0C8025F5" w14:textId="77777777" w:rsidTr="00D716DE">
        <w:trPr>
          <w:trHeight w:val="260"/>
        </w:trPr>
        <w:tc>
          <w:tcPr>
            <w:tcW w:w="3782" w:type="dxa"/>
            <w:tcBorders>
              <w:top w:val="nil"/>
              <w:left w:val="nil"/>
              <w:bottom w:val="nil"/>
              <w:right w:val="nil"/>
            </w:tcBorders>
            <w:noWrap/>
            <w:vAlign w:val="bottom"/>
            <w:hideMark/>
          </w:tcPr>
          <w:p w14:paraId="5D3B0079" w14:textId="77777777" w:rsidR="00D716DE" w:rsidRPr="00D716DE" w:rsidRDefault="00D716DE" w:rsidP="00D716DE">
            <w:pPr>
              <w:spacing w:line="240" w:lineRule="auto"/>
              <w:rPr>
                <w:rFonts w:ascii="Arial" w:eastAsia="Times New Roman" w:hAnsi="Arial" w:cs="Arial"/>
                <w:color w:val="auto"/>
                <w:sz w:val="20"/>
                <w:szCs w:val="20"/>
                <w:lang w:val="en-GB" w:eastAsia="en-GB"/>
              </w:rPr>
            </w:pPr>
          </w:p>
        </w:tc>
        <w:tc>
          <w:tcPr>
            <w:tcW w:w="2565" w:type="dxa"/>
            <w:tcBorders>
              <w:top w:val="nil"/>
              <w:left w:val="nil"/>
              <w:bottom w:val="nil"/>
              <w:right w:val="nil"/>
            </w:tcBorders>
            <w:noWrap/>
            <w:vAlign w:val="bottom"/>
            <w:hideMark/>
          </w:tcPr>
          <w:p w14:paraId="3B8E0922" w14:textId="77777777" w:rsidR="00D716DE" w:rsidRPr="00D716DE" w:rsidRDefault="00D716DE" w:rsidP="00D716DE">
            <w:pPr>
              <w:spacing w:line="240" w:lineRule="auto"/>
              <w:rPr>
                <w:rFonts w:ascii="Arial" w:eastAsia="Times New Roman" w:hAnsi="Arial" w:cs="Arial"/>
                <w:color w:val="auto"/>
                <w:sz w:val="20"/>
                <w:szCs w:val="20"/>
                <w:lang w:val="en-GB" w:eastAsia="en-GB"/>
              </w:rPr>
            </w:pPr>
          </w:p>
        </w:tc>
        <w:tc>
          <w:tcPr>
            <w:tcW w:w="1118" w:type="dxa"/>
            <w:tcBorders>
              <w:top w:val="nil"/>
              <w:left w:val="nil"/>
              <w:bottom w:val="nil"/>
              <w:right w:val="nil"/>
            </w:tcBorders>
            <w:noWrap/>
            <w:vAlign w:val="bottom"/>
            <w:hideMark/>
          </w:tcPr>
          <w:p w14:paraId="53013BC3" w14:textId="77777777" w:rsidR="00D716DE" w:rsidRPr="00D716DE" w:rsidRDefault="00D716DE" w:rsidP="00D716DE">
            <w:pPr>
              <w:spacing w:line="240" w:lineRule="auto"/>
              <w:rPr>
                <w:rFonts w:ascii="Arial" w:eastAsia="Times New Roman" w:hAnsi="Arial" w:cs="Arial"/>
                <w:color w:val="auto"/>
                <w:sz w:val="20"/>
                <w:szCs w:val="20"/>
                <w:lang w:val="en-GB" w:eastAsia="en-GB"/>
              </w:rPr>
            </w:pPr>
          </w:p>
        </w:tc>
        <w:tc>
          <w:tcPr>
            <w:tcW w:w="1118" w:type="dxa"/>
            <w:tcBorders>
              <w:top w:val="nil"/>
              <w:left w:val="nil"/>
              <w:bottom w:val="nil"/>
              <w:right w:val="nil"/>
            </w:tcBorders>
            <w:noWrap/>
            <w:vAlign w:val="bottom"/>
            <w:hideMark/>
          </w:tcPr>
          <w:p w14:paraId="715E7C95" w14:textId="77777777" w:rsidR="00D716DE" w:rsidRPr="00D716DE" w:rsidRDefault="00D716DE" w:rsidP="00D716DE">
            <w:pPr>
              <w:spacing w:line="240" w:lineRule="auto"/>
              <w:rPr>
                <w:rFonts w:ascii="Arial" w:eastAsia="Times New Roman" w:hAnsi="Arial" w:cs="Arial"/>
                <w:color w:val="auto"/>
                <w:sz w:val="20"/>
                <w:szCs w:val="20"/>
                <w:lang w:val="en-GB" w:eastAsia="en-GB"/>
              </w:rPr>
            </w:pPr>
          </w:p>
        </w:tc>
        <w:tc>
          <w:tcPr>
            <w:tcW w:w="1305" w:type="dxa"/>
            <w:tcBorders>
              <w:top w:val="nil"/>
              <w:left w:val="nil"/>
              <w:bottom w:val="nil"/>
              <w:right w:val="nil"/>
            </w:tcBorders>
            <w:noWrap/>
            <w:vAlign w:val="bottom"/>
            <w:hideMark/>
          </w:tcPr>
          <w:p w14:paraId="50DE4AAD" w14:textId="77777777" w:rsidR="00D716DE" w:rsidRPr="00D716DE" w:rsidRDefault="00D716DE" w:rsidP="00D716DE">
            <w:pPr>
              <w:spacing w:line="240" w:lineRule="auto"/>
              <w:rPr>
                <w:rFonts w:ascii="Arial" w:eastAsia="Times New Roman" w:hAnsi="Arial" w:cs="Arial"/>
                <w:color w:val="auto"/>
                <w:sz w:val="20"/>
                <w:szCs w:val="20"/>
                <w:lang w:val="en-GB" w:eastAsia="en-GB"/>
              </w:rPr>
            </w:pPr>
          </w:p>
        </w:tc>
        <w:tc>
          <w:tcPr>
            <w:tcW w:w="1003" w:type="dxa"/>
            <w:tcBorders>
              <w:top w:val="nil"/>
              <w:left w:val="nil"/>
              <w:bottom w:val="nil"/>
              <w:right w:val="nil"/>
            </w:tcBorders>
            <w:noWrap/>
            <w:vAlign w:val="bottom"/>
            <w:hideMark/>
          </w:tcPr>
          <w:p w14:paraId="7AE3B413" w14:textId="77777777" w:rsidR="00D716DE" w:rsidRPr="00D716DE" w:rsidRDefault="00D716DE" w:rsidP="00D716DE">
            <w:pPr>
              <w:spacing w:line="240" w:lineRule="auto"/>
              <w:rPr>
                <w:rFonts w:ascii="Arial" w:eastAsia="Times New Roman" w:hAnsi="Arial" w:cs="Arial"/>
                <w:color w:val="auto"/>
                <w:sz w:val="20"/>
                <w:szCs w:val="20"/>
                <w:lang w:val="en-GB" w:eastAsia="en-GB"/>
              </w:rPr>
            </w:pPr>
          </w:p>
        </w:tc>
      </w:tr>
      <w:tr w:rsidR="00D716DE" w:rsidRPr="00D716DE" w14:paraId="300E4CB1" w14:textId="77777777" w:rsidTr="00D716DE">
        <w:trPr>
          <w:trHeight w:val="260"/>
        </w:trPr>
        <w:tc>
          <w:tcPr>
            <w:tcW w:w="3782" w:type="dxa"/>
            <w:tcBorders>
              <w:top w:val="nil"/>
              <w:left w:val="nil"/>
              <w:bottom w:val="nil"/>
              <w:right w:val="nil"/>
            </w:tcBorders>
            <w:noWrap/>
            <w:vAlign w:val="bottom"/>
            <w:hideMark/>
          </w:tcPr>
          <w:p w14:paraId="2B3CCE98" w14:textId="77777777" w:rsidR="00D716DE" w:rsidRPr="00D716DE" w:rsidRDefault="00D716DE" w:rsidP="00D716DE">
            <w:pPr>
              <w:spacing w:line="240" w:lineRule="auto"/>
              <w:rPr>
                <w:rFonts w:ascii="Arial" w:eastAsia="Times New Roman" w:hAnsi="Arial" w:cs="Arial"/>
                <w:color w:val="auto"/>
                <w:sz w:val="20"/>
                <w:szCs w:val="20"/>
                <w:lang w:val="en-GB" w:eastAsia="en-GB"/>
              </w:rPr>
            </w:pPr>
          </w:p>
        </w:tc>
        <w:tc>
          <w:tcPr>
            <w:tcW w:w="2565" w:type="dxa"/>
            <w:tcBorders>
              <w:top w:val="nil"/>
              <w:left w:val="nil"/>
              <w:bottom w:val="nil"/>
              <w:right w:val="nil"/>
            </w:tcBorders>
            <w:noWrap/>
            <w:vAlign w:val="bottom"/>
            <w:hideMark/>
          </w:tcPr>
          <w:p w14:paraId="56CE6599" w14:textId="77777777" w:rsidR="00D716DE" w:rsidRPr="00D716DE" w:rsidRDefault="00D716DE" w:rsidP="00D716DE">
            <w:pPr>
              <w:spacing w:line="240" w:lineRule="auto"/>
              <w:rPr>
                <w:rFonts w:ascii="Arial" w:eastAsia="Times New Roman" w:hAnsi="Arial" w:cs="Arial"/>
                <w:color w:val="auto"/>
                <w:sz w:val="20"/>
                <w:szCs w:val="20"/>
                <w:lang w:val="en-GB" w:eastAsia="en-GB"/>
              </w:rPr>
            </w:pPr>
          </w:p>
        </w:tc>
        <w:tc>
          <w:tcPr>
            <w:tcW w:w="1118" w:type="dxa"/>
            <w:tcBorders>
              <w:top w:val="nil"/>
              <w:left w:val="nil"/>
              <w:bottom w:val="nil"/>
              <w:right w:val="nil"/>
            </w:tcBorders>
            <w:noWrap/>
            <w:vAlign w:val="bottom"/>
            <w:hideMark/>
          </w:tcPr>
          <w:p w14:paraId="471C8A41" w14:textId="77777777" w:rsidR="00D716DE" w:rsidRPr="00D716DE" w:rsidRDefault="00D716DE" w:rsidP="00D716DE">
            <w:pPr>
              <w:spacing w:line="240" w:lineRule="auto"/>
              <w:rPr>
                <w:rFonts w:ascii="Arial" w:eastAsia="Times New Roman" w:hAnsi="Arial" w:cs="Arial"/>
                <w:color w:val="auto"/>
                <w:sz w:val="20"/>
                <w:szCs w:val="20"/>
                <w:lang w:val="en-GB" w:eastAsia="en-GB"/>
              </w:rPr>
            </w:pPr>
          </w:p>
        </w:tc>
        <w:tc>
          <w:tcPr>
            <w:tcW w:w="1118" w:type="dxa"/>
            <w:tcBorders>
              <w:top w:val="nil"/>
              <w:left w:val="nil"/>
              <w:bottom w:val="nil"/>
              <w:right w:val="nil"/>
            </w:tcBorders>
            <w:noWrap/>
            <w:vAlign w:val="bottom"/>
            <w:hideMark/>
          </w:tcPr>
          <w:p w14:paraId="2CF0BA21" w14:textId="77777777" w:rsidR="00D716DE" w:rsidRPr="00D716DE" w:rsidRDefault="00D716DE" w:rsidP="00D716DE">
            <w:pPr>
              <w:spacing w:line="240" w:lineRule="auto"/>
              <w:rPr>
                <w:rFonts w:ascii="Arial" w:eastAsia="Times New Roman" w:hAnsi="Arial" w:cs="Arial"/>
                <w:color w:val="auto"/>
                <w:sz w:val="20"/>
                <w:szCs w:val="20"/>
                <w:lang w:val="en-GB" w:eastAsia="en-GB"/>
              </w:rPr>
            </w:pPr>
          </w:p>
        </w:tc>
        <w:tc>
          <w:tcPr>
            <w:tcW w:w="1305" w:type="dxa"/>
            <w:tcBorders>
              <w:top w:val="nil"/>
              <w:left w:val="nil"/>
              <w:bottom w:val="nil"/>
              <w:right w:val="nil"/>
            </w:tcBorders>
            <w:noWrap/>
            <w:vAlign w:val="bottom"/>
            <w:hideMark/>
          </w:tcPr>
          <w:p w14:paraId="2A2147A6" w14:textId="77777777" w:rsidR="00D716DE" w:rsidRPr="00D716DE" w:rsidRDefault="00D716DE" w:rsidP="00D716DE">
            <w:pPr>
              <w:spacing w:line="240" w:lineRule="auto"/>
              <w:rPr>
                <w:rFonts w:ascii="Arial" w:eastAsia="Times New Roman" w:hAnsi="Arial" w:cs="Arial"/>
                <w:color w:val="auto"/>
                <w:sz w:val="20"/>
                <w:szCs w:val="20"/>
                <w:lang w:val="en-GB" w:eastAsia="en-GB"/>
              </w:rPr>
            </w:pPr>
          </w:p>
        </w:tc>
        <w:tc>
          <w:tcPr>
            <w:tcW w:w="1003" w:type="dxa"/>
            <w:tcBorders>
              <w:top w:val="nil"/>
              <w:left w:val="nil"/>
              <w:bottom w:val="nil"/>
              <w:right w:val="nil"/>
            </w:tcBorders>
            <w:noWrap/>
            <w:vAlign w:val="bottom"/>
            <w:hideMark/>
          </w:tcPr>
          <w:p w14:paraId="59C685F7" w14:textId="77777777" w:rsidR="00D716DE" w:rsidRPr="00D716DE" w:rsidRDefault="00D716DE" w:rsidP="00D716DE">
            <w:pPr>
              <w:spacing w:line="240" w:lineRule="auto"/>
              <w:rPr>
                <w:rFonts w:ascii="Arial" w:eastAsia="Times New Roman" w:hAnsi="Arial" w:cs="Arial"/>
                <w:color w:val="auto"/>
                <w:sz w:val="20"/>
                <w:szCs w:val="20"/>
                <w:lang w:val="en-GB" w:eastAsia="en-GB"/>
              </w:rPr>
            </w:pPr>
          </w:p>
        </w:tc>
      </w:tr>
      <w:tr w:rsidR="00D716DE" w:rsidRPr="00D716DE" w14:paraId="4CD92F8E" w14:textId="77777777" w:rsidTr="00D716DE">
        <w:trPr>
          <w:trHeight w:val="498"/>
        </w:trPr>
        <w:tc>
          <w:tcPr>
            <w:tcW w:w="10893" w:type="dxa"/>
            <w:gridSpan w:val="6"/>
            <w:tcBorders>
              <w:top w:val="nil"/>
              <w:left w:val="nil"/>
              <w:bottom w:val="nil"/>
              <w:right w:val="nil"/>
            </w:tcBorders>
            <w:vAlign w:val="bottom"/>
            <w:hideMark/>
          </w:tcPr>
          <w:p w14:paraId="2FA0F4B9" w14:textId="77777777" w:rsidR="00D716DE" w:rsidRPr="00D716DE" w:rsidRDefault="00D716DE" w:rsidP="00D716DE">
            <w:pPr>
              <w:spacing w:line="240" w:lineRule="auto"/>
              <w:rPr>
                <w:rFonts w:ascii="Arial" w:eastAsia="Times New Roman" w:hAnsi="Arial" w:cs="Arial"/>
                <w:color w:val="auto"/>
                <w:szCs w:val="24"/>
                <w:lang w:val="en-GB" w:eastAsia="en-GB"/>
              </w:rPr>
            </w:pPr>
            <w:r w:rsidRPr="00D716DE">
              <w:rPr>
                <w:rFonts w:ascii="Arial" w:eastAsia="Times New Roman" w:hAnsi="Arial" w:cs="Arial"/>
                <w:color w:val="auto"/>
                <w:szCs w:val="24"/>
                <w:lang w:val="en-GB" w:eastAsia="en-GB"/>
              </w:rPr>
              <w:t xml:space="preserve">Method </w:t>
            </w:r>
            <w:proofErr w:type="gramStart"/>
            <w:r w:rsidRPr="00D716DE">
              <w:rPr>
                <w:rFonts w:ascii="Arial" w:eastAsia="Times New Roman" w:hAnsi="Arial" w:cs="Arial"/>
                <w:color w:val="auto"/>
                <w:szCs w:val="24"/>
                <w:lang w:val="en-GB" w:eastAsia="en-GB"/>
              </w:rPr>
              <w:t>note:</w:t>
            </w:r>
            <w:proofErr w:type="gramEnd"/>
            <w:r w:rsidRPr="00D716DE">
              <w:rPr>
                <w:rFonts w:ascii="Arial" w:eastAsia="Times New Roman" w:hAnsi="Arial" w:cs="Arial"/>
                <w:color w:val="auto"/>
                <w:szCs w:val="24"/>
                <w:lang w:val="en-GB" w:eastAsia="en-GB"/>
              </w:rPr>
              <w:t xml:space="preserve"> assessed against proposed targets; all baseline and progress values are examples, not actual Foresite records.</w:t>
            </w:r>
          </w:p>
        </w:tc>
      </w:tr>
    </w:tbl>
    <w:p w14:paraId="6E6F1FB4" w14:textId="77777777" w:rsidR="00C5587C" w:rsidRDefault="00C5587C" w:rsidP="00D716DE">
      <w:pPr>
        <w:rPr>
          <w:rFonts w:ascii="Arial" w:hAnsi="Arial" w:cs="Arial"/>
          <w:szCs w:val="24"/>
          <w:lang w:val="en-GB"/>
        </w:rPr>
      </w:pPr>
    </w:p>
    <w:p w14:paraId="430225F7" w14:textId="59E983B8" w:rsidR="00D716DE" w:rsidRPr="00D716DE" w:rsidRDefault="00D716DE" w:rsidP="00D716DE">
      <w:pPr>
        <w:rPr>
          <w:rFonts w:ascii="Arial" w:hAnsi="Arial" w:cs="Arial"/>
          <w:szCs w:val="24"/>
          <w:lang w:val="en-GB"/>
        </w:rPr>
      </w:pPr>
      <w:r w:rsidRPr="00D716DE">
        <w:rPr>
          <w:rFonts w:ascii="Arial" w:hAnsi="Arial" w:cs="Arial"/>
          <w:szCs w:val="24"/>
          <w:lang w:val="en-GB"/>
        </w:rPr>
        <w:t>The individual development tracker provides Foresite Recruitment with a structured approach to monitoring employee progress against agreed performance objectives. Regular reviews at weeks 4, 8 and 12 would enable management to identify areas of underperformance, introduce timely interventions and assess the effectiveness of coaching and training. This approach supports Locke and Latham’s (2002) goal-setting theory, which emphasises the importance of clear, measurable objectives in improving performance.</w:t>
      </w:r>
    </w:p>
    <w:p w14:paraId="2E815A8F" w14:textId="382031E1" w:rsidR="00A02A4A" w:rsidRPr="00C5587C" w:rsidRDefault="00D716DE">
      <w:pPr>
        <w:rPr>
          <w:rFonts w:ascii="Arial" w:hAnsi="Arial" w:cs="Arial"/>
          <w:szCs w:val="24"/>
          <w:lang w:val="en-GB"/>
        </w:rPr>
      </w:pPr>
      <w:r w:rsidRPr="00D716DE">
        <w:rPr>
          <w:rFonts w:ascii="Arial" w:hAnsi="Arial" w:cs="Arial"/>
          <w:szCs w:val="24"/>
          <w:lang w:val="en-GB"/>
        </w:rPr>
        <w:t xml:space="preserve">However, numerical targets alone cannot fully measure an individual's confidence, communication skills or ability to develop effective workplace relationships. Therefore, performance data should be supported by regular one-to-one discussions, observational feedback and employee self-assessment to ensure a fair and balanced evaluation </w:t>
      </w:r>
      <w:r w:rsidRPr="00D716DE">
        <w:rPr>
          <w:rFonts w:ascii="Arial" w:hAnsi="Arial" w:cs="Arial"/>
          <w:szCs w:val="24"/>
          <w:lang w:val="en-GB"/>
        </w:rPr>
        <w:lastRenderedPageBreak/>
        <w:t>(DeNisi &amp; Murphy, 2017). As the figures are illustrative, they demonstrate the proposed monitoring approach rather than evidence of actual improvement at Foresite Recruitment.</w:t>
      </w:r>
    </w:p>
    <w:p w14:paraId="337BF299" w14:textId="77777777" w:rsidR="004C336C" w:rsidRPr="009632AB" w:rsidRDefault="004C336C" w:rsidP="004C336C">
      <w:pPr>
        <w:rPr>
          <w:rFonts w:ascii="Arial" w:hAnsi="Arial" w:cs="Arial"/>
          <w:b/>
          <w:bCs/>
          <w:lang w:val="en-GB"/>
        </w:rPr>
      </w:pPr>
      <w:r w:rsidRPr="009632AB">
        <w:rPr>
          <w:rFonts w:ascii="Arial" w:hAnsi="Arial" w:cs="Arial"/>
          <w:b/>
          <w:bCs/>
          <w:lang w:val="en-GB"/>
        </w:rPr>
        <w:t>Figure 2</w:t>
      </w:r>
    </w:p>
    <w:p w14:paraId="35169879" w14:textId="77777777" w:rsidR="004C336C" w:rsidRPr="009632AB" w:rsidRDefault="00E201F3">
      <w:pPr>
        <w:rPr>
          <w:rFonts w:ascii="Arial" w:hAnsi="Arial" w:cs="Arial"/>
          <w:i/>
          <w:lang w:val="en-GB"/>
        </w:rPr>
      </w:pPr>
      <w:r w:rsidRPr="009632AB">
        <w:rPr>
          <w:rFonts w:ascii="Arial" w:hAnsi="Arial" w:cs="Arial"/>
          <w:noProof/>
        </w:rPr>
        <w:drawing>
          <wp:anchor distT="0" distB="0" distL="114300" distR="114300" simplePos="0" relativeHeight="251659264" behindDoc="0" locked="0" layoutInCell="1" allowOverlap="1" wp14:anchorId="11F8B18B" wp14:editId="28C5626A">
            <wp:simplePos x="0" y="0"/>
            <wp:positionH relativeFrom="column">
              <wp:posOffset>-57150</wp:posOffset>
            </wp:positionH>
            <wp:positionV relativeFrom="paragraph">
              <wp:posOffset>459105</wp:posOffset>
            </wp:positionV>
            <wp:extent cx="5943600" cy="1806575"/>
            <wp:effectExtent l="0" t="0" r="0" b="3175"/>
            <wp:wrapSquare wrapText="bothSides"/>
            <wp:docPr id="871632929" name="Chart 1">
              <a:extLst xmlns:a="http://schemas.openxmlformats.org/drawingml/2006/main">
                <a:ext uri="{FF2B5EF4-FFF2-40B4-BE49-F238E27FC236}">
                  <a16:creationId xmlns:a16="http://schemas.microsoft.com/office/drawing/2014/main" id="{00000000-0008-0000-0000-000003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14:sizeRelH relativeFrom="page">
              <wp14:pctWidth>0</wp14:pctWidth>
            </wp14:sizeRelH>
            <wp14:sizeRelV relativeFrom="page">
              <wp14:pctHeight>0</wp14:pctHeight>
            </wp14:sizeRelV>
          </wp:anchor>
        </w:drawing>
      </w:r>
      <w:r w:rsidR="004C336C" w:rsidRPr="009632AB">
        <w:rPr>
          <w:rFonts w:ascii="Arial" w:hAnsi="Arial" w:cs="Arial"/>
          <w:i/>
          <w:lang w:val="en-GB"/>
        </w:rPr>
        <w:t>Illustrative Comparison of Baseline Performance and Development Targets</w:t>
      </w:r>
    </w:p>
    <w:p w14:paraId="3EE418F9" w14:textId="77777777" w:rsidR="00E201F3" w:rsidRPr="009632AB" w:rsidRDefault="00E201F3">
      <w:pPr>
        <w:rPr>
          <w:rFonts w:ascii="Arial" w:hAnsi="Arial" w:cs="Arial"/>
          <w:lang w:val="en-GB"/>
        </w:rPr>
      </w:pPr>
    </w:p>
    <w:p w14:paraId="7D8575FE" w14:textId="48F7C1FF" w:rsidR="00E201F3" w:rsidRPr="009632AB" w:rsidRDefault="004C336C">
      <w:pPr>
        <w:rPr>
          <w:rFonts w:ascii="Arial" w:hAnsi="Arial" w:cs="Arial"/>
          <w:lang w:val="en-GB"/>
        </w:rPr>
      </w:pPr>
      <w:r w:rsidRPr="009632AB">
        <w:rPr>
          <w:rFonts w:ascii="Arial" w:hAnsi="Arial" w:cs="Arial"/>
          <w:lang w:val="en-GB"/>
        </w:rPr>
        <w:t>Figure 2 demonstrates how agreed performance targets could be used to establish expectations and provide</w:t>
      </w:r>
      <w:r w:rsidR="00C5587C">
        <w:rPr>
          <w:rFonts w:ascii="Arial" w:hAnsi="Arial" w:cs="Arial"/>
          <w:lang w:val="en-GB"/>
        </w:rPr>
        <w:t>s</w:t>
      </w:r>
      <w:r w:rsidRPr="009632AB">
        <w:rPr>
          <w:rFonts w:ascii="Arial" w:hAnsi="Arial" w:cs="Arial"/>
          <w:lang w:val="en-GB"/>
        </w:rPr>
        <w:t xml:space="preserve"> a consistent basis for assessment. Nevertheless, differences in experience, workload and access to development opportunities must be considered to ensure fairness.</w:t>
      </w:r>
    </w:p>
    <w:p w14:paraId="040C7E26" w14:textId="77777777" w:rsidR="004C336C" w:rsidRPr="009632AB" w:rsidRDefault="004C336C">
      <w:pPr>
        <w:rPr>
          <w:rFonts w:ascii="Arial" w:hAnsi="Arial" w:cs="Arial"/>
        </w:rPr>
      </w:pPr>
      <w:r w:rsidRPr="009632AB">
        <w:rPr>
          <w:rFonts w:ascii="Arial" w:hAnsi="Arial" w:cs="Arial"/>
          <w:lang w:val="en-GB"/>
        </w:rPr>
        <w:t>At Foresite Recruitment, performance measures should therefore inform constructive conversations rather than operate solely as mechanisms of control. Combining measurable indicators with employee feedback would help maintain motivation, accountability and professional development.</w:t>
      </w:r>
    </w:p>
    <w:p w14:paraId="6E50286E" w14:textId="77777777" w:rsidR="0098777A" w:rsidRPr="009632AB" w:rsidRDefault="001501D9">
      <w:pPr>
        <w:rPr>
          <w:rFonts w:ascii="Arial" w:hAnsi="Arial" w:cs="Arial"/>
        </w:rPr>
      </w:pPr>
      <w:r w:rsidRPr="009632AB">
        <w:rPr>
          <w:rFonts w:ascii="Arial" w:hAnsi="Arial" w:cs="Arial"/>
        </w:rPr>
        <w:t xml:space="preserve">The table intentionally distinguishes evidence of task competence from longer-term commercial outcomes. An illustrative </w:t>
      </w:r>
      <w:r w:rsidRPr="009632AB">
        <w:rPr>
          <w:rFonts w:ascii="Arial" w:hAnsi="Arial" w:cs="Arial"/>
          <w:i/>
        </w:rPr>
        <w:t>planning allowance</w:t>
      </w:r>
      <w:r w:rsidRPr="009632AB">
        <w:rPr>
          <w:rFonts w:ascii="Arial" w:hAnsi="Arial" w:cs="Arial"/>
        </w:rPr>
        <w:t xml:space="preserve"> would be two hours a week of manager coaching in the first month, then one hour weekly, plus protected employee </w:t>
      </w:r>
      <w:r w:rsidRPr="009632AB">
        <w:rPr>
          <w:rFonts w:ascii="Arial" w:hAnsi="Arial" w:cs="Arial"/>
        </w:rPr>
        <w:lastRenderedPageBreak/>
        <w:t>practice; an actual budget must be approved against capacity. Training can be delivered within existing systems unless gaps establish a genuine external need.</w:t>
      </w:r>
    </w:p>
    <w:p w14:paraId="142BFFBF" w14:textId="77777777" w:rsidR="0098777A" w:rsidRPr="009632AB" w:rsidRDefault="001501D9">
      <w:pPr>
        <w:pStyle w:val="Heading2"/>
        <w:rPr>
          <w:rFonts w:ascii="Arial" w:hAnsi="Arial" w:cs="Arial"/>
        </w:rPr>
      </w:pPr>
      <w:bookmarkStart w:id="20" w:name="_Toc242012584"/>
      <w:r w:rsidRPr="009632AB">
        <w:rPr>
          <w:rFonts w:ascii="Arial" w:hAnsi="Arial" w:cs="Arial"/>
        </w:rPr>
        <w:t>6.3 Performance reviews, appraisal and escalation</w:t>
      </w:r>
      <w:bookmarkEnd w:id="20"/>
    </w:p>
    <w:p w14:paraId="76FEF88F" w14:textId="77777777" w:rsidR="0098777A" w:rsidRPr="009632AB" w:rsidRDefault="001501D9">
      <w:pPr>
        <w:rPr>
          <w:rFonts w:ascii="Arial" w:hAnsi="Arial" w:cs="Arial"/>
        </w:rPr>
      </w:pPr>
      <w:r w:rsidRPr="009632AB">
        <w:rPr>
          <w:rFonts w:ascii="Arial" w:hAnsi="Arial" w:cs="Arial"/>
        </w:rPr>
        <w:t>The line manager should record baseline scores, weekly evidence samples, coaching notes and the employee's own comments on a restricted-access development record. Each review should address three questions: what improved, what blocked progress and which intervention will change next. SMART indicators must be balanced: a high number of calls does not compensate for incorrect records or poor candidate experience. Feedback should be timely, specific and linked to behaviour; a reasonable opportunity to improve must accompany accountability (Acas, 2026; Kluger &amp; DeNisi, 1996).</w:t>
      </w:r>
    </w:p>
    <w:p w14:paraId="2E926C4D" w14:textId="77777777" w:rsidR="0098777A" w:rsidRPr="009632AB" w:rsidRDefault="001501D9">
      <w:pPr>
        <w:rPr>
          <w:rFonts w:ascii="Arial" w:hAnsi="Arial" w:cs="Arial"/>
        </w:rPr>
      </w:pPr>
      <w:r w:rsidRPr="009632AB">
        <w:rPr>
          <w:rFonts w:ascii="Arial" w:hAnsi="Arial" w:cs="Arial"/>
        </w:rPr>
        <w:t>At weeks 4 and 8, progress is assessed against quality samples and observed skills, and the pace adjusted to workload and verified learning needs. At week 12, the manager and Employee A conduct a formal two-way review, considering independent task readiness, relationship quality, employee wellbeing, client-impact indicators and a follow-on six-month career discussion. Where targets are missed, the manager should first test whether the gap reflects ability, unclear instructions, workload, systems, support or motivation. This avoids treating every error as misconduct. Formal performance procedures remain distinct from developmental coaching and must follow fair company processes.</w:t>
      </w:r>
    </w:p>
    <w:p w14:paraId="4251A49B" w14:textId="77777777" w:rsidR="0098777A" w:rsidRPr="009632AB" w:rsidRDefault="001501D9">
      <w:pPr>
        <w:rPr>
          <w:rFonts w:ascii="Arial" w:hAnsi="Arial" w:cs="Arial"/>
        </w:rPr>
      </w:pPr>
      <w:r w:rsidRPr="009632AB">
        <w:rPr>
          <w:rFonts w:ascii="Arial" w:hAnsi="Arial" w:cs="Arial"/>
        </w:rPr>
        <w:t xml:space="preserve">A balanced review uses Kirkpatrick's four levels pragmatically: brief learning reaction, knowledge demonstration, behavioural observation in live tasks and appropriately cautious service outcomes (Kirkpatrick &amp; Kirkpatrick, 2006; CIPD, 2025b). The plan </w:t>
      </w:r>
      <w:r w:rsidRPr="009632AB">
        <w:rPr>
          <w:rFonts w:ascii="Arial" w:hAnsi="Arial" w:cs="Arial"/>
        </w:rPr>
        <w:lastRenderedPageBreak/>
        <w:t>should also monitor unintended consequences such as rushed calls to meet speed indicators. Reported results must compare similarly complex tasks and not imply statistical significance from a small sample. The final evaluation should document retained competence after a further check, since transfer can decay once coaching ends (Baldwin &amp; Ford, 1988; Saks &amp; Belcourt, 2006).</w:t>
      </w:r>
    </w:p>
    <w:p w14:paraId="5124B7F5" w14:textId="77777777" w:rsidR="0098777A" w:rsidRPr="009632AB" w:rsidRDefault="001501D9">
      <w:pPr>
        <w:pStyle w:val="Heading2"/>
        <w:rPr>
          <w:rFonts w:ascii="Arial" w:hAnsi="Arial" w:cs="Arial"/>
        </w:rPr>
      </w:pPr>
      <w:bookmarkStart w:id="21" w:name="_Toc242012585"/>
      <w:r w:rsidRPr="009632AB">
        <w:rPr>
          <w:rFonts w:ascii="Arial" w:hAnsi="Arial" w:cs="Arial"/>
        </w:rPr>
        <w:t>6.4 Measuring organisational achievement without distorting behaviour</w:t>
      </w:r>
      <w:bookmarkEnd w:id="21"/>
    </w:p>
    <w:p w14:paraId="08B21031" w14:textId="77777777" w:rsidR="0098777A" w:rsidRPr="009632AB" w:rsidRDefault="001501D9">
      <w:pPr>
        <w:rPr>
          <w:rFonts w:ascii="Arial" w:hAnsi="Arial" w:cs="Arial"/>
        </w:rPr>
      </w:pPr>
      <w:r w:rsidRPr="009632AB">
        <w:rPr>
          <w:rFonts w:ascii="Arial" w:hAnsi="Arial" w:cs="Arial"/>
        </w:rPr>
        <w:t>Three safeguards are required if Foresite intends to demonstrate value beyond Employee A's initial competence. The first is to define the denominator for each measure. A claim that handover quality reached 95% is only credible if reviewers know which handovers were eligible, how many were sampled, whether the sample included urgent weekend cover and what counted as a critical omission. A small audit of straightforward shifts cannot establish competence in complex cases. A manager could independently review a random sample of confirmed bookings each fortnight, check the sampling decisions with Employee A and record exceptions such as late changes requested by clients. Transparent measurement supports procedural justice and helps distinguish a system defect from an individual's mistake (Colquitt et al., 2001).</w:t>
      </w:r>
    </w:p>
    <w:p w14:paraId="3223E7A4" w14:textId="77777777" w:rsidR="0098777A" w:rsidRPr="009632AB" w:rsidRDefault="001501D9">
      <w:pPr>
        <w:rPr>
          <w:rFonts w:ascii="Arial" w:hAnsi="Arial" w:cs="Arial"/>
        </w:rPr>
      </w:pPr>
      <w:r w:rsidRPr="009632AB">
        <w:rPr>
          <w:rFonts w:ascii="Arial" w:hAnsi="Arial" w:cs="Arial"/>
        </w:rPr>
        <w:t xml:space="preserve">The second safeguard is to separate leading indicators from outcomes. Completing training, practising role-play and updating a checklist are leading indicators. Accurate handovers, fewer unresolved booking discrepancies and more consistent feedback are nearer-term behavioural outcomes. Client retention and commercial contribution are more distant organisational outcomes, affected by housing-market conditions and other colleagues' efforts. Treating revenue as the resourcer's primary learning measure could create pressure to rush screening or disregard candidate preferences. Measures should </w:t>
      </w:r>
      <w:r w:rsidRPr="009632AB">
        <w:rPr>
          <w:rFonts w:ascii="Arial" w:hAnsi="Arial" w:cs="Arial"/>
        </w:rPr>
        <w:lastRenderedPageBreak/>
        <w:t>therefore be interpreted collectively, and any significant change should be investigated through case examples rather than celebrated as proof of causality (DeNisi &amp; Murphy, 2017; CIPD, 2025b).</w:t>
      </w:r>
    </w:p>
    <w:p w14:paraId="267A4F21" w14:textId="77777777" w:rsidR="0098777A" w:rsidRPr="009632AB" w:rsidRDefault="001501D9">
      <w:pPr>
        <w:rPr>
          <w:rFonts w:ascii="Arial" w:hAnsi="Arial" w:cs="Arial"/>
        </w:rPr>
      </w:pPr>
      <w:r w:rsidRPr="009632AB">
        <w:rPr>
          <w:rFonts w:ascii="Arial" w:hAnsi="Arial" w:cs="Arial"/>
        </w:rPr>
        <w:t>The third safeguard concerns team relationships. A resourcer may achieve individually impressive output while creating work for payroll or leaving incomplete notes for the next consultant. Foresite can include a short, structured peer assessment of clarity, responsiveness, respect and escalation quality, using specific examples and giving Employee A an opportunity to respond. Assessors should comment on behaviours within their knowledge, rather than making general claims about personality. Mixed feedback can prompt a facilitated conversation before disagreements enter the manifest-conflict stage (Pondy, 1967). This encourages collaborative performance without rewarding conformity or suppressing constructive challenges to existing processes.</w:t>
      </w:r>
    </w:p>
    <w:p w14:paraId="3D3A6294" w14:textId="77777777" w:rsidR="0098777A" w:rsidRPr="009632AB" w:rsidRDefault="001501D9">
      <w:pPr>
        <w:pStyle w:val="Heading2"/>
        <w:rPr>
          <w:rFonts w:ascii="Arial" w:hAnsi="Arial" w:cs="Arial"/>
        </w:rPr>
      </w:pPr>
      <w:bookmarkStart w:id="22" w:name="_Toc242012586"/>
      <w:r w:rsidRPr="009632AB">
        <w:rPr>
          <w:rFonts w:ascii="Arial" w:hAnsi="Arial" w:cs="Arial"/>
        </w:rPr>
        <w:t>6.5 Sustainability and succession beyond the initial plan</w:t>
      </w:r>
      <w:bookmarkEnd w:id="22"/>
    </w:p>
    <w:p w14:paraId="03E4AD73" w14:textId="77777777" w:rsidR="0098777A" w:rsidRPr="009632AB" w:rsidRDefault="001501D9">
      <w:pPr>
        <w:rPr>
          <w:rFonts w:ascii="Arial" w:hAnsi="Arial" w:cs="Arial"/>
        </w:rPr>
      </w:pPr>
      <w:r w:rsidRPr="009632AB">
        <w:rPr>
          <w:rFonts w:ascii="Arial" w:hAnsi="Arial" w:cs="Arial"/>
        </w:rPr>
        <w:t xml:space="preserve">At the end of week 12, independent responsibility should be authorised task by task, not awarded as an all-or-nothing label. Once Employee A can complete standard bookings safely, the next phase might involve a limited client portfolio, mentoring a subsequent starter or contributing to improvements in candidate attraction. Any expansion should include agreed decision boundaries and adequate senior cover. A six-month review could consider career anchors again as interests become clearer through experience; Schein's framework is more informative after exposure to real work than as an early predictive test (Schein, 1996). Meanwhile, cross-training and documented procedures provide continuity if team responsibilities change. The organisation should review </w:t>
      </w:r>
      <w:r w:rsidRPr="009632AB">
        <w:rPr>
          <w:rFonts w:ascii="Arial" w:hAnsi="Arial" w:cs="Arial"/>
        </w:rPr>
        <w:lastRenderedPageBreak/>
        <w:t>whether its development approach remains workable during peak demand and whether new starters with different working patterns enjoy comparable access to learning. This prevents succession planning from depending on personal relationships with a particular manager and embeds improvement into repeatable practice.</w:t>
      </w:r>
    </w:p>
    <w:p w14:paraId="76DEB48B" w14:textId="77777777" w:rsidR="0098777A" w:rsidRPr="009632AB" w:rsidRDefault="001501D9">
      <w:pPr>
        <w:rPr>
          <w:rFonts w:ascii="Arial" w:hAnsi="Arial" w:cs="Arial"/>
        </w:rPr>
      </w:pPr>
      <w:r w:rsidRPr="009632AB">
        <w:rPr>
          <w:rFonts w:ascii="Arial" w:hAnsi="Arial" w:cs="Arial"/>
        </w:rPr>
        <w:t>Three evidence tests should determine whether the plan succeeds: demonstrable technical accuracy, observed collaborative behaviour and sustained competence without close supervision. Goal-setting research supports explicit standards (Locke &amp; Latham, 2002), but appraisal scholarship cautions against reducing performance to narrow numerical targets (DeNisi &amp; Murphy, 2017). Independent sampling, employee responses and documented follow-up are therefore necessary before granting further responsibility or attributing commercial improvements to development alone.</w:t>
      </w:r>
    </w:p>
    <w:p w14:paraId="58C1394C" w14:textId="77777777" w:rsidR="0062236F" w:rsidRPr="007427F7" w:rsidRDefault="0062236F" w:rsidP="0062236F">
      <w:pPr>
        <w:pStyle w:val="Heading1"/>
        <w:rPr>
          <w:rFonts w:ascii="Arial" w:hAnsi="Arial" w:cs="Arial"/>
          <w:sz w:val="24"/>
          <w:szCs w:val="24"/>
          <w:lang w:val="en-GB"/>
        </w:rPr>
      </w:pPr>
      <w:bookmarkStart w:id="23" w:name="_Toc242012587"/>
      <w:r w:rsidRPr="007427F7">
        <w:rPr>
          <w:rFonts w:ascii="Arial" w:hAnsi="Arial" w:cs="Arial"/>
          <w:sz w:val="24"/>
          <w:szCs w:val="24"/>
        </w:rPr>
        <w:t>7. Recommendations</w:t>
      </w:r>
      <w:bookmarkEnd w:id="23"/>
    </w:p>
    <w:p w14:paraId="07BFFBBE" w14:textId="77777777" w:rsidR="0062236F" w:rsidRPr="009632AB" w:rsidRDefault="0062236F" w:rsidP="0062236F">
      <w:pPr>
        <w:rPr>
          <w:rFonts w:ascii="Arial" w:eastAsiaTheme="majorEastAsia" w:hAnsi="Arial" w:cs="Arial"/>
          <w:color w:val="191919"/>
          <w:sz w:val="26"/>
          <w:szCs w:val="28"/>
          <w:lang w:val="en-GB"/>
        </w:rPr>
      </w:pPr>
      <w:r w:rsidRPr="009632AB">
        <w:rPr>
          <w:rFonts w:ascii="Arial" w:eastAsiaTheme="majorEastAsia" w:hAnsi="Arial" w:cs="Arial"/>
          <w:color w:val="191919"/>
          <w:sz w:val="26"/>
          <w:szCs w:val="28"/>
          <w:lang w:val="en-GB"/>
        </w:rPr>
        <w:t>Foresite should adopt three linked practices. First, make induction and development a shared, evidence-based agreement: clarify responsibilities, career interests, progression limits and fair competency standards before selecting courses. Second, establish a blended programme of short formal modules, supervised live practice, assertive but collaborative coaching, cross-team learning and planned feedback; protect sufficient manager time for transfer into real bookings. Third, evaluate quality, relationships and sustainability rather than activity volumes alone, retaining confidential records and revising goals when job conditions change.</w:t>
      </w:r>
    </w:p>
    <w:p w14:paraId="6B296769" w14:textId="77777777" w:rsidR="0062236F" w:rsidRPr="007427F7" w:rsidRDefault="0062236F" w:rsidP="0062236F">
      <w:pPr>
        <w:pStyle w:val="Heading1"/>
        <w:rPr>
          <w:rFonts w:ascii="Arial" w:hAnsi="Arial" w:cs="Arial"/>
          <w:sz w:val="24"/>
          <w:szCs w:val="24"/>
          <w:lang w:val="en-GB"/>
        </w:rPr>
      </w:pPr>
      <w:bookmarkStart w:id="24" w:name="_Toc242012588"/>
      <w:r w:rsidRPr="007427F7">
        <w:rPr>
          <w:rFonts w:ascii="Arial" w:hAnsi="Arial" w:cs="Arial"/>
          <w:sz w:val="24"/>
          <w:szCs w:val="24"/>
        </w:rPr>
        <w:lastRenderedPageBreak/>
        <w:t>8. Conclusion</w:t>
      </w:r>
      <w:bookmarkEnd w:id="24"/>
    </w:p>
    <w:p w14:paraId="2E711A9C" w14:textId="77777777" w:rsidR="0062236F" w:rsidRPr="009632AB" w:rsidRDefault="0062236F" w:rsidP="0062236F">
      <w:pPr>
        <w:rPr>
          <w:rFonts w:ascii="Arial" w:eastAsiaTheme="majorEastAsia" w:hAnsi="Arial" w:cs="Arial"/>
          <w:color w:val="191919"/>
          <w:sz w:val="26"/>
          <w:szCs w:val="28"/>
          <w:lang w:val="en-GB"/>
        </w:rPr>
      </w:pPr>
      <w:r w:rsidRPr="009632AB">
        <w:rPr>
          <w:rFonts w:ascii="Arial" w:eastAsiaTheme="majorEastAsia" w:hAnsi="Arial" w:cs="Arial"/>
          <w:color w:val="191919"/>
          <w:sz w:val="26"/>
          <w:szCs w:val="28"/>
          <w:lang w:val="en-GB"/>
        </w:rPr>
        <w:t>The critical finding is that developing an individual creates potential, not automatic organisational value. Benefits depend on meaningful job design, supportive relationships, perceived fairness, appropriate conflict resolution and credible evaluation. Holland's interests and Schein's anchors enrich career conversations when applied tentatively, whereas SWOT and PEST help position development within operational and external pressures. For Employee A, a proportionate 12-week plan would allow Foresite to test competence safely while protecting candidate and client experience. Effective performance management should consequently be understood as an ongoing relationship between clear expectations, mutual feedback, opportunities to apply learning and accountable outcomes, rather than a single annual appraisal.</w:t>
      </w:r>
    </w:p>
    <w:p w14:paraId="4416A910" w14:textId="77777777" w:rsidR="0098777A" w:rsidRPr="009632AB" w:rsidRDefault="001501D9">
      <w:pPr>
        <w:rPr>
          <w:rFonts w:ascii="Arial" w:hAnsi="Arial" w:cs="Arial"/>
        </w:rPr>
      </w:pPr>
      <w:r w:rsidRPr="009632AB">
        <w:rPr>
          <w:rFonts w:ascii="Arial" w:hAnsi="Arial" w:cs="Arial"/>
        </w:rPr>
        <w:br w:type="page"/>
      </w:r>
    </w:p>
    <w:p w14:paraId="3460B536" w14:textId="77777777" w:rsidR="0098777A" w:rsidRPr="007427F7" w:rsidRDefault="001501D9">
      <w:pPr>
        <w:pStyle w:val="Heading1"/>
        <w:rPr>
          <w:rFonts w:ascii="Arial" w:hAnsi="Arial" w:cs="Arial"/>
          <w:sz w:val="24"/>
          <w:szCs w:val="24"/>
        </w:rPr>
      </w:pPr>
      <w:bookmarkStart w:id="25" w:name="_Toc242012589"/>
      <w:r w:rsidRPr="007427F7">
        <w:rPr>
          <w:rFonts w:ascii="Arial" w:hAnsi="Arial" w:cs="Arial"/>
          <w:sz w:val="24"/>
          <w:szCs w:val="24"/>
        </w:rPr>
        <w:lastRenderedPageBreak/>
        <w:t>References</w:t>
      </w:r>
      <w:bookmarkEnd w:id="25"/>
    </w:p>
    <w:p w14:paraId="7D14AFC1" w14:textId="77777777" w:rsidR="0003789E" w:rsidRPr="009632AB" w:rsidRDefault="0003789E" w:rsidP="0003789E">
      <w:pPr>
        <w:ind w:left="720" w:hanging="720"/>
        <w:rPr>
          <w:rFonts w:ascii="Arial" w:hAnsi="Arial" w:cs="Arial"/>
          <w:lang w:val="en-GB"/>
        </w:rPr>
      </w:pPr>
      <w:r w:rsidRPr="009632AB">
        <w:rPr>
          <w:rFonts w:ascii="Arial" w:hAnsi="Arial" w:cs="Arial"/>
        </w:rPr>
        <w:t xml:space="preserve">Acas. (2024). </w:t>
      </w:r>
      <w:r w:rsidRPr="009632AB">
        <w:rPr>
          <w:rFonts w:ascii="Arial" w:hAnsi="Arial" w:cs="Arial"/>
          <w:i/>
        </w:rPr>
        <w:t>Managing conflict at work – research report</w:t>
      </w:r>
      <w:r w:rsidRPr="009632AB">
        <w:rPr>
          <w:rFonts w:ascii="Arial" w:hAnsi="Arial" w:cs="Arial"/>
        </w:rPr>
        <w:t>. https://www.acas.org.uk/research-and-commentary/workplace-conflict/managing-conflict-at-work [Accessed 17/09/2026]</w:t>
      </w:r>
    </w:p>
    <w:p w14:paraId="1DA788D5" w14:textId="77777777" w:rsidR="0003789E" w:rsidRPr="009632AB" w:rsidRDefault="0003789E" w:rsidP="0003789E">
      <w:pPr>
        <w:ind w:left="720" w:hanging="720"/>
        <w:rPr>
          <w:rFonts w:ascii="Arial" w:hAnsi="Arial" w:cs="Arial"/>
          <w:lang w:val="en-GB"/>
        </w:rPr>
      </w:pPr>
      <w:r w:rsidRPr="009632AB">
        <w:rPr>
          <w:rFonts w:ascii="Arial" w:hAnsi="Arial" w:cs="Arial"/>
        </w:rPr>
        <w:t xml:space="preserve">Acas. (2025). </w:t>
      </w:r>
      <w:r w:rsidRPr="009632AB">
        <w:rPr>
          <w:rFonts w:ascii="Arial" w:hAnsi="Arial" w:cs="Arial"/>
          <w:i/>
        </w:rPr>
        <w:t>How to raise a problem</w:t>
      </w:r>
      <w:r w:rsidRPr="009632AB">
        <w:rPr>
          <w:rFonts w:ascii="Arial" w:hAnsi="Arial" w:cs="Arial"/>
        </w:rPr>
        <w:t>. https://www.acas.org.uk/how-to-raise-a-problem-at-work [Accessed 17/09/2026]</w:t>
      </w:r>
    </w:p>
    <w:p w14:paraId="3F3927D3" w14:textId="77777777" w:rsidR="0003789E" w:rsidRPr="009632AB" w:rsidRDefault="0003789E" w:rsidP="0003789E">
      <w:pPr>
        <w:ind w:left="720" w:hanging="720"/>
        <w:rPr>
          <w:rFonts w:ascii="Arial" w:hAnsi="Arial" w:cs="Arial"/>
          <w:lang w:val="en-GB"/>
        </w:rPr>
      </w:pPr>
      <w:r w:rsidRPr="009632AB">
        <w:rPr>
          <w:rFonts w:ascii="Arial" w:hAnsi="Arial" w:cs="Arial"/>
        </w:rPr>
        <w:t xml:space="preserve">Acas. (2026). </w:t>
      </w:r>
      <w:r w:rsidRPr="009632AB">
        <w:rPr>
          <w:rFonts w:ascii="Arial" w:hAnsi="Arial" w:cs="Arial"/>
          <w:i/>
        </w:rPr>
        <w:t>Performance management: Reviews and appraisals</w:t>
      </w:r>
      <w:r w:rsidRPr="009632AB">
        <w:rPr>
          <w:rFonts w:ascii="Arial" w:hAnsi="Arial" w:cs="Arial"/>
        </w:rPr>
        <w:t>. https://www.acas.org.uk/performance-management [Accessed 17/09/2026]</w:t>
      </w:r>
    </w:p>
    <w:p w14:paraId="0EB99855" w14:textId="77777777" w:rsidR="0003789E" w:rsidRPr="009632AB" w:rsidRDefault="0003789E" w:rsidP="0003789E">
      <w:pPr>
        <w:ind w:left="720" w:hanging="720"/>
        <w:rPr>
          <w:rFonts w:ascii="Arial" w:hAnsi="Arial" w:cs="Arial"/>
          <w:lang w:val="en-GB"/>
        </w:rPr>
      </w:pPr>
      <w:r w:rsidRPr="009632AB">
        <w:rPr>
          <w:rFonts w:ascii="Arial" w:hAnsi="Arial" w:cs="Arial"/>
        </w:rPr>
        <w:t xml:space="preserve">Aguinis, H., &amp; Kraiger, K. (2009). Benefits of training and development for individuals and teams, organizations, and society. </w:t>
      </w:r>
      <w:r w:rsidRPr="009632AB">
        <w:rPr>
          <w:rFonts w:ascii="Arial" w:hAnsi="Arial" w:cs="Arial"/>
          <w:i/>
        </w:rPr>
        <w:t>Annual Review of Psychology, 60</w:t>
      </w:r>
      <w:r w:rsidRPr="009632AB">
        <w:rPr>
          <w:rFonts w:ascii="Arial" w:hAnsi="Arial" w:cs="Arial"/>
        </w:rPr>
        <w:t>, 451–474. https://doi.org/10.1146/annurev.psych.60.110707.163505</w:t>
      </w:r>
    </w:p>
    <w:p w14:paraId="01159DB8" w14:textId="77777777" w:rsidR="0003789E" w:rsidRPr="009632AB" w:rsidRDefault="0003789E" w:rsidP="0003789E">
      <w:pPr>
        <w:ind w:left="720" w:hanging="720"/>
        <w:rPr>
          <w:rFonts w:ascii="Arial" w:hAnsi="Arial" w:cs="Arial"/>
          <w:lang w:val="en-GB"/>
        </w:rPr>
      </w:pPr>
      <w:r w:rsidRPr="009632AB">
        <w:rPr>
          <w:rFonts w:ascii="Arial" w:hAnsi="Arial" w:cs="Arial"/>
        </w:rPr>
        <w:t xml:space="preserve">Baldwin, T. T., &amp; Ford, J. K. (1988). Transfer of training: A review and directions for future research. </w:t>
      </w:r>
      <w:r w:rsidRPr="009632AB">
        <w:rPr>
          <w:rFonts w:ascii="Arial" w:hAnsi="Arial" w:cs="Arial"/>
          <w:i/>
        </w:rPr>
        <w:t>Personnel Psychology, 41</w:t>
      </w:r>
      <w:r w:rsidRPr="009632AB">
        <w:rPr>
          <w:rFonts w:ascii="Arial" w:hAnsi="Arial" w:cs="Arial"/>
        </w:rPr>
        <w:t>(1), 63–105. https://doi.org/10.1111/j.1744-6570.1988.tb00632.x</w:t>
      </w:r>
    </w:p>
    <w:p w14:paraId="35504F18" w14:textId="77777777" w:rsidR="0003789E" w:rsidRPr="009632AB" w:rsidRDefault="0003789E" w:rsidP="0003789E">
      <w:pPr>
        <w:ind w:left="720" w:hanging="720"/>
        <w:rPr>
          <w:rFonts w:ascii="Arial" w:hAnsi="Arial" w:cs="Arial"/>
          <w:lang w:val="en-GB"/>
        </w:rPr>
      </w:pPr>
      <w:r w:rsidRPr="009632AB">
        <w:rPr>
          <w:rFonts w:ascii="Arial" w:hAnsi="Arial" w:cs="Arial"/>
        </w:rPr>
        <w:t xml:space="preserve">Blume, B. D., Ford, J. K., Baldwin, T. T., &amp; Huang, J. L. (2010). Transfer of training: A meta-analytic review. </w:t>
      </w:r>
      <w:r w:rsidRPr="009632AB">
        <w:rPr>
          <w:rFonts w:ascii="Arial" w:hAnsi="Arial" w:cs="Arial"/>
          <w:i/>
        </w:rPr>
        <w:t>Journal of Management, 36</w:t>
      </w:r>
      <w:r w:rsidRPr="009632AB">
        <w:rPr>
          <w:rFonts w:ascii="Arial" w:hAnsi="Arial" w:cs="Arial"/>
        </w:rPr>
        <w:t>(4), 1065–1105. https://doi.org/10.1177/0149206309352880</w:t>
      </w:r>
    </w:p>
    <w:p w14:paraId="64F72ED9" w14:textId="77777777" w:rsidR="0003789E" w:rsidRPr="009632AB" w:rsidRDefault="0003789E" w:rsidP="0003789E">
      <w:pPr>
        <w:ind w:left="720" w:hanging="720"/>
        <w:rPr>
          <w:rFonts w:ascii="Arial" w:hAnsi="Arial" w:cs="Arial"/>
          <w:lang w:val="en-GB"/>
        </w:rPr>
      </w:pPr>
      <w:r w:rsidRPr="009632AB">
        <w:rPr>
          <w:rFonts w:ascii="Arial" w:hAnsi="Arial" w:cs="Arial"/>
        </w:rPr>
        <w:t xml:space="preserve">Burke, L. A., &amp; Hutchins, H. M. (2007). Training transfer: An integrative literature review. </w:t>
      </w:r>
      <w:r w:rsidRPr="009632AB">
        <w:rPr>
          <w:rFonts w:ascii="Arial" w:hAnsi="Arial" w:cs="Arial"/>
          <w:i/>
        </w:rPr>
        <w:t>Human Resource Development Review, 6</w:t>
      </w:r>
      <w:r w:rsidRPr="009632AB">
        <w:rPr>
          <w:rFonts w:ascii="Arial" w:hAnsi="Arial" w:cs="Arial"/>
        </w:rPr>
        <w:t>(3), 263–296. https://doi.org/10.1177/1534484307303035</w:t>
      </w:r>
    </w:p>
    <w:p w14:paraId="79CD2C15" w14:textId="77777777" w:rsidR="0003789E" w:rsidRPr="009632AB" w:rsidRDefault="0003789E" w:rsidP="0003789E">
      <w:pPr>
        <w:ind w:left="720" w:hanging="720"/>
        <w:rPr>
          <w:rFonts w:ascii="Arial" w:hAnsi="Arial" w:cs="Arial"/>
          <w:lang w:val="en-GB"/>
        </w:rPr>
      </w:pPr>
      <w:r w:rsidRPr="009632AB">
        <w:rPr>
          <w:rFonts w:ascii="Arial" w:hAnsi="Arial" w:cs="Arial"/>
        </w:rPr>
        <w:t xml:space="preserve">Chartered Institute of Personnel and Development. (n.d.). </w:t>
      </w:r>
      <w:r w:rsidRPr="009632AB">
        <w:rPr>
          <w:rFonts w:ascii="Arial" w:hAnsi="Arial" w:cs="Arial"/>
          <w:i/>
        </w:rPr>
        <w:t>Learning and development</w:t>
      </w:r>
      <w:r w:rsidRPr="009632AB">
        <w:rPr>
          <w:rFonts w:ascii="Arial" w:hAnsi="Arial" w:cs="Arial"/>
        </w:rPr>
        <w:t>. https://www.cipd.org/uk/topics/learning-development/ [Accessed 23/09/2026]</w:t>
      </w:r>
    </w:p>
    <w:p w14:paraId="4F2123B4" w14:textId="77777777" w:rsidR="0003789E" w:rsidRPr="009632AB" w:rsidRDefault="0003789E" w:rsidP="0003789E">
      <w:pPr>
        <w:ind w:left="720" w:hanging="720"/>
        <w:rPr>
          <w:rFonts w:ascii="Arial" w:hAnsi="Arial" w:cs="Arial"/>
          <w:lang w:val="en-GB"/>
        </w:rPr>
      </w:pPr>
      <w:r w:rsidRPr="009632AB">
        <w:rPr>
          <w:rFonts w:ascii="Arial" w:hAnsi="Arial" w:cs="Arial"/>
        </w:rPr>
        <w:lastRenderedPageBreak/>
        <w:t xml:space="preserve">Chartered Institute of Personnel and Development. (2025a). </w:t>
      </w:r>
      <w:r w:rsidRPr="009632AB">
        <w:rPr>
          <w:rFonts w:ascii="Arial" w:hAnsi="Arial" w:cs="Arial"/>
          <w:i/>
        </w:rPr>
        <w:t>Coaching and mentoring</w:t>
      </w:r>
      <w:r w:rsidRPr="009632AB">
        <w:rPr>
          <w:rFonts w:ascii="Arial" w:hAnsi="Arial" w:cs="Arial"/>
        </w:rPr>
        <w:t>. https://www.cipd.org/en/knowledge/factsheets/coaching-mentoring-factsheet/ [Accessed 04/10/2026]</w:t>
      </w:r>
    </w:p>
    <w:p w14:paraId="456396D1" w14:textId="77777777" w:rsidR="0003789E" w:rsidRPr="009632AB" w:rsidRDefault="0003789E" w:rsidP="0003789E">
      <w:pPr>
        <w:ind w:left="720" w:hanging="720"/>
        <w:rPr>
          <w:rFonts w:ascii="Arial" w:hAnsi="Arial" w:cs="Arial"/>
          <w:lang w:val="en-GB"/>
        </w:rPr>
      </w:pPr>
      <w:r w:rsidRPr="009632AB">
        <w:rPr>
          <w:rFonts w:ascii="Arial" w:hAnsi="Arial" w:cs="Arial"/>
        </w:rPr>
        <w:t xml:space="preserve">Chartered Institute of Personnel and Development. (2025b). </w:t>
      </w:r>
      <w:r w:rsidRPr="009632AB">
        <w:rPr>
          <w:rFonts w:ascii="Arial" w:hAnsi="Arial" w:cs="Arial"/>
          <w:i/>
        </w:rPr>
        <w:t>Learning evaluation, impact and transfer</w:t>
      </w:r>
      <w:r w:rsidRPr="009632AB">
        <w:rPr>
          <w:rFonts w:ascii="Arial" w:hAnsi="Arial" w:cs="Arial"/>
        </w:rPr>
        <w:t>. https://www.cipd.org/uk/knowledge/factsheets/evaluating-learning-factsheet/ [Accessed 23/09/2026]</w:t>
      </w:r>
    </w:p>
    <w:p w14:paraId="189DB562" w14:textId="77777777" w:rsidR="0003789E" w:rsidRPr="009632AB" w:rsidRDefault="0003789E" w:rsidP="0003789E">
      <w:pPr>
        <w:ind w:left="720" w:hanging="720"/>
        <w:rPr>
          <w:rFonts w:ascii="Arial" w:hAnsi="Arial" w:cs="Arial"/>
          <w:lang w:val="en-GB"/>
        </w:rPr>
      </w:pPr>
      <w:r w:rsidRPr="009632AB">
        <w:rPr>
          <w:rFonts w:ascii="Arial" w:hAnsi="Arial" w:cs="Arial"/>
        </w:rPr>
        <w:t xml:space="preserve">Chartered Institute of Personnel and Development. (2025c). </w:t>
      </w:r>
      <w:r w:rsidRPr="009632AB">
        <w:rPr>
          <w:rFonts w:ascii="Arial" w:hAnsi="Arial" w:cs="Arial"/>
          <w:i/>
        </w:rPr>
        <w:t>Learning needs analysis</w:t>
      </w:r>
      <w:r w:rsidRPr="009632AB">
        <w:rPr>
          <w:rFonts w:ascii="Arial" w:hAnsi="Arial" w:cs="Arial"/>
        </w:rPr>
        <w:t>. https://www.cipd.org/uk/knowledge/factsheets/learning-needs-factsheet/ [Accessed 23/09/2026]</w:t>
      </w:r>
    </w:p>
    <w:p w14:paraId="754421D4" w14:textId="77777777" w:rsidR="0003789E" w:rsidRPr="009632AB" w:rsidRDefault="0003789E" w:rsidP="0003789E">
      <w:pPr>
        <w:ind w:left="720" w:hanging="720"/>
        <w:rPr>
          <w:rFonts w:ascii="Arial" w:hAnsi="Arial" w:cs="Arial"/>
          <w:lang w:val="en-GB"/>
        </w:rPr>
      </w:pPr>
      <w:r w:rsidRPr="009632AB">
        <w:rPr>
          <w:rFonts w:ascii="Arial" w:hAnsi="Arial" w:cs="Arial"/>
        </w:rPr>
        <w:t xml:space="preserve">Chartered Institute of Personnel and Development. (2026a). </w:t>
      </w:r>
      <w:r w:rsidRPr="009632AB">
        <w:rPr>
          <w:rFonts w:ascii="Arial" w:hAnsi="Arial" w:cs="Arial"/>
          <w:i/>
        </w:rPr>
        <w:t>Employee turnover and retention</w:t>
      </w:r>
      <w:r w:rsidRPr="009632AB">
        <w:rPr>
          <w:rFonts w:ascii="Arial" w:hAnsi="Arial" w:cs="Arial"/>
        </w:rPr>
        <w:t>. https://www.cipd.org/uk/knowledge/factsheets/turnover-retention-factsheet/ [Accessed 23/09/2026]</w:t>
      </w:r>
    </w:p>
    <w:p w14:paraId="51D2A8D1" w14:textId="77777777" w:rsidR="0003789E" w:rsidRPr="009632AB" w:rsidRDefault="0003789E" w:rsidP="0003789E">
      <w:pPr>
        <w:ind w:left="720" w:hanging="720"/>
        <w:rPr>
          <w:rFonts w:ascii="Arial" w:hAnsi="Arial" w:cs="Arial"/>
          <w:lang w:val="en-GB"/>
        </w:rPr>
      </w:pPr>
      <w:r w:rsidRPr="009632AB">
        <w:rPr>
          <w:rFonts w:ascii="Arial" w:hAnsi="Arial" w:cs="Arial"/>
        </w:rPr>
        <w:t xml:space="preserve">Chartered Institute of Personnel and Development. (2026b). </w:t>
      </w:r>
      <w:r w:rsidRPr="009632AB">
        <w:rPr>
          <w:rFonts w:ascii="Arial" w:hAnsi="Arial" w:cs="Arial"/>
          <w:i/>
        </w:rPr>
        <w:t>Performance management: An introduction</w:t>
      </w:r>
      <w:r w:rsidRPr="009632AB">
        <w:rPr>
          <w:rFonts w:ascii="Arial" w:hAnsi="Arial" w:cs="Arial"/>
        </w:rPr>
        <w:t>. https://www.cipd.org/uk/knowledge/factsheets/performance-factsheet/ [Accessed 26/09/2026]</w:t>
      </w:r>
    </w:p>
    <w:p w14:paraId="19A33BDC" w14:textId="77777777" w:rsidR="0003789E" w:rsidRPr="009632AB" w:rsidRDefault="0003789E" w:rsidP="0003789E">
      <w:pPr>
        <w:ind w:left="720" w:hanging="720"/>
        <w:rPr>
          <w:rFonts w:ascii="Arial" w:hAnsi="Arial" w:cs="Arial"/>
          <w:lang w:val="en-GB"/>
        </w:rPr>
      </w:pPr>
      <w:r w:rsidRPr="009632AB">
        <w:rPr>
          <w:rFonts w:ascii="Arial" w:hAnsi="Arial" w:cs="Arial"/>
        </w:rPr>
        <w:t xml:space="preserve">Colquitt, J. A., Conlon, D. E., Wesson, M. J., Porter, C. O. L. H., &amp; Ng, K. Y. (2001). Justice at the millennium: A meta-analytic review of 25 years of organizational justice research. </w:t>
      </w:r>
      <w:r w:rsidRPr="009632AB">
        <w:rPr>
          <w:rFonts w:ascii="Arial" w:hAnsi="Arial" w:cs="Arial"/>
          <w:i/>
        </w:rPr>
        <w:t>Journal of Applied Psychology, 86</w:t>
      </w:r>
      <w:r w:rsidRPr="009632AB">
        <w:rPr>
          <w:rFonts w:ascii="Arial" w:hAnsi="Arial" w:cs="Arial"/>
        </w:rPr>
        <w:t>(3), 425–445. https://doi.org/10.1037/0021-9010.86.3.425</w:t>
      </w:r>
    </w:p>
    <w:p w14:paraId="263C29E9" w14:textId="77777777" w:rsidR="0003789E" w:rsidRPr="009632AB" w:rsidRDefault="0003789E" w:rsidP="0003789E">
      <w:pPr>
        <w:ind w:left="720" w:hanging="720"/>
        <w:rPr>
          <w:rFonts w:ascii="Arial" w:hAnsi="Arial" w:cs="Arial"/>
          <w:lang w:val="en-GB"/>
        </w:rPr>
      </w:pPr>
      <w:r w:rsidRPr="009632AB">
        <w:rPr>
          <w:rFonts w:ascii="Arial" w:hAnsi="Arial" w:cs="Arial"/>
        </w:rPr>
        <w:t xml:space="preserve">Deci, E. L., &amp; Ryan, R. M. (2000). The “what” and “why” of goal pursuits: Human needs and the self-determination of behavior. </w:t>
      </w:r>
      <w:r w:rsidRPr="009632AB">
        <w:rPr>
          <w:rFonts w:ascii="Arial" w:hAnsi="Arial" w:cs="Arial"/>
          <w:i/>
        </w:rPr>
        <w:t>Psychological Inquiry, 11</w:t>
      </w:r>
      <w:r w:rsidRPr="009632AB">
        <w:rPr>
          <w:rFonts w:ascii="Arial" w:hAnsi="Arial" w:cs="Arial"/>
        </w:rPr>
        <w:t>(4), 227–268. https://doi.org/10.1207/S15327965PLI1104_01</w:t>
      </w:r>
    </w:p>
    <w:p w14:paraId="6D2091F4" w14:textId="77777777" w:rsidR="0003789E" w:rsidRPr="009632AB" w:rsidRDefault="0003789E" w:rsidP="0003789E">
      <w:pPr>
        <w:ind w:left="720" w:hanging="720"/>
        <w:rPr>
          <w:rFonts w:ascii="Arial" w:hAnsi="Arial" w:cs="Arial"/>
          <w:lang w:val="en-GB"/>
        </w:rPr>
      </w:pPr>
      <w:r w:rsidRPr="009632AB">
        <w:rPr>
          <w:rFonts w:ascii="Arial" w:hAnsi="Arial" w:cs="Arial"/>
        </w:rPr>
        <w:lastRenderedPageBreak/>
        <w:t xml:space="preserve">DeNisi, A. S., &amp; Murphy, K. R. (2017). Performance appraisal and performance management: 100 years of progress? </w:t>
      </w:r>
      <w:r w:rsidRPr="009632AB">
        <w:rPr>
          <w:rFonts w:ascii="Arial" w:hAnsi="Arial" w:cs="Arial"/>
          <w:i/>
        </w:rPr>
        <w:t>Journal of Applied Psychology, 102</w:t>
      </w:r>
      <w:r w:rsidRPr="009632AB">
        <w:rPr>
          <w:rFonts w:ascii="Arial" w:hAnsi="Arial" w:cs="Arial"/>
        </w:rPr>
        <w:t>(3), 421–433. https://doi.org/10.1037/apl0000085</w:t>
      </w:r>
    </w:p>
    <w:p w14:paraId="158C3454" w14:textId="77777777" w:rsidR="0003789E" w:rsidRPr="009632AB" w:rsidRDefault="0003789E" w:rsidP="0003789E">
      <w:pPr>
        <w:ind w:left="720" w:hanging="720"/>
        <w:rPr>
          <w:rFonts w:ascii="Arial" w:hAnsi="Arial" w:cs="Arial"/>
          <w:lang w:val="en-GB"/>
        </w:rPr>
      </w:pPr>
      <w:r w:rsidRPr="009632AB">
        <w:rPr>
          <w:rFonts w:ascii="Arial" w:hAnsi="Arial" w:cs="Arial"/>
        </w:rPr>
        <w:t xml:space="preserve">Edmondson, A. (1999). Psychological safety and learning behavior in work teams. </w:t>
      </w:r>
      <w:r w:rsidRPr="009632AB">
        <w:rPr>
          <w:rFonts w:ascii="Arial" w:hAnsi="Arial" w:cs="Arial"/>
          <w:i/>
        </w:rPr>
        <w:t>Administrative Science Quarterly, 44</w:t>
      </w:r>
      <w:r w:rsidRPr="009632AB">
        <w:rPr>
          <w:rFonts w:ascii="Arial" w:hAnsi="Arial" w:cs="Arial"/>
        </w:rPr>
        <w:t>(2), 350–383. https://doi.org/10.2307/2666999</w:t>
      </w:r>
    </w:p>
    <w:p w14:paraId="3EC04991" w14:textId="77777777" w:rsidR="0003789E" w:rsidRPr="009632AB" w:rsidRDefault="0003789E" w:rsidP="0003789E">
      <w:pPr>
        <w:ind w:left="720" w:hanging="720"/>
        <w:rPr>
          <w:rFonts w:ascii="Arial" w:hAnsi="Arial" w:cs="Arial"/>
          <w:lang w:val="en-GB"/>
        </w:rPr>
      </w:pPr>
      <w:r w:rsidRPr="009632AB">
        <w:rPr>
          <w:rFonts w:ascii="Arial" w:hAnsi="Arial" w:cs="Arial"/>
        </w:rPr>
        <w:t xml:space="preserve">Equality and Human Rights Commission. (2015). </w:t>
      </w:r>
      <w:r w:rsidRPr="009632AB">
        <w:rPr>
          <w:rFonts w:ascii="Arial" w:hAnsi="Arial" w:cs="Arial"/>
          <w:i/>
        </w:rPr>
        <w:t>Employment: Code of practice</w:t>
      </w:r>
      <w:r w:rsidRPr="009632AB">
        <w:rPr>
          <w:rFonts w:ascii="Arial" w:hAnsi="Arial" w:cs="Arial"/>
        </w:rPr>
        <w:t>. https://www.equalityhumanrights.com/en/publication-download/employment-statutory-code-practice [Accessed 25/09/2026]</w:t>
      </w:r>
    </w:p>
    <w:p w14:paraId="71D30B5A" w14:textId="77777777" w:rsidR="0003789E" w:rsidRPr="009632AB" w:rsidRDefault="0003789E" w:rsidP="0003789E">
      <w:pPr>
        <w:ind w:left="720" w:hanging="720"/>
        <w:rPr>
          <w:rFonts w:ascii="Arial" w:hAnsi="Arial" w:cs="Arial"/>
          <w:lang w:val="en-GB"/>
        </w:rPr>
      </w:pPr>
      <w:r w:rsidRPr="009632AB">
        <w:rPr>
          <w:rFonts w:ascii="Arial" w:hAnsi="Arial" w:cs="Arial"/>
        </w:rPr>
        <w:t xml:space="preserve">Eraut, M. (2004). Informal learning in the workplace. </w:t>
      </w:r>
      <w:r w:rsidRPr="009632AB">
        <w:rPr>
          <w:rFonts w:ascii="Arial" w:hAnsi="Arial" w:cs="Arial"/>
          <w:i/>
        </w:rPr>
        <w:t>Studies in Continuing Education, 26</w:t>
      </w:r>
      <w:r w:rsidRPr="009632AB">
        <w:rPr>
          <w:rFonts w:ascii="Arial" w:hAnsi="Arial" w:cs="Arial"/>
        </w:rPr>
        <w:t>(2), 247–273. https://doi.org/10.1080/158037042000225245</w:t>
      </w:r>
    </w:p>
    <w:p w14:paraId="48676711" w14:textId="77777777" w:rsidR="0003789E" w:rsidRPr="009632AB" w:rsidRDefault="0003789E" w:rsidP="0003789E">
      <w:pPr>
        <w:ind w:left="720" w:hanging="720"/>
        <w:rPr>
          <w:rFonts w:ascii="Arial" w:hAnsi="Arial" w:cs="Arial"/>
          <w:lang w:val="en-GB"/>
        </w:rPr>
      </w:pPr>
      <w:r w:rsidRPr="009632AB">
        <w:rPr>
          <w:rFonts w:ascii="Arial" w:hAnsi="Arial" w:cs="Arial"/>
        </w:rPr>
        <w:t xml:space="preserve">Feldman, D. C., &amp; Bolino, M. C. (1996). Careers within careers: Reconceptualizing the nature of career anchors and their consequences. </w:t>
      </w:r>
      <w:r w:rsidRPr="009632AB">
        <w:rPr>
          <w:rFonts w:ascii="Arial" w:hAnsi="Arial" w:cs="Arial"/>
          <w:i/>
        </w:rPr>
        <w:t>Human Resource Management Review, 6</w:t>
      </w:r>
      <w:r w:rsidRPr="009632AB">
        <w:rPr>
          <w:rFonts w:ascii="Arial" w:hAnsi="Arial" w:cs="Arial"/>
        </w:rPr>
        <w:t>(2), 89–112. https://doi.org/10.1016/S1053-4822(96)90014-5</w:t>
      </w:r>
    </w:p>
    <w:p w14:paraId="41E9DC41" w14:textId="77777777" w:rsidR="0003789E" w:rsidRPr="009632AB" w:rsidRDefault="0003789E" w:rsidP="0003789E">
      <w:pPr>
        <w:ind w:left="720" w:hanging="720"/>
        <w:rPr>
          <w:rFonts w:ascii="Arial" w:hAnsi="Arial" w:cs="Arial"/>
          <w:lang w:val="en-GB"/>
        </w:rPr>
      </w:pPr>
      <w:r w:rsidRPr="009632AB">
        <w:rPr>
          <w:rFonts w:ascii="Arial" w:hAnsi="Arial" w:cs="Arial"/>
        </w:rPr>
        <w:t xml:space="preserve">Gollwitzer, P. M. (1999). Implementation intentions: Strong effects of simple plans. </w:t>
      </w:r>
      <w:r w:rsidRPr="009632AB">
        <w:rPr>
          <w:rFonts w:ascii="Arial" w:hAnsi="Arial" w:cs="Arial"/>
          <w:i/>
        </w:rPr>
        <w:t>American Psychologist, 54</w:t>
      </w:r>
      <w:r w:rsidRPr="009632AB">
        <w:rPr>
          <w:rFonts w:ascii="Arial" w:hAnsi="Arial" w:cs="Arial"/>
        </w:rPr>
        <w:t>(7), 493–503. https://doi.org/10.1037/0003-066X.54.7.493</w:t>
      </w:r>
    </w:p>
    <w:p w14:paraId="43B384BA" w14:textId="77777777" w:rsidR="0003789E" w:rsidRPr="009632AB" w:rsidRDefault="0003789E" w:rsidP="0003789E">
      <w:pPr>
        <w:ind w:left="720" w:hanging="720"/>
        <w:rPr>
          <w:rFonts w:ascii="Arial" w:hAnsi="Arial" w:cs="Arial"/>
          <w:lang w:val="en-GB"/>
        </w:rPr>
      </w:pPr>
      <w:r w:rsidRPr="009632AB">
        <w:rPr>
          <w:rFonts w:ascii="Arial" w:hAnsi="Arial" w:cs="Arial"/>
        </w:rPr>
        <w:t xml:space="preserve">Holland, J. L. (1997). </w:t>
      </w:r>
      <w:r w:rsidRPr="009632AB">
        <w:rPr>
          <w:rFonts w:ascii="Arial" w:hAnsi="Arial" w:cs="Arial"/>
          <w:i/>
        </w:rPr>
        <w:t>Making vocational choices: A theory of vocational personalities and work environments (3rd ed.)</w:t>
      </w:r>
      <w:r w:rsidRPr="009632AB">
        <w:rPr>
          <w:rFonts w:ascii="Arial" w:hAnsi="Arial" w:cs="Arial"/>
        </w:rPr>
        <w:t>. Psychological Assessment Resources.</w:t>
      </w:r>
    </w:p>
    <w:p w14:paraId="58F7A89D" w14:textId="77777777" w:rsidR="0003789E" w:rsidRPr="009632AB" w:rsidRDefault="0003789E" w:rsidP="0003789E">
      <w:pPr>
        <w:ind w:left="720" w:hanging="720"/>
        <w:rPr>
          <w:rFonts w:ascii="Arial" w:hAnsi="Arial" w:cs="Arial"/>
          <w:lang w:val="en-GB"/>
        </w:rPr>
      </w:pPr>
      <w:r w:rsidRPr="009632AB">
        <w:rPr>
          <w:rFonts w:ascii="Arial" w:hAnsi="Arial" w:cs="Arial"/>
        </w:rPr>
        <w:t xml:space="preserve">Information Commissioner's Office. (2025). </w:t>
      </w:r>
      <w:r w:rsidRPr="009632AB">
        <w:rPr>
          <w:rFonts w:ascii="Arial" w:hAnsi="Arial" w:cs="Arial"/>
          <w:i/>
        </w:rPr>
        <w:t>Employment information</w:t>
      </w:r>
      <w:r w:rsidRPr="009632AB">
        <w:rPr>
          <w:rFonts w:ascii="Arial" w:hAnsi="Arial" w:cs="Arial"/>
        </w:rPr>
        <w:t>. https://ico.org.uk/for-organisations/uk-gdpr-guidance-and-resources/employment/ [Accessed 26/09/2026]</w:t>
      </w:r>
    </w:p>
    <w:p w14:paraId="300C6F18" w14:textId="77777777" w:rsidR="0003789E" w:rsidRPr="009632AB" w:rsidRDefault="0003789E" w:rsidP="0003789E">
      <w:pPr>
        <w:ind w:left="720" w:hanging="720"/>
        <w:rPr>
          <w:rFonts w:ascii="Arial" w:hAnsi="Arial" w:cs="Arial"/>
          <w:lang w:val="en-GB"/>
        </w:rPr>
      </w:pPr>
      <w:r w:rsidRPr="009632AB">
        <w:rPr>
          <w:rFonts w:ascii="Arial" w:hAnsi="Arial" w:cs="Arial"/>
          <w:lang w:val="fi-FI"/>
        </w:rPr>
        <w:lastRenderedPageBreak/>
        <w:t xml:space="preserve">Kilmann, R. H., &amp; Thomas, K. W. (1977). </w:t>
      </w:r>
      <w:r w:rsidRPr="009632AB">
        <w:rPr>
          <w:rFonts w:ascii="Arial" w:hAnsi="Arial" w:cs="Arial"/>
        </w:rPr>
        <w:t xml:space="preserve">Developing a forced-choice measure of conflict-handling behavior: The “MODE” instrument. </w:t>
      </w:r>
      <w:r w:rsidRPr="009632AB">
        <w:rPr>
          <w:rFonts w:ascii="Arial" w:hAnsi="Arial" w:cs="Arial"/>
          <w:i/>
        </w:rPr>
        <w:t>Educational and Psychological Measurement, 37</w:t>
      </w:r>
      <w:r w:rsidRPr="009632AB">
        <w:rPr>
          <w:rFonts w:ascii="Arial" w:hAnsi="Arial" w:cs="Arial"/>
        </w:rPr>
        <w:t>(2), 309–325. https://doi.org/10.1177/001316447703700204</w:t>
      </w:r>
    </w:p>
    <w:p w14:paraId="680EC050" w14:textId="77777777" w:rsidR="0003789E" w:rsidRPr="009632AB" w:rsidRDefault="0003789E" w:rsidP="0003789E">
      <w:pPr>
        <w:ind w:left="720" w:hanging="720"/>
        <w:rPr>
          <w:rFonts w:ascii="Arial" w:hAnsi="Arial" w:cs="Arial"/>
          <w:lang w:val="en-GB"/>
        </w:rPr>
      </w:pPr>
      <w:r w:rsidRPr="009632AB">
        <w:rPr>
          <w:rFonts w:ascii="Arial" w:hAnsi="Arial" w:cs="Arial"/>
        </w:rPr>
        <w:t xml:space="preserve">Kirkpatrick, D. L., &amp; Kirkpatrick, J. D. (2006). </w:t>
      </w:r>
      <w:r w:rsidRPr="009632AB">
        <w:rPr>
          <w:rFonts w:ascii="Arial" w:hAnsi="Arial" w:cs="Arial"/>
          <w:i/>
        </w:rPr>
        <w:t>Evaluating training programs: The four levels (3rd ed.)</w:t>
      </w:r>
      <w:r w:rsidRPr="009632AB">
        <w:rPr>
          <w:rFonts w:ascii="Arial" w:hAnsi="Arial" w:cs="Arial"/>
        </w:rPr>
        <w:t>. Berrett-Koehler.</w:t>
      </w:r>
    </w:p>
    <w:p w14:paraId="18F499AD" w14:textId="77777777" w:rsidR="0003789E" w:rsidRPr="009632AB" w:rsidRDefault="0003789E" w:rsidP="0003789E">
      <w:pPr>
        <w:ind w:left="720" w:hanging="720"/>
        <w:rPr>
          <w:rFonts w:ascii="Arial" w:hAnsi="Arial" w:cs="Arial"/>
          <w:lang w:val="en-GB"/>
        </w:rPr>
      </w:pPr>
      <w:r w:rsidRPr="009632AB">
        <w:rPr>
          <w:rFonts w:ascii="Arial" w:hAnsi="Arial" w:cs="Arial"/>
        </w:rPr>
        <w:t xml:space="preserve">Kluger, A. N., &amp; DeNisi, A. (1996). The effects of feedback interventions on performance: A historical review, a meta-analysis, and a preliminary feedback intervention theory. </w:t>
      </w:r>
      <w:r w:rsidRPr="009632AB">
        <w:rPr>
          <w:rFonts w:ascii="Arial" w:hAnsi="Arial" w:cs="Arial"/>
          <w:i/>
        </w:rPr>
        <w:t>Psychological Bulletin, 119</w:t>
      </w:r>
      <w:r w:rsidRPr="009632AB">
        <w:rPr>
          <w:rFonts w:ascii="Arial" w:hAnsi="Arial" w:cs="Arial"/>
        </w:rPr>
        <w:t>(2), 254–284. https://doi.org/10.1037/0033-2909.119.2.254</w:t>
      </w:r>
    </w:p>
    <w:p w14:paraId="7AB848CD" w14:textId="77777777" w:rsidR="0003789E" w:rsidRPr="009632AB" w:rsidRDefault="0003789E" w:rsidP="0003789E">
      <w:pPr>
        <w:ind w:left="720" w:hanging="720"/>
        <w:rPr>
          <w:rFonts w:ascii="Arial" w:hAnsi="Arial" w:cs="Arial"/>
          <w:lang w:val="en-GB"/>
        </w:rPr>
      </w:pPr>
      <w:r w:rsidRPr="009632AB">
        <w:rPr>
          <w:rFonts w:ascii="Arial" w:hAnsi="Arial" w:cs="Arial"/>
        </w:rPr>
        <w:t xml:space="preserve">Kolb, D. A. (1984). </w:t>
      </w:r>
      <w:r w:rsidRPr="009632AB">
        <w:rPr>
          <w:rFonts w:ascii="Arial" w:hAnsi="Arial" w:cs="Arial"/>
          <w:i/>
        </w:rPr>
        <w:t>Experiential learning: Experience as the source of learning and development</w:t>
      </w:r>
      <w:r w:rsidRPr="009632AB">
        <w:rPr>
          <w:rFonts w:ascii="Arial" w:hAnsi="Arial" w:cs="Arial"/>
        </w:rPr>
        <w:t>. Prentice Hall.</w:t>
      </w:r>
    </w:p>
    <w:p w14:paraId="0ACDE134" w14:textId="77777777" w:rsidR="0003789E" w:rsidRPr="009632AB" w:rsidRDefault="0003789E" w:rsidP="0003789E">
      <w:pPr>
        <w:ind w:left="720" w:hanging="720"/>
        <w:rPr>
          <w:rFonts w:ascii="Arial" w:hAnsi="Arial" w:cs="Arial"/>
          <w:lang w:val="en-GB"/>
        </w:rPr>
      </w:pPr>
      <w:r w:rsidRPr="009632AB">
        <w:rPr>
          <w:rFonts w:ascii="Arial" w:hAnsi="Arial" w:cs="Arial"/>
        </w:rPr>
        <w:t xml:space="preserve">Lent, R. W., Brown, S. D., &amp; Hackett, G. (1994). Toward a unifying social cognitive theory of career and academic interest, choice, and performance. </w:t>
      </w:r>
      <w:r w:rsidRPr="009632AB">
        <w:rPr>
          <w:rFonts w:ascii="Arial" w:hAnsi="Arial" w:cs="Arial"/>
          <w:i/>
        </w:rPr>
        <w:t>Journal of Vocational Behavior, 45</w:t>
      </w:r>
      <w:r w:rsidRPr="009632AB">
        <w:rPr>
          <w:rFonts w:ascii="Arial" w:hAnsi="Arial" w:cs="Arial"/>
        </w:rPr>
        <w:t>(1), 79–122. https://doi.org/10.1006/jvbe.1994.1027</w:t>
      </w:r>
    </w:p>
    <w:p w14:paraId="17453DC4" w14:textId="77777777" w:rsidR="0003789E" w:rsidRPr="009632AB" w:rsidRDefault="0003789E" w:rsidP="0003789E">
      <w:pPr>
        <w:ind w:left="720" w:hanging="720"/>
        <w:rPr>
          <w:rFonts w:ascii="Arial" w:hAnsi="Arial" w:cs="Arial"/>
          <w:lang w:val="en-GB"/>
        </w:rPr>
      </w:pPr>
      <w:r w:rsidRPr="009632AB">
        <w:rPr>
          <w:rFonts w:ascii="Arial" w:hAnsi="Arial" w:cs="Arial"/>
        </w:rPr>
        <w:t xml:space="preserve">Locke, E. A., &amp; Latham, G. P. (2002). Building a practically useful theory of goal setting and task motivation: A 35-year odyssey. </w:t>
      </w:r>
      <w:r w:rsidRPr="009632AB">
        <w:rPr>
          <w:rFonts w:ascii="Arial" w:hAnsi="Arial" w:cs="Arial"/>
          <w:i/>
        </w:rPr>
        <w:t>American Psychologist, 57</w:t>
      </w:r>
      <w:r w:rsidRPr="009632AB">
        <w:rPr>
          <w:rFonts w:ascii="Arial" w:hAnsi="Arial" w:cs="Arial"/>
        </w:rPr>
        <w:t>(9), 705–717. https://doi.org/10.1037/0003-066X.57.9.705</w:t>
      </w:r>
    </w:p>
    <w:p w14:paraId="565F52AE" w14:textId="77777777" w:rsidR="0003789E" w:rsidRPr="009632AB" w:rsidRDefault="0003789E" w:rsidP="0003789E">
      <w:pPr>
        <w:ind w:left="720" w:hanging="720"/>
        <w:rPr>
          <w:rFonts w:ascii="Arial" w:hAnsi="Arial" w:cs="Arial"/>
          <w:lang w:val="en-GB"/>
        </w:rPr>
      </w:pPr>
      <w:r w:rsidRPr="009632AB">
        <w:rPr>
          <w:rFonts w:ascii="Arial" w:hAnsi="Arial" w:cs="Arial"/>
        </w:rPr>
        <w:t xml:space="preserve">Massachusetts Institute of Technology. (2023). </w:t>
      </w:r>
      <w:r w:rsidRPr="009632AB">
        <w:rPr>
          <w:rFonts w:ascii="Arial" w:hAnsi="Arial" w:cs="Arial"/>
          <w:i/>
        </w:rPr>
        <w:t>Remembering Professor Emeritus Edgar Schein, an influential leader in management</w:t>
      </w:r>
      <w:r w:rsidRPr="009632AB">
        <w:rPr>
          <w:rFonts w:ascii="Arial" w:hAnsi="Arial" w:cs="Arial"/>
        </w:rPr>
        <w:t>. https://news.mit.edu/2023/remembering-professor-emeritus-edgar-schein-0303 [Accessed 29/09/2026]</w:t>
      </w:r>
    </w:p>
    <w:p w14:paraId="21F3CC2F" w14:textId="77777777" w:rsidR="0003789E" w:rsidRPr="009632AB" w:rsidRDefault="0003789E" w:rsidP="0003789E">
      <w:pPr>
        <w:ind w:left="720" w:hanging="720"/>
        <w:rPr>
          <w:rFonts w:ascii="Arial" w:hAnsi="Arial" w:cs="Arial"/>
          <w:lang w:val="en-GB"/>
        </w:rPr>
      </w:pPr>
      <w:r w:rsidRPr="009632AB">
        <w:rPr>
          <w:rFonts w:ascii="Arial" w:hAnsi="Arial" w:cs="Arial"/>
        </w:rPr>
        <w:lastRenderedPageBreak/>
        <w:t xml:space="preserve">National Center for O*NET Development. (n.d.). </w:t>
      </w:r>
      <w:r w:rsidRPr="009632AB">
        <w:rPr>
          <w:rFonts w:ascii="Arial" w:hAnsi="Arial" w:cs="Arial"/>
          <w:i/>
        </w:rPr>
        <w:t>O*NET Interest Profiler</w:t>
      </w:r>
      <w:r w:rsidRPr="009632AB">
        <w:rPr>
          <w:rFonts w:ascii="Arial" w:hAnsi="Arial" w:cs="Arial"/>
        </w:rPr>
        <w:t>. https://www.onetcenter.org/IP.html [Accessed 29/09/2026]</w:t>
      </w:r>
    </w:p>
    <w:p w14:paraId="20ECDAED" w14:textId="77777777" w:rsidR="0003789E" w:rsidRPr="009632AB" w:rsidRDefault="0003789E" w:rsidP="0003789E">
      <w:pPr>
        <w:ind w:left="720" w:hanging="720"/>
        <w:rPr>
          <w:rFonts w:ascii="Arial" w:hAnsi="Arial" w:cs="Arial"/>
          <w:lang w:val="en-GB"/>
        </w:rPr>
      </w:pPr>
      <w:r w:rsidRPr="009632AB">
        <w:rPr>
          <w:rFonts w:ascii="Arial" w:hAnsi="Arial" w:cs="Arial"/>
        </w:rPr>
        <w:t xml:space="preserve">Noe, R. A. (1986). Trainees' attributes and attitudes: Neglected influences on training effectiveness. </w:t>
      </w:r>
      <w:r w:rsidRPr="009632AB">
        <w:rPr>
          <w:rFonts w:ascii="Arial" w:hAnsi="Arial" w:cs="Arial"/>
          <w:i/>
        </w:rPr>
        <w:t>Academy of Management Review, 11</w:t>
      </w:r>
      <w:r w:rsidRPr="009632AB">
        <w:rPr>
          <w:rFonts w:ascii="Arial" w:hAnsi="Arial" w:cs="Arial"/>
        </w:rPr>
        <w:t>(4), 736–749. https://doi.org/10.5465/amr.1986.4283922</w:t>
      </w:r>
    </w:p>
    <w:p w14:paraId="39978440" w14:textId="77777777" w:rsidR="0003789E" w:rsidRPr="009632AB" w:rsidRDefault="0003789E" w:rsidP="0003789E">
      <w:pPr>
        <w:ind w:left="720" w:hanging="720"/>
        <w:rPr>
          <w:rFonts w:ascii="Arial" w:hAnsi="Arial" w:cs="Arial"/>
          <w:lang w:val="en-GB"/>
        </w:rPr>
      </w:pPr>
      <w:r w:rsidRPr="009632AB">
        <w:rPr>
          <w:rFonts w:ascii="Arial" w:hAnsi="Arial" w:cs="Arial"/>
        </w:rPr>
        <w:t xml:space="preserve">Pashler, H., McDaniel, M., Rohrer, D., &amp; Bjork, R. (2008). Learning styles: Concepts and evidence. </w:t>
      </w:r>
      <w:r w:rsidRPr="009632AB">
        <w:rPr>
          <w:rFonts w:ascii="Arial" w:hAnsi="Arial" w:cs="Arial"/>
          <w:i/>
        </w:rPr>
        <w:t>Psychological Science in the Public Interest, 9</w:t>
      </w:r>
      <w:r w:rsidRPr="009632AB">
        <w:rPr>
          <w:rFonts w:ascii="Arial" w:hAnsi="Arial" w:cs="Arial"/>
        </w:rPr>
        <w:t>(3), 105–119. https://doi.org/10.1111/j.1539-6053.2009.01038.x</w:t>
      </w:r>
    </w:p>
    <w:p w14:paraId="04B9500A" w14:textId="77777777" w:rsidR="0003789E" w:rsidRPr="009632AB" w:rsidRDefault="0003789E" w:rsidP="0003789E">
      <w:pPr>
        <w:ind w:left="720" w:hanging="720"/>
        <w:rPr>
          <w:rFonts w:ascii="Arial" w:hAnsi="Arial" w:cs="Arial"/>
          <w:lang w:val="en-GB"/>
        </w:rPr>
      </w:pPr>
      <w:r w:rsidRPr="009632AB">
        <w:rPr>
          <w:rFonts w:ascii="Arial" w:hAnsi="Arial" w:cs="Arial"/>
        </w:rPr>
        <w:t xml:space="preserve">Pondy, L. R. (1967). Organizational conflict: Concepts and models. </w:t>
      </w:r>
      <w:r w:rsidRPr="009632AB">
        <w:rPr>
          <w:rFonts w:ascii="Arial" w:hAnsi="Arial" w:cs="Arial"/>
          <w:i/>
        </w:rPr>
        <w:t>Administrative Science Quarterly, 12</w:t>
      </w:r>
      <w:r w:rsidRPr="009632AB">
        <w:rPr>
          <w:rFonts w:ascii="Arial" w:hAnsi="Arial" w:cs="Arial"/>
        </w:rPr>
        <w:t>(2), 296–320. https://doi.org/10.2307/2391553</w:t>
      </w:r>
    </w:p>
    <w:p w14:paraId="5440395E" w14:textId="77777777" w:rsidR="0003789E" w:rsidRPr="009632AB" w:rsidRDefault="0003789E" w:rsidP="0003789E">
      <w:pPr>
        <w:ind w:left="720" w:hanging="720"/>
        <w:rPr>
          <w:rFonts w:ascii="Arial" w:hAnsi="Arial" w:cs="Arial"/>
          <w:lang w:val="en-GB"/>
        </w:rPr>
      </w:pPr>
      <w:r w:rsidRPr="009632AB">
        <w:rPr>
          <w:rFonts w:ascii="Arial" w:hAnsi="Arial" w:cs="Arial"/>
        </w:rPr>
        <w:t xml:space="preserve">Rousseau, D. M. (1989). Psychological and implied contracts in organizations. </w:t>
      </w:r>
      <w:r w:rsidRPr="009632AB">
        <w:rPr>
          <w:rFonts w:ascii="Arial" w:hAnsi="Arial" w:cs="Arial"/>
          <w:i/>
        </w:rPr>
        <w:t>Employee Responsibilities and Rights Journal, 2</w:t>
      </w:r>
      <w:r w:rsidRPr="009632AB">
        <w:rPr>
          <w:rFonts w:ascii="Arial" w:hAnsi="Arial" w:cs="Arial"/>
        </w:rPr>
        <w:t>, 121–139. https://doi.org/10.1007/BF01384942</w:t>
      </w:r>
    </w:p>
    <w:p w14:paraId="3EE5ABA8" w14:textId="77777777" w:rsidR="0003789E" w:rsidRPr="009632AB" w:rsidRDefault="0003789E" w:rsidP="0003789E">
      <w:pPr>
        <w:ind w:left="720" w:hanging="720"/>
        <w:rPr>
          <w:rFonts w:ascii="Arial" w:hAnsi="Arial" w:cs="Arial"/>
          <w:lang w:val="en-GB"/>
        </w:rPr>
      </w:pPr>
      <w:r w:rsidRPr="009632AB">
        <w:rPr>
          <w:rFonts w:ascii="Arial" w:hAnsi="Arial" w:cs="Arial"/>
        </w:rPr>
        <w:t xml:space="preserve">Saks, A. M., &amp; Belcourt, M. (2006). An investigation of training activities and transfer of training in organizations. </w:t>
      </w:r>
      <w:r w:rsidRPr="009632AB">
        <w:rPr>
          <w:rFonts w:ascii="Arial" w:hAnsi="Arial" w:cs="Arial"/>
          <w:i/>
        </w:rPr>
        <w:t>Human Resource Management, 45</w:t>
      </w:r>
      <w:r w:rsidRPr="009632AB">
        <w:rPr>
          <w:rFonts w:ascii="Arial" w:hAnsi="Arial" w:cs="Arial"/>
        </w:rPr>
        <w:t>(4), 629–648. https://doi.org/10.1002/hrm.20135</w:t>
      </w:r>
    </w:p>
    <w:p w14:paraId="0BF72413" w14:textId="77777777" w:rsidR="0003789E" w:rsidRPr="009632AB" w:rsidRDefault="0003789E" w:rsidP="0003789E">
      <w:pPr>
        <w:ind w:left="720" w:hanging="720"/>
        <w:rPr>
          <w:rFonts w:ascii="Arial" w:hAnsi="Arial" w:cs="Arial"/>
          <w:lang w:val="en-GB"/>
        </w:rPr>
      </w:pPr>
      <w:r w:rsidRPr="009632AB">
        <w:rPr>
          <w:rFonts w:ascii="Arial" w:hAnsi="Arial" w:cs="Arial"/>
        </w:rPr>
        <w:t xml:space="preserve">Salas, E., Tannenbaum, S. I., Kraiger, K., &amp; Smith-Jentsch, K. A. (2012). The science of training and development in organizations: What matters in practice. </w:t>
      </w:r>
      <w:r w:rsidRPr="009632AB">
        <w:rPr>
          <w:rFonts w:ascii="Arial" w:hAnsi="Arial" w:cs="Arial"/>
          <w:i/>
        </w:rPr>
        <w:t>Psychological Science in the Public Interest, 13</w:t>
      </w:r>
      <w:r w:rsidRPr="009632AB">
        <w:rPr>
          <w:rFonts w:ascii="Arial" w:hAnsi="Arial" w:cs="Arial"/>
        </w:rPr>
        <w:t>(2), 74–101. https://doi.org/10.1177/1529100612436661</w:t>
      </w:r>
    </w:p>
    <w:p w14:paraId="232FB0CA" w14:textId="77777777" w:rsidR="0003789E" w:rsidRPr="009632AB" w:rsidRDefault="0003789E" w:rsidP="0003789E">
      <w:pPr>
        <w:ind w:left="720" w:hanging="720"/>
        <w:rPr>
          <w:rFonts w:ascii="Arial" w:hAnsi="Arial" w:cs="Arial"/>
          <w:lang w:val="en-GB"/>
        </w:rPr>
      </w:pPr>
      <w:r w:rsidRPr="009632AB">
        <w:rPr>
          <w:rFonts w:ascii="Arial" w:hAnsi="Arial" w:cs="Arial"/>
        </w:rPr>
        <w:t xml:space="preserve">Schein, E. H. (1996). Career anchors revisited: Implications for career development in the 21st century. </w:t>
      </w:r>
      <w:r w:rsidRPr="009632AB">
        <w:rPr>
          <w:rFonts w:ascii="Arial" w:hAnsi="Arial" w:cs="Arial"/>
          <w:i/>
        </w:rPr>
        <w:t>Academy of Management Executive, 10</w:t>
      </w:r>
      <w:r w:rsidRPr="009632AB">
        <w:rPr>
          <w:rFonts w:ascii="Arial" w:hAnsi="Arial" w:cs="Arial"/>
        </w:rPr>
        <w:t>(4), 80–88. https://doi.org/10.5465/ame.1996.3145321</w:t>
      </w:r>
    </w:p>
    <w:p w14:paraId="779DFE96" w14:textId="77777777" w:rsidR="0003789E" w:rsidRPr="009632AB" w:rsidRDefault="0003789E" w:rsidP="0003789E">
      <w:pPr>
        <w:ind w:left="720" w:hanging="720"/>
        <w:rPr>
          <w:rFonts w:ascii="Arial" w:hAnsi="Arial" w:cs="Arial"/>
          <w:lang w:val="en-GB"/>
        </w:rPr>
      </w:pPr>
      <w:r w:rsidRPr="009632AB">
        <w:rPr>
          <w:rFonts w:ascii="Arial" w:hAnsi="Arial" w:cs="Arial"/>
        </w:rPr>
        <w:lastRenderedPageBreak/>
        <w:t xml:space="preserve">Tuckman, B. W. (1965). Developmental sequence in small groups. </w:t>
      </w:r>
      <w:r w:rsidRPr="009632AB">
        <w:rPr>
          <w:rFonts w:ascii="Arial" w:hAnsi="Arial" w:cs="Arial"/>
          <w:i/>
        </w:rPr>
        <w:t>Psychological Bulletin, 63</w:t>
      </w:r>
      <w:r w:rsidRPr="009632AB">
        <w:rPr>
          <w:rFonts w:ascii="Arial" w:hAnsi="Arial" w:cs="Arial"/>
        </w:rPr>
        <w:t>(6), 384–399. https://doi.org/10.1037/h0022100</w:t>
      </w:r>
    </w:p>
    <w:p w14:paraId="033CAC18" w14:textId="77777777" w:rsidR="0003789E" w:rsidRPr="009632AB" w:rsidRDefault="0003789E" w:rsidP="0003789E">
      <w:pPr>
        <w:ind w:left="720" w:hanging="720"/>
        <w:rPr>
          <w:rFonts w:ascii="Arial" w:hAnsi="Arial" w:cs="Arial"/>
          <w:lang w:val="en-GB"/>
        </w:rPr>
      </w:pPr>
      <w:r w:rsidRPr="009632AB">
        <w:rPr>
          <w:rFonts w:ascii="Arial" w:hAnsi="Arial" w:cs="Arial"/>
        </w:rPr>
        <w:t xml:space="preserve">Vroom, V. H. (1964). </w:t>
      </w:r>
      <w:r w:rsidRPr="009632AB">
        <w:rPr>
          <w:rFonts w:ascii="Arial" w:hAnsi="Arial" w:cs="Arial"/>
          <w:i/>
        </w:rPr>
        <w:t>Work and motivation</w:t>
      </w:r>
      <w:r w:rsidRPr="009632AB">
        <w:rPr>
          <w:rFonts w:ascii="Arial" w:hAnsi="Arial" w:cs="Arial"/>
        </w:rPr>
        <w:t>. Wiley.</w:t>
      </w:r>
    </w:p>
    <w:p w14:paraId="49A2C1E6" w14:textId="77777777" w:rsidR="0003789E" w:rsidRPr="009632AB" w:rsidRDefault="0003789E" w:rsidP="0003789E">
      <w:pPr>
        <w:ind w:left="720" w:hanging="720"/>
        <w:rPr>
          <w:rFonts w:ascii="Arial" w:hAnsi="Arial" w:cs="Arial"/>
          <w:lang w:val="en-GB"/>
        </w:rPr>
      </w:pPr>
      <w:r w:rsidRPr="009632AB">
        <w:rPr>
          <w:rFonts w:ascii="Arial" w:hAnsi="Arial" w:cs="Arial"/>
        </w:rPr>
        <w:t xml:space="preserve">Wenger, E. (1998). </w:t>
      </w:r>
      <w:r w:rsidRPr="009632AB">
        <w:rPr>
          <w:rFonts w:ascii="Arial" w:hAnsi="Arial" w:cs="Arial"/>
          <w:i/>
        </w:rPr>
        <w:t>Communities of practice: Learning, meaning, and identity</w:t>
      </w:r>
      <w:r w:rsidRPr="009632AB">
        <w:rPr>
          <w:rFonts w:ascii="Arial" w:hAnsi="Arial" w:cs="Arial"/>
        </w:rPr>
        <w:t>. Cambridge University Press. https://doi.org/10.1017/CBO9780511803932</w:t>
      </w:r>
    </w:p>
    <w:p w14:paraId="03F582B5" w14:textId="77777777" w:rsidR="0098777A" w:rsidRPr="009632AB" w:rsidRDefault="0098777A" w:rsidP="0003789E">
      <w:pPr>
        <w:ind w:left="720" w:hanging="720"/>
        <w:rPr>
          <w:rFonts w:ascii="Arial" w:hAnsi="Arial" w:cs="Arial"/>
        </w:rPr>
      </w:pPr>
    </w:p>
    <w:sectPr w:rsidR="0098777A" w:rsidRPr="009632AB" w:rsidSect="00034616">
      <w:footerReference w:type="default" r:id="rId1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782B35C" w14:textId="77777777" w:rsidR="004723C3" w:rsidRDefault="004723C3">
      <w:pPr>
        <w:spacing w:line="240" w:lineRule="auto"/>
      </w:pPr>
      <w:r>
        <w:separator/>
      </w:r>
    </w:p>
  </w:endnote>
  <w:endnote w:type="continuationSeparator" w:id="0">
    <w:p w14:paraId="4B989D2F" w14:textId="77777777" w:rsidR="004723C3" w:rsidRDefault="004723C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14094051"/>
      <w:docPartObj>
        <w:docPartGallery w:val="Page Numbers (Bottom of Page)"/>
        <w:docPartUnique/>
      </w:docPartObj>
    </w:sdtPr>
    <w:sdtEndPr>
      <w:rPr>
        <w:noProof/>
      </w:rPr>
    </w:sdtEndPr>
    <w:sdtContent>
      <w:p w14:paraId="6C56F6B0" w14:textId="77777777" w:rsidR="00B5736A" w:rsidRDefault="00B5736A">
        <w:pPr>
          <w:pStyle w:val="Footer"/>
        </w:pPr>
        <w:r>
          <w:fldChar w:fldCharType="begin"/>
        </w:r>
        <w:r>
          <w:instrText xml:space="preserve"> PAGE   \* MERGEFORMAT </w:instrText>
        </w:r>
        <w:r>
          <w:fldChar w:fldCharType="separate"/>
        </w:r>
        <w:r>
          <w:rPr>
            <w:noProof/>
          </w:rPr>
          <w:t>2</w:t>
        </w:r>
        <w:r>
          <w:rPr>
            <w:noProof/>
          </w:rPr>
          <w:fldChar w:fldCharType="end"/>
        </w:r>
      </w:p>
    </w:sdtContent>
  </w:sdt>
  <w:p w14:paraId="5F42BED0" w14:textId="77777777" w:rsidR="0098777A" w:rsidRDefault="0098777A">
    <w:pPr>
      <w:pStyle w:val="Footer"/>
      <w:jc w:val="righ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194971F" w14:textId="77777777" w:rsidR="004723C3" w:rsidRDefault="004723C3">
      <w:pPr>
        <w:spacing w:line="240" w:lineRule="auto"/>
      </w:pPr>
      <w:r>
        <w:separator/>
      </w:r>
    </w:p>
  </w:footnote>
  <w:footnote w:type="continuationSeparator" w:id="0">
    <w:p w14:paraId="52D30FF8" w14:textId="77777777" w:rsidR="004723C3" w:rsidRDefault="004723C3">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abstractNum w:abstractNumId="9" w15:restartNumberingAfterBreak="0">
    <w:nsid w:val="557F35D2"/>
    <w:multiLevelType w:val="hybridMultilevel"/>
    <w:tmpl w:val="D95E942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116711637">
    <w:abstractNumId w:val="8"/>
  </w:num>
  <w:num w:numId="2" w16cid:durableId="438843564">
    <w:abstractNumId w:val="6"/>
  </w:num>
  <w:num w:numId="3" w16cid:durableId="2014529850">
    <w:abstractNumId w:val="5"/>
  </w:num>
  <w:num w:numId="4" w16cid:durableId="1455252069">
    <w:abstractNumId w:val="4"/>
  </w:num>
  <w:num w:numId="5" w16cid:durableId="2017271451">
    <w:abstractNumId w:val="7"/>
  </w:num>
  <w:num w:numId="6" w16cid:durableId="1828398530">
    <w:abstractNumId w:val="3"/>
  </w:num>
  <w:num w:numId="7" w16cid:durableId="2032757255">
    <w:abstractNumId w:val="2"/>
  </w:num>
  <w:num w:numId="8" w16cid:durableId="872966108">
    <w:abstractNumId w:val="1"/>
  </w:num>
  <w:num w:numId="9" w16cid:durableId="58868912">
    <w:abstractNumId w:val="0"/>
  </w:num>
  <w:num w:numId="10" w16cid:durableId="1457289917">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34616"/>
    <w:rsid w:val="0003789E"/>
    <w:rsid w:val="0006063C"/>
    <w:rsid w:val="001501D9"/>
    <w:rsid w:val="0015074B"/>
    <w:rsid w:val="001570B6"/>
    <w:rsid w:val="002126E8"/>
    <w:rsid w:val="0029639D"/>
    <w:rsid w:val="00326F90"/>
    <w:rsid w:val="00364431"/>
    <w:rsid w:val="004034C3"/>
    <w:rsid w:val="004723C3"/>
    <w:rsid w:val="004B5315"/>
    <w:rsid w:val="004C336C"/>
    <w:rsid w:val="00531C00"/>
    <w:rsid w:val="005D642F"/>
    <w:rsid w:val="0062236F"/>
    <w:rsid w:val="00630186"/>
    <w:rsid w:val="007427F7"/>
    <w:rsid w:val="00876648"/>
    <w:rsid w:val="00896E49"/>
    <w:rsid w:val="008E226B"/>
    <w:rsid w:val="009632AB"/>
    <w:rsid w:val="0098777A"/>
    <w:rsid w:val="009A6947"/>
    <w:rsid w:val="00A02A4A"/>
    <w:rsid w:val="00AA1D8D"/>
    <w:rsid w:val="00AB4158"/>
    <w:rsid w:val="00B2084F"/>
    <w:rsid w:val="00B47730"/>
    <w:rsid w:val="00B5736A"/>
    <w:rsid w:val="00BE6B98"/>
    <w:rsid w:val="00C5587C"/>
    <w:rsid w:val="00C57349"/>
    <w:rsid w:val="00CB0664"/>
    <w:rsid w:val="00CC495B"/>
    <w:rsid w:val="00D716DE"/>
    <w:rsid w:val="00DC6173"/>
    <w:rsid w:val="00E201F3"/>
    <w:rsid w:val="00FB2E43"/>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00439B28"/>
  <w14:defaultImageDpi w14:val="300"/>
  <w15:docId w15:val="{67343D28-FA87-4E1D-903A-FD11D3EB96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pPr>
      <w:spacing w:after="0" w:line="480" w:lineRule="auto"/>
    </w:pPr>
    <w:rPr>
      <w:rFonts w:ascii="Times New Roman" w:hAnsi="Times New Roman"/>
      <w:color w:val="232323"/>
      <w:sz w:val="24"/>
    </w:rPr>
  </w:style>
  <w:style w:type="paragraph" w:styleId="Heading1">
    <w:name w:val="heading 1"/>
    <w:basedOn w:val="Normal"/>
    <w:next w:val="Normal"/>
    <w:link w:val="Heading1Char"/>
    <w:uiPriority w:val="9"/>
    <w:qFormat/>
    <w:rsid w:val="00FC693F"/>
    <w:pPr>
      <w:keepNext/>
      <w:keepLines/>
      <w:spacing w:before="240" w:after="100" w:line="360" w:lineRule="auto"/>
      <w:outlineLvl w:val="0"/>
    </w:pPr>
    <w:rPr>
      <w:rFonts w:asciiTheme="majorHAnsi" w:eastAsiaTheme="majorEastAsia" w:hAnsiTheme="majorHAnsi" w:cstheme="majorBidi"/>
      <w:b/>
      <w:bCs/>
      <w:color w:val="191919"/>
      <w:sz w:val="26"/>
      <w:szCs w:val="28"/>
    </w:rPr>
  </w:style>
  <w:style w:type="paragraph" w:styleId="Heading2">
    <w:name w:val="heading 2"/>
    <w:basedOn w:val="Normal"/>
    <w:next w:val="Normal"/>
    <w:link w:val="Heading2Char"/>
    <w:uiPriority w:val="9"/>
    <w:unhideWhenUsed/>
    <w:qFormat/>
    <w:rsid w:val="00FC693F"/>
    <w:pPr>
      <w:keepNext/>
      <w:keepLines/>
      <w:spacing w:before="240" w:after="100" w:line="360" w:lineRule="auto"/>
      <w:outlineLvl w:val="1"/>
    </w:pPr>
    <w:rPr>
      <w:rFonts w:asciiTheme="majorHAnsi" w:eastAsiaTheme="majorEastAsia" w:hAnsiTheme="majorHAnsi" w:cstheme="majorBidi"/>
      <w:b/>
      <w:bCs/>
      <w:color w:val="191919"/>
      <w:szCs w:val="26"/>
    </w:rPr>
  </w:style>
  <w:style w:type="paragraph" w:styleId="Heading3">
    <w:name w:val="heading 3"/>
    <w:basedOn w:val="Normal"/>
    <w:next w:val="Normal"/>
    <w:link w:val="Heading3Char"/>
    <w:uiPriority w:val="9"/>
    <w:unhideWhenUsed/>
    <w:qFormat/>
    <w:rsid w:val="00FC693F"/>
    <w:pPr>
      <w:keepNext/>
      <w:keepLines/>
      <w:spacing w:before="240" w:after="100" w:line="360" w:lineRule="auto"/>
      <w:outlineLvl w:val="2"/>
    </w:pPr>
    <w:rPr>
      <w:rFonts w:asciiTheme="majorHAnsi" w:eastAsiaTheme="majorEastAsia" w:hAnsiTheme="majorHAnsi" w:cstheme="majorBidi"/>
      <w:b/>
      <w:bCs/>
      <w:color w:val="191919"/>
    </w:rPr>
  </w:style>
  <w:style w:type="paragraph" w:styleId="Heading4">
    <w:name w:val="heading 4"/>
    <w:basedOn w:val="Normal"/>
    <w:next w:val="Normal"/>
    <w:link w:val="Heading4Char"/>
    <w:uiPriority w:val="9"/>
    <w:semiHidden/>
    <w:unhideWhenUsed/>
    <w:qFormat/>
    <w:rsid w:val="00FC693F"/>
    <w:pPr>
      <w:keepNext/>
      <w:keepLines/>
      <w:spacing w:before="20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keepNext/>
      <w:pBdr>
        <w:bottom w:val="single" w:sz="8" w:space="4" w:color="4F81BD" w:themeColor="accent1"/>
      </w:pBdr>
      <w:spacing w:before="240" w:after="100" w:line="360" w:lineRule="auto"/>
      <w:contextualSpacing/>
    </w:pPr>
    <w:rPr>
      <w:rFonts w:asciiTheme="majorHAnsi" w:eastAsiaTheme="majorEastAsia" w:hAnsiTheme="majorHAnsi" w:cstheme="majorBidi"/>
      <w:b/>
      <w:color w:val="191919"/>
      <w:spacing w:val="5"/>
      <w:kern w:val="28"/>
      <w:sz w:val="3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styleId="TOC1">
    <w:name w:val="toc 1"/>
    <w:basedOn w:val="Normal"/>
    <w:next w:val="Normal"/>
    <w:autoRedefine/>
    <w:uiPriority w:val="39"/>
    <w:unhideWhenUsed/>
    <w:rsid w:val="00364431"/>
    <w:pPr>
      <w:spacing w:after="100"/>
    </w:pPr>
  </w:style>
  <w:style w:type="paragraph" w:styleId="TOC2">
    <w:name w:val="toc 2"/>
    <w:basedOn w:val="Normal"/>
    <w:next w:val="Normal"/>
    <w:autoRedefine/>
    <w:uiPriority w:val="39"/>
    <w:unhideWhenUsed/>
    <w:rsid w:val="00364431"/>
    <w:pPr>
      <w:spacing w:after="100"/>
      <w:ind w:left="240"/>
    </w:pPr>
  </w:style>
  <w:style w:type="character" w:styleId="Hyperlink">
    <w:name w:val="Hyperlink"/>
    <w:basedOn w:val="DefaultParagraphFont"/>
    <w:uiPriority w:val="99"/>
    <w:unhideWhenUsed/>
    <w:rsid w:val="00364431"/>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chart" Target="charts/chart2.xml"/><Relationship Id="rId4" Type="http://schemas.openxmlformats.org/officeDocument/2006/relationships/settings" Target="settings.xml"/><Relationship Id="rId9" Type="http://schemas.openxmlformats.org/officeDocument/2006/relationships/chart" Target="charts/chart1.xml"/></Relationships>
</file>

<file path=word/charts/_rels/chart1.xml.rels><?xml version="1.0" encoding="UTF-8" standalone="yes"?>
<Relationships xmlns="http://schemas.openxmlformats.org/package/2006/relationships"><Relationship Id="rId1" Type="http://schemas.openxmlformats.org/officeDocument/2006/relationships/oleObject" Target="file:///C:\Users\fores\Downloads\Foresite_12_Week_Performance_Charts.xlsx" TargetMode="External"/></Relationships>
</file>

<file path=word/charts/_rels/chart2.xml.rels><?xml version="1.0" encoding="UTF-8" standalone="yes"?>
<Relationships xmlns="http://schemas.openxmlformats.org/package/2006/relationships"><Relationship Id="rId1" Type="http://schemas.openxmlformats.org/officeDocument/2006/relationships/oleObject" Target="file:///C:\Users\fores\Downloads\Foresite_12_Week_Performance_Charts.xlsx" TargetMode="Externa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r>
              <a:rPr lang="en-GB"/>
              <a:t>Illustrative employee development | 12 weeks</a:t>
            </a:r>
          </a:p>
        </c:rich>
      </c:tx>
      <c:overlay val="1"/>
    </c:title>
    <c:autoTitleDeleted val="0"/>
    <c:plotArea>
      <c:layout/>
      <c:lineChart>
        <c:grouping val="standard"/>
        <c:varyColors val="1"/>
        <c:ser>
          <c:idx val="0"/>
          <c:order val="0"/>
          <c:tx>
            <c:v>Booking accuracy</c:v>
          </c:tx>
          <c:marker>
            <c:symbol val="none"/>
          </c:marker>
          <c:cat>
            <c:strRef>
              <c:f>'12-Week Progress'!$H$5:$H$8</c:f>
              <c:strCache>
                <c:ptCount val="4"/>
                <c:pt idx="0">
                  <c:v>Baseline</c:v>
                </c:pt>
                <c:pt idx="1">
                  <c:v>Week 4</c:v>
                </c:pt>
                <c:pt idx="2">
                  <c:v>Week 8</c:v>
                </c:pt>
                <c:pt idx="3">
                  <c:v>Week 12</c:v>
                </c:pt>
              </c:strCache>
            </c:strRef>
          </c:cat>
          <c:val>
            <c:numRef>
              <c:f>'12-Week Progress'!$I$5:$I$8</c:f>
              <c:numCache>
                <c:formatCode>0%</c:formatCode>
                <c:ptCount val="4"/>
                <c:pt idx="0">
                  <c:v>0.68</c:v>
                </c:pt>
                <c:pt idx="1">
                  <c:v>0.78</c:v>
                </c:pt>
                <c:pt idx="2">
                  <c:v>0.88</c:v>
                </c:pt>
                <c:pt idx="3">
                  <c:v>0.96</c:v>
                </c:pt>
              </c:numCache>
            </c:numRef>
          </c:val>
          <c:smooth val="1"/>
          <c:extLst>
            <c:ext xmlns:c16="http://schemas.microsoft.com/office/drawing/2014/chart" uri="{C3380CC4-5D6E-409C-BE32-E72D297353CC}">
              <c16:uniqueId val="{00000000-E862-4091-ABF3-6E47A83CC74B}"/>
            </c:ext>
          </c:extLst>
        </c:ser>
        <c:ser>
          <c:idx val="1"/>
          <c:order val="1"/>
          <c:tx>
            <c:v>Communication</c:v>
          </c:tx>
          <c:marker>
            <c:symbol val="none"/>
          </c:marker>
          <c:cat>
            <c:strRef>
              <c:f>'12-Week Progress'!$H$5:$H$8</c:f>
              <c:strCache>
                <c:ptCount val="4"/>
                <c:pt idx="0">
                  <c:v>Baseline</c:v>
                </c:pt>
                <c:pt idx="1">
                  <c:v>Week 4</c:v>
                </c:pt>
                <c:pt idx="2">
                  <c:v>Week 8</c:v>
                </c:pt>
                <c:pt idx="3">
                  <c:v>Week 12</c:v>
                </c:pt>
              </c:strCache>
            </c:strRef>
          </c:cat>
          <c:val>
            <c:numRef>
              <c:f>'12-Week Progress'!$J$5:$J$8</c:f>
              <c:numCache>
                <c:formatCode>0%</c:formatCode>
                <c:ptCount val="4"/>
                <c:pt idx="0">
                  <c:v>0.55000000000000004</c:v>
                </c:pt>
                <c:pt idx="1">
                  <c:v>0.65</c:v>
                </c:pt>
                <c:pt idx="2">
                  <c:v>0.75</c:v>
                </c:pt>
                <c:pt idx="3">
                  <c:v>0.85</c:v>
                </c:pt>
              </c:numCache>
            </c:numRef>
          </c:val>
          <c:smooth val="1"/>
          <c:extLst>
            <c:ext xmlns:c16="http://schemas.microsoft.com/office/drawing/2014/chart" uri="{C3380CC4-5D6E-409C-BE32-E72D297353CC}">
              <c16:uniqueId val="{00000001-E862-4091-ABF3-6E47A83CC74B}"/>
            </c:ext>
          </c:extLst>
        </c:ser>
        <c:ser>
          <c:idx val="2"/>
          <c:order val="2"/>
          <c:tx>
            <c:v>Handovers</c:v>
          </c:tx>
          <c:marker>
            <c:symbol val="none"/>
          </c:marker>
          <c:cat>
            <c:strRef>
              <c:f>'12-Week Progress'!$H$5:$H$8</c:f>
              <c:strCache>
                <c:ptCount val="4"/>
                <c:pt idx="0">
                  <c:v>Baseline</c:v>
                </c:pt>
                <c:pt idx="1">
                  <c:v>Week 4</c:v>
                </c:pt>
                <c:pt idx="2">
                  <c:v>Week 8</c:v>
                </c:pt>
                <c:pt idx="3">
                  <c:v>Week 12</c:v>
                </c:pt>
              </c:strCache>
            </c:strRef>
          </c:cat>
          <c:val>
            <c:numRef>
              <c:f>'12-Week Progress'!$K$5:$K$8</c:f>
              <c:numCache>
                <c:formatCode>0%</c:formatCode>
                <c:ptCount val="4"/>
                <c:pt idx="0">
                  <c:v>0.7</c:v>
                </c:pt>
                <c:pt idx="1">
                  <c:v>0.82</c:v>
                </c:pt>
                <c:pt idx="2">
                  <c:v>0.9</c:v>
                </c:pt>
                <c:pt idx="3">
                  <c:v>0.97</c:v>
                </c:pt>
              </c:numCache>
            </c:numRef>
          </c:val>
          <c:smooth val="1"/>
          <c:extLst>
            <c:ext xmlns:c16="http://schemas.microsoft.com/office/drawing/2014/chart" uri="{C3380CC4-5D6E-409C-BE32-E72D297353CC}">
              <c16:uniqueId val="{00000002-E862-4091-ABF3-6E47A83CC74B}"/>
            </c:ext>
          </c:extLst>
        </c:ser>
        <c:dLbls>
          <c:showLegendKey val="0"/>
          <c:showVal val="0"/>
          <c:showCatName val="0"/>
          <c:showSerName val="0"/>
          <c:showPercent val="0"/>
          <c:showBubbleSize val="0"/>
        </c:dLbls>
        <c:smooth val="0"/>
        <c:axId val="48650112"/>
        <c:axId val="48672768"/>
      </c:lineChart>
      <c:catAx>
        <c:axId val="48650112"/>
        <c:scaling>
          <c:orientation val="minMax"/>
        </c:scaling>
        <c:delete val="0"/>
        <c:axPos val="b"/>
        <c:majorGridlines>
          <c:spPr>
            <a:ln w="9525">
              <a:solidFill>
                <a:srgbClr val="CCCCCC"/>
              </a:solidFill>
              <a:prstDash val="dash"/>
            </a:ln>
          </c:spPr>
        </c:majorGridlines>
        <c:numFmt formatCode="General" sourceLinked="1"/>
        <c:majorTickMark val="none"/>
        <c:minorTickMark val="none"/>
        <c:tickLblPos val="nextTo"/>
        <c:crossAx val="48672768"/>
        <c:crosses val="autoZero"/>
        <c:auto val="1"/>
        <c:lblAlgn val="ctr"/>
        <c:lblOffset val="100"/>
        <c:noMultiLvlLbl val="0"/>
      </c:catAx>
      <c:valAx>
        <c:axId val="48672768"/>
        <c:scaling>
          <c:orientation val="minMax"/>
        </c:scaling>
        <c:delete val="0"/>
        <c:axPos val="l"/>
        <c:majorGridlines>
          <c:spPr>
            <a:ln w="9525">
              <a:solidFill>
                <a:srgbClr val="CCCCCC"/>
              </a:solidFill>
              <a:prstDash val="dash"/>
            </a:ln>
          </c:spPr>
        </c:majorGridlines>
        <c:numFmt formatCode="0%" sourceLinked="1"/>
        <c:majorTickMark val="none"/>
        <c:minorTickMark val="none"/>
        <c:tickLblPos val="nextTo"/>
        <c:crossAx val="48650112"/>
        <c:crosses val="autoZero"/>
        <c:crossBetween val="between"/>
      </c:valAx>
    </c:plotArea>
    <c:legend>
      <c:legendPos val="b"/>
      <c:overlay val="0"/>
    </c:legend>
    <c:plotVisOnly val="1"/>
    <c:dispBlanksAs val="zero"/>
    <c:showDLblsOverMax val="1"/>
  </c:chart>
  <c:spPr>
    <a:ln w="9525">
      <a:solidFill>
        <a:srgbClr val="D9D9D9"/>
      </a:solidFill>
      <a:prstDash val="solid"/>
    </a:ln>
  </c:spPr>
  <c:externalData r:id="rId1">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r>
              <a:rPr lang="en-GB"/>
              <a:t>Week 12 vs agreed targets (illustrative)</a:t>
            </a:r>
          </a:p>
        </c:rich>
      </c:tx>
      <c:overlay val="1"/>
    </c:title>
    <c:autoTitleDeleted val="0"/>
    <c:plotArea>
      <c:layout/>
      <c:barChart>
        <c:barDir val="col"/>
        <c:grouping val="clustered"/>
        <c:varyColors val="0"/>
        <c:ser>
          <c:idx val="0"/>
          <c:order val="0"/>
          <c:tx>
            <c:v>Week 12</c:v>
          </c:tx>
          <c:invertIfNegative val="1"/>
          <c:cat>
            <c:strRef>
              <c:f>'12-Week Progress'!$H$31:$H$33</c:f>
              <c:strCache>
                <c:ptCount val="3"/>
                <c:pt idx="0">
                  <c:v>Booking accuracy</c:v>
                </c:pt>
                <c:pt idx="1">
                  <c:v>Communication</c:v>
                </c:pt>
                <c:pt idx="2">
                  <c:v>Handovers</c:v>
                </c:pt>
              </c:strCache>
            </c:strRef>
          </c:cat>
          <c:val>
            <c:numRef>
              <c:f>'12-Week Progress'!$I$31:$I$33</c:f>
              <c:numCache>
                <c:formatCode>0%</c:formatCode>
                <c:ptCount val="3"/>
                <c:pt idx="0">
                  <c:v>0.96</c:v>
                </c:pt>
                <c:pt idx="1">
                  <c:v>0.85</c:v>
                </c:pt>
                <c:pt idx="2">
                  <c:v>0.97</c:v>
                </c:pt>
              </c:numCache>
            </c:numRef>
          </c:val>
          <c:extLst>
            <c:ext xmlns:c16="http://schemas.microsoft.com/office/drawing/2014/chart" uri="{C3380CC4-5D6E-409C-BE32-E72D297353CC}">
              <c16:uniqueId val="{00000000-7B77-4E11-81F6-193413FB1037}"/>
            </c:ext>
          </c:extLst>
        </c:ser>
        <c:ser>
          <c:idx val="1"/>
          <c:order val="1"/>
          <c:tx>
            <c:v>Target</c:v>
          </c:tx>
          <c:invertIfNegative val="1"/>
          <c:cat>
            <c:strRef>
              <c:f>'12-Week Progress'!$H$31:$H$33</c:f>
              <c:strCache>
                <c:ptCount val="3"/>
                <c:pt idx="0">
                  <c:v>Booking accuracy</c:v>
                </c:pt>
                <c:pt idx="1">
                  <c:v>Communication</c:v>
                </c:pt>
                <c:pt idx="2">
                  <c:v>Handovers</c:v>
                </c:pt>
              </c:strCache>
            </c:strRef>
          </c:cat>
          <c:val>
            <c:numRef>
              <c:f>'12-Week Progress'!$J$31:$J$33</c:f>
              <c:numCache>
                <c:formatCode>0%</c:formatCode>
                <c:ptCount val="3"/>
                <c:pt idx="0">
                  <c:v>0.95</c:v>
                </c:pt>
                <c:pt idx="1">
                  <c:v>0.8</c:v>
                </c:pt>
                <c:pt idx="2">
                  <c:v>0.95</c:v>
                </c:pt>
              </c:numCache>
            </c:numRef>
          </c:val>
          <c:extLst>
            <c:ext xmlns:c16="http://schemas.microsoft.com/office/drawing/2014/chart" uri="{C3380CC4-5D6E-409C-BE32-E72D297353CC}">
              <c16:uniqueId val="{00000001-7B77-4E11-81F6-193413FB1037}"/>
            </c:ext>
          </c:extLst>
        </c:ser>
        <c:dLbls>
          <c:showLegendKey val="0"/>
          <c:showVal val="0"/>
          <c:showCatName val="0"/>
          <c:showSerName val="0"/>
          <c:showPercent val="0"/>
          <c:showBubbleSize val="0"/>
        </c:dLbls>
        <c:gapWidth val="150"/>
        <c:axId val="48650112"/>
        <c:axId val="48672768"/>
      </c:barChart>
      <c:catAx>
        <c:axId val="48650112"/>
        <c:scaling>
          <c:orientation val="minMax"/>
        </c:scaling>
        <c:delete val="0"/>
        <c:axPos val="b"/>
        <c:majorGridlines>
          <c:spPr>
            <a:ln w="9525">
              <a:solidFill>
                <a:srgbClr val="CCCCCC"/>
              </a:solidFill>
              <a:prstDash val="dash"/>
            </a:ln>
          </c:spPr>
        </c:majorGridlines>
        <c:numFmt formatCode="General" sourceLinked="1"/>
        <c:majorTickMark val="none"/>
        <c:minorTickMark val="none"/>
        <c:tickLblPos val="nextTo"/>
        <c:crossAx val="48672768"/>
        <c:crosses val="autoZero"/>
        <c:auto val="1"/>
        <c:lblAlgn val="ctr"/>
        <c:lblOffset val="100"/>
        <c:noMultiLvlLbl val="0"/>
      </c:catAx>
      <c:valAx>
        <c:axId val="48672768"/>
        <c:scaling>
          <c:orientation val="minMax"/>
        </c:scaling>
        <c:delete val="0"/>
        <c:axPos val="l"/>
        <c:majorGridlines>
          <c:spPr>
            <a:ln w="9525">
              <a:solidFill>
                <a:srgbClr val="CCCCCC"/>
              </a:solidFill>
              <a:prstDash val="dash"/>
            </a:ln>
          </c:spPr>
        </c:majorGridlines>
        <c:numFmt formatCode="0%" sourceLinked="1"/>
        <c:majorTickMark val="none"/>
        <c:minorTickMark val="none"/>
        <c:tickLblPos val="nextTo"/>
        <c:crossAx val="48650112"/>
        <c:crosses val="autoZero"/>
        <c:crossBetween val="between"/>
      </c:valAx>
    </c:plotArea>
    <c:legend>
      <c:legendPos val="b"/>
      <c:overlay val="0"/>
    </c:legend>
    <c:plotVisOnly val="1"/>
    <c:dispBlanksAs val="zero"/>
    <c:showDLblsOverMax val="1"/>
  </c:chart>
  <c:spPr>
    <a:ln w="9525">
      <a:solidFill>
        <a:srgbClr val="D9D9D9"/>
      </a:solidFill>
      <a:prstDash val="solid"/>
    </a:ln>
  </c:spPr>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32</Pages>
  <Words>7190</Words>
  <Characters>40988</Characters>
  <Application>Microsoft Office Word</Application>
  <DocSecurity>0</DocSecurity>
  <Lines>341</Lines>
  <Paragraphs>96</Paragraphs>
  <ScaleCrop>false</ScaleCrop>
  <HeadingPairs>
    <vt:vector size="2" baseType="variant">
      <vt:variant>
        <vt:lpstr>Title</vt:lpstr>
      </vt:variant>
      <vt:variant>
        <vt:i4>1</vt:i4>
      </vt:variant>
    </vt:vector>
  </HeadingPairs>
  <TitlesOfParts>
    <vt:vector size="1" baseType="lpstr">
      <vt:lpstr>Developing Workplace Relationships and Performance Management at Foresite Recruitment</vt:lpstr>
    </vt:vector>
  </TitlesOfParts>
  <Manager/>
  <Company/>
  <LinksUpToDate>false</LinksUpToDate>
  <CharactersWithSpaces>48082</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Developing Workplace Relationships and Performance Management at Foresite Recruitment</dc:title>
  <dc:subject>ILM Level 4 report; APA 7</dc:subject>
  <dc:creator>Carla O'Keefe</dc:creator>
  <cp:keywords/>
  <dc:description>generated by python-docx</dc:description>
  <cp:lastModifiedBy>Carla O'Keefe</cp:lastModifiedBy>
  <cp:revision>2</cp:revision>
  <dcterms:created xsi:type="dcterms:W3CDTF">2026-10-04T14:21:00Z</dcterms:created>
  <dcterms:modified xsi:type="dcterms:W3CDTF">2026-10-04T14:21:00Z</dcterms:modified>
  <cp:category/>
</cp:coreProperties>
</file>