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14B82" w14:textId="77777777" w:rsidR="00337331" w:rsidRDefault="00337331" w:rsidP="00337331">
      <w:pPr>
        <w:jc w:val="center"/>
      </w:pPr>
    </w:p>
    <w:p w14:paraId="237656BA" w14:textId="77777777" w:rsidR="00337331" w:rsidRDefault="00337331" w:rsidP="00337331">
      <w:pPr>
        <w:jc w:val="center"/>
      </w:pPr>
    </w:p>
    <w:p w14:paraId="6255595E" w14:textId="77777777" w:rsidR="00337331" w:rsidRDefault="00337331" w:rsidP="00337331">
      <w:pPr>
        <w:jc w:val="center"/>
      </w:pPr>
    </w:p>
    <w:p w14:paraId="166BFEB3" w14:textId="77777777" w:rsidR="00337331" w:rsidRDefault="00337331" w:rsidP="00337331">
      <w:pPr>
        <w:jc w:val="center"/>
      </w:pPr>
    </w:p>
    <w:p w14:paraId="2FE3A930" w14:textId="77777777" w:rsidR="00337331" w:rsidRDefault="00337331" w:rsidP="00337331">
      <w:pPr>
        <w:jc w:val="center"/>
      </w:pPr>
    </w:p>
    <w:p w14:paraId="2F2469DD" w14:textId="77777777" w:rsidR="00337331" w:rsidRDefault="00337331" w:rsidP="00337331">
      <w:pPr>
        <w:jc w:val="center"/>
      </w:pPr>
    </w:p>
    <w:p w14:paraId="079F3E19" w14:textId="77777777" w:rsidR="00337331" w:rsidRDefault="00337331" w:rsidP="00337331">
      <w:pPr>
        <w:jc w:val="center"/>
      </w:pPr>
    </w:p>
    <w:p w14:paraId="2E6B27EB" w14:textId="77777777" w:rsidR="00337331" w:rsidRDefault="00337331" w:rsidP="00337331">
      <w:pPr>
        <w:jc w:val="center"/>
      </w:pPr>
    </w:p>
    <w:p w14:paraId="42406BD9" w14:textId="77777777" w:rsidR="00337331" w:rsidRDefault="00337331" w:rsidP="00337331">
      <w:pPr>
        <w:jc w:val="center"/>
      </w:pPr>
    </w:p>
    <w:p w14:paraId="1EF2239E" w14:textId="77777777" w:rsidR="00337331" w:rsidRDefault="00337331" w:rsidP="00337331">
      <w:pPr>
        <w:jc w:val="center"/>
      </w:pPr>
    </w:p>
    <w:p w14:paraId="0AC4DC1C" w14:textId="77777777" w:rsidR="00337331" w:rsidRDefault="00337331" w:rsidP="00337331">
      <w:pPr>
        <w:jc w:val="center"/>
      </w:pPr>
    </w:p>
    <w:p w14:paraId="636E6604" w14:textId="77777777" w:rsidR="00337331" w:rsidRDefault="00337331" w:rsidP="00337331">
      <w:pPr>
        <w:jc w:val="center"/>
      </w:pPr>
    </w:p>
    <w:p w14:paraId="1C817AFB" w14:textId="77777777" w:rsidR="00337331" w:rsidRDefault="00337331" w:rsidP="00337331">
      <w:pPr>
        <w:jc w:val="center"/>
      </w:pPr>
    </w:p>
    <w:p w14:paraId="728C64A0" w14:textId="77777777" w:rsidR="00337331" w:rsidRDefault="00337331" w:rsidP="00337331">
      <w:pPr>
        <w:jc w:val="center"/>
      </w:pPr>
    </w:p>
    <w:p w14:paraId="6AC8260B" w14:textId="2E579F70" w:rsidR="00C726A5" w:rsidRPr="00337331" w:rsidRDefault="00337331" w:rsidP="00337331">
      <w:pPr>
        <w:jc w:val="center"/>
        <w:rPr>
          <w:sz w:val="48"/>
          <w:szCs w:val="48"/>
        </w:rPr>
      </w:pPr>
      <w:r w:rsidRPr="00337331">
        <w:rPr>
          <w:sz w:val="48"/>
          <w:szCs w:val="48"/>
        </w:rPr>
        <w:t>Jack Hussey</w:t>
      </w:r>
    </w:p>
    <w:p w14:paraId="2879C8D6" w14:textId="614339C7" w:rsidR="00337331" w:rsidRPr="00337331" w:rsidRDefault="00337331" w:rsidP="00337331">
      <w:pPr>
        <w:jc w:val="center"/>
        <w:rPr>
          <w:sz w:val="48"/>
          <w:szCs w:val="48"/>
        </w:rPr>
      </w:pPr>
      <w:r w:rsidRPr="00337331">
        <w:rPr>
          <w:sz w:val="48"/>
          <w:szCs w:val="48"/>
        </w:rPr>
        <w:t>1900103</w:t>
      </w:r>
    </w:p>
    <w:p w14:paraId="6B0C7D4D" w14:textId="46C02418" w:rsidR="00337331" w:rsidRPr="00337331" w:rsidRDefault="00337331" w:rsidP="00337331">
      <w:pPr>
        <w:jc w:val="center"/>
        <w:rPr>
          <w:rFonts w:ascii="Calibri" w:hAnsi="Calibri" w:cs="Calibri"/>
          <w:sz w:val="48"/>
          <w:szCs w:val="48"/>
        </w:rPr>
      </w:pPr>
      <w:r w:rsidRPr="00337331">
        <w:rPr>
          <w:rFonts w:ascii="Calibri" w:hAnsi="Calibri" w:cs="Calibri"/>
          <w:sz w:val="48"/>
          <w:szCs w:val="48"/>
        </w:rPr>
        <w:t>ECAD4009</w:t>
      </w:r>
    </w:p>
    <w:p w14:paraId="25BF9EE1" w14:textId="7B2D90C8" w:rsidR="00337331" w:rsidRDefault="00337331" w:rsidP="00337331">
      <w:pPr>
        <w:spacing w:before="120" w:after="120"/>
        <w:jc w:val="center"/>
        <w:rPr>
          <w:rFonts w:ascii="Arial" w:hAnsi="Arial" w:cs="Arial"/>
          <w:bCs/>
          <w:sz w:val="48"/>
          <w:szCs w:val="48"/>
        </w:rPr>
      </w:pPr>
      <w:r w:rsidRPr="00337331">
        <w:rPr>
          <w:rFonts w:ascii="Arial" w:hAnsi="Arial" w:cs="Arial"/>
          <w:bCs/>
          <w:sz w:val="48"/>
          <w:szCs w:val="48"/>
        </w:rPr>
        <w:t>Part B – Written assignment</w:t>
      </w:r>
    </w:p>
    <w:p w14:paraId="1E184F4E" w14:textId="25A7268C" w:rsidR="000F46E1" w:rsidRDefault="000F46E1" w:rsidP="00337331">
      <w:pPr>
        <w:spacing w:before="120" w:after="120"/>
        <w:jc w:val="center"/>
        <w:rPr>
          <w:rFonts w:ascii="Arial" w:hAnsi="Arial" w:cs="Arial"/>
          <w:bCs/>
          <w:sz w:val="48"/>
          <w:szCs w:val="48"/>
        </w:rPr>
      </w:pPr>
    </w:p>
    <w:p w14:paraId="187EA014" w14:textId="4CCFE33A" w:rsidR="000F46E1" w:rsidRDefault="000F46E1" w:rsidP="00337331">
      <w:pPr>
        <w:spacing w:before="120" w:after="120"/>
        <w:jc w:val="center"/>
        <w:rPr>
          <w:rFonts w:ascii="Arial" w:hAnsi="Arial" w:cs="Arial"/>
          <w:bCs/>
          <w:sz w:val="48"/>
          <w:szCs w:val="48"/>
        </w:rPr>
      </w:pPr>
    </w:p>
    <w:p w14:paraId="5E4CF83E" w14:textId="49DC4A00" w:rsidR="000F46E1" w:rsidRDefault="000F46E1" w:rsidP="00337331">
      <w:pPr>
        <w:spacing w:before="120" w:after="120"/>
        <w:jc w:val="center"/>
        <w:rPr>
          <w:rFonts w:ascii="Arial" w:hAnsi="Arial" w:cs="Arial"/>
          <w:bCs/>
          <w:sz w:val="48"/>
          <w:szCs w:val="48"/>
        </w:rPr>
      </w:pPr>
    </w:p>
    <w:p w14:paraId="230FB5EC" w14:textId="77777777" w:rsidR="000F46E1" w:rsidRDefault="000F46E1" w:rsidP="00337331">
      <w:pPr>
        <w:spacing w:before="120" w:after="120"/>
        <w:jc w:val="center"/>
        <w:rPr>
          <w:rFonts w:ascii="Arial" w:hAnsi="Arial" w:cs="Arial"/>
          <w:bCs/>
          <w:sz w:val="48"/>
          <w:szCs w:val="48"/>
        </w:rPr>
      </w:pPr>
    </w:p>
    <w:p w14:paraId="2470F855" w14:textId="1CF3AC8C" w:rsidR="00337331" w:rsidRDefault="00337331" w:rsidP="00337331">
      <w:pPr>
        <w:spacing w:before="120" w:after="120"/>
        <w:jc w:val="center"/>
        <w:rPr>
          <w:rFonts w:ascii="Arial" w:hAnsi="Arial" w:cs="Arial"/>
          <w:bCs/>
          <w:sz w:val="48"/>
          <w:szCs w:val="48"/>
        </w:rPr>
      </w:pPr>
    </w:p>
    <w:p w14:paraId="4B2F3E44" w14:textId="6E749483" w:rsidR="00337331" w:rsidRDefault="00337331" w:rsidP="00337331">
      <w:pPr>
        <w:spacing w:before="120" w:after="120"/>
        <w:jc w:val="center"/>
        <w:rPr>
          <w:rFonts w:ascii="Arial" w:hAnsi="Arial" w:cs="Arial"/>
          <w:bCs/>
          <w:sz w:val="48"/>
          <w:szCs w:val="48"/>
        </w:rPr>
      </w:pPr>
    </w:p>
    <w:p w14:paraId="09724F51" w14:textId="0159954B" w:rsidR="00337331" w:rsidRDefault="00337331" w:rsidP="00337331">
      <w:pPr>
        <w:spacing w:before="120" w:after="120"/>
        <w:jc w:val="center"/>
        <w:rPr>
          <w:rFonts w:ascii="Arial" w:hAnsi="Arial" w:cs="Arial"/>
          <w:bCs/>
          <w:sz w:val="48"/>
          <w:szCs w:val="48"/>
        </w:rPr>
      </w:pPr>
    </w:p>
    <w:p w14:paraId="64C120EE" w14:textId="60193DA0" w:rsidR="00337331" w:rsidRDefault="00337331" w:rsidP="00337331">
      <w:pPr>
        <w:spacing w:before="120" w:after="120"/>
        <w:jc w:val="center"/>
        <w:rPr>
          <w:rFonts w:ascii="Arial" w:hAnsi="Arial" w:cs="Arial"/>
          <w:bCs/>
          <w:sz w:val="48"/>
          <w:szCs w:val="48"/>
        </w:rPr>
      </w:pPr>
    </w:p>
    <w:p w14:paraId="435E0F66" w14:textId="0A818197" w:rsidR="00337331" w:rsidRDefault="00337331" w:rsidP="00337331">
      <w:pPr>
        <w:spacing w:before="120" w:after="120"/>
        <w:jc w:val="center"/>
        <w:rPr>
          <w:rFonts w:ascii="Arial" w:hAnsi="Arial" w:cs="Arial"/>
          <w:bCs/>
          <w:sz w:val="48"/>
          <w:szCs w:val="48"/>
        </w:rPr>
      </w:pPr>
    </w:p>
    <w:p w14:paraId="255546EA" w14:textId="538E364E" w:rsidR="00337331" w:rsidRDefault="00337331" w:rsidP="00337331">
      <w:pPr>
        <w:spacing w:before="120" w:after="120"/>
        <w:jc w:val="center"/>
        <w:rPr>
          <w:rFonts w:ascii="Arial" w:hAnsi="Arial" w:cs="Arial"/>
          <w:bCs/>
          <w:sz w:val="48"/>
          <w:szCs w:val="48"/>
        </w:rPr>
      </w:pPr>
    </w:p>
    <w:p w14:paraId="5C666078" w14:textId="77777777" w:rsidR="007F6840" w:rsidRPr="00173079" w:rsidRDefault="007F6840" w:rsidP="00337331">
      <w:pPr>
        <w:spacing w:before="120" w:after="120"/>
        <w:rPr>
          <w:rFonts w:ascii="Arial" w:hAnsi="Arial" w:cs="Arial"/>
          <w:b/>
          <w:sz w:val="48"/>
          <w:szCs w:val="48"/>
          <w:u w:val="single"/>
        </w:rPr>
      </w:pPr>
    </w:p>
    <w:p w14:paraId="0B0B3374" w14:textId="3CA9E296" w:rsidR="00337331" w:rsidRPr="00173079" w:rsidRDefault="00337331" w:rsidP="00337331">
      <w:pPr>
        <w:spacing w:before="120" w:after="120"/>
        <w:rPr>
          <w:rFonts w:ascii="Arial" w:hAnsi="Arial" w:cs="Arial"/>
          <w:b/>
          <w:sz w:val="22"/>
          <w:szCs w:val="22"/>
          <w:u w:val="single"/>
        </w:rPr>
      </w:pPr>
      <w:r w:rsidRPr="00173079">
        <w:rPr>
          <w:rFonts w:ascii="Arial" w:hAnsi="Arial" w:cs="Arial"/>
          <w:b/>
          <w:sz w:val="22"/>
          <w:szCs w:val="22"/>
          <w:u w:val="single"/>
        </w:rPr>
        <w:t>Overview</w:t>
      </w:r>
    </w:p>
    <w:p w14:paraId="01C94C9C" w14:textId="09E6F823" w:rsidR="00337331" w:rsidRPr="00337331" w:rsidRDefault="00337331" w:rsidP="00337331">
      <w:pPr>
        <w:spacing w:before="120" w:after="120"/>
        <w:rPr>
          <w:rFonts w:ascii="Arial" w:hAnsi="Arial" w:cs="Arial"/>
          <w:bCs/>
          <w:sz w:val="22"/>
          <w:szCs w:val="22"/>
        </w:rPr>
      </w:pPr>
      <w:r w:rsidRPr="00464B52">
        <w:rPr>
          <w:rFonts w:ascii="Arial" w:hAnsi="Arial" w:cs="Arial"/>
          <w:color w:val="000000"/>
        </w:rPr>
        <w:t>A reflective account: how has literature and professional experience challenged your beliefs and assumptions about how schools respond to opportunities and challenges in their community</w:t>
      </w:r>
    </w:p>
    <w:p w14:paraId="54358F19" w14:textId="4FA3E1D5" w:rsidR="00337331" w:rsidRDefault="00337331" w:rsidP="00337331">
      <w:pPr>
        <w:jc w:val="center"/>
      </w:pPr>
    </w:p>
    <w:p w14:paraId="5D1B84FD" w14:textId="03C9CB3C" w:rsidR="00337331" w:rsidRDefault="00337331" w:rsidP="00337331">
      <w:pPr>
        <w:jc w:val="center"/>
      </w:pPr>
    </w:p>
    <w:p w14:paraId="6F8670CB" w14:textId="13A21E33" w:rsidR="00337331" w:rsidRDefault="00337331" w:rsidP="00337331">
      <w:pPr>
        <w:jc w:val="center"/>
      </w:pPr>
    </w:p>
    <w:p w14:paraId="4D6D4725" w14:textId="744F2E41" w:rsidR="00337331" w:rsidRDefault="00337331" w:rsidP="00337331">
      <w:pPr>
        <w:jc w:val="center"/>
      </w:pPr>
    </w:p>
    <w:p w14:paraId="1CAE6F53" w14:textId="6AF1726E" w:rsidR="00337331" w:rsidRDefault="00337331" w:rsidP="00337331">
      <w:pPr>
        <w:jc w:val="center"/>
      </w:pPr>
    </w:p>
    <w:p w14:paraId="4BBFD767" w14:textId="19B7648F" w:rsidR="00337331" w:rsidRDefault="00337331" w:rsidP="00337331">
      <w:pPr>
        <w:jc w:val="center"/>
      </w:pPr>
    </w:p>
    <w:p w14:paraId="2B998922" w14:textId="3C2EA642" w:rsidR="00337331" w:rsidRDefault="00337331" w:rsidP="00337331">
      <w:pPr>
        <w:jc w:val="center"/>
      </w:pPr>
    </w:p>
    <w:p w14:paraId="64AD01B3" w14:textId="5C27140E" w:rsidR="00337331" w:rsidRDefault="00337331" w:rsidP="00337331">
      <w:pPr>
        <w:jc w:val="center"/>
      </w:pPr>
    </w:p>
    <w:p w14:paraId="623949BB" w14:textId="4ACE734F" w:rsidR="00337331" w:rsidRDefault="00337331" w:rsidP="00337331">
      <w:pPr>
        <w:jc w:val="center"/>
      </w:pPr>
    </w:p>
    <w:p w14:paraId="6D2A7883" w14:textId="747D7221" w:rsidR="00337331" w:rsidRDefault="00A354D2" w:rsidP="00A354D2">
      <w:pPr>
        <w:rPr>
          <w:b/>
          <w:bCs/>
          <w:u w:val="single"/>
        </w:rPr>
      </w:pPr>
      <w:r w:rsidRPr="00A354D2">
        <w:rPr>
          <w:b/>
          <w:bCs/>
          <w:u w:val="single"/>
        </w:rPr>
        <w:t>Targets</w:t>
      </w:r>
    </w:p>
    <w:p w14:paraId="0B90556A" w14:textId="77777777" w:rsidR="00A354D2" w:rsidRPr="00A354D2" w:rsidRDefault="00A354D2" w:rsidP="00A354D2"/>
    <w:p w14:paraId="61F6AAE1" w14:textId="490F14ED" w:rsidR="00337331" w:rsidRDefault="007A5B28" w:rsidP="00C14DD8">
      <w:pPr>
        <w:pStyle w:val="ListParagraph"/>
        <w:numPr>
          <w:ilvl w:val="0"/>
          <w:numId w:val="1"/>
        </w:numPr>
      </w:pPr>
      <w:r>
        <w:t>Question the strength of sources when engaging with literature</w:t>
      </w:r>
    </w:p>
    <w:p w14:paraId="62A29B44" w14:textId="7437A5A8" w:rsidR="007A5B28" w:rsidRDefault="007A5B28" w:rsidP="00C14DD8">
      <w:pPr>
        <w:pStyle w:val="ListParagraph"/>
        <w:numPr>
          <w:ilvl w:val="0"/>
          <w:numId w:val="1"/>
        </w:numPr>
      </w:pPr>
      <w:r>
        <w:t>Develop critical thinking</w:t>
      </w:r>
    </w:p>
    <w:p w14:paraId="15DB159F" w14:textId="237BC9F7" w:rsidR="007A5B28" w:rsidRDefault="007A5B28" w:rsidP="00C14DD8">
      <w:pPr>
        <w:pStyle w:val="ListParagraph"/>
        <w:numPr>
          <w:ilvl w:val="0"/>
          <w:numId w:val="1"/>
        </w:numPr>
      </w:pPr>
      <w:r>
        <w:t>Engage in wider reading</w:t>
      </w:r>
    </w:p>
    <w:p w14:paraId="40C9C60D" w14:textId="17BFADC0" w:rsidR="00337331" w:rsidRDefault="00337331" w:rsidP="00337331">
      <w:pPr>
        <w:jc w:val="center"/>
      </w:pPr>
    </w:p>
    <w:p w14:paraId="2F796E1A" w14:textId="60819CA2" w:rsidR="00337331" w:rsidRDefault="00337331" w:rsidP="00337331">
      <w:pPr>
        <w:jc w:val="center"/>
      </w:pPr>
    </w:p>
    <w:p w14:paraId="6762CDBD" w14:textId="547BB229" w:rsidR="00337331" w:rsidRDefault="00337331" w:rsidP="00337331">
      <w:pPr>
        <w:jc w:val="center"/>
      </w:pPr>
    </w:p>
    <w:p w14:paraId="286EBB51" w14:textId="3B14E5E6" w:rsidR="00337331" w:rsidRDefault="00337331" w:rsidP="00337331">
      <w:pPr>
        <w:jc w:val="center"/>
      </w:pPr>
    </w:p>
    <w:p w14:paraId="2BC4695F" w14:textId="290B198F" w:rsidR="00337331" w:rsidRDefault="00337331" w:rsidP="00337331">
      <w:pPr>
        <w:jc w:val="center"/>
      </w:pPr>
    </w:p>
    <w:p w14:paraId="29E057B2" w14:textId="1E910BDA" w:rsidR="00337331" w:rsidRDefault="00337331" w:rsidP="00337331">
      <w:pPr>
        <w:jc w:val="center"/>
      </w:pPr>
    </w:p>
    <w:p w14:paraId="3D8068E9" w14:textId="02458DC3" w:rsidR="00337331" w:rsidRDefault="00337331" w:rsidP="00337331">
      <w:pPr>
        <w:jc w:val="center"/>
      </w:pPr>
    </w:p>
    <w:p w14:paraId="415C2085" w14:textId="06586E61" w:rsidR="00337331" w:rsidRDefault="00337331" w:rsidP="00337331">
      <w:pPr>
        <w:jc w:val="center"/>
      </w:pPr>
    </w:p>
    <w:p w14:paraId="098F447A" w14:textId="5842A980" w:rsidR="00337331" w:rsidRDefault="00337331" w:rsidP="00337331">
      <w:pPr>
        <w:jc w:val="center"/>
      </w:pPr>
    </w:p>
    <w:p w14:paraId="106D81A6" w14:textId="5413713B" w:rsidR="00337331" w:rsidRDefault="00337331" w:rsidP="00337331">
      <w:pPr>
        <w:jc w:val="center"/>
      </w:pPr>
    </w:p>
    <w:p w14:paraId="08EBB98E" w14:textId="563A3D3F" w:rsidR="00337331" w:rsidRDefault="00337331" w:rsidP="00337331">
      <w:pPr>
        <w:jc w:val="center"/>
      </w:pPr>
    </w:p>
    <w:p w14:paraId="134C90BA" w14:textId="7B58E631" w:rsidR="00337331" w:rsidRDefault="00337331" w:rsidP="00337331">
      <w:pPr>
        <w:jc w:val="center"/>
      </w:pPr>
    </w:p>
    <w:p w14:paraId="1C83CF9A" w14:textId="07C00CB5" w:rsidR="00337331" w:rsidRDefault="00337331" w:rsidP="00337331">
      <w:pPr>
        <w:jc w:val="center"/>
      </w:pPr>
    </w:p>
    <w:p w14:paraId="6DB43359" w14:textId="3522D4FE" w:rsidR="00337331" w:rsidRDefault="00337331" w:rsidP="00337331">
      <w:pPr>
        <w:jc w:val="center"/>
      </w:pPr>
    </w:p>
    <w:p w14:paraId="1451F143" w14:textId="26A15AC7" w:rsidR="00337331" w:rsidRDefault="00337331" w:rsidP="00337331">
      <w:pPr>
        <w:jc w:val="center"/>
      </w:pPr>
    </w:p>
    <w:p w14:paraId="17244A0E" w14:textId="6639B2AE" w:rsidR="00337331" w:rsidRDefault="00337331" w:rsidP="00337331">
      <w:pPr>
        <w:jc w:val="center"/>
      </w:pPr>
    </w:p>
    <w:p w14:paraId="4E88B4DF" w14:textId="6D8FABEC" w:rsidR="00337331" w:rsidRDefault="00337331" w:rsidP="00337331">
      <w:pPr>
        <w:jc w:val="center"/>
      </w:pPr>
    </w:p>
    <w:p w14:paraId="3BC35F91" w14:textId="513607A1" w:rsidR="00337331" w:rsidRDefault="00337331" w:rsidP="00337331">
      <w:pPr>
        <w:jc w:val="center"/>
      </w:pPr>
    </w:p>
    <w:p w14:paraId="20CF900B" w14:textId="55D5C6B1" w:rsidR="00337331" w:rsidRDefault="00337331" w:rsidP="00337331">
      <w:pPr>
        <w:jc w:val="center"/>
      </w:pPr>
    </w:p>
    <w:p w14:paraId="05346632" w14:textId="4641433C" w:rsidR="00337331" w:rsidRDefault="00337331" w:rsidP="00337331">
      <w:pPr>
        <w:jc w:val="center"/>
      </w:pPr>
    </w:p>
    <w:p w14:paraId="50BD420B" w14:textId="079B7365" w:rsidR="00337331" w:rsidRDefault="00337331" w:rsidP="00337331">
      <w:pPr>
        <w:jc w:val="center"/>
      </w:pPr>
    </w:p>
    <w:p w14:paraId="71A6A389" w14:textId="20DCA14D" w:rsidR="00337331" w:rsidRDefault="00337331" w:rsidP="00337331">
      <w:pPr>
        <w:jc w:val="center"/>
      </w:pPr>
    </w:p>
    <w:p w14:paraId="4B24DB6B" w14:textId="6002668B" w:rsidR="00337331" w:rsidRDefault="00337331" w:rsidP="00337331">
      <w:pPr>
        <w:jc w:val="center"/>
      </w:pPr>
    </w:p>
    <w:p w14:paraId="5724D80F" w14:textId="3B819110" w:rsidR="00337331" w:rsidRDefault="00337331" w:rsidP="00337331">
      <w:pPr>
        <w:jc w:val="center"/>
      </w:pPr>
    </w:p>
    <w:p w14:paraId="74A6F5F1" w14:textId="4436044E" w:rsidR="00337331" w:rsidRDefault="00337331" w:rsidP="00337331">
      <w:pPr>
        <w:jc w:val="center"/>
      </w:pPr>
    </w:p>
    <w:p w14:paraId="60448B2E" w14:textId="6725A089" w:rsidR="00E27C5A" w:rsidRDefault="00E27C5A" w:rsidP="00337331">
      <w:r>
        <w:lastRenderedPageBreak/>
        <w:t xml:space="preserve">The relationship between a school and its community is crucial in the development of a </w:t>
      </w:r>
      <w:bookmarkStart w:id="0" w:name="_GoBack"/>
      <w:r>
        <w:t xml:space="preserve">child’s education. </w:t>
      </w:r>
      <w:r w:rsidR="005E0F37">
        <w:t xml:space="preserve">Literature and also my teaching experiences has </w:t>
      </w:r>
      <w:r w:rsidR="005E5866">
        <w:t xml:space="preserve">provided me with beliefs/ </w:t>
      </w:r>
      <w:bookmarkEnd w:id="0"/>
      <w:r w:rsidR="005E5866">
        <w:t>assumptions surrounding the foundation phase</w:t>
      </w:r>
      <w:r w:rsidR="00336461">
        <w:t xml:space="preserve">. </w:t>
      </w:r>
      <w:r w:rsidR="005E5866">
        <w:t xml:space="preserve">I have </w:t>
      </w:r>
      <w:r w:rsidR="00336461">
        <w:t>identified</w:t>
      </w:r>
      <w:r w:rsidR="005E5866">
        <w:t xml:space="preserve"> different assumptions</w:t>
      </w:r>
      <w:r w:rsidR="00336461">
        <w:t xml:space="preserve"> and beliefs related to communities and schools which I aim to research and further my understanding on.</w:t>
      </w:r>
    </w:p>
    <w:p w14:paraId="3B198656" w14:textId="123D6527" w:rsidR="001C571F" w:rsidRDefault="005E5866" w:rsidP="001C571F">
      <w:pPr>
        <w:pStyle w:val="NormalWeb"/>
        <w:rPr>
          <w:rFonts w:asciiTheme="minorHAnsi" w:hAnsiTheme="minorHAnsi"/>
        </w:rPr>
      </w:pPr>
      <w:r w:rsidRPr="00FC04EC">
        <w:rPr>
          <w:rFonts w:asciiTheme="minorHAnsi" w:hAnsiTheme="minorHAnsi"/>
        </w:rPr>
        <w:t>A</w:t>
      </w:r>
      <w:r w:rsidR="00C56C5B" w:rsidRPr="00FC04EC">
        <w:rPr>
          <w:rFonts w:asciiTheme="minorHAnsi" w:hAnsiTheme="minorHAnsi"/>
        </w:rPr>
        <w:t>reas of high deprivation result in weaker academical results</w:t>
      </w:r>
      <w:r w:rsidRPr="00FC04EC">
        <w:rPr>
          <w:rFonts w:asciiTheme="minorHAnsi" w:hAnsiTheme="minorHAnsi"/>
        </w:rPr>
        <w:t xml:space="preserve"> is my first assumption.</w:t>
      </w:r>
      <w:r w:rsidR="00C56C5B" w:rsidRPr="00FC04EC">
        <w:rPr>
          <w:rFonts w:asciiTheme="minorHAnsi" w:hAnsiTheme="minorHAnsi"/>
        </w:rPr>
        <w:t xml:space="preserve"> I assumed that schools within an area of deprivation would have less resources and less funding available to provide for the students towards </w:t>
      </w:r>
      <w:r w:rsidR="0016533D" w:rsidRPr="00FC04EC">
        <w:rPr>
          <w:rFonts w:asciiTheme="minorHAnsi" w:hAnsiTheme="minorHAnsi"/>
        </w:rPr>
        <w:t xml:space="preserve">their </w:t>
      </w:r>
      <w:r w:rsidR="00C56C5B" w:rsidRPr="00FC04EC">
        <w:rPr>
          <w:rFonts w:asciiTheme="minorHAnsi" w:hAnsiTheme="minorHAnsi"/>
        </w:rPr>
        <w:t>studies. These beliefs are based on a lack of parental support and education within areas of deprivation, which results in the pupil not getting the full support they require at home.</w:t>
      </w:r>
      <w:r w:rsidR="00FC04EC" w:rsidRPr="00FC04EC">
        <w:rPr>
          <w:rFonts w:asciiTheme="minorHAnsi" w:hAnsiTheme="minorHAnsi"/>
        </w:rPr>
        <w:t xml:space="preserve"> </w:t>
      </w:r>
      <w:r w:rsidR="00C56C5B" w:rsidRPr="00FC04EC">
        <w:rPr>
          <w:rFonts w:asciiTheme="minorHAnsi" w:hAnsiTheme="minorHAnsi"/>
        </w:rPr>
        <w:t xml:space="preserve"> </w:t>
      </w:r>
      <w:r w:rsidR="0016533D" w:rsidRPr="00FC04EC">
        <w:rPr>
          <w:rFonts w:asciiTheme="minorHAnsi" w:hAnsiTheme="minorHAnsi"/>
        </w:rPr>
        <w:t xml:space="preserve">My assumption is also based on the fact that my primary school was not in a deprived community and we were funded with modern technological support e.g. </w:t>
      </w:r>
      <w:r w:rsidR="008971F2" w:rsidRPr="00FC04EC">
        <w:rPr>
          <w:rFonts w:asciiTheme="minorHAnsi" w:hAnsiTheme="minorHAnsi"/>
        </w:rPr>
        <w:t>iPads</w:t>
      </w:r>
      <w:r w:rsidR="0016533D" w:rsidRPr="00FC04EC">
        <w:rPr>
          <w:rFonts w:asciiTheme="minorHAnsi" w:hAnsiTheme="minorHAnsi"/>
        </w:rPr>
        <w:t xml:space="preserve">, laptops etc. </w:t>
      </w:r>
      <w:r w:rsidR="00FC04EC" w:rsidRPr="00FC04EC">
        <w:rPr>
          <w:rFonts w:asciiTheme="minorHAnsi" w:hAnsiTheme="minorHAnsi"/>
        </w:rPr>
        <w:t>A report from the department for children, schools and families suggests Feinstein</w:t>
      </w:r>
      <w:r w:rsidR="00FC04EC">
        <w:rPr>
          <w:rFonts w:asciiTheme="minorHAnsi" w:hAnsiTheme="minorHAnsi"/>
        </w:rPr>
        <w:t xml:space="preserve"> (2003) identified</w:t>
      </w:r>
      <w:r w:rsidR="00FC04EC" w:rsidRPr="00FC04EC">
        <w:rPr>
          <w:rFonts w:asciiTheme="minorHAnsi" w:hAnsiTheme="minorHAnsi"/>
        </w:rPr>
        <w:t xml:space="preserve"> ‘lower scores in children from low socio‐economic backgrounds in cube stacking, language use, drawing and personal development compared to children from higher socio‐economic groups</w:t>
      </w:r>
      <w:r w:rsidR="00DD4D86">
        <w:rPr>
          <w:rFonts w:asciiTheme="minorHAnsi" w:hAnsiTheme="minorHAnsi"/>
        </w:rPr>
        <w:t>’</w:t>
      </w:r>
      <w:r w:rsidR="00FC04EC" w:rsidRPr="00FC04EC">
        <w:rPr>
          <w:rFonts w:asciiTheme="minorHAnsi" w:hAnsiTheme="minorHAnsi"/>
        </w:rPr>
        <w:t xml:space="preserve">. </w:t>
      </w:r>
    </w:p>
    <w:p w14:paraId="123FFFAF" w14:textId="77777777" w:rsidR="001C571F" w:rsidRDefault="0016533D" w:rsidP="001C571F">
      <w:pPr>
        <w:pStyle w:val="NormalWeb"/>
        <w:rPr>
          <w:rFonts w:asciiTheme="minorHAnsi" w:hAnsiTheme="minorHAnsi"/>
        </w:rPr>
      </w:pPr>
      <w:r w:rsidRPr="001C571F">
        <w:rPr>
          <w:rFonts w:asciiTheme="minorHAnsi" w:hAnsiTheme="minorHAnsi"/>
        </w:rPr>
        <w:t xml:space="preserve">The next assumption I felt prior to my enrolment on this degree was that the general link between the school and community was poor and neither assisted </w:t>
      </w:r>
      <w:r w:rsidR="008971F2" w:rsidRPr="001C571F">
        <w:rPr>
          <w:rFonts w:asciiTheme="minorHAnsi" w:hAnsiTheme="minorHAnsi"/>
        </w:rPr>
        <w:t>nor</w:t>
      </w:r>
      <w:r w:rsidRPr="001C571F">
        <w:rPr>
          <w:rFonts w:asciiTheme="minorHAnsi" w:hAnsiTheme="minorHAnsi"/>
        </w:rPr>
        <w:t xml:space="preserve"> helped </w:t>
      </w:r>
      <w:r w:rsidR="008971F2" w:rsidRPr="001C571F">
        <w:rPr>
          <w:rFonts w:asciiTheme="minorHAnsi" w:hAnsiTheme="minorHAnsi"/>
        </w:rPr>
        <w:t>each other</w:t>
      </w:r>
      <w:r w:rsidRPr="001C571F">
        <w:rPr>
          <w:rFonts w:asciiTheme="minorHAnsi" w:hAnsiTheme="minorHAnsi"/>
        </w:rPr>
        <w:t>.</w:t>
      </w:r>
      <w:r w:rsidR="008971F2" w:rsidRPr="001C571F">
        <w:rPr>
          <w:rFonts w:asciiTheme="minorHAnsi" w:hAnsiTheme="minorHAnsi"/>
        </w:rPr>
        <w:t xml:space="preserve"> I had gained the impression that in particular the link between parents and the school was weak which could negatively influence the child’s education. This particular belief was based on personal experiences within my family where I rarely went out into the community and explored the area.</w:t>
      </w:r>
    </w:p>
    <w:p w14:paraId="6F6B70E6" w14:textId="7B8757CB" w:rsidR="008E4723" w:rsidRPr="003549C1" w:rsidRDefault="008971F2" w:rsidP="001C571F">
      <w:pPr>
        <w:pStyle w:val="NormalWeb"/>
        <w:rPr>
          <w:rFonts w:asciiTheme="minorHAnsi" w:hAnsiTheme="minorHAnsi"/>
        </w:rPr>
      </w:pPr>
      <w:r w:rsidRPr="003549C1">
        <w:rPr>
          <w:rFonts w:asciiTheme="minorHAnsi" w:hAnsiTheme="minorHAnsi"/>
        </w:rPr>
        <w:t xml:space="preserve">My final assumption was that </w:t>
      </w:r>
      <w:r w:rsidR="008E4723" w:rsidRPr="003549C1">
        <w:rPr>
          <w:rFonts w:asciiTheme="minorHAnsi" w:hAnsiTheme="minorHAnsi"/>
        </w:rPr>
        <w:t xml:space="preserve">some </w:t>
      </w:r>
      <w:r w:rsidRPr="003549C1">
        <w:rPr>
          <w:rFonts w:asciiTheme="minorHAnsi" w:hAnsiTheme="minorHAnsi"/>
        </w:rPr>
        <w:t xml:space="preserve">classes were separated based on level of ability with children with a lower ability level being singled out doing different work to the rest of their classmates. </w:t>
      </w:r>
      <w:r w:rsidR="008E4723" w:rsidRPr="003549C1">
        <w:rPr>
          <w:rFonts w:asciiTheme="minorHAnsi" w:hAnsiTheme="minorHAnsi"/>
        </w:rPr>
        <w:t>I had this assumption after reading an online article that stated ‘</w:t>
      </w:r>
      <w:r w:rsidR="008E4723" w:rsidRPr="003549C1">
        <w:rPr>
          <w:rFonts w:asciiTheme="minorHAnsi" w:hAnsiTheme="minorHAnsi" w:cstheme="majorHAnsi"/>
          <w:color w:val="000000"/>
        </w:rPr>
        <w:t xml:space="preserve">Fair had no idea how to handle her students with disabilities, whose educational challenges ranged from learning deficits to behavioral disturbance disorders’ (Mader,2017). </w:t>
      </w:r>
    </w:p>
    <w:p w14:paraId="7BD5D57C" w14:textId="3C4096A5" w:rsidR="0095656F" w:rsidRDefault="0095656F" w:rsidP="00337331">
      <w:r>
        <w:t xml:space="preserve">Throughout this report I aim to get explore my assumptions/beliefs by using a research and also literature. I also aim to set myself targets that I can use when in practise. I will create targets that are linked to the Professional Standards for Teaching and Leadership (QTS) so that my targets are realistic and </w:t>
      </w:r>
      <w:r w:rsidR="005E0F37">
        <w:t xml:space="preserve">purposeful. </w:t>
      </w:r>
    </w:p>
    <w:p w14:paraId="14E00904" w14:textId="71C6A675" w:rsidR="001C571F" w:rsidRDefault="001C571F" w:rsidP="00337331"/>
    <w:p w14:paraId="3F5CBD4B" w14:textId="01F27F07" w:rsidR="0088289D" w:rsidRDefault="001C571F" w:rsidP="00783C10">
      <w:pPr>
        <w:pStyle w:val="NormalWeb"/>
        <w:rPr>
          <w:rFonts w:asciiTheme="minorHAnsi" w:hAnsiTheme="minorHAnsi"/>
        </w:rPr>
      </w:pPr>
      <w:r>
        <w:br w:type="page"/>
      </w:r>
      <w:r w:rsidR="00FB3AFD" w:rsidRPr="00783C10">
        <w:rPr>
          <w:rFonts w:asciiTheme="minorHAnsi" w:hAnsiTheme="minorHAnsi"/>
        </w:rPr>
        <w:lastRenderedPageBreak/>
        <w:t xml:space="preserve">My assumption based on areas of high deprivation resulting in weaker academical results was first introduced through an online report called Deprivation and Education by the Department for Children, Schools and families. </w:t>
      </w:r>
      <w:r w:rsidR="00783C10" w:rsidRPr="00783C10">
        <w:rPr>
          <w:rFonts w:asciiTheme="minorHAnsi" w:hAnsiTheme="minorHAnsi"/>
        </w:rPr>
        <w:t>‘</w:t>
      </w:r>
      <w:r w:rsidR="00783C10" w:rsidRPr="00783C10">
        <w:rPr>
          <w:rFonts w:asciiTheme="minorHAnsi" w:hAnsiTheme="minorHAnsi"/>
        </w:rPr>
        <w:t xml:space="preserve">There is a very clear pathway from childhood poverty to reduced employment </w:t>
      </w:r>
      <w:r w:rsidR="00783C10" w:rsidRPr="00783C10">
        <w:rPr>
          <w:rFonts w:asciiTheme="minorHAnsi" w:hAnsiTheme="minorHAnsi"/>
        </w:rPr>
        <w:t>opportunities</w:t>
      </w:r>
      <w:r w:rsidR="00783C10">
        <w:rPr>
          <w:rFonts w:asciiTheme="minorHAnsi" w:hAnsiTheme="minorHAnsi"/>
        </w:rPr>
        <w:t>’</w:t>
      </w:r>
      <w:r w:rsidR="00783C10" w:rsidRPr="00783C10">
        <w:rPr>
          <w:rFonts w:asciiTheme="minorHAnsi" w:hAnsiTheme="minorHAnsi"/>
        </w:rPr>
        <w:t xml:space="preserve">. </w:t>
      </w:r>
      <w:r w:rsidR="00BA788D" w:rsidRPr="00783C10">
        <w:rPr>
          <w:rFonts w:asciiTheme="minorHAnsi" w:hAnsiTheme="minorHAnsi"/>
        </w:rPr>
        <w:t xml:space="preserve">One of the main issues surrounding the link between high deprivation communities and schools is the lack of educational knowledge at home. ‘Pupils from deprived backgrounds may, however, find it harder than their peers to complete their homework due to lack of educational resources in the home’ (Department of children, schools and families, 2009). This is an issue which can definitely impact the child’s education. Reasons for this include material deprivation and a lack of understanding by parents. </w:t>
      </w:r>
      <w:r w:rsidR="00865226" w:rsidRPr="00783C10">
        <w:rPr>
          <w:rFonts w:asciiTheme="minorHAnsi" w:hAnsiTheme="minorHAnsi"/>
        </w:rPr>
        <w:t>According to the Department for Childre</w:t>
      </w:r>
      <w:r w:rsidR="00C047C2" w:rsidRPr="00783C10">
        <w:rPr>
          <w:rFonts w:asciiTheme="minorHAnsi" w:hAnsiTheme="minorHAnsi"/>
        </w:rPr>
        <w:t>n</w:t>
      </w:r>
      <w:r w:rsidR="00865226" w:rsidRPr="00783C10">
        <w:rPr>
          <w:rFonts w:asciiTheme="minorHAnsi" w:hAnsiTheme="minorHAnsi"/>
        </w:rPr>
        <w:t xml:space="preserve">, Schools and Families in </w:t>
      </w:r>
      <w:r w:rsidR="00C047C2" w:rsidRPr="00783C10">
        <w:rPr>
          <w:rFonts w:asciiTheme="minorHAnsi" w:hAnsiTheme="minorHAnsi"/>
        </w:rPr>
        <w:t>2003 Desforges and A</w:t>
      </w:r>
      <w:r w:rsidR="00865226" w:rsidRPr="00783C10">
        <w:rPr>
          <w:rFonts w:asciiTheme="minorHAnsi" w:hAnsiTheme="minorHAnsi"/>
        </w:rPr>
        <w:t xml:space="preserve">bouchaar identified and reported that ‘parental involvement in education is a significant positive influence on children’s educational outcomes’. There are various outcomes such as regular participation in school events, </w:t>
      </w:r>
      <w:r w:rsidR="00DD4D86" w:rsidRPr="00783C10">
        <w:rPr>
          <w:rFonts w:asciiTheme="minorHAnsi" w:hAnsiTheme="minorHAnsi"/>
        </w:rPr>
        <w:t xml:space="preserve">a secure/stable environment and also high aspirations. </w:t>
      </w:r>
      <w:r w:rsidR="002E1F55" w:rsidRPr="00783C10">
        <w:rPr>
          <w:rFonts w:asciiTheme="minorHAnsi" w:hAnsiTheme="minorHAnsi"/>
        </w:rPr>
        <w:t>However, statistics from I Live Here UK and the Welsh Government state imply that there is a very similar trend in employment levels in a Highly deprived area of Wales and the area of my bridging school that is considered in the ‘least deprived category.</w:t>
      </w:r>
      <w:r w:rsidR="001336DE" w:rsidRPr="00783C10">
        <w:rPr>
          <w:rFonts w:asciiTheme="minorHAnsi" w:hAnsiTheme="minorHAnsi"/>
        </w:rPr>
        <w:t xml:space="preserve"> </w:t>
      </w:r>
      <w:r w:rsidR="0088289D" w:rsidRPr="00783C10">
        <w:rPr>
          <w:rFonts w:asciiTheme="minorHAnsi" w:hAnsiTheme="minorHAnsi"/>
        </w:rPr>
        <w:t>As demonstrated at my bridging school, one of their key plans is to involve the parents with their child’s education. The school has introduced interventions such as book bags, TTRockstar and Abacus which allows children to study at home with their parents.</w:t>
      </w:r>
    </w:p>
    <w:p w14:paraId="32D73FF8" w14:textId="0BE9D15A" w:rsidR="00783C10" w:rsidRPr="00783C10" w:rsidRDefault="00783C10" w:rsidP="00783C10">
      <w:pPr>
        <w:pStyle w:val="NormalWeb"/>
        <w:rPr>
          <w:rFonts w:asciiTheme="minorHAnsi" w:hAnsiTheme="minorHAnsi"/>
        </w:rPr>
      </w:pPr>
      <w:r>
        <w:rPr>
          <w:rFonts w:asciiTheme="minorHAnsi" w:hAnsiTheme="minorHAnsi"/>
        </w:rPr>
        <w:t xml:space="preserve">In 2008 </w:t>
      </w:r>
      <w:proofErr w:type="spellStart"/>
      <w:r>
        <w:rPr>
          <w:rFonts w:asciiTheme="minorHAnsi" w:hAnsiTheme="minorHAnsi"/>
        </w:rPr>
        <w:t>Blanden</w:t>
      </w:r>
      <w:proofErr w:type="spellEnd"/>
      <w:r>
        <w:rPr>
          <w:rFonts w:asciiTheme="minorHAnsi" w:hAnsiTheme="minorHAnsi"/>
        </w:rPr>
        <w:t>, Hansen and Machin came to conclude that ‘</w:t>
      </w:r>
      <w:r w:rsidRPr="00783C10">
        <w:rPr>
          <w:rFonts w:asciiTheme="minorHAnsi" w:hAnsiTheme="minorHAnsi"/>
        </w:rPr>
        <w:t>earnings estimated to be reduced by between 15 and 28% and the probability of being in employment at age 34 reduced by between 4 and 7%</w:t>
      </w:r>
      <w:r>
        <w:rPr>
          <w:rFonts w:ascii="Calibri" w:hAnsi="Calibri"/>
          <w:sz w:val="20"/>
          <w:szCs w:val="20"/>
        </w:rPr>
        <w:t xml:space="preserve">’ </w:t>
      </w:r>
      <w:r w:rsidRPr="00783C10">
        <w:rPr>
          <w:rFonts w:asciiTheme="minorHAnsi" w:hAnsiTheme="minorHAnsi"/>
        </w:rPr>
        <w:t>(Department for children, schools and families).</w:t>
      </w:r>
      <w:r>
        <w:rPr>
          <w:rFonts w:ascii="Calibri" w:hAnsi="Calibri"/>
          <w:sz w:val="20"/>
          <w:szCs w:val="20"/>
        </w:rPr>
        <w:t xml:space="preserve"> </w:t>
      </w:r>
      <w:r>
        <w:rPr>
          <w:rFonts w:asciiTheme="minorHAnsi" w:hAnsiTheme="minorHAnsi"/>
        </w:rPr>
        <w:t>This source proves that the link between deprivation and lower academical results is indeed strong and backs up my original beliefs and assumptions.</w:t>
      </w:r>
    </w:p>
    <w:p w14:paraId="4EFFF3F4" w14:textId="5F7D5E67" w:rsidR="00783C10" w:rsidRPr="00783C10" w:rsidRDefault="006C19AE" w:rsidP="00783C10">
      <w:pPr>
        <w:pStyle w:val="NormalWeb"/>
        <w:rPr>
          <w:rFonts w:asciiTheme="minorHAnsi" w:hAnsiTheme="minorHAnsi"/>
        </w:rPr>
      </w:pPr>
      <w:r>
        <w:rPr>
          <w:b/>
          <w:bCs/>
          <w:noProof/>
        </w:rPr>
        <mc:AlternateContent>
          <mc:Choice Requires="wps">
            <w:drawing>
              <wp:anchor distT="0" distB="0" distL="114300" distR="114300" simplePos="0" relativeHeight="251660288" behindDoc="0" locked="0" layoutInCell="1" allowOverlap="1" wp14:anchorId="14AFD3CF" wp14:editId="61B6D961">
                <wp:simplePos x="0" y="0"/>
                <wp:positionH relativeFrom="column">
                  <wp:posOffset>82939</wp:posOffset>
                </wp:positionH>
                <wp:positionV relativeFrom="paragraph">
                  <wp:posOffset>4678</wp:posOffset>
                </wp:positionV>
                <wp:extent cx="1091681" cy="279918"/>
                <wp:effectExtent l="0" t="0" r="0" b="0"/>
                <wp:wrapNone/>
                <wp:docPr id="8" name="Text Box 8"/>
                <wp:cNvGraphicFramePr/>
                <a:graphic xmlns:a="http://schemas.openxmlformats.org/drawingml/2006/main">
                  <a:graphicData uri="http://schemas.microsoft.com/office/word/2010/wordprocessingShape">
                    <wps:wsp>
                      <wps:cNvSpPr txBox="1"/>
                      <wps:spPr>
                        <a:xfrm>
                          <a:off x="0" y="0"/>
                          <a:ext cx="1091681" cy="279918"/>
                        </a:xfrm>
                        <a:prstGeom prst="rect">
                          <a:avLst/>
                        </a:prstGeom>
                        <a:noFill/>
                        <a:ln w="6350">
                          <a:noFill/>
                        </a:ln>
                      </wps:spPr>
                      <wps:txbx>
                        <w:txbxContent>
                          <w:p w14:paraId="735148D1" w14:textId="243B5414" w:rsidR="000B7A19" w:rsidRPr="000B7A19" w:rsidRDefault="000B7A19">
                            <w:pPr>
                              <w:rPr>
                                <w:b/>
                                <w:bCs/>
                              </w:rPr>
                            </w:pPr>
                            <w:r w:rsidRPr="000B7A19">
                              <w:rPr>
                                <w:b/>
                                <w:bCs/>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AFD3CF" id="_x0000_t202" coordsize="21600,21600" o:spt="202" path="m,l,21600r21600,l21600,xe">
                <v:stroke joinstyle="miter"/>
                <v:path gradientshapeok="t" o:connecttype="rect"/>
              </v:shapetype>
              <v:shape id="Text Box 8" o:spid="_x0000_s1026" type="#_x0000_t202" style="position:absolute;margin-left:6.55pt;margin-top:.35pt;width:85.95pt;height:22.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" filled="f" stroked="f" strokeweight=".5pt">
                <v:textbox>
                  <w:txbxContent>
                    <w:p w14:paraId="735148D1" w14:textId="243B5414" w:rsidR="000B7A19" w:rsidRPr="000B7A19" w:rsidRDefault="000B7A19">
                      <w:pPr>
                        <w:rPr>
                          <w:b/>
                          <w:bCs/>
                        </w:rPr>
                      </w:pPr>
                      <w:r w:rsidRPr="000B7A19">
                        <w:rPr>
                          <w:b/>
                          <w:bCs/>
                        </w:rPr>
                        <w:t>Figure 1</w:t>
                      </w:r>
                    </w:p>
                  </w:txbxContent>
                </v:textbox>
              </v:shape>
            </w:pict>
          </mc:Fallback>
        </mc:AlternateContent>
      </w:r>
      <w:r>
        <w:rPr>
          <w:noProof/>
        </w:rPr>
        <w:drawing>
          <wp:inline distT="0" distB="0" distL="0" distR="0" wp14:anchorId="61819B24" wp14:editId="3613EDE6">
            <wp:extent cx="5906278" cy="2855167"/>
            <wp:effectExtent l="0" t="0" r="12065" b="15240"/>
            <wp:docPr id="1" name="Chart 1">
              <a:extLst xmlns:a="http://schemas.openxmlformats.org/drawingml/2006/main">
                <a:ext uri="{FF2B5EF4-FFF2-40B4-BE49-F238E27FC236}">
                  <a16:creationId xmlns:a16="http://schemas.microsoft.com/office/drawing/2014/main" id="{E78FCCAF-4231-0D4A-8AF8-18A56EB5BE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9755F4B" w14:textId="1C8CC564" w:rsidR="00C024CB" w:rsidRPr="000B7A19" w:rsidRDefault="007F76C1" w:rsidP="00865226">
      <w:pPr>
        <w:pStyle w:val="NormalWeb"/>
        <w:rPr>
          <w:rFonts w:asciiTheme="minorHAnsi" w:hAnsiTheme="minorHAnsi"/>
        </w:rPr>
      </w:pPr>
      <w:r w:rsidRPr="0002421A">
        <w:rPr>
          <w:b/>
          <w:bCs/>
          <w:noProof/>
        </w:rPr>
        <w:lastRenderedPageBreak/>
        <mc:AlternateContent>
          <mc:Choice Requires="wps">
            <w:drawing>
              <wp:anchor distT="0" distB="0" distL="114300" distR="114300" simplePos="0" relativeHeight="251659264" behindDoc="0" locked="0" layoutInCell="1" allowOverlap="1" wp14:anchorId="748866BF" wp14:editId="148F8435">
                <wp:simplePos x="0" y="0"/>
                <wp:positionH relativeFrom="column">
                  <wp:posOffset>5457190</wp:posOffset>
                </wp:positionH>
                <wp:positionV relativeFrom="paragraph">
                  <wp:posOffset>1801431</wp:posOffset>
                </wp:positionV>
                <wp:extent cx="1399592" cy="289249"/>
                <wp:effectExtent l="0" t="0" r="0" b="0"/>
                <wp:wrapNone/>
                <wp:docPr id="6" name="Text Box 6"/>
                <wp:cNvGraphicFramePr/>
                <a:graphic xmlns:a="http://schemas.openxmlformats.org/drawingml/2006/main">
                  <a:graphicData uri="http://schemas.microsoft.com/office/word/2010/wordprocessingShape">
                    <wps:wsp>
                      <wps:cNvSpPr txBox="1"/>
                      <wps:spPr>
                        <a:xfrm>
                          <a:off x="0" y="0"/>
                          <a:ext cx="1399592" cy="289249"/>
                        </a:xfrm>
                        <a:prstGeom prst="rect">
                          <a:avLst/>
                        </a:prstGeom>
                        <a:noFill/>
                        <a:ln w="6350">
                          <a:noFill/>
                        </a:ln>
                      </wps:spPr>
                      <wps:txbx>
                        <w:txbxContent>
                          <w:p w14:paraId="6FD2B32C" w14:textId="6B67A475" w:rsidR="00A926F5" w:rsidRDefault="00A926F5">
                            <w:r>
                              <w:t>Most Deprived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8866BF" id="Text Box 6" o:spid="_x0000_s1027" type="#_x0000_t202" style="position:absolute;margin-left:429.7pt;margin-top:141.85pt;width:110.2pt;height:2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" filled="f" stroked="f" strokeweight=".5pt">
                <v:textbox>
                  <w:txbxContent>
                    <w:p w14:paraId="6FD2B32C" w14:textId="6B67A475" w:rsidR="00A926F5" w:rsidRDefault="00A926F5">
                      <w:r>
                        <w:t>Most Deprived</w:t>
                      </w:r>
                    </w:p>
                  </w:txbxContent>
                </v:textbox>
              </v:shape>
            </w:pict>
          </mc:Fallback>
        </mc:AlternateContent>
      </w:r>
      <w:r w:rsidR="0002421A" w:rsidRPr="0002421A">
        <w:rPr>
          <w:rFonts w:asciiTheme="minorHAnsi" w:hAnsiTheme="minorHAnsi"/>
          <w:b/>
          <w:bCs/>
        </w:rPr>
        <w:t>Figure 2</w:t>
      </w:r>
      <w:r w:rsidR="000B7A19">
        <w:rPr>
          <w:noProof/>
        </w:rPr>
        <w:drawing>
          <wp:inline distT="0" distB="0" distL="0" distR="0" wp14:anchorId="558919A9" wp14:editId="248E723C">
            <wp:extent cx="6492875" cy="2863850"/>
            <wp:effectExtent l="0" t="0" r="9525" b="6350"/>
            <wp:docPr id="7" name="Chart 7">
              <a:extLst xmlns:a="http://schemas.openxmlformats.org/drawingml/2006/main">
                <a:ext uri="{FF2B5EF4-FFF2-40B4-BE49-F238E27FC236}">
                  <a16:creationId xmlns:a16="http://schemas.microsoft.com/office/drawing/2014/main" id="{DF458B8D-E0DE-864A-A9EF-655DBEF571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B0831F" w14:textId="31BB246F" w:rsidR="0002421A" w:rsidRDefault="005C4C89" w:rsidP="00865226">
      <w:pPr>
        <w:pStyle w:val="NormalWeb"/>
        <w:rPr>
          <w:rFonts w:asciiTheme="minorHAnsi" w:hAnsiTheme="minorHAnsi"/>
        </w:rPr>
      </w:pPr>
      <w:r>
        <w:rPr>
          <w:rFonts w:asciiTheme="minorHAnsi" w:hAnsiTheme="minorHAnsi"/>
        </w:rPr>
        <w:t>However, as shown</w:t>
      </w:r>
      <w:r w:rsidR="0088289D">
        <w:rPr>
          <w:rFonts w:asciiTheme="minorHAnsi" w:hAnsiTheme="minorHAnsi"/>
        </w:rPr>
        <w:t xml:space="preserve"> in Figures 1 and 2 even though there is a significant difference in ranking (1129 difference) the percentages of no qualifications and benefits are identical. This potentially suggests that areas of deprivation might not have complete responsibility for schools in these areas underachieving.</w:t>
      </w:r>
    </w:p>
    <w:p w14:paraId="1D7FDAAD" w14:textId="77777777" w:rsidR="005C4C89" w:rsidRDefault="005C4C89" w:rsidP="00090622"/>
    <w:p w14:paraId="66DC6FD5" w14:textId="77777777" w:rsidR="005C4C89" w:rsidRDefault="005C4C89" w:rsidP="00090622"/>
    <w:p w14:paraId="5C0A57AA" w14:textId="4CF4D000" w:rsidR="00090622" w:rsidRDefault="003549C1" w:rsidP="00090622">
      <w:pPr>
        <w:rPr>
          <w:rFonts w:eastAsia="Times New Roman" w:cs="Times New Roman"/>
          <w:color w:val="333333"/>
          <w:shd w:val="clear" w:color="auto" w:fill="FFFFFF"/>
          <w:lang w:eastAsia="en-GB"/>
        </w:rPr>
      </w:pPr>
      <w:r>
        <w:t xml:space="preserve">The next belief I had prior to </w:t>
      </w:r>
      <w:r w:rsidR="009E4910">
        <w:t xml:space="preserve">enrolling on this course and undertaking bridging was that classes were specifically separated into ability groups. I assumed that the teacher would have to create different sessions for different students due to varying abilities. </w:t>
      </w:r>
      <w:r w:rsidR="00090622">
        <w:t xml:space="preserve">In recent years an ‘Inclusive’ </w:t>
      </w:r>
      <w:r w:rsidR="005963A4">
        <w:t>education</w:t>
      </w:r>
      <w:r w:rsidR="00090622">
        <w:t xml:space="preserve"> has been formed.</w:t>
      </w:r>
      <w:r w:rsidR="00090622" w:rsidRPr="00090622">
        <w:rPr>
          <w:rFonts w:ascii="Source Sans Pro" w:hAnsi="Source Sans Pro"/>
          <w:color w:val="333333"/>
          <w:sz w:val="27"/>
          <w:szCs w:val="27"/>
          <w:bdr w:val="none" w:sz="0" w:space="0" w:color="auto" w:frame="1"/>
        </w:rPr>
        <w:t xml:space="preserve"> </w:t>
      </w:r>
      <w:r w:rsidR="005963A4">
        <w:rPr>
          <w:rFonts w:ascii="Source Sans Pro" w:hAnsi="Source Sans Pro"/>
          <w:color w:val="333333"/>
          <w:sz w:val="27"/>
          <w:szCs w:val="27"/>
          <w:bdr w:val="none" w:sz="0" w:space="0" w:color="auto" w:frame="1"/>
        </w:rPr>
        <w:t>‘</w:t>
      </w:r>
      <w:r w:rsidR="00090622" w:rsidRPr="00090622">
        <w:rPr>
          <w:rFonts w:eastAsia="Times New Roman" w:cs="Times New Roman"/>
          <w:color w:val="333333"/>
          <w:bdr w:val="none" w:sz="0" w:space="0" w:color="auto" w:frame="1"/>
          <w:lang w:eastAsia="en-GB"/>
        </w:rPr>
        <w:t>Inclusive education</w:t>
      </w:r>
      <w:r w:rsidR="00090622" w:rsidRPr="00090622">
        <w:rPr>
          <w:rFonts w:eastAsia="Times New Roman" w:cs="Times New Roman"/>
          <w:color w:val="333333"/>
          <w:shd w:val="clear" w:color="auto" w:fill="FFFFFF"/>
          <w:lang w:eastAsia="en-GB"/>
        </w:rPr>
        <w:t> is when all students, regardless of any challenges they may have, are placed in age-appropriate general education classes</w:t>
      </w:r>
      <w:r w:rsidR="00090622">
        <w:rPr>
          <w:rFonts w:eastAsia="Times New Roman" w:cs="Times New Roman"/>
          <w:color w:val="333333"/>
          <w:shd w:val="clear" w:color="auto" w:fill="FFFFFF"/>
          <w:lang w:eastAsia="en-GB"/>
        </w:rPr>
        <w:t xml:space="preserve">’ (Room 241, 2017). </w:t>
      </w:r>
      <w:r w:rsidR="00A26525">
        <w:rPr>
          <w:rFonts w:eastAsia="Times New Roman" w:cs="Times New Roman"/>
          <w:color w:val="333333"/>
          <w:shd w:val="clear" w:color="auto" w:fill="FFFFFF"/>
          <w:lang w:eastAsia="en-GB"/>
        </w:rPr>
        <w:t xml:space="preserve">According to Cambridge University Press (2017), In order to create an ‘inclusive’ </w:t>
      </w:r>
      <w:r w:rsidR="005963A4">
        <w:rPr>
          <w:rFonts w:eastAsia="Times New Roman" w:cs="Times New Roman"/>
          <w:color w:val="333333"/>
          <w:shd w:val="clear" w:color="auto" w:fill="FFFFFF"/>
          <w:lang w:eastAsia="en-GB"/>
        </w:rPr>
        <w:t xml:space="preserve">education </w:t>
      </w:r>
      <w:r w:rsidR="00A26525">
        <w:rPr>
          <w:rFonts w:eastAsia="Times New Roman" w:cs="Times New Roman"/>
          <w:color w:val="333333"/>
          <w:shd w:val="clear" w:color="auto" w:fill="FFFFFF"/>
          <w:lang w:eastAsia="en-GB"/>
        </w:rPr>
        <w:t xml:space="preserve">there are crucial factors that need to be considered. These factors include a support and respective environment, high expectations of all students (QTS standards) and the planning of sessions including all students. </w:t>
      </w:r>
    </w:p>
    <w:p w14:paraId="4BA3EA4F" w14:textId="6A60C678" w:rsidR="005963A4" w:rsidRDefault="005963A4" w:rsidP="00090622">
      <w:pPr>
        <w:rPr>
          <w:rFonts w:eastAsia="Times New Roman" w:cs="Times New Roman"/>
          <w:color w:val="333333"/>
          <w:shd w:val="clear" w:color="auto" w:fill="FFFFFF"/>
          <w:lang w:eastAsia="en-GB"/>
        </w:rPr>
      </w:pPr>
    </w:p>
    <w:p w14:paraId="1DAAC768" w14:textId="2392E447" w:rsidR="005963A4" w:rsidRPr="00061AB8" w:rsidRDefault="005963A4" w:rsidP="00090622">
      <w:pPr>
        <w:rPr>
          <w:rFonts w:eastAsia="Times New Roman" w:cs="Times New Roman"/>
          <w:color w:val="333333"/>
          <w:shd w:val="clear" w:color="auto" w:fill="FFFFFF"/>
          <w:lang w:eastAsia="en-GB"/>
        </w:rPr>
      </w:pPr>
      <w:r w:rsidRPr="00061AB8">
        <w:rPr>
          <w:rFonts w:eastAsia="Times New Roman" w:cs="Times New Roman"/>
          <w:color w:val="333333"/>
          <w:shd w:val="clear" w:color="auto" w:fill="FFFFFF"/>
          <w:lang w:eastAsia="en-GB"/>
        </w:rPr>
        <w:t xml:space="preserve">My bridging experience enabled me to challenge my beliefs and gave me an opportunity to explore and experience an Inclusive classroom setting. One aspect I found very interesting was the fact that all children regardless of ability have the opportunity to suggest and plan lessons they are interested in studying. This allows all children to act as one big community and reduces the chances of children feeling left out. Other </w:t>
      </w:r>
      <w:r w:rsidR="00240420" w:rsidRPr="00061AB8">
        <w:rPr>
          <w:rFonts w:eastAsia="Times New Roman" w:cs="Times New Roman"/>
          <w:color w:val="333333"/>
          <w:shd w:val="clear" w:color="auto" w:fill="FFFFFF"/>
          <w:lang w:eastAsia="en-GB"/>
        </w:rPr>
        <w:t xml:space="preserve">features of an inclusive classroom include free periods of the day where all children can play and tackle tasks together. This has changed my belief on children being separated at all times into ability groups and made me realise that more schools are developing an ‘inclusive’ education. </w:t>
      </w:r>
    </w:p>
    <w:p w14:paraId="3496A143" w14:textId="1D25D598" w:rsidR="00240420" w:rsidRPr="00240420" w:rsidRDefault="00240420" w:rsidP="00240420">
      <w:pPr>
        <w:rPr>
          <w:rFonts w:ascii="Times New Roman" w:eastAsia="Times New Roman" w:hAnsi="Times New Roman" w:cs="Times New Roman"/>
          <w:lang w:eastAsia="en-GB"/>
        </w:rPr>
      </w:pPr>
      <w:r w:rsidRPr="00061AB8">
        <w:rPr>
          <w:rFonts w:ascii="Calibri" w:eastAsia="Times New Roman" w:hAnsi="Calibri" w:cs="Times New Roman"/>
          <w:color w:val="222222"/>
          <w:shd w:val="clear" w:color="auto" w:fill="FFFFFF"/>
          <w:lang w:eastAsia="en-GB"/>
        </w:rPr>
        <w:t>An intervention often used to support inclusive education is Mantle of the Expert.</w:t>
      </w:r>
      <w:r w:rsidR="003B039C" w:rsidRPr="00061AB8">
        <w:rPr>
          <w:rFonts w:ascii="Calibri" w:eastAsia="Times New Roman" w:hAnsi="Calibri" w:cs="Times New Roman"/>
          <w:color w:val="222222"/>
          <w:shd w:val="clear" w:color="auto" w:fill="FFFFFF"/>
          <w:lang w:eastAsia="en-GB"/>
        </w:rPr>
        <w:t xml:space="preserve"> </w:t>
      </w:r>
      <w:r w:rsidRPr="00061AB8">
        <w:rPr>
          <w:rFonts w:ascii="Calibri" w:eastAsia="Times New Roman" w:hAnsi="Calibri" w:cs="Times New Roman"/>
          <w:color w:val="222222"/>
          <w:shd w:val="clear" w:color="auto" w:fill="FFFFFF"/>
          <w:lang w:eastAsia="en-GB"/>
        </w:rPr>
        <w:t xml:space="preserve">‘Mantle of the Expert is an approach that uses drama and inquiry to create meaningful and purposeful activities for learning’ (Tes, 2018). </w:t>
      </w:r>
      <w:r w:rsidR="00F168E3" w:rsidRPr="00061AB8">
        <w:rPr>
          <w:rFonts w:ascii="Calibri" w:eastAsia="Times New Roman" w:hAnsi="Calibri" w:cs="Times New Roman"/>
          <w:color w:val="222222"/>
          <w:shd w:val="clear" w:color="auto" w:fill="FFFFFF"/>
          <w:lang w:eastAsia="en-GB"/>
        </w:rPr>
        <w:t xml:space="preserve">This involves </w:t>
      </w:r>
      <w:r w:rsidR="003B039C" w:rsidRPr="00061AB8">
        <w:rPr>
          <w:rFonts w:ascii="Calibri" w:eastAsia="Times New Roman" w:hAnsi="Calibri" w:cs="Times New Roman"/>
          <w:color w:val="222222"/>
          <w:shd w:val="clear" w:color="auto" w:fill="FFFFFF"/>
          <w:lang w:eastAsia="en-GB"/>
        </w:rPr>
        <w:t>role play and helps</w:t>
      </w:r>
      <w:r w:rsidR="003B039C">
        <w:rPr>
          <w:rFonts w:ascii="Calibri" w:eastAsia="Times New Roman" w:hAnsi="Calibri" w:cs="Times New Roman"/>
          <w:color w:val="222222"/>
          <w:sz w:val="25"/>
          <w:szCs w:val="25"/>
          <w:shd w:val="clear" w:color="auto" w:fill="FFFFFF"/>
          <w:lang w:eastAsia="en-GB"/>
        </w:rPr>
        <w:t xml:space="preserve"> children </w:t>
      </w:r>
      <w:r w:rsidR="003B039C" w:rsidRPr="00061AB8">
        <w:rPr>
          <w:rFonts w:ascii="Calibri" w:eastAsia="Times New Roman" w:hAnsi="Calibri" w:cs="Times New Roman"/>
          <w:color w:val="222222"/>
          <w:shd w:val="clear" w:color="auto" w:fill="FFFFFF"/>
          <w:lang w:eastAsia="en-GB"/>
        </w:rPr>
        <w:lastRenderedPageBreak/>
        <w:t>develop problem solving skills in a pre-designed situation.</w:t>
      </w:r>
      <w:r w:rsidR="00E70D56" w:rsidRPr="00061AB8">
        <w:rPr>
          <w:rFonts w:ascii="Calibri" w:eastAsia="Times New Roman" w:hAnsi="Calibri" w:cs="Times New Roman"/>
          <w:color w:val="222222"/>
          <w:shd w:val="clear" w:color="auto" w:fill="FFFFFF"/>
          <w:lang w:eastAsia="en-GB"/>
        </w:rPr>
        <w:t xml:space="preserve"> Other theories include Growth mindset, Philosophy of Children and The Leonardo Effect.</w:t>
      </w:r>
    </w:p>
    <w:p w14:paraId="47266038" w14:textId="77777777" w:rsidR="00240420" w:rsidRPr="00090622" w:rsidRDefault="00240420" w:rsidP="00090622">
      <w:pPr>
        <w:rPr>
          <w:rFonts w:ascii="Times New Roman" w:eastAsia="Times New Roman" w:hAnsi="Times New Roman" w:cs="Times New Roman"/>
          <w:lang w:eastAsia="en-GB"/>
        </w:rPr>
      </w:pPr>
    </w:p>
    <w:p w14:paraId="64F40514" w14:textId="27728E45" w:rsidR="000F46BD" w:rsidRDefault="00DE3D1E" w:rsidP="00865226">
      <w:pPr>
        <w:pStyle w:val="NormalWeb"/>
        <w:rPr>
          <w:rFonts w:asciiTheme="minorHAnsi" w:hAnsiTheme="minorHAnsi"/>
        </w:rPr>
      </w:pPr>
      <w:r>
        <w:rPr>
          <w:rFonts w:asciiTheme="minorHAnsi" w:hAnsiTheme="minorHAnsi"/>
        </w:rPr>
        <w:t xml:space="preserve">My final assumption was based on a belief that the general link between schools and their community was poor. During my bridging experience I spoke to a number of teachers and also the deputy head teacher. They discussed and stressed how important the link between the school and community actually was. Fundraising events such as sports days and bag packing within the local Tesco Extra make up a few events that raise money for the school and community.  </w:t>
      </w:r>
      <w:r w:rsidR="00E61452">
        <w:rPr>
          <w:rFonts w:asciiTheme="minorHAnsi" w:hAnsiTheme="minorHAnsi"/>
        </w:rPr>
        <w:t>I became familiar of other areas in which the school and community come together including religious aspects and also how language is enhanced.</w:t>
      </w:r>
      <w:r w:rsidR="002872F2">
        <w:rPr>
          <w:rFonts w:asciiTheme="minorHAnsi" w:hAnsiTheme="minorHAnsi"/>
        </w:rPr>
        <w:t xml:space="preserve"> These activities included regular trips to the local church and also frequent Welsh lessons at the local Library. </w:t>
      </w:r>
      <w:r w:rsidR="00904F54">
        <w:rPr>
          <w:rFonts w:asciiTheme="minorHAnsi" w:hAnsiTheme="minorHAnsi"/>
        </w:rPr>
        <w:t>Social and</w:t>
      </w:r>
      <w:r w:rsidR="00061AB8">
        <w:rPr>
          <w:rFonts w:asciiTheme="minorHAnsi" w:hAnsiTheme="minorHAnsi"/>
        </w:rPr>
        <w:t xml:space="preserve"> cultural interventions were also strongly displayed throughout my bridging experiences. Social activities included talks with local PCSO’s, the schools Learning street and also an accessible online website for everyone to explore. Cultural interventions included the celebrations of Christmas, Easter and also Saint David’s Day. </w:t>
      </w:r>
      <w:r>
        <w:rPr>
          <w:rFonts w:asciiTheme="minorHAnsi" w:hAnsiTheme="minorHAnsi"/>
        </w:rPr>
        <w:t xml:space="preserve">It was clear from this point that the relationship between my bridging school and the community was crucial in the construction of a better community. </w:t>
      </w:r>
    </w:p>
    <w:p w14:paraId="751D0841" w14:textId="77777777" w:rsidR="000F46BD" w:rsidRDefault="000F46BD" w:rsidP="00865226">
      <w:pPr>
        <w:pStyle w:val="NormalWeb"/>
        <w:rPr>
          <w:rFonts w:asciiTheme="minorHAnsi" w:hAnsiTheme="minorHAnsi"/>
        </w:rPr>
      </w:pPr>
    </w:p>
    <w:p w14:paraId="2DDF7840" w14:textId="77777777" w:rsidR="000F46BD" w:rsidRDefault="000F46BD" w:rsidP="00865226">
      <w:pPr>
        <w:pStyle w:val="NormalWeb"/>
        <w:rPr>
          <w:rFonts w:asciiTheme="minorHAnsi" w:hAnsiTheme="minorHAnsi"/>
        </w:rPr>
      </w:pPr>
    </w:p>
    <w:p w14:paraId="4BA67015" w14:textId="77777777" w:rsidR="000F46BD" w:rsidRDefault="000F46BD" w:rsidP="00865226">
      <w:pPr>
        <w:pStyle w:val="NormalWeb"/>
        <w:rPr>
          <w:rFonts w:asciiTheme="minorHAnsi" w:hAnsiTheme="minorHAnsi"/>
        </w:rPr>
      </w:pPr>
    </w:p>
    <w:p w14:paraId="47052602" w14:textId="3A1693B9" w:rsidR="003549C1" w:rsidRDefault="000F46BD" w:rsidP="00865226">
      <w:pPr>
        <w:pStyle w:val="NormalWeb"/>
        <w:rPr>
          <w:rFonts w:asciiTheme="minorHAnsi" w:hAnsiTheme="minorHAnsi" w:cs="Arial"/>
          <w:bCs/>
          <w:iCs/>
          <w:color w:val="000000" w:themeColor="text1"/>
          <w:lang w:val="en-IE"/>
        </w:rPr>
      </w:pPr>
      <w:r>
        <w:rPr>
          <w:rFonts w:asciiTheme="minorHAnsi" w:hAnsiTheme="minorHAnsi"/>
        </w:rPr>
        <w:t xml:space="preserve">In conclusion to my findings I have decided to form a series of targets that are linked to the Professional Standards of Teaching and Leadership. These targets will be used to insert what I have learnt into practise and into my teaching. </w:t>
      </w:r>
      <w:r w:rsidR="00AF03B9">
        <w:rPr>
          <w:rFonts w:asciiTheme="minorHAnsi" w:hAnsiTheme="minorHAnsi"/>
        </w:rPr>
        <w:t xml:space="preserve">The first target I aim to set and achieve </w:t>
      </w:r>
      <w:r w:rsidR="00D95BF6">
        <w:rPr>
          <w:rFonts w:asciiTheme="minorHAnsi" w:hAnsiTheme="minorHAnsi"/>
        </w:rPr>
        <w:t>involves ‘</w:t>
      </w:r>
      <w:r w:rsidR="00D95BF6" w:rsidRPr="00D95BF6">
        <w:rPr>
          <w:rFonts w:asciiTheme="minorHAnsi" w:hAnsiTheme="minorHAnsi" w:cs="Arial"/>
          <w:bCs/>
          <w:iCs/>
          <w:color w:val="000000"/>
          <w:lang w:val="en-IE"/>
        </w:rPr>
        <w:t>the importance and clearly demonstrates the effective establishment and on-going management of the learning environment</w:t>
      </w:r>
      <w:r w:rsidR="00D95BF6" w:rsidRPr="00D95BF6">
        <w:rPr>
          <w:rFonts w:asciiTheme="minorHAnsi" w:hAnsiTheme="minorHAnsi" w:cs="Arial"/>
          <w:bCs/>
          <w:iCs/>
          <w:color w:val="000000"/>
          <w:lang w:val="en-IE"/>
        </w:rPr>
        <w:t xml:space="preserve">’ </w:t>
      </w:r>
      <w:r w:rsidR="00D95BF6" w:rsidRPr="00E4173B">
        <w:rPr>
          <w:rFonts w:asciiTheme="minorHAnsi" w:hAnsiTheme="minorHAnsi" w:cs="Arial"/>
          <w:bCs/>
          <w:iCs/>
          <w:color w:val="000000" w:themeColor="text1"/>
          <w:lang w:val="en-IE"/>
        </w:rPr>
        <w:t>(</w:t>
      </w:r>
      <w:r w:rsidR="00E4173B" w:rsidRPr="00E4173B">
        <w:rPr>
          <w:rFonts w:asciiTheme="minorHAnsi" w:hAnsiTheme="minorHAnsi" w:cs="Arial"/>
          <w:bCs/>
          <w:iCs/>
          <w:color w:val="000000" w:themeColor="text1"/>
          <w:lang w:val="en-IE"/>
        </w:rPr>
        <w:t>Professional Standards of Teaching and Leadership</w:t>
      </w:r>
      <w:r w:rsidR="00D95BF6" w:rsidRPr="00E4173B">
        <w:rPr>
          <w:rFonts w:asciiTheme="minorHAnsi" w:hAnsiTheme="minorHAnsi" w:cs="Arial"/>
          <w:bCs/>
          <w:iCs/>
          <w:color w:val="000000" w:themeColor="text1"/>
          <w:lang w:val="en-IE"/>
        </w:rPr>
        <w:t xml:space="preserve">). </w:t>
      </w:r>
      <w:r w:rsidR="00D95BF6">
        <w:rPr>
          <w:rFonts w:asciiTheme="minorHAnsi" w:hAnsiTheme="minorHAnsi" w:cs="Arial"/>
          <w:bCs/>
          <w:iCs/>
          <w:color w:val="000000" w:themeColor="text1"/>
          <w:lang w:val="en-IE"/>
        </w:rPr>
        <w:t xml:space="preserve">After experiencing the role the community has within the development of a student, I feel this aim is a valuable and crucial aim to focus on. I aim to use the community resources as much as possible as seen in my bridging school. </w:t>
      </w:r>
    </w:p>
    <w:p w14:paraId="304D4A18" w14:textId="6B750CEC" w:rsidR="000D7B7C" w:rsidRDefault="00D95BF6" w:rsidP="00865226">
      <w:pPr>
        <w:pStyle w:val="NormalWeb"/>
        <w:rPr>
          <w:rFonts w:asciiTheme="minorHAnsi" w:hAnsiTheme="minorHAnsi" w:cs="Arial"/>
          <w:bCs/>
          <w:iCs/>
          <w:color w:val="000000" w:themeColor="text1"/>
          <w:lang w:val="en-IE"/>
        </w:rPr>
      </w:pPr>
      <w:r>
        <w:rPr>
          <w:rFonts w:asciiTheme="minorHAnsi" w:hAnsiTheme="minorHAnsi" w:cs="Arial"/>
          <w:bCs/>
          <w:iCs/>
          <w:color w:val="000000" w:themeColor="text1"/>
          <w:lang w:val="en-IE"/>
        </w:rPr>
        <w:t>My next target is</w:t>
      </w:r>
      <w:r w:rsidR="00E4173B">
        <w:rPr>
          <w:rFonts w:asciiTheme="minorHAnsi" w:hAnsiTheme="minorHAnsi" w:cs="Arial"/>
          <w:bCs/>
          <w:iCs/>
          <w:color w:val="000000" w:themeColor="text1"/>
          <w:lang w:val="en-IE"/>
        </w:rPr>
        <w:t xml:space="preserve"> related to </w:t>
      </w:r>
      <w:r w:rsidR="00797600">
        <w:rPr>
          <w:rFonts w:asciiTheme="minorHAnsi" w:hAnsiTheme="minorHAnsi" w:cs="Arial"/>
          <w:bCs/>
          <w:iCs/>
          <w:color w:val="000000" w:themeColor="text1"/>
          <w:lang w:val="en-IE"/>
        </w:rPr>
        <w:t>involve the parents/guardians with the child’s education. Not only will this result in the child’s development increasing at a faster pace but it will give parents a responsibility to help their child which can also enhance the parents knowledge.</w:t>
      </w:r>
      <w:r w:rsidR="00797600" w:rsidRPr="00797600">
        <w:rPr>
          <w:rFonts w:ascii="Arial" w:hAnsi="Arial" w:cs="Arial"/>
          <w:bCs/>
          <w:i/>
          <w:color w:val="000000"/>
          <w:sz w:val="20"/>
          <w:szCs w:val="20"/>
        </w:rPr>
        <w:t xml:space="preserve"> </w:t>
      </w:r>
      <w:r w:rsidR="00797600" w:rsidRPr="00797600">
        <w:rPr>
          <w:rFonts w:asciiTheme="minorHAnsi" w:hAnsiTheme="minorHAnsi" w:cs="Arial"/>
          <w:bCs/>
          <w:i/>
          <w:color w:val="000000"/>
        </w:rPr>
        <w:t>‘</w:t>
      </w:r>
      <w:r w:rsidR="00797600" w:rsidRPr="00797600">
        <w:rPr>
          <w:rFonts w:asciiTheme="minorHAnsi" w:hAnsiTheme="minorHAnsi" w:cstheme="majorHAnsi"/>
          <w:bCs/>
          <w:iCs/>
          <w:color w:val="000000"/>
        </w:rPr>
        <w:t>The importance of positive parent/carer involvement is clearly understood and opportunities</w:t>
      </w:r>
      <w:r w:rsidR="00797600" w:rsidRPr="00797600">
        <w:rPr>
          <w:rFonts w:asciiTheme="minorHAnsi" w:hAnsiTheme="minorHAnsi" w:cstheme="majorHAnsi"/>
          <w:bCs/>
          <w:iCs/>
          <w:color w:val="000000"/>
        </w:rPr>
        <w:t>’</w:t>
      </w:r>
      <w:r w:rsidR="00797600">
        <w:rPr>
          <w:rFonts w:asciiTheme="minorHAnsi" w:hAnsiTheme="minorHAnsi" w:cstheme="majorHAnsi"/>
          <w:bCs/>
          <w:iCs/>
          <w:color w:val="000000"/>
        </w:rPr>
        <w:t xml:space="preserve"> </w:t>
      </w:r>
      <w:r w:rsidR="00797600" w:rsidRPr="00E4173B">
        <w:rPr>
          <w:rFonts w:asciiTheme="minorHAnsi" w:hAnsiTheme="minorHAnsi" w:cs="Arial"/>
          <w:bCs/>
          <w:iCs/>
          <w:color w:val="000000" w:themeColor="text1"/>
          <w:lang w:val="en-IE"/>
        </w:rPr>
        <w:t>(Professional Standards of Teaching and Leadership)</w:t>
      </w:r>
      <w:r w:rsidR="00797600">
        <w:rPr>
          <w:rFonts w:asciiTheme="minorHAnsi" w:hAnsiTheme="minorHAnsi" w:cs="Arial"/>
          <w:bCs/>
          <w:iCs/>
          <w:color w:val="000000" w:themeColor="text1"/>
          <w:lang w:val="en-IE"/>
        </w:rPr>
        <w:t>.</w:t>
      </w:r>
      <w:r w:rsidR="000D7B7C">
        <w:rPr>
          <w:rFonts w:asciiTheme="minorHAnsi" w:hAnsiTheme="minorHAnsi" w:cs="Arial"/>
          <w:bCs/>
          <w:iCs/>
          <w:color w:val="000000" w:themeColor="text1"/>
          <w:lang w:val="en-IE"/>
        </w:rPr>
        <w:t xml:space="preserve"> I aim to involve the parents/guardians in the same manner as my bridging school did which was through a range of applications, quizzes and books and activities. </w:t>
      </w:r>
    </w:p>
    <w:p w14:paraId="047DB179" w14:textId="109E7EFD" w:rsidR="0036366B" w:rsidRDefault="00D04C02" w:rsidP="00865226">
      <w:pPr>
        <w:pStyle w:val="NormalWeb"/>
        <w:rPr>
          <w:rFonts w:asciiTheme="minorHAnsi" w:hAnsiTheme="minorHAnsi" w:cs="Arial"/>
          <w:bCs/>
          <w:iCs/>
          <w:color w:val="000000" w:themeColor="text1"/>
          <w:lang w:val="en-IE"/>
        </w:rPr>
      </w:pPr>
      <w:r w:rsidRPr="00D04C02">
        <w:rPr>
          <w:rFonts w:asciiTheme="minorHAnsi" w:hAnsiTheme="minorHAnsi" w:cstheme="majorHAnsi"/>
          <w:bCs/>
          <w:iCs/>
          <w:color w:val="000000" w:themeColor="text1"/>
          <w:lang w:val="en-IE"/>
        </w:rPr>
        <w:t>‘</w:t>
      </w:r>
      <w:r w:rsidRPr="00D04C02">
        <w:rPr>
          <w:rFonts w:asciiTheme="minorHAnsi" w:hAnsiTheme="minorHAnsi" w:cstheme="majorHAnsi"/>
          <w:bCs/>
          <w:iCs/>
          <w:color w:val="000000" w:themeColor="text1"/>
          <w:lang w:val="en-IE"/>
        </w:rPr>
        <w:t>The student-teacher is committed to providing appropriate levels of challenge and expectations for the range of student abilities and characteristics, highly motivating learners to achieve</w:t>
      </w:r>
      <w:r w:rsidRPr="00D04C02">
        <w:rPr>
          <w:rFonts w:asciiTheme="minorHAnsi" w:hAnsiTheme="minorHAnsi" w:cstheme="majorHAnsi"/>
          <w:bCs/>
          <w:iCs/>
          <w:color w:val="000000" w:themeColor="text1"/>
          <w:lang w:val="en-IE"/>
        </w:rPr>
        <w:t>’</w:t>
      </w:r>
      <w:r>
        <w:rPr>
          <w:rFonts w:asciiTheme="minorHAnsi" w:hAnsiTheme="minorHAnsi" w:cstheme="majorHAnsi"/>
          <w:bCs/>
          <w:iCs/>
          <w:color w:val="000000" w:themeColor="text1"/>
          <w:lang w:val="en-IE"/>
        </w:rPr>
        <w:t>(Professional Standards of Teaching and Leadership)</w:t>
      </w:r>
      <w:r w:rsidRPr="00D04C02">
        <w:rPr>
          <w:rFonts w:asciiTheme="minorHAnsi" w:hAnsiTheme="minorHAnsi" w:cs="Arial"/>
          <w:bCs/>
          <w:i/>
          <w:color w:val="000000" w:themeColor="text1"/>
          <w:sz w:val="20"/>
          <w:szCs w:val="20"/>
          <w:lang w:val="en-IE"/>
        </w:rPr>
        <w:t>.</w:t>
      </w:r>
      <w:r w:rsidR="0036366B" w:rsidRPr="00D04C02">
        <w:rPr>
          <w:rFonts w:asciiTheme="minorHAnsi" w:hAnsiTheme="minorHAnsi" w:cs="Arial"/>
          <w:bCs/>
          <w:iCs/>
          <w:color w:val="000000" w:themeColor="text1"/>
          <w:lang w:val="en-IE"/>
        </w:rPr>
        <w:t xml:space="preserve">My final target that I aim to take into my teaching is in challenging and in </w:t>
      </w:r>
      <w:r w:rsidR="0036366B">
        <w:rPr>
          <w:rFonts w:asciiTheme="minorHAnsi" w:hAnsiTheme="minorHAnsi" w:cs="Arial"/>
          <w:bCs/>
          <w:iCs/>
          <w:color w:val="000000" w:themeColor="text1"/>
          <w:lang w:val="en-IE"/>
        </w:rPr>
        <w:t xml:space="preserve">expectations. I feel that challenging and experimenting within the classroom will not only test the child’s ability and open up areas </w:t>
      </w:r>
      <w:r w:rsidR="0036366B">
        <w:rPr>
          <w:rFonts w:asciiTheme="minorHAnsi" w:hAnsiTheme="minorHAnsi" w:cs="Arial"/>
          <w:bCs/>
          <w:iCs/>
          <w:color w:val="000000" w:themeColor="text1"/>
          <w:lang w:val="en-IE"/>
        </w:rPr>
        <w:lastRenderedPageBreak/>
        <w:t xml:space="preserve">for improvement but it can also be used as a tool for motivating the pupils to succeed. Children can then be rewarded via internal (Congratulated, recognition in assemblies) and external rewards (Stickers, Class Dojo points). </w:t>
      </w:r>
    </w:p>
    <w:p w14:paraId="3D09A8C9" w14:textId="77777777" w:rsidR="000D7B7C" w:rsidRPr="000D7B7C" w:rsidRDefault="000D7B7C" w:rsidP="00865226">
      <w:pPr>
        <w:pStyle w:val="NormalWeb"/>
        <w:rPr>
          <w:rFonts w:asciiTheme="minorHAnsi" w:hAnsiTheme="minorHAnsi" w:cs="Arial"/>
          <w:bCs/>
          <w:iCs/>
          <w:color w:val="000000" w:themeColor="text1"/>
          <w:lang w:val="en-IE"/>
        </w:rPr>
      </w:pPr>
    </w:p>
    <w:p w14:paraId="6AE02E9E" w14:textId="551CC9C3" w:rsidR="000F46BD" w:rsidRDefault="000F46BD">
      <w:pPr>
        <w:rPr>
          <w:rFonts w:asciiTheme="majorHAnsi" w:eastAsia="Times New Roman" w:hAnsiTheme="majorHAnsi" w:cstheme="majorHAnsi"/>
          <w:caps/>
          <w:sz w:val="20"/>
          <w:szCs w:val="20"/>
          <w:lang w:eastAsia="en-GB"/>
        </w:rPr>
      </w:pPr>
      <w:r>
        <w:rPr>
          <w:rFonts w:asciiTheme="majorHAnsi" w:eastAsia="Times New Roman" w:hAnsiTheme="majorHAnsi" w:cstheme="majorHAnsi"/>
          <w:caps/>
          <w:sz w:val="20"/>
          <w:szCs w:val="20"/>
          <w:lang w:eastAsia="en-GB"/>
        </w:rPr>
        <w:br w:type="page"/>
      </w:r>
    </w:p>
    <w:p w14:paraId="4C752338" w14:textId="77777777" w:rsidR="00E27C5A" w:rsidRPr="000F46BD" w:rsidRDefault="00E27C5A" w:rsidP="00337331">
      <w:pPr>
        <w:rPr>
          <w:rFonts w:asciiTheme="majorHAnsi" w:eastAsia="Times New Roman" w:hAnsiTheme="majorHAnsi" w:cstheme="majorHAnsi"/>
          <w:caps/>
          <w:sz w:val="20"/>
          <w:szCs w:val="20"/>
          <w:lang w:eastAsia="en-GB"/>
        </w:rPr>
      </w:pPr>
    </w:p>
    <w:p w14:paraId="27021DFD" w14:textId="7C367000" w:rsidR="00E27C5A" w:rsidRDefault="00E27C5A" w:rsidP="00337331">
      <w:pPr>
        <w:rPr>
          <w:rFonts w:ascii="Helvetica" w:eastAsia="Times New Roman" w:hAnsi="Helvetica" w:cs="Times New Roman"/>
          <w:caps/>
          <w:sz w:val="20"/>
          <w:szCs w:val="20"/>
          <w:lang w:eastAsia="en-GB"/>
        </w:rPr>
      </w:pPr>
    </w:p>
    <w:p w14:paraId="5445C578" w14:textId="13B57BF1" w:rsidR="00E27C5A" w:rsidRDefault="00E27C5A" w:rsidP="00337331">
      <w:pPr>
        <w:rPr>
          <w:rFonts w:ascii="Helvetica" w:eastAsia="Times New Roman" w:hAnsi="Helvetica" w:cs="Times New Roman"/>
          <w:caps/>
          <w:sz w:val="20"/>
          <w:szCs w:val="20"/>
          <w:lang w:eastAsia="en-GB"/>
        </w:rPr>
      </w:pPr>
    </w:p>
    <w:p w14:paraId="34607CE1" w14:textId="74A3A3A5" w:rsidR="00E27C5A" w:rsidRDefault="00E27C5A" w:rsidP="00337331">
      <w:pPr>
        <w:rPr>
          <w:rFonts w:ascii="Helvetica" w:eastAsia="Times New Roman" w:hAnsi="Helvetica" w:cs="Times New Roman"/>
          <w:caps/>
          <w:sz w:val="20"/>
          <w:szCs w:val="20"/>
          <w:lang w:eastAsia="en-GB"/>
        </w:rPr>
      </w:pPr>
    </w:p>
    <w:p w14:paraId="44C9DDF6" w14:textId="77777777" w:rsidR="00E27C5A" w:rsidRPr="000510E0" w:rsidRDefault="00E27C5A" w:rsidP="00337331">
      <w:pPr>
        <w:rPr>
          <w:sz w:val="22"/>
          <w:szCs w:val="22"/>
        </w:rPr>
      </w:pPr>
    </w:p>
    <w:p w14:paraId="35B254F1" w14:textId="4611878E" w:rsidR="00173079" w:rsidRDefault="00173079">
      <w:r>
        <w:br w:type="page"/>
      </w:r>
    </w:p>
    <w:p w14:paraId="61E6E3EA" w14:textId="138AAB6B" w:rsidR="00337331" w:rsidRDefault="00173079" w:rsidP="00337331">
      <w:pPr>
        <w:rPr>
          <w:b/>
          <w:bCs/>
          <w:u w:val="single"/>
        </w:rPr>
      </w:pPr>
      <w:r w:rsidRPr="00173079">
        <w:rPr>
          <w:b/>
          <w:bCs/>
          <w:u w:val="single"/>
        </w:rPr>
        <w:lastRenderedPageBreak/>
        <w:t xml:space="preserve">References </w:t>
      </w:r>
    </w:p>
    <w:p w14:paraId="49DEF2CD" w14:textId="2A7C47F0" w:rsidR="008E4723" w:rsidRDefault="008E4723" w:rsidP="00337331">
      <w:pPr>
        <w:rPr>
          <w:b/>
          <w:bCs/>
          <w:u w:val="single"/>
        </w:rPr>
      </w:pPr>
    </w:p>
    <w:p w14:paraId="438B545A" w14:textId="40E11F7F" w:rsidR="008E4723" w:rsidRDefault="008E4723" w:rsidP="008E4723">
      <w:pPr>
        <w:pStyle w:val="Heading1"/>
        <w:spacing w:before="0"/>
        <w:rPr>
          <w:rFonts w:asciiTheme="minorHAnsi" w:hAnsiTheme="minorHAnsi"/>
          <w:color w:val="000000"/>
          <w:sz w:val="24"/>
          <w:szCs w:val="24"/>
        </w:rPr>
      </w:pPr>
      <w:proofErr w:type="spellStart"/>
      <w:r w:rsidRPr="008E4723">
        <w:rPr>
          <w:rFonts w:asciiTheme="minorHAnsi" w:hAnsiTheme="minorHAnsi"/>
          <w:color w:val="000000" w:themeColor="text1"/>
          <w:sz w:val="24"/>
          <w:szCs w:val="24"/>
        </w:rPr>
        <w:t>Mader</w:t>
      </w:r>
      <w:proofErr w:type="spellEnd"/>
      <w:r w:rsidRPr="008E4723">
        <w:rPr>
          <w:rFonts w:asciiTheme="minorHAnsi" w:hAnsiTheme="minorHAnsi"/>
          <w:color w:val="000000" w:themeColor="text1"/>
          <w:sz w:val="24"/>
          <w:szCs w:val="24"/>
        </w:rPr>
        <w:t>, J. (2017)</w:t>
      </w:r>
      <w:r w:rsidRPr="008E4723">
        <w:rPr>
          <w:color w:val="000000" w:themeColor="text1"/>
          <w:sz w:val="24"/>
          <w:szCs w:val="24"/>
        </w:rPr>
        <w:t xml:space="preserve"> </w:t>
      </w:r>
      <w:r>
        <w:rPr>
          <w:color w:val="000000" w:themeColor="text1"/>
          <w:sz w:val="24"/>
          <w:szCs w:val="24"/>
        </w:rPr>
        <w:t>‘</w:t>
      </w:r>
      <w:r w:rsidRPr="008E4723">
        <w:rPr>
          <w:rFonts w:asciiTheme="minorHAnsi" w:hAnsiTheme="minorHAnsi"/>
          <w:color w:val="000000"/>
          <w:sz w:val="24"/>
          <w:szCs w:val="24"/>
        </w:rPr>
        <w:t>How Teacher Training Hinders Special-Needs Students</w:t>
      </w:r>
      <w:r>
        <w:rPr>
          <w:rFonts w:asciiTheme="minorHAnsi" w:hAnsiTheme="minorHAnsi"/>
          <w:color w:val="000000"/>
          <w:sz w:val="24"/>
          <w:szCs w:val="24"/>
        </w:rPr>
        <w:t xml:space="preserve">’, </w:t>
      </w:r>
      <w:r w:rsidRPr="00C95442">
        <w:rPr>
          <w:rFonts w:asciiTheme="minorHAnsi" w:hAnsiTheme="minorHAnsi"/>
          <w:i/>
          <w:iCs/>
          <w:color w:val="000000"/>
          <w:sz w:val="24"/>
          <w:szCs w:val="24"/>
        </w:rPr>
        <w:t>The Atlantic</w:t>
      </w:r>
      <w:r w:rsidR="00C95442">
        <w:rPr>
          <w:rFonts w:asciiTheme="minorHAnsi" w:hAnsiTheme="minorHAnsi"/>
          <w:i/>
          <w:iCs/>
          <w:color w:val="000000"/>
          <w:sz w:val="24"/>
          <w:szCs w:val="24"/>
        </w:rPr>
        <w:t xml:space="preserve">, </w:t>
      </w:r>
      <w:r w:rsidR="00C95442" w:rsidRPr="00C95442">
        <w:rPr>
          <w:rFonts w:asciiTheme="minorHAnsi" w:hAnsiTheme="minorHAnsi"/>
          <w:color w:val="000000"/>
          <w:sz w:val="24"/>
          <w:szCs w:val="24"/>
        </w:rPr>
        <w:t>March 1</w:t>
      </w:r>
      <w:proofErr w:type="gramStart"/>
      <w:r w:rsidR="00C95442" w:rsidRPr="00C95442">
        <w:rPr>
          <w:rFonts w:asciiTheme="minorHAnsi" w:hAnsiTheme="minorHAnsi"/>
          <w:color w:val="000000"/>
          <w:sz w:val="24"/>
          <w:szCs w:val="24"/>
          <w:vertAlign w:val="superscript"/>
        </w:rPr>
        <w:t>st</w:t>
      </w:r>
      <w:r w:rsidR="00C95442">
        <w:rPr>
          <w:rFonts w:asciiTheme="minorHAnsi" w:hAnsiTheme="minorHAnsi"/>
          <w:i/>
          <w:iCs/>
          <w:color w:val="000000"/>
          <w:sz w:val="24"/>
          <w:szCs w:val="24"/>
        </w:rPr>
        <w:t xml:space="preserve"> </w:t>
      </w:r>
      <w:r w:rsidR="00C95442">
        <w:rPr>
          <w:rFonts w:asciiTheme="minorHAnsi" w:hAnsiTheme="minorHAnsi"/>
          <w:color w:val="000000"/>
          <w:sz w:val="24"/>
          <w:szCs w:val="24"/>
        </w:rPr>
        <w:t>.</w:t>
      </w:r>
      <w:proofErr w:type="gramEnd"/>
      <w:r w:rsidR="00C95442">
        <w:rPr>
          <w:rFonts w:asciiTheme="minorHAnsi" w:hAnsiTheme="minorHAnsi"/>
          <w:color w:val="000000"/>
          <w:sz w:val="24"/>
          <w:szCs w:val="24"/>
        </w:rPr>
        <w:t xml:space="preserve"> Available at: </w:t>
      </w:r>
      <w:hyperlink r:id="rId9" w:history="1">
        <w:r w:rsidR="00C95442" w:rsidRPr="00D55DD5">
          <w:rPr>
            <w:rStyle w:val="Hyperlink"/>
            <w:rFonts w:asciiTheme="minorHAnsi" w:hAnsiTheme="minorHAnsi"/>
            <w:sz w:val="24"/>
            <w:szCs w:val="24"/>
          </w:rPr>
          <w:t>https://www.theatlantic.com/education/archive/2017/03/how-teacher-training-hinders-special-needs-students/518286/</w:t>
        </w:r>
      </w:hyperlink>
      <w:r w:rsidR="00C95442">
        <w:rPr>
          <w:rFonts w:asciiTheme="minorHAnsi" w:hAnsiTheme="minorHAnsi"/>
          <w:color w:val="000000"/>
          <w:sz w:val="24"/>
          <w:szCs w:val="24"/>
        </w:rPr>
        <w:t>. (Accessed 4</w:t>
      </w:r>
      <w:r w:rsidR="00C95442" w:rsidRPr="00C95442">
        <w:rPr>
          <w:rFonts w:asciiTheme="minorHAnsi" w:hAnsiTheme="minorHAnsi"/>
          <w:color w:val="000000"/>
          <w:sz w:val="24"/>
          <w:szCs w:val="24"/>
          <w:vertAlign w:val="superscript"/>
        </w:rPr>
        <w:t>th</w:t>
      </w:r>
      <w:r w:rsidR="00C95442">
        <w:rPr>
          <w:rFonts w:asciiTheme="minorHAnsi" w:hAnsiTheme="minorHAnsi"/>
          <w:color w:val="000000"/>
          <w:sz w:val="24"/>
          <w:szCs w:val="24"/>
        </w:rPr>
        <w:t xml:space="preserve"> February 2020)</w:t>
      </w:r>
    </w:p>
    <w:p w14:paraId="17822C2C" w14:textId="77E55013" w:rsidR="00DD4D86" w:rsidRDefault="00DD4D86" w:rsidP="00DD4D86"/>
    <w:p w14:paraId="54F3F3F6" w14:textId="4B9DB299" w:rsidR="00F56CBD" w:rsidRDefault="00F56CBD" w:rsidP="00F56CBD">
      <w:pPr>
        <w:rPr>
          <w:rFonts w:eastAsiaTheme="minorEastAsia" w:hAnsi="Calibri"/>
          <w:color w:val="000000" w:themeColor="text1"/>
          <w:kern w:val="24"/>
          <w:lang w:val="en-US" w:eastAsia="en-GB"/>
        </w:rPr>
      </w:pPr>
      <w:r>
        <w:t xml:space="preserve">Department of Pupils, Schools and Families (2009) </w:t>
      </w:r>
      <w:r w:rsidRPr="00F56CBD">
        <w:rPr>
          <w:i/>
          <w:iCs/>
        </w:rPr>
        <w:t>Deprivation and Education</w:t>
      </w:r>
      <w:r>
        <w:rPr>
          <w:i/>
          <w:iCs/>
        </w:rPr>
        <w:t xml:space="preserve">. </w:t>
      </w:r>
      <w:r>
        <w:t>Available at:</w:t>
      </w:r>
      <w:r w:rsidRPr="00F56CBD">
        <w:rPr>
          <w:rFonts w:eastAsiaTheme="minorEastAsia" w:hAnsi="Calibri"/>
          <w:color w:val="000000" w:themeColor="text1"/>
          <w:kern w:val="24"/>
          <w:sz w:val="36"/>
          <w:szCs w:val="36"/>
          <w:lang w:val="en-US" w:eastAsia="en-GB"/>
        </w:rPr>
        <w:t xml:space="preserve"> </w:t>
      </w:r>
      <w:hyperlink r:id="rId10" w:history="1">
        <w:r w:rsidRPr="00D55DD5">
          <w:rPr>
            <w:rStyle w:val="Hyperlink"/>
            <w:rFonts w:eastAsiaTheme="minorEastAsia" w:hAnsi="Calibri"/>
            <w:kern w:val="24"/>
            <w:lang w:val="en-US" w:eastAsia="en-GB"/>
          </w:rPr>
          <w:t>https://dera.ioe.ac.uk/9431/1/DCSF-RTP-09-01.pdf</w:t>
        </w:r>
      </w:hyperlink>
    </w:p>
    <w:p w14:paraId="660E0F76" w14:textId="779C8C8E" w:rsidR="00F56CBD" w:rsidRDefault="00F56CBD" w:rsidP="00F56CBD">
      <w:pPr>
        <w:rPr>
          <w:rFonts w:eastAsiaTheme="minorEastAsia" w:hAnsi="Calibri"/>
          <w:color w:val="000000" w:themeColor="text1"/>
          <w:kern w:val="24"/>
          <w:lang w:val="en-US" w:eastAsia="en-GB"/>
        </w:rPr>
      </w:pPr>
      <w:r>
        <w:rPr>
          <w:rFonts w:eastAsiaTheme="minorEastAsia" w:hAnsi="Calibri"/>
          <w:color w:val="000000" w:themeColor="text1"/>
          <w:kern w:val="24"/>
          <w:lang w:val="en-US" w:eastAsia="en-GB"/>
        </w:rPr>
        <w:t>(Accessed: 4</w:t>
      </w:r>
      <w:r w:rsidRPr="00F56CBD">
        <w:rPr>
          <w:rFonts w:eastAsiaTheme="minorEastAsia" w:hAnsi="Calibri"/>
          <w:color w:val="000000" w:themeColor="text1"/>
          <w:kern w:val="24"/>
          <w:vertAlign w:val="superscript"/>
          <w:lang w:val="en-US" w:eastAsia="en-GB"/>
        </w:rPr>
        <w:t>th</w:t>
      </w:r>
      <w:r>
        <w:rPr>
          <w:rFonts w:eastAsiaTheme="minorEastAsia" w:hAnsi="Calibri"/>
          <w:color w:val="000000" w:themeColor="text1"/>
          <w:kern w:val="24"/>
          <w:lang w:val="en-US" w:eastAsia="en-GB"/>
        </w:rPr>
        <w:t xml:space="preserve"> February 2020). </w:t>
      </w:r>
    </w:p>
    <w:p w14:paraId="4BC927AF" w14:textId="75AB3195" w:rsidR="00F56CBD" w:rsidRDefault="00F56CBD" w:rsidP="00F56CBD">
      <w:pPr>
        <w:rPr>
          <w:rFonts w:eastAsiaTheme="minorEastAsia" w:hAnsi="Calibri"/>
          <w:color w:val="000000" w:themeColor="text1"/>
          <w:kern w:val="24"/>
          <w:lang w:val="en-US" w:eastAsia="en-GB"/>
        </w:rPr>
      </w:pPr>
    </w:p>
    <w:p w14:paraId="374C168E" w14:textId="421EEC61" w:rsidR="00E21BAD" w:rsidRDefault="001B7A36" w:rsidP="00F56CBD">
      <w:pPr>
        <w:rPr>
          <w:rFonts w:eastAsiaTheme="minorEastAsia" w:hAnsi="Calibri"/>
          <w:color w:val="000000" w:themeColor="text1"/>
          <w:kern w:val="24"/>
          <w:lang w:val="en-US" w:eastAsia="en-GB"/>
        </w:rPr>
      </w:pPr>
      <w:r>
        <w:rPr>
          <w:rFonts w:eastAsiaTheme="minorEastAsia" w:hAnsi="Calibri"/>
          <w:color w:val="000000" w:themeColor="text1"/>
          <w:kern w:val="24"/>
          <w:lang w:val="en-US" w:eastAsia="en-GB"/>
        </w:rPr>
        <w:t xml:space="preserve">Welsh Government (2019) </w:t>
      </w:r>
      <w:r w:rsidRPr="001B7A36">
        <w:rPr>
          <w:rFonts w:eastAsiaTheme="minorEastAsia" w:hAnsi="Calibri"/>
          <w:i/>
          <w:iCs/>
          <w:color w:val="000000" w:themeColor="text1"/>
          <w:kern w:val="24"/>
          <w:lang w:val="en-US" w:eastAsia="en-GB"/>
        </w:rPr>
        <w:t>Welsh Index of Multiple Deprivation</w:t>
      </w:r>
    </w:p>
    <w:p w14:paraId="7CE09042" w14:textId="40135A87" w:rsidR="008E4723" w:rsidRPr="00F56CBD" w:rsidRDefault="00E21BAD" w:rsidP="00337331">
      <w:r>
        <w:rPr>
          <w:rFonts w:eastAsiaTheme="minorEastAsia" w:hAnsi="Calibri"/>
          <w:color w:val="000000" w:themeColor="text1"/>
          <w:kern w:val="24"/>
          <w:lang w:val="en-US" w:eastAsia="en-GB"/>
        </w:rPr>
        <w:t xml:space="preserve">Available at:  </w:t>
      </w:r>
      <w:hyperlink r:id="rId11" w:anchor="domain=overall&amp;&amp;z=12.046666666666667&amp;lat=51.6295&amp;lng=-4.1275" w:history="1">
        <w:r w:rsidR="001B7A36" w:rsidRPr="00D55DD5">
          <w:rPr>
            <w:rStyle w:val="Hyperlink"/>
            <w:rFonts w:eastAsiaTheme="minorEastAsia" w:hAnsi="Calibri"/>
            <w:kern w:val="24"/>
            <w:lang w:val="en-US" w:eastAsia="en-GB"/>
          </w:rPr>
          <w:t>https://wimd.gov.wales/explore?lang=en#domain=overall&amp;&amp;z=12.046666666666667&amp;lat=51.6295&amp;lng=-4.1275</w:t>
        </w:r>
      </w:hyperlink>
      <w:r w:rsidR="001B7A36">
        <w:rPr>
          <w:rFonts w:eastAsiaTheme="minorEastAsia" w:hAnsi="Calibri"/>
          <w:color w:val="000000" w:themeColor="text1"/>
          <w:kern w:val="24"/>
          <w:lang w:val="en-US" w:eastAsia="en-GB"/>
        </w:rPr>
        <w:t xml:space="preserve"> (Accessed: 5</w:t>
      </w:r>
      <w:r w:rsidR="001B7A36" w:rsidRPr="001B7A36">
        <w:rPr>
          <w:rFonts w:eastAsiaTheme="minorEastAsia" w:hAnsi="Calibri"/>
          <w:color w:val="000000" w:themeColor="text1"/>
          <w:kern w:val="24"/>
          <w:vertAlign w:val="superscript"/>
          <w:lang w:val="en-US" w:eastAsia="en-GB"/>
        </w:rPr>
        <w:t>th</w:t>
      </w:r>
      <w:r w:rsidR="001B7A36">
        <w:rPr>
          <w:rFonts w:eastAsiaTheme="minorEastAsia" w:hAnsi="Calibri"/>
          <w:color w:val="000000" w:themeColor="text1"/>
          <w:kern w:val="24"/>
          <w:lang w:val="en-US" w:eastAsia="en-GB"/>
        </w:rPr>
        <w:t xml:space="preserve"> February 2020)</w:t>
      </w:r>
      <w:r w:rsidR="000B66CD">
        <w:rPr>
          <w:rFonts w:eastAsiaTheme="minorEastAsia" w:hAnsi="Calibri"/>
          <w:color w:val="000000" w:themeColor="text1"/>
          <w:kern w:val="24"/>
          <w:lang w:val="en-US" w:eastAsia="en-GB"/>
        </w:rPr>
        <w:t>.</w:t>
      </w:r>
    </w:p>
    <w:p w14:paraId="2EB97321" w14:textId="161D65BC" w:rsidR="00C95442" w:rsidRDefault="00C95442" w:rsidP="00337331"/>
    <w:p w14:paraId="60F8A2D5" w14:textId="07F06619" w:rsidR="00E21BAD" w:rsidRDefault="00BB781F" w:rsidP="00337331">
      <w:r>
        <w:t xml:space="preserve">I Live Here UK (2011) </w:t>
      </w:r>
      <w:r w:rsidRPr="00BB781F">
        <w:rPr>
          <w:i/>
          <w:iCs/>
        </w:rPr>
        <w:t>Socio-economic statistics for Swansea</w:t>
      </w:r>
    </w:p>
    <w:p w14:paraId="62BEA777" w14:textId="2391FE22" w:rsidR="00E21BAD" w:rsidRDefault="00E21BAD" w:rsidP="00337331">
      <w:r>
        <w:t xml:space="preserve">Available at : </w:t>
      </w:r>
      <w:hyperlink r:id="rId12" w:history="1">
        <w:r w:rsidR="00BB781F" w:rsidRPr="00D55DD5">
          <w:rPr>
            <w:rStyle w:val="Hyperlink"/>
          </w:rPr>
          <w:t>https://www.ilivehere.co.uk/statistics-gowerton-swansea-15161.html</w:t>
        </w:r>
      </w:hyperlink>
    </w:p>
    <w:p w14:paraId="32CF1F2A" w14:textId="20679031" w:rsidR="000B66CD" w:rsidRDefault="000B66CD" w:rsidP="00337331">
      <w:r>
        <w:t>Accessed: (06</w:t>
      </w:r>
      <w:r w:rsidRPr="000B66CD">
        <w:rPr>
          <w:vertAlign w:val="superscript"/>
        </w:rPr>
        <w:t>th</w:t>
      </w:r>
      <w:r>
        <w:t xml:space="preserve"> February 2020).</w:t>
      </w:r>
    </w:p>
    <w:p w14:paraId="34ECFEE7" w14:textId="61D887BD" w:rsidR="00BB781F" w:rsidRDefault="00BB781F" w:rsidP="00337331"/>
    <w:p w14:paraId="3A2919F9" w14:textId="0CDED21B" w:rsidR="00090622" w:rsidRDefault="00090622" w:rsidP="00337331">
      <w:r>
        <w:t>Room 241 (2017</w:t>
      </w:r>
      <w:r w:rsidRPr="00A00759">
        <w:rPr>
          <w:i/>
          <w:iCs/>
        </w:rPr>
        <w:t>) Inclusive Education: What it Means, Proven Strategies, and a Case Study</w:t>
      </w:r>
    </w:p>
    <w:p w14:paraId="5B2F0024" w14:textId="5AA5B71A" w:rsidR="00090622" w:rsidRDefault="00090622" w:rsidP="00337331">
      <w:r>
        <w:t>Available at:</w:t>
      </w:r>
    </w:p>
    <w:p w14:paraId="4ADC4AE8" w14:textId="7D05F16C" w:rsidR="00BB781F" w:rsidRDefault="00C72EC1" w:rsidP="00337331">
      <w:hyperlink r:id="rId13" w:history="1">
        <w:r w:rsidR="00090622" w:rsidRPr="00D55DD5">
          <w:rPr>
            <w:rStyle w:val="Hyperlink"/>
          </w:rPr>
          <w:t>https://education.cu-portland.edu/blog/classroom-resources/inclusive-education/</w:t>
        </w:r>
      </w:hyperlink>
    </w:p>
    <w:p w14:paraId="798DF663" w14:textId="389EDCD1" w:rsidR="00090622" w:rsidRDefault="00090622" w:rsidP="00337331">
      <w:r>
        <w:t>(Accessed</w:t>
      </w:r>
      <w:r w:rsidR="00092A79">
        <w:t>: 5</w:t>
      </w:r>
      <w:r w:rsidR="00092A79" w:rsidRPr="00092A79">
        <w:rPr>
          <w:vertAlign w:val="superscript"/>
        </w:rPr>
        <w:t>th</w:t>
      </w:r>
      <w:r w:rsidR="00092A79">
        <w:t xml:space="preserve"> February 2020). </w:t>
      </w:r>
    </w:p>
    <w:p w14:paraId="418A0D80" w14:textId="6834BD97" w:rsidR="00092A79" w:rsidRDefault="00092A79" w:rsidP="00337331"/>
    <w:p w14:paraId="652E1314" w14:textId="77777777" w:rsidR="00A00759" w:rsidRDefault="00A00759" w:rsidP="00337331"/>
    <w:p w14:paraId="13DFC5F7" w14:textId="0ABA613C" w:rsidR="00A00759" w:rsidRPr="00A00759" w:rsidRDefault="00A00759" w:rsidP="00337331">
      <w:pPr>
        <w:rPr>
          <w:i/>
          <w:iCs/>
        </w:rPr>
      </w:pPr>
      <w:r>
        <w:t xml:space="preserve">TES (2018) </w:t>
      </w:r>
      <w:r w:rsidRPr="00A00759">
        <w:rPr>
          <w:i/>
          <w:iCs/>
        </w:rPr>
        <w:t>Pedagogy Focus: Mantle of the Expert</w:t>
      </w:r>
    </w:p>
    <w:p w14:paraId="4A5A3EBE" w14:textId="60358CD6" w:rsidR="00092A79" w:rsidRDefault="00A00759" w:rsidP="00337331">
      <w:r>
        <w:t xml:space="preserve">Available at: </w:t>
      </w:r>
      <w:hyperlink r:id="rId14" w:history="1">
        <w:r w:rsidRPr="00D55DD5">
          <w:rPr>
            <w:rStyle w:val="Hyperlink"/>
          </w:rPr>
          <w:t>https://www.tes.com/news/pedagogy-focus-mantle-of-the-expert</w:t>
        </w:r>
      </w:hyperlink>
    </w:p>
    <w:p w14:paraId="12C52DA9" w14:textId="24A2AF17" w:rsidR="00A00759" w:rsidRDefault="00A00759" w:rsidP="00337331">
      <w:r>
        <w:t>(Accessed: 6</w:t>
      </w:r>
      <w:r w:rsidRPr="00A00759">
        <w:rPr>
          <w:vertAlign w:val="superscript"/>
        </w:rPr>
        <w:t>th</w:t>
      </w:r>
      <w:r>
        <w:t xml:space="preserve"> February 2020)</w:t>
      </w:r>
    </w:p>
    <w:p w14:paraId="1023C234" w14:textId="46DDFBE3" w:rsidR="00550331" w:rsidRDefault="00550331" w:rsidP="00337331"/>
    <w:p w14:paraId="7AF1F0AE" w14:textId="21B1B798" w:rsidR="00550331" w:rsidRDefault="00550331" w:rsidP="00337331">
      <w:r>
        <w:t>Professional Standards of Teaching and Leadership</w:t>
      </w:r>
    </w:p>
    <w:p w14:paraId="4D1519BE" w14:textId="1515FE89" w:rsidR="00550331" w:rsidRDefault="00550331" w:rsidP="00337331">
      <w:r>
        <w:t xml:space="preserve">Available at: </w:t>
      </w:r>
      <w:hyperlink r:id="rId15" w:history="1">
        <w:r w:rsidRPr="00D55DD5">
          <w:rPr>
            <w:rStyle w:val="Hyperlink"/>
          </w:rPr>
          <w:t>https://uowtsd-my.sharepoint.com/:w:/g/personal/1900103_student_uwtsd_ac_uk/EQH2l5dUj9dJhf4PtnJ7cMsB0ly_LTaye1glX4uhUyWPkg?e=pjdZzR</w:t>
        </w:r>
      </w:hyperlink>
      <w:r>
        <w:t>. (Accessed: 12</w:t>
      </w:r>
      <w:r w:rsidRPr="00550331">
        <w:rPr>
          <w:vertAlign w:val="superscript"/>
        </w:rPr>
        <w:t>th</w:t>
      </w:r>
      <w:r>
        <w:t xml:space="preserve"> February 2020).</w:t>
      </w:r>
    </w:p>
    <w:p w14:paraId="07D282E6" w14:textId="31F45CB7" w:rsidR="00550331" w:rsidRDefault="00550331" w:rsidP="00337331"/>
    <w:p w14:paraId="0695A3F0" w14:textId="77777777" w:rsidR="00550331" w:rsidRPr="008E4723" w:rsidRDefault="00550331" w:rsidP="00337331"/>
    <w:sectPr w:rsidR="00550331" w:rsidRPr="008E4723" w:rsidSect="00337331">
      <w:headerReference w:type="default" r:id="rId16"/>
      <w:footerReference w:type="default" r:id="rId17"/>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99E10" w14:textId="77777777" w:rsidR="00C72EC1" w:rsidRDefault="00C72EC1" w:rsidP="00337331">
      <w:r>
        <w:separator/>
      </w:r>
    </w:p>
  </w:endnote>
  <w:endnote w:type="continuationSeparator" w:id="0">
    <w:p w14:paraId="1F31F7E6" w14:textId="77777777" w:rsidR="00C72EC1" w:rsidRDefault="00C72EC1" w:rsidP="003373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1D6A6E" w14:textId="77777777" w:rsidR="00337331" w:rsidRDefault="0033733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E2B25F" w14:textId="77777777" w:rsidR="00337331" w:rsidRDefault="00337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E79E4" w14:textId="77777777" w:rsidR="00C72EC1" w:rsidRDefault="00C72EC1" w:rsidP="00337331">
      <w:r>
        <w:separator/>
      </w:r>
    </w:p>
  </w:footnote>
  <w:footnote w:type="continuationSeparator" w:id="0">
    <w:p w14:paraId="2AB18A8C" w14:textId="77777777" w:rsidR="00C72EC1" w:rsidRDefault="00C72EC1" w:rsidP="003373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AA5E1" w14:textId="4BA5DEA9" w:rsidR="00337331" w:rsidRDefault="00337331">
    <w:pPr>
      <w:pStyle w:val="Header"/>
    </w:pPr>
    <w:r>
      <w:t>Jack Hussey</w:t>
    </w:r>
  </w:p>
  <w:p w14:paraId="355BD4F5" w14:textId="09108E91" w:rsidR="00337331" w:rsidRDefault="00337331">
    <w:pPr>
      <w:pStyle w:val="Header"/>
    </w:pPr>
    <w:r>
      <w:t>1900103</w:t>
    </w:r>
  </w:p>
  <w:p w14:paraId="0F299681" w14:textId="77777777" w:rsidR="00337331" w:rsidRDefault="00337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107F9"/>
    <w:multiLevelType w:val="hybridMultilevel"/>
    <w:tmpl w:val="19820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331"/>
    <w:rsid w:val="0002421A"/>
    <w:rsid w:val="000510E0"/>
    <w:rsid w:val="00061AB8"/>
    <w:rsid w:val="00090622"/>
    <w:rsid w:val="00092A79"/>
    <w:rsid w:val="000B66CD"/>
    <w:rsid w:val="000B7A19"/>
    <w:rsid w:val="000D7B7C"/>
    <w:rsid w:val="000F46BD"/>
    <w:rsid w:val="000F46E1"/>
    <w:rsid w:val="001336DE"/>
    <w:rsid w:val="0016533D"/>
    <w:rsid w:val="00173079"/>
    <w:rsid w:val="001B7A36"/>
    <w:rsid w:val="001C571F"/>
    <w:rsid w:val="001F78D2"/>
    <w:rsid w:val="00224FBC"/>
    <w:rsid w:val="00240420"/>
    <w:rsid w:val="002872F2"/>
    <w:rsid w:val="002C1C35"/>
    <w:rsid w:val="002E1F55"/>
    <w:rsid w:val="00311A56"/>
    <w:rsid w:val="00336461"/>
    <w:rsid w:val="00337331"/>
    <w:rsid w:val="003549C1"/>
    <w:rsid w:val="00360C3C"/>
    <w:rsid w:val="0036366B"/>
    <w:rsid w:val="003B039C"/>
    <w:rsid w:val="00404836"/>
    <w:rsid w:val="004C35F2"/>
    <w:rsid w:val="00550331"/>
    <w:rsid w:val="005963A4"/>
    <w:rsid w:val="005A0579"/>
    <w:rsid w:val="005C4C89"/>
    <w:rsid w:val="005E0F37"/>
    <w:rsid w:val="005E5866"/>
    <w:rsid w:val="006A3F84"/>
    <w:rsid w:val="006C19AE"/>
    <w:rsid w:val="00783C10"/>
    <w:rsid w:val="00797600"/>
    <w:rsid w:val="007A5B28"/>
    <w:rsid w:val="007F6840"/>
    <w:rsid w:val="007F76C1"/>
    <w:rsid w:val="008204F1"/>
    <w:rsid w:val="008575C6"/>
    <w:rsid w:val="00865226"/>
    <w:rsid w:val="0088289D"/>
    <w:rsid w:val="008971F2"/>
    <w:rsid w:val="008D26D9"/>
    <w:rsid w:val="008E4723"/>
    <w:rsid w:val="00904F54"/>
    <w:rsid w:val="0095656F"/>
    <w:rsid w:val="009D2873"/>
    <w:rsid w:val="009E4910"/>
    <w:rsid w:val="00A00759"/>
    <w:rsid w:val="00A26525"/>
    <w:rsid w:val="00A30AB6"/>
    <w:rsid w:val="00A354D2"/>
    <w:rsid w:val="00A40C76"/>
    <w:rsid w:val="00A50547"/>
    <w:rsid w:val="00A542E5"/>
    <w:rsid w:val="00A777DC"/>
    <w:rsid w:val="00A926F5"/>
    <w:rsid w:val="00AF03B9"/>
    <w:rsid w:val="00AF08AC"/>
    <w:rsid w:val="00B268C4"/>
    <w:rsid w:val="00BA788D"/>
    <w:rsid w:val="00BB781F"/>
    <w:rsid w:val="00C024CB"/>
    <w:rsid w:val="00C047C2"/>
    <w:rsid w:val="00C104BD"/>
    <w:rsid w:val="00C14DD8"/>
    <w:rsid w:val="00C56C5B"/>
    <w:rsid w:val="00C72EC1"/>
    <w:rsid w:val="00C95442"/>
    <w:rsid w:val="00CA2A65"/>
    <w:rsid w:val="00CD51F2"/>
    <w:rsid w:val="00D04C02"/>
    <w:rsid w:val="00D40B8E"/>
    <w:rsid w:val="00D824AC"/>
    <w:rsid w:val="00D95BF6"/>
    <w:rsid w:val="00DD4D86"/>
    <w:rsid w:val="00DE3D1E"/>
    <w:rsid w:val="00E0408C"/>
    <w:rsid w:val="00E21BAD"/>
    <w:rsid w:val="00E27C5A"/>
    <w:rsid w:val="00E4173B"/>
    <w:rsid w:val="00E61452"/>
    <w:rsid w:val="00E70D56"/>
    <w:rsid w:val="00F103F3"/>
    <w:rsid w:val="00F168E3"/>
    <w:rsid w:val="00F2659F"/>
    <w:rsid w:val="00F332B4"/>
    <w:rsid w:val="00F42215"/>
    <w:rsid w:val="00F47E71"/>
    <w:rsid w:val="00F56CBD"/>
    <w:rsid w:val="00FB3AFD"/>
    <w:rsid w:val="00FC0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7ABDE"/>
  <w15:chartTrackingRefBased/>
  <w15:docId w15:val="{60341594-9B9A-F547-8D2E-CF4815035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7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E27C5A"/>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7331"/>
    <w:pPr>
      <w:tabs>
        <w:tab w:val="center" w:pos="4513"/>
        <w:tab w:val="right" w:pos="9026"/>
      </w:tabs>
    </w:pPr>
  </w:style>
  <w:style w:type="character" w:customStyle="1" w:styleId="HeaderChar">
    <w:name w:val="Header Char"/>
    <w:basedOn w:val="DefaultParagraphFont"/>
    <w:link w:val="Header"/>
    <w:uiPriority w:val="99"/>
    <w:rsid w:val="00337331"/>
  </w:style>
  <w:style w:type="paragraph" w:styleId="Footer">
    <w:name w:val="footer"/>
    <w:basedOn w:val="Normal"/>
    <w:link w:val="FooterChar"/>
    <w:uiPriority w:val="99"/>
    <w:unhideWhenUsed/>
    <w:rsid w:val="00337331"/>
    <w:pPr>
      <w:tabs>
        <w:tab w:val="center" w:pos="4513"/>
        <w:tab w:val="right" w:pos="9026"/>
      </w:tabs>
    </w:pPr>
  </w:style>
  <w:style w:type="character" w:customStyle="1" w:styleId="FooterChar">
    <w:name w:val="Footer Char"/>
    <w:basedOn w:val="DefaultParagraphFont"/>
    <w:link w:val="Footer"/>
    <w:uiPriority w:val="99"/>
    <w:rsid w:val="00337331"/>
  </w:style>
  <w:style w:type="character" w:customStyle="1" w:styleId="Heading4Char">
    <w:name w:val="Heading 4 Char"/>
    <w:basedOn w:val="DefaultParagraphFont"/>
    <w:link w:val="Heading4"/>
    <w:uiPriority w:val="9"/>
    <w:rsid w:val="00E27C5A"/>
    <w:rPr>
      <w:rFonts w:ascii="Times New Roman" w:eastAsia="Times New Roman" w:hAnsi="Times New Roman" w:cs="Times New Roman"/>
      <w:b/>
      <w:bCs/>
      <w:lang w:eastAsia="en-GB"/>
    </w:rPr>
  </w:style>
  <w:style w:type="character" w:customStyle="1" w:styleId="Heading1Char">
    <w:name w:val="Heading 1 Char"/>
    <w:basedOn w:val="DefaultParagraphFont"/>
    <w:link w:val="Heading1"/>
    <w:uiPriority w:val="9"/>
    <w:rsid w:val="008E472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95442"/>
    <w:rPr>
      <w:color w:val="0563C1" w:themeColor="hyperlink"/>
      <w:u w:val="single"/>
    </w:rPr>
  </w:style>
  <w:style w:type="character" w:styleId="UnresolvedMention">
    <w:name w:val="Unresolved Mention"/>
    <w:basedOn w:val="DefaultParagraphFont"/>
    <w:uiPriority w:val="99"/>
    <w:semiHidden/>
    <w:unhideWhenUsed/>
    <w:rsid w:val="00C95442"/>
    <w:rPr>
      <w:color w:val="605E5C"/>
      <w:shd w:val="clear" w:color="auto" w:fill="E1DFDD"/>
    </w:rPr>
  </w:style>
  <w:style w:type="paragraph" w:styleId="NormalWeb">
    <w:name w:val="Normal (Web)"/>
    <w:basedOn w:val="Normal"/>
    <w:uiPriority w:val="99"/>
    <w:unhideWhenUsed/>
    <w:rsid w:val="00FC04E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90622"/>
    <w:rPr>
      <w:b/>
      <w:bCs/>
    </w:rPr>
  </w:style>
  <w:style w:type="character" w:customStyle="1" w:styleId="apple-converted-space">
    <w:name w:val="apple-converted-space"/>
    <w:basedOn w:val="DefaultParagraphFont"/>
    <w:rsid w:val="00090622"/>
  </w:style>
  <w:style w:type="paragraph" w:styleId="ListParagraph">
    <w:name w:val="List Paragraph"/>
    <w:basedOn w:val="Normal"/>
    <w:uiPriority w:val="34"/>
    <w:qFormat/>
    <w:rsid w:val="00C14D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397967">
      <w:bodyDiv w:val="1"/>
      <w:marLeft w:val="0"/>
      <w:marRight w:val="0"/>
      <w:marTop w:val="0"/>
      <w:marBottom w:val="0"/>
      <w:divBdr>
        <w:top w:val="none" w:sz="0" w:space="0" w:color="auto"/>
        <w:left w:val="none" w:sz="0" w:space="0" w:color="auto"/>
        <w:bottom w:val="none" w:sz="0" w:space="0" w:color="auto"/>
        <w:right w:val="none" w:sz="0" w:space="0" w:color="auto"/>
      </w:divBdr>
      <w:divsChild>
        <w:div w:id="826557288">
          <w:marLeft w:val="0"/>
          <w:marRight w:val="0"/>
          <w:marTop w:val="0"/>
          <w:marBottom w:val="0"/>
          <w:divBdr>
            <w:top w:val="none" w:sz="0" w:space="0" w:color="auto"/>
            <w:left w:val="none" w:sz="0" w:space="0" w:color="auto"/>
            <w:bottom w:val="none" w:sz="0" w:space="0" w:color="auto"/>
            <w:right w:val="none" w:sz="0" w:space="0" w:color="auto"/>
          </w:divBdr>
          <w:divsChild>
            <w:div w:id="1847287159">
              <w:marLeft w:val="0"/>
              <w:marRight w:val="0"/>
              <w:marTop w:val="0"/>
              <w:marBottom w:val="0"/>
              <w:divBdr>
                <w:top w:val="none" w:sz="0" w:space="0" w:color="auto"/>
                <w:left w:val="none" w:sz="0" w:space="0" w:color="auto"/>
                <w:bottom w:val="none" w:sz="0" w:space="0" w:color="auto"/>
                <w:right w:val="none" w:sz="0" w:space="0" w:color="auto"/>
              </w:divBdr>
              <w:divsChild>
                <w:div w:id="90526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7938">
      <w:bodyDiv w:val="1"/>
      <w:marLeft w:val="0"/>
      <w:marRight w:val="0"/>
      <w:marTop w:val="0"/>
      <w:marBottom w:val="0"/>
      <w:divBdr>
        <w:top w:val="none" w:sz="0" w:space="0" w:color="auto"/>
        <w:left w:val="none" w:sz="0" w:space="0" w:color="auto"/>
        <w:bottom w:val="none" w:sz="0" w:space="0" w:color="auto"/>
        <w:right w:val="none" w:sz="0" w:space="0" w:color="auto"/>
      </w:divBdr>
    </w:div>
    <w:div w:id="187719614">
      <w:bodyDiv w:val="1"/>
      <w:marLeft w:val="0"/>
      <w:marRight w:val="0"/>
      <w:marTop w:val="0"/>
      <w:marBottom w:val="0"/>
      <w:divBdr>
        <w:top w:val="none" w:sz="0" w:space="0" w:color="auto"/>
        <w:left w:val="none" w:sz="0" w:space="0" w:color="auto"/>
        <w:bottom w:val="none" w:sz="0" w:space="0" w:color="auto"/>
        <w:right w:val="none" w:sz="0" w:space="0" w:color="auto"/>
      </w:divBdr>
    </w:div>
    <w:div w:id="664557746">
      <w:bodyDiv w:val="1"/>
      <w:marLeft w:val="0"/>
      <w:marRight w:val="0"/>
      <w:marTop w:val="0"/>
      <w:marBottom w:val="0"/>
      <w:divBdr>
        <w:top w:val="none" w:sz="0" w:space="0" w:color="auto"/>
        <w:left w:val="none" w:sz="0" w:space="0" w:color="auto"/>
        <w:bottom w:val="none" w:sz="0" w:space="0" w:color="auto"/>
        <w:right w:val="none" w:sz="0" w:space="0" w:color="auto"/>
      </w:divBdr>
    </w:div>
    <w:div w:id="770705034">
      <w:bodyDiv w:val="1"/>
      <w:marLeft w:val="0"/>
      <w:marRight w:val="0"/>
      <w:marTop w:val="0"/>
      <w:marBottom w:val="0"/>
      <w:divBdr>
        <w:top w:val="none" w:sz="0" w:space="0" w:color="auto"/>
        <w:left w:val="none" w:sz="0" w:space="0" w:color="auto"/>
        <w:bottom w:val="none" w:sz="0" w:space="0" w:color="auto"/>
        <w:right w:val="none" w:sz="0" w:space="0" w:color="auto"/>
      </w:divBdr>
    </w:div>
    <w:div w:id="780495332">
      <w:bodyDiv w:val="1"/>
      <w:marLeft w:val="0"/>
      <w:marRight w:val="0"/>
      <w:marTop w:val="0"/>
      <w:marBottom w:val="0"/>
      <w:divBdr>
        <w:top w:val="none" w:sz="0" w:space="0" w:color="auto"/>
        <w:left w:val="none" w:sz="0" w:space="0" w:color="auto"/>
        <w:bottom w:val="none" w:sz="0" w:space="0" w:color="auto"/>
        <w:right w:val="none" w:sz="0" w:space="0" w:color="auto"/>
      </w:divBdr>
    </w:div>
    <w:div w:id="834807538">
      <w:bodyDiv w:val="1"/>
      <w:marLeft w:val="0"/>
      <w:marRight w:val="0"/>
      <w:marTop w:val="0"/>
      <w:marBottom w:val="0"/>
      <w:divBdr>
        <w:top w:val="none" w:sz="0" w:space="0" w:color="auto"/>
        <w:left w:val="none" w:sz="0" w:space="0" w:color="auto"/>
        <w:bottom w:val="none" w:sz="0" w:space="0" w:color="auto"/>
        <w:right w:val="none" w:sz="0" w:space="0" w:color="auto"/>
      </w:divBdr>
      <w:divsChild>
        <w:div w:id="1399548843">
          <w:marLeft w:val="0"/>
          <w:marRight w:val="0"/>
          <w:marTop w:val="0"/>
          <w:marBottom w:val="0"/>
          <w:divBdr>
            <w:top w:val="none" w:sz="0" w:space="0" w:color="auto"/>
            <w:left w:val="none" w:sz="0" w:space="0" w:color="auto"/>
            <w:bottom w:val="none" w:sz="0" w:space="0" w:color="auto"/>
            <w:right w:val="none" w:sz="0" w:space="0" w:color="auto"/>
          </w:divBdr>
          <w:divsChild>
            <w:div w:id="1501315145">
              <w:marLeft w:val="0"/>
              <w:marRight w:val="0"/>
              <w:marTop w:val="0"/>
              <w:marBottom w:val="0"/>
              <w:divBdr>
                <w:top w:val="none" w:sz="0" w:space="0" w:color="auto"/>
                <w:left w:val="none" w:sz="0" w:space="0" w:color="auto"/>
                <w:bottom w:val="none" w:sz="0" w:space="0" w:color="auto"/>
                <w:right w:val="none" w:sz="0" w:space="0" w:color="auto"/>
              </w:divBdr>
              <w:divsChild>
                <w:div w:id="214272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772738">
      <w:bodyDiv w:val="1"/>
      <w:marLeft w:val="0"/>
      <w:marRight w:val="0"/>
      <w:marTop w:val="0"/>
      <w:marBottom w:val="0"/>
      <w:divBdr>
        <w:top w:val="none" w:sz="0" w:space="0" w:color="auto"/>
        <w:left w:val="none" w:sz="0" w:space="0" w:color="auto"/>
        <w:bottom w:val="none" w:sz="0" w:space="0" w:color="auto"/>
        <w:right w:val="none" w:sz="0" w:space="0" w:color="auto"/>
      </w:divBdr>
      <w:divsChild>
        <w:div w:id="543560146">
          <w:marLeft w:val="0"/>
          <w:marRight w:val="0"/>
          <w:marTop w:val="0"/>
          <w:marBottom w:val="0"/>
          <w:divBdr>
            <w:top w:val="none" w:sz="0" w:space="0" w:color="auto"/>
            <w:left w:val="none" w:sz="0" w:space="0" w:color="auto"/>
            <w:bottom w:val="none" w:sz="0" w:space="0" w:color="auto"/>
            <w:right w:val="none" w:sz="0" w:space="0" w:color="auto"/>
          </w:divBdr>
          <w:divsChild>
            <w:div w:id="1726754063">
              <w:marLeft w:val="0"/>
              <w:marRight w:val="0"/>
              <w:marTop w:val="0"/>
              <w:marBottom w:val="0"/>
              <w:divBdr>
                <w:top w:val="none" w:sz="0" w:space="0" w:color="auto"/>
                <w:left w:val="none" w:sz="0" w:space="0" w:color="auto"/>
                <w:bottom w:val="none" w:sz="0" w:space="0" w:color="auto"/>
                <w:right w:val="none" w:sz="0" w:space="0" w:color="auto"/>
              </w:divBdr>
              <w:divsChild>
                <w:div w:id="4568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867188">
      <w:bodyDiv w:val="1"/>
      <w:marLeft w:val="0"/>
      <w:marRight w:val="0"/>
      <w:marTop w:val="0"/>
      <w:marBottom w:val="0"/>
      <w:divBdr>
        <w:top w:val="none" w:sz="0" w:space="0" w:color="auto"/>
        <w:left w:val="none" w:sz="0" w:space="0" w:color="auto"/>
        <w:bottom w:val="none" w:sz="0" w:space="0" w:color="auto"/>
        <w:right w:val="none" w:sz="0" w:space="0" w:color="auto"/>
      </w:divBdr>
      <w:divsChild>
        <w:div w:id="1104616301">
          <w:marLeft w:val="0"/>
          <w:marRight w:val="0"/>
          <w:marTop w:val="0"/>
          <w:marBottom w:val="0"/>
          <w:divBdr>
            <w:top w:val="none" w:sz="0" w:space="0" w:color="auto"/>
            <w:left w:val="none" w:sz="0" w:space="0" w:color="auto"/>
            <w:bottom w:val="none" w:sz="0" w:space="0" w:color="auto"/>
            <w:right w:val="none" w:sz="0" w:space="0" w:color="auto"/>
          </w:divBdr>
          <w:divsChild>
            <w:div w:id="2079281029">
              <w:marLeft w:val="0"/>
              <w:marRight w:val="0"/>
              <w:marTop w:val="0"/>
              <w:marBottom w:val="0"/>
              <w:divBdr>
                <w:top w:val="none" w:sz="0" w:space="0" w:color="auto"/>
                <w:left w:val="none" w:sz="0" w:space="0" w:color="auto"/>
                <w:bottom w:val="none" w:sz="0" w:space="0" w:color="auto"/>
                <w:right w:val="none" w:sz="0" w:space="0" w:color="auto"/>
              </w:divBdr>
              <w:divsChild>
                <w:div w:id="13279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04938">
      <w:bodyDiv w:val="1"/>
      <w:marLeft w:val="0"/>
      <w:marRight w:val="0"/>
      <w:marTop w:val="0"/>
      <w:marBottom w:val="0"/>
      <w:divBdr>
        <w:top w:val="none" w:sz="0" w:space="0" w:color="auto"/>
        <w:left w:val="none" w:sz="0" w:space="0" w:color="auto"/>
        <w:bottom w:val="none" w:sz="0" w:space="0" w:color="auto"/>
        <w:right w:val="none" w:sz="0" w:space="0" w:color="auto"/>
      </w:divBdr>
      <w:divsChild>
        <w:div w:id="570584043">
          <w:marLeft w:val="0"/>
          <w:marRight w:val="0"/>
          <w:marTop w:val="0"/>
          <w:marBottom w:val="0"/>
          <w:divBdr>
            <w:top w:val="none" w:sz="0" w:space="0" w:color="auto"/>
            <w:left w:val="none" w:sz="0" w:space="0" w:color="auto"/>
            <w:bottom w:val="none" w:sz="0" w:space="0" w:color="auto"/>
            <w:right w:val="none" w:sz="0" w:space="0" w:color="auto"/>
          </w:divBdr>
          <w:divsChild>
            <w:div w:id="307980443">
              <w:marLeft w:val="0"/>
              <w:marRight w:val="0"/>
              <w:marTop w:val="0"/>
              <w:marBottom w:val="0"/>
              <w:divBdr>
                <w:top w:val="none" w:sz="0" w:space="0" w:color="auto"/>
                <w:left w:val="none" w:sz="0" w:space="0" w:color="auto"/>
                <w:bottom w:val="none" w:sz="0" w:space="0" w:color="auto"/>
                <w:right w:val="none" w:sz="0" w:space="0" w:color="auto"/>
              </w:divBdr>
              <w:divsChild>
                <w:div w:id="174825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25858">
      <w:bodyDiv w:val="1"/>
      <w:marLeft w:val="0"/>
      <w:marRight w:val="0"/>
      <w:marTop w:val="0"/>
      <w:marBottom w:val="0"/>
      <w:divBdr>
        <w:top w:val="none" w:sz="0" w:space="0" w:color="auto"/>
        <w:left w:val="none" w:sz="0" w:space="0" w:color="auto"/>
        <w:bottom w:val="none" w:sz="0" w:space="0" w:color="auto"/>
        <w:right w:val="none" w:sz="0" w:space="0" w:color="auto"/>
      </w:divBdr>
    </w:div>
    <w:div w:id="1680083167">
      <w:bodyDiv w:val="1"/>
      <w:marLeft w:val="0"/>
      <w:marRight w:val="0"/>
      <w:marTop w:val="0"/>
      <w:marBottom w:val="0"/>
      <w:divBdr>
        <w:top w:val="none" w:sz="0" w:space="0" w:color="auto"/>
        <w:left w:val="none" w:sz="0" w:space="0" w:color="auto"/>
        <w:bottom w:val="none" w:sz="0" w:space="0" w:color="auto"/>
        <w:right w:val="none" w:sz="0" w:space="0" w:color="auto"/>
      </w:divBdr>
      <w:divsChild>
        <w:div w:id="638925367">
          <w:marLeft w:val="0"/>
          <w:marRight w:val="0"/>
          <w:marTop w:val="0"/>
          <w:marBottom w:val="0"/>
          <w:divBdr>
            <w:top w:val="none" w:sz="0" w:space="0" w:color="auto"/>
            <w:left w:val="none" w:sz="0" w:space="0" w:color="auto"/>
            <w:bottom w:val="none" w:sz="0" w:space="0" w:color="auto"/>
            <w:right w:val="none" w:sz="0" w:space="0" w:color="auto"/>
          </w:divBdr>
          <w:divsChild>
            <w:div w:id="1195770184">
              <w:marLeft w:val="0"/>
              <w:marRight w:val="0"/>
              <w:marTop w:val="0"/>
              <w:marBottom w:val="0"/>
              <w:divBdr>
                <w:top w:val="none" w:sz="0" w:space="0" w:color="auto"/>
                <w:left w:val="none" w:sz="0" w:space="0" w:color="auto"/>
                <w:bottom w:val="none" w:sz="0" w:space="0" w:color="auto"/>
                <w:right w:val="none" w:sz="0" w:space="0" w:color="auto"/>
              </w:divBdr>
              <w:divsChild>
                <w:div w:id="182308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776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education.cu-portland.edu/blog/classroom-resources/inclusive-educ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ilivehere.co.uk/statistics-gowerton-swansea-15161.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imd.gov.wales/explore?lang=en" TargetMode="External"/><Relationship Id="rId5" Type="http://schemas.openxmlformats.org/officeDocument/2006/relationships/footnotes" Target="footnotes.xml"/><Relationship Id="rId15" Type="http://schemas.openxmlformats.org/officeDocument/2006/relationships/hyperlink" Target="https://uowtsd-my.sharepoint.com/:w:/g/personal/1900103_student_uwtsd_ac_uk/EQH2l5dUj9dJhf4PtnJ7cMsB0ly_LTaye1glX4uhUyWPkg?e=pjdZzR" TargetMode="External"/><Relationship Id="rId10" Type="http://schemas.openxmlformats.org/officeDocument/2006/relationships/hyperlink" Target="https://dera.ioe.ac.uk/9431/1/DCSF-RTP-09-0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atlantic.com/education/archive/2017/03/how-teacher-training-hinders-special-needs-students/518286/" TargetMode="External"/><Relationship Id="rId14" Type="http://schemas.openxmlformats.org/officeDocument/2006/relationships/hyperlink" Target="https://www.tes.com/news/pedagogy-focus-mantle-of-the-exper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Deprivation Ranking within Wales (out</a:t>
            </a:r>
            <a:r>
              <a:rPr lang="en-GB" baseline="0"/>
              <a:t> of 1909)</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669749278109216"/>
          <c:y val="0.1045754415833156"/>
          <c:w val="0.66717972854362506"/>
          <c:h val="0.68484068523692598"/>
        </c:manualLayout>
      </c:layout>
      <c:barChart>
        <c:barDir val="bar"/>
        <c:grouping val="clustered"/>
        <c:varyColors val="0"/>
        <c:ser>
          <c:idx val="0"/>
          <c:order val="0"/>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F27-6C4E-A645-E263E5397B11}"/>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F27-6C4E-A645-E263E5397B1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Sheet1!$B$2:$B$3</c:f>
              <c:strCache>
                <c:ptCount val="2"/>
                <c:pt idx="0">
                  <c:v>Bridging School Community</c:v>
                </c:pt>
                <c:pt idx="1">
                  <c:v>Highest Area of Deprivation in Swansea</c:v>
                </c:pt>
              </c:strCache>
            </c:strRef>
          </c:cat>
          <c:val>
            <c:numRef>
              <c:f>Sheet1!$C$2:$C$3</c:f>
              <c:numCache>
                <c:formatCode>General</c:formatCode>
                <c:ptCount val="2"/>
                <c:pt idx="0">
                  <c:v>1147</c:v>
                </c:pt>
                <c:pt idx="1">
                  <c:v>18</c:v>
                </c:pt>
              </c:numCache>
            </c:numRef>
          </c:val>
          <c:extLst>
            <c:ext xmlns:c16="http://schemas.microsoft.com/office/drawing/2014/chart" uri="{C3380CC4-5D6E-409C-BE32-E72D297353CC}">
              <c16:uniqueId val="{00000002-5F27-6C4E-A645-E263E5397B11}"/>
            </c:ext>
          </c:extLst>
        </c:ser>
        <c:dLbls>
          <c:showLegendKey val="0"/>
          <c:showVal val="0"/>
          <c:showCatName val="0"/>
          <c:showSerName val="0"/>
          <c:showPercent val="0"/>
          <c:showBubbleSize val="0"/>
        </c:dLbls>
        <c:gapWidth val="182"/>
        <c:axId val="41281632"/>
        <c:axId val="78773824"/>
      </c:barChart>
      <c:catAx>
        <c:axId val="412816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73824"/>
        <c:crosses val="autoZero"/>
        <c:auto val="1"/>
        <c:lblAlgn val="ctr"/>
        <c:lblOffset val="100"/>
        <c:noMultiLvlLbl val="0"/>
      </c:catAx>
      <c:valAx>
        <c:axId val="787738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81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between area of high deprivation and low deprivation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Sheet1!$C$31</c:f>
              <c:strCache>
                <c:ptCount val="1"/>
                <c:pt idx="0">
                  <c:v>No Qualifications</c:v>
                </c:pt>
              </c:strCache>
            </c:strRef>
          </c:tx>
          <c:spPr>
            <a:solidFill>
              <a:schemeClr val="accent1"/>
            </a:solidFill>
            <a:ln>
              <a:noFill/>
            </a:ln>
            <a:effectLst/>
          </c:spPr>
          <c:invertIfNegative val="0"/>
          <c:cat>
            <c:strRef>
              <c:f>Sheet1!$B$32:$B$33</c:f>
              <c:strCache>
                <c:ptCount val="2"/>
                <c:pt idx="0">
                  <c:v>Bridging School Community</c:v>
                </c:pt>
                <c:pt idx="1">
                  <c:v>Highest Area of Deprivation in Swansea</c:v>
                </c:pt>
              </c:strCache>
            </c:strRef>
          </c:cat>
          <c:val>
            <c:numRef>
              <c:f>Sheet1!$C$32:$C$33</c:f>
              <c:numCache>
                <c:formatCode>General</c:formatCode>
                <c:ptCount val="2"/>
                <c:pt idx="0">
                  <c:v>23.9</c:v>
                </c:pt>
                <c:pt idx="1">
                  <c:v>23.9</c:v>
                </c:pt>
              </c:numCache>
            </c:numRef>
          </c:val>
          <c:extLst>
            <c:ext xmlns:c16="http://schemas.microsoft.com/office/drawing/2014/chart" uri="{C3380CC4-5D6E-409C-BE32-E72D297353CC}">
              <c16:uniqueId val="{00000000-976F-B74A-AC2B-F3C4CC5491A2}"/>
            </c:ext>
          </c:extLst>
        </c:ser>
        <c:ser>
          <c:idx val="1"/>
          <c:order val="1"/>
          <c:tx>
            <c:strRef>
              <c:f>Sheet1!$D$31</c:f>
              <c:strCache>
                <c:ptCount val="1"/>
                <c:pt idx="0">
                  <c:v>Any Benefits</c:v>
                </c:pt>
              </c:strCache>
            </c:strRef>
          </c:tx>
          <c:spPr>
            <a:solidFill>
              <a:schemeClr val="accent2"/>
            </a:solidFill>
            <a:ln>
              <a:noFill/>
            </a:ln>
            <a:effectLst/>
          </c:spPr>
          <c:invertIfNegative val="0"/>
          <c:cat>
            <c:strRef>
              <c:f>Sheet1!$B$32:$B$33</c:f>
              <c:strCache>
                <c:ptCount val="2"/>
                <c:pt idx="0">
                  <c:v>Bridging School Community</c:v>
                </c:pt>
                <c:pt idx="1">
                  <c:v>Highest Area of Deprivation in Swansea</c:v>
                </c:pt>
              </c:strCache>
            </c:strRef>
          </c:cat>
          <c:val>
            <c:numRef>
              <c:f>Sheet1!$D$32:$D$33</c:f>
              <c:numCache>
                <c:formatCode>General</c:formatCode>
                <c:ptCount val="2"/>
                <c:pt idx="0">
                  <c:v>17.5</c:v>
                </c:pt>
                <c:pt idx="1">
                  <c:v>17.5</c:v>
                </c:pt>
              </c:numCache>
            </c:numRef>
          </c:val>
          <c:extLst>
            <c:ext xmlns:c16="http://schemas.microsoft.com/office/drawing/2014/chart" uri="{C3380CC4-5D6E-409C-BE32-E72D297353CC}">
              <c16:uniqueId val="{00000001-976F-B74A-AC2B-F3C4CC5491A2}"/>
            </c:ext>
          </c:extLst>
        </c:ser>
        <c:dLbls>
          <c:showLegendKey val="0"/>
          <c:showVal val="0"/>
          <c:showCatName val="0"/>
          <c:showSerName val="0"/>
          <c:showPercent val="0"/>
          <c:showBubbleSize val="0"/>
        </c:dLbls>
        <c:gapWidth val="182"/>
        <c:axId val="37459472"/>
        <c:axId val="37284304"/>
      </c:barChart>
      <c:catAx>
        <c:axId val="37459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84304"/>
        <c:crosses val="autoZero"/>
        <c:auto val="1"/>
        <c:lblAlgn val="ctr"/>
        <c:lblOffset val="100"/>
        <c:noMultiLvlLbl val="0"/>
      </c:catAx>
      <c:valAx>
        <c:axId val="37284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59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0.15654</cdr:x>
      <cdr:y>0.87814</cdr:y>
    </cdr:from>
    <cdr:to>
      <cdr:x>0.39585</cdr:x>
      <cdr:y>1</cdr:y>
    </cdr:to>
    <cdr:sp macro="" textlink="">
      <cdr:nvSpPr>
        <cdr:cNvPr id="2" name="TextBox 1">
          <a:extLst xmlns:a="http://schemas.openxmlformats.org/drawingml/2006/main">
            <a:ext uri="{FF2B5EF4-FFF2-40B4-BE49-F238E27FC236}">
              <a16:creationId xmlns:a16="http://schemas.microsoft.com/office/drawing/2014/main" id="{679EB813-84D2-F24E-AB1A-462627039619}"/>
            </a:ext>
          </a:extLst>
        </cdr:cNvPr>
        <cdr:cNvSpPr txBox="1"/>
      </cdr:nvSpPr>
      <cdr:spPr>
        <a:xfrm xmlns:a="http://schemas.openxmlformats.org/drawingml/2006/main">
          <a:off x="896623" y="1957800"/>
          <a:ext cx="1370715" cy="27168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Least Deprived</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1473</TotalTime>
  <Pages>9</Pages>
  <Words>1877</Words>
  <Characters>10699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Hussey</dc:creator>
  <cp:keywords/>
  <dc:description/>
  <cp:lastModifiedBy>Jack Hussey</cp:lastModifiedBy>
  <cp:revision>64</cp:revision>
  <dcterms:created xsi:type="dcterms:W3CDTF">2020-02-03T12:01:00Z</dcterms:created>
  <dcterms:modified xsi:type="dcterms:W3CDTF">2020-02-13T11:16:00Z</dcterms:modified>
</cp:coreProperties>
</file>