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widowControl w:val="0"/>
        <w:spacing w:line="240" w:lineRule="auto"/>
      </w:pPr>
    </w:p>
    <w:p>
      <w:pPr>
        <w:pStyle w:val="Body"/>
        <w:spacing w:after="0" w:line="360" w:lineRule="auto"/>
        <w:rPr>
          <w:b w:val="1"/>
          <w:bCs w:val="1"/>
          <w:sz w:val="24"/>
          <w:szCs w:val="24"/>
        </w:rPr>
      </w:pPr>
      <w:r>
        <w:rPr>
          <w:b w:val="1"/>
          <w:bCs w:val="1"/>
          <w:sz w:val="24"/>
          <w:szCs w:val="24"/>
          <w:rtl w:val="0"/>
          <w:lang w:val="en-US"/>
        </w:rPr>
        <w:t>Personal Brand for Sustainable Employability: Career Development towards Registered Care Manager</w:t>
      </w:r>
    </w:p>
    <w:p>
      <w:pPr>
        <w:pStyle w:val="Body"/>
        <w:spacing w:after="0" w:line="360" w:lineRule="auto"/>
        <w:rPr>
          <w:b w:val="1"/>
          <w:bCs w:val="1"/>
          <w:sz w:val="24"/>
          <w:szCs w:val="24"/>
        </w:rPr>
      </w:pPr>
    </w:p>
    <w:p>
      <w:pPr>
        <w:pStyle w:val="Body"/>
        <w:spacing w:after="0" w:line="360" w:lineRule="auto"/>
        <w:rPr>
          <w:sz w:val="24"/>
          <w:szCs w:val="24"/>
        </w:rPr>
      </w:pPr>
    </w:p>
    <w:p>
      <w:pPr>
        <w:pStyle w:val="Body"/>
        <w:spacing w:after="0" w:line="360" w:lineRule="auto"/>
        <w:rPr>
          <w:sz w:val="24"/>
          <w:szCs w:val="24"/>
          <w:lang w:val="en-US"/>
        </w:rPr>
      </w:pPr>
      <w:r>
        <w:rPr>
          <w:b w:val="1"/>
          <w:bCs w:val="1"/>
          <w:sz w:val="24"/>
          <w:szCs w:val="24"/>
          <w:shd w:val="nil" w:color="auto" w:fill="auto"/>
          <w:rtl w:val="0"/>
          <w:lang w:val="en-US"/>
        </w:rPr>
        <w:t>Student Name</w:t>
      </w:r>
      <w:r>
        <w:rPr>
          <w:b w:val="1"/>
          <w:bCs w:val="1"/>
          <w:sz w:val="24"/>
          <w:szCs w:val="24"/>
          <w:shd w:val="nil" w:color="auto" w:fill="auto"/>
          <w:rtl w:val="0"/>
          <w:lang w:val="en-US"/>
        </w:rPr>
        <w:t xml:space="preserve"> :</w:t>
      </w:r>
      <w:r>
        <w:rPr>
          <w:sz w:val="24"/>
          <w:szCs w:val="24"/>
          <w:rtl w:val="0"/>
          <w:lang w:val="en-US"/>
        </w:rPr>
        <w:t xml:space="preserve">Sami Pattvean </w:t>
      </w:r>
    </w:p>
    <w:p>
      <w:pPr>
        <w:pStyle w:val="Body"/>
        <w:spacing w:after="0" w:line="360" w:lineRule="auto"/>
        <w:rPr>
          <w:sz w:val="24"/>
          <w:szCs w:val="24"/>
          <w:lang w:val="en-US"/>
        </w:rPr>
      </w:pPr>
      <w:r>
        <w:rPr>
          <w:b w:val="1"/>
          <w:bCs w:val="1"/>
          <w:sz w:val="24"/>
          <w:szCs w:val="24"/>
          <w:shd w:val="nil" w:color="auto" w:fill="auto"/>
          <w:rtl w:val="0"/>
          <w:lang w:val="en-US"/>
        </w:rPr>
        <w:t>Student ID</w:t>
      </w:r>
      <w:r>
        <w:rPr>
          <w:b w:val="1"/>
          <w:bCs w:val="1"/>
          <w:sz w:val="24"/>
          <w:szCs w:val="24"/>
          <w:shd w:val="nil" w:color="auto" w:fill="auto"/>
          <w:rtl w:val="0"/>
          <w:lang w:val="en-US"/>
        </w:rPr>
        <w:t xml:space="preserve">: </w:t>
      </w:r>
      <w:r>
        <w:rPr>
          <w:sz w:val="24"/>
          <w:szCs w:val="24"/>
          <w:rtl w:val="0"/>
          <w:lang w:val="en-US"/>
        </w:rPr>
        <w:t>2414789</w:t>
      </w:r>
    </w:p>
    <w:p>
      <w:pPr>
        <w:pStyle w:val="Body"/>
        <w:spacing w:after="0" w:line="360" w:lineRule="auto"/>
        <w:rPr>
          <w:sz w:val="24"/>
          <w:szCs w:val="24"/>
          <w:lang w:val="en-US"/>
        </w:rPr>
      </w:pPr>
      <w:r>
        <w:rPr>
          <w:b w:val="1"/>
          <w:bCs w:val="1"/>
          <w:sz w:val="24"/>
          <w:szCs w:val="24"/>
          <w:shd w:val="nil" w:color="auto" w:fill="auto"/>
          <w:rtl w:val="0"/>
          <w:lang w:val="en-US"/>
        </w:rPr>
        <w:t>Module Code</w:t>
      </w:r>
      <w:r>
        <w:rPr>
          <w:b w:val="1"/>
          <w:bCs w:val="1"/>
          <w:sz w:val="24"/>
          <w:szCs w:val="24"/>
          <w:shd w:val="nil" w:color="auto" w:fill="auto"/>
          <w:rtl w:val="0"/>
          <w:lang w:val="en-US"/>
        </w:rPr>
        <w:t>:</w:t>
      </w:r>
      <w:r>
        <w:rPr>
          <w:sz w:val="24"/>
          <w:szCs w:val="24"/>
          <w:rtl w:val="0"/>
          <w:lang w:val="en-US"/>
        </w:rPr>
        <w:t>BMHP5015</w:t>
      </w:r>
    </w:p>
    <w:p>
      <w:pPr>
        <w:pStyle w:val="Body"/>
        <w:spacing w:after="0" w:line="360" w:lineRule="auto"/>
        <w:rPr>
          <w:sz w:val="24"/>
          <w:szCs w:val="24"/>
          <w:shd w:val="nil" w:color="auto" w:fill="auto"/>
          <w:lang w:val="en-US"/>
        </w:rPr>
      </w:pPr>
      <w:r>
        <w:rPr>
          <w:sz w:val="24"/>
          <w:szCs w:val="24"/>
          <w:shd w:val="nil" w:color="auto" w:fill="auto"/>
          <w:rtl w:val="0"/>
          <w:lang w:val="en-US"/>
        </w:rPr>
        <w:t>Component 2: Assignment Report</w:t>
      </w:r>
    </w:p>
    <w:p>
      <w:pPr>
        <w:pStyle w:val="Body"/>
        <w:spacing w:after="0" w:line="360" w:lineRule="auto"/>
        <w:rPr>
          <w:sz w:val="24"/>
          <w:szCs w:val="24"/>
        </w:rPr>
      </w:pPr>
      <w:r>
        <w:rPr>
          <w:sz w:val="24"/>
          <w:szCs w:val="24"/>
          <w:shd w:val="nil" w:color="auto" w:fill="auto"/>
          <w:rtl w:val="0"/>
          <w:lang w:val="en-US"/>
        </w:rPr>
        <w:t>BSc (Hons) Health and Social Care</w:t>
      </w: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fr-FR"/>
          <w14:textFill>
            <w14:solidFill>
              <w14:srgbClr w14:val="000000"/>
            </w14:solidFill>
          </w14:textFill>
        </w:rPr>
        <w:t>1. Introduction</w:t>
      </w:r>
    </w:p>
    <w:p>
      <w:pPr>
        <w:pStyle w:val="Body"/>
        <w:spacing w:before="100" w:after="100" w:line="360" w:lineRule="auto"/>
        <w:jc w:val="both"/>
      </w:pPr>
      <w:r>
        <w:rPr>
          <w:rtl w:val="0"/>
          <w:lang w:val="en-US"/>
        </w:rPr>
        <w:t xml:space="preserve">The career I want to pursue in the future is Registered Care Manager with Helping Hands in Taunton. This position is part-time, full-time, and is to be filled on a permanent basis, 40 hours per week. This job pays </w:t>
      </w:r>
      <w:r>
        <w:rPr>
          <w:rtl w:val="0"/>
        </w:rPr>
        <w:t>£</w:t>
      </w:r>
      <w:r>
        <w:rPr>
          <w:rtl w:val="0"/>
          <w:lang w:val="en-US"/>
        </w:rPr>
        <w:t xml:space="preserve">42,000 to </w:t>
      </w:r>
      <w:r>
        <w:rPr>
          <w:rtl w:val="0"/>
        </w:rPr>
        <w:t>£</w:t>
      </w:r>
      <w:r>
        <w:rPr>
          <w:rtl w:val="0"/>
          <w:lang w:val="en-US"/>
        </w:rPr>
        <w:t>48,000 per annum with bonus opportunities. The position is responsible for overseeing services to a patient in his/her home environment as opposed to a residential facility. The manager has the following responsibilities: to oversee the quality of care, staff performance, branch expansion, budgets, compliance and local partnerships (Indeed, 2026; Helping Hands, 2026).</w:t>
      </w:r>
    </w:p>
    <w:p>
      <w:pPr>
        <w:pStyle w:val="Body"/>
        <w:spacing w:before="100" w:after="100" w:line="360" w:lineRule="auto"/>
        <w:jc w:val="both"/>
      </w:pPr>
      <w:r>
        <w:rPr>
          <w:rtl w:val="0"/>
          <w:lang w:val="en-US"/>
        </w:rPr>
        <w:t>This report will compare my current profile with the profile of this vacancy. It is based on the areas that would determine my suitability to run a regulated care service safely and effectively. These are leadership, commercial awareness, CQC compliance, workforce management, data and professional relationships. It also pinpoints areas of my profile that are weak and provides a five-year development plan. My degree is a good foundation, but it doesn't mean that I'm ready to run a care branch.</w:t>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2. Selected Job Opportunity and Role Requirements</w:t>
      </w:r>
    </w:p>
    <w:p>
      <w:pPr>
        <w:pStyle w:val="Body"/>
        <w:spacing w:before="100" w:after="100" w:line="360" w:lineRule="auto"/>
        <w:jc w:val="both"/>
      </w:pPr>
      <w:r>
        <w:rPr>
          <w:rtl w:val="0"/>
          <w:lang w:val="en-US"/>
        </w:rPr>
        <w:t>Helping Hands would like the Registered Care Manager to work for and run the Taunton branch and ensure that there is safe, personalised and consistent care. The manager is responsible for developing a professional team and upholding regulatory standards. The position also includes building relationships with healthcare professionals, GPs, the local authority and community organisations. The manager interacts with the Operations, People, Quality, Finance and Marketing teams internally. In addition, monitoring branch performance, budget management, efficiency and sustainable growth (Helping Hands, 2026) are covered.</w:t>
      </w:r>
    </w:p>
    <w:p>
      <w:pPr>
        <w:pStyle w:val="Body"/>
        <w:spacing w:before="100" w:after="100" w:line="360" w:lineRule="auto"/>
        <w:jc w:val="both"/>
      </w:pPr>
      <w:r>
        <w:rPr>
          <w:rtl w:val="0"/>
          <w:lang w:val="en-US"/>
        </w:rPr>
        <w:t>The employer is looking for leadership experience, good communication, commercial awareness, knowledge of care regulation, good organisation, and confidence around data and technology. Experience of working in the care sector is beneficial. Experience of CQC requirements is also relevant, and a Level 5 Leadership and Management for Care qualification is beneficial for an application (Helping Hands, 2026).</w:t>
      </w:r>
    </w:p>
    <w:p>
      <w:pPr>
        <w:pStyle w:val="Body"/>
        <w:spacing w:before="100" w:after="100" w:line="360" w:lineRule="auto"/>
        <w:jc w:val="both"/>
      </w:pPr>
      <w:r>
        <w:rPr>
          <w:rtl w:val="0"/>
          <w:lang w:val="en-US"/>
        </w:rPr>
        <w:t>The requirements demonstrate that the role is not just about being a good carer. The manager will need to ensure good quality care is provided while also being accountable for the responsibilities of employees, finances and business performance. Even someone who has a good knowledge of person-centred care may be inadequate if they are unable to deal with people, resources and quality issues. Under the CQC (2025), it is a requirement that a registered manager must possess appropriate qualifications, competence, skills and experience. As a result, practical evidence of management is very important.</w:t>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3. Critical Analysis of Employability Requirements</w:t>
      </w:r>
    </w:p>
    <w:p>
      <w:pPr>
        <w:pStyle w:val="Heading 3"/>
        <w:spacing w:line="360" w:lineRule="auto"/>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3.1 Leadership and Workforce Performance</w:t>
      </w:r>
    </w:p>
    <w:p>
      <w:pPr>
        <w:pStyle w:val="Body"/>
        <w:spacing w:before="100" w:after="100" w:line="360" w:lineRule="auto"/>
        <w:jc w:val="both"/>
      </w:pPr>
      <w:r>
        <w:rPr>
          <w:rtl w:val="0"/>
          <w:lang w:val="en-US"/>
        </w:rPr>
        <w:t>Leadership is a key component of the vacancy, as the manager is responsible for the whole branch. More than instructions are required. The manager is responsible for establishing clear expectations, supporting staff development, addressing poor performance and upholding care expectations.</w:t>
      </w:r>
    </w:p>
    <w:p>
      <w:pPr>
        <w:pStyle w:val="Body"/>
        <w:spacing w:before="100" w:after="100" w:line="360" w:lineRule="auto"/>
        <w:jc w:val="both"/>
      </w:pPr>
      <w:r>
        <w:rPr>
          <w:rtl w:val="0"/>
          <w:lang w:val="en-US"/>
        </w:rPr>
        <w:t>Gallegos, Riaz and Peeters (2024) identified that part of effective leadership in the health professions is the relationship between leaders and staff. This is particularly important because branch staff need to be aware of their roles and feel confident in bringing issues up. However, effective relationships cannot take the place of accountability. Supportive management is required to challenge unsafe or poor practice.</w:t>
      </w:r>
    </w:p>
    <w:p>
      <w:pPr>
        <w:pStyle w:val="Body"/>
        <w:spacing w:before="100" w:after="100" w:line="360" w:lineRule="auto"/>
        <w:jc w:val="both"/>
      </w:pPr>
      <w:r>
        <w:rPr>
          <w:rtl w:val="0"/>
          <w:lang w:val="en-US"/>
        </w:rPr>
        <w:t>Stability of the workforce is also crucial. Adult social care continues to face skills shortages and is struggling to recruit and retain staff, as Skills for Care (2025) reports. This has a direct impact on the role at Helping Hands. A rise in the number of patients without adequate staffing may result in missed visits, hurried care or excessive workloads. So, a good manager should take staffing capacity into account alongside service growth.</w:t>
      </w:r>
    </w:p>
    <w:p>
      <w:pPr>
        <w:pStyle w:val="Heading 3"/>
        <w:spacing w:line="360" w:lineRule="auto"/>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3.2 Regulation, Quality and Accountability</w:t>
      </w:r>
    </w:p>
    <w:p>
      <w:pPr>
        <w:pStyle w:val="Body"/>
        <w:spacing w:before="100" w:after="100" w:line="360" w:lineRule="auto"/>
        <w:jc w:val="both"/>
      </w:pPr>
      <w:r>
        <w:rPr>
          <w:rtl w:val="0"/>
          <w:lang w:val="en-US"/>
        </w:rPr>
        <w:t>There are some primary distinctions between this role and a lower-level care role, such as regulatory responsibility. The Registered Manager has responsibility for keeping the care safe and for ensuring that the care complies with the CQC requirements.</w:t>
      </w:r>
    </w:p>
    <w:p>
      <w:pPr>
        <w:pStyle w:val="Body"/>
        <w:spacing w:before="100" w:after="100" w:line="360" w:lineRule="auto"/>
        <w:jc w:val="both"/>
      </w:pPr>
      <w:r>
        <w:rPr>
          <w:rtl w:val="0"/>
          <w:lang w:val="en-US"/>
        </w:rPr>
        <w:t>Registered managers must show that they have appropriate knowledge, experience and competence to the CQC (2025). Safeguarding, governance, decision-making, resource management and partnership working are also included in the Registered Manager role in the Care Workforce Pathway (DHSC, 2026).</w:t>
      </w:r>
    </w:p>
    <w:p>
      <w:pPr>
        <w:pStyle w:val="Body"/>
        <w:spacing w:before="100" w:after="100" w:line="360" w:lineRule="auto"/>
        <w:jc w:val="both"/>
      </w:pPr>
      <w:r>
        <w:rPr>
          <w:rtl w:val="0"/>
          <w:lang w:val="en-US"/>
        </w:rPr>
        <w:t>It is not enough to know the standards of CQC; you must also apply them. For instance, I may be aware of the importance of record keeping, but the employer will need proof that I can take action should there be an actual concern, that I can report appropriately and that action has been taken and recorded. This also applies to complaints, audits and incidents.</w:t>
      </w:r>
    </w:p>
    <w:p>
      <w:pPr>
        <w:pStyle w:val="Body"/>
        <w:spacing w:before="100" w:after="100" w:line="360" w:lineRule="auto"/>
        <w:jc w:val="both"/>
      </w:pPr>
      <w:r>
        <w:rPr>
          <w:rtl w:val="0"/>
          <w:lang w:val="en-US"/>
        </w:rPr>
        <w:t>As a result, I require hands-on experience with quality assurance prior to taking on a registered service. This gap cannot simply be filled; this is a major development requirement.</w:t>
      </w:r>
    </w:p>
    <w:p>
      <w:pPr>
        <w:pStyle w:val="Heading 3"/>
        <w:spacing w:line="360" w:lineRule="auto"/>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3.3 Commercial and Financial Awareness</w:t>
      </w:r>
    </w:p>
    <w:p>
      <w:pPr>
        <w:pStyle w:val="Body"/>
        <w:spacing w:before="100" w:after="100" w:line="360" w:lineRule="auto"/>
        <w:jc w:val="both"/>
      </w:pPr>
      <w:r>
        <w:rPr>
          <w:rtl w:val="0"/>
          <w:lang w:val="en-US"/>
        </w:rPr>
        <w:t>This vacancy has an emphasis on commercial awareness. Helping Hands is looking for a manager who will be responsible for monitoring and controlling budgets, increasing efficiency and contributing to the growth of the branch.</w:t>
      </w:r>
    </w:p>
    <w:p>
      <w:pPr>
        <w:pStyle w:val="Body"/>
        <w:spacing w:before="100" w:after="100" w:line="360" w:lineRule="auto"/>
        <w:jc w:val="both"/>
      </w:pPr>
      <w:r>
        <w:rPr>
          <w:rtl w:val="0"/>
          <w:lang w:val="en-US"/>
        </w:rPr>
        <w:t>This poses a balancing challenge. The manager is responsible for financial performance but must ensure that commercial pressures don't impact on the quality of care. For instance, reducing staffing levels to manage costs may result in an economically cheaper branch, but a higher risk to customers. However, poor financial management may hamper the sustainability of the service.</w:t>
      </w:r>
    </w:p>
    <w:p>
      <w:pPr>
        <w:pStyle w:val="Body"/>
        <w:spacing w:before="100" w:after="100" w:line="360" w:lineRule="auto"/>
        <w:jc w:val="both"/>
      </w:pPr>
      <w:r>
        <w:rPr>
          <w:rtl w:val="0"/>
          <w:lang w:val="en-US"/>
        </w:rPr>
        <w:t>The manager will thus be familiar with the cost of staffing, hours of care given, referrals received, customer numbers and performance targets. These responsibilities are not the same as general care knowledge. This is definitely one of the clearest differences between my academic profile and the chosen role.</w:t>
      </w:r>
    </w:p>
    <w:p>
      <w:pPr>
        <w:pStyle w:val="Heading 3"/>
        <w:spacing w:line="360" w:lineRule="auto"/>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14:textFill>
            <w14:solidFill>
              <w14:srgbClr w14:val="000000"/>
            </w14:solidFill>
          </w14:textFill>
        </w:rPr>
        <w:t>3.4 Data and Digital Competence</w:t>
      </w:r>
    </w:p>
    <w:p>
      <w:pPr>
        <w:pStyle w:val="Body"/>
        <w:spacing w:before="100" w:after="100" w:line="360" w:lineRule="auto"/>
        <w:jc w:val="both"/>
      </w:pPr>
      <w:r>
        <w:rPr>
          <w:rtl w:val="0"/>
          <w:lang w:val="en-US"/>
        </w:rPr>
        <w:t>Confidence with data, systems and technology is also a must for this vacancy. Rotas, care records, staff information, quality monitoring and performance data are increasingly being managed using digital systems by care managers.</w:t>
      </w:r>
    </w:p>
    <w:p>
      <w:pPr>
        <w:pStyle w:val="Body"/>
        <w:spacing w:before="100" w:after="100" w:line="360" w:lineRule="auto"/>
        <w:jc w:val="both"/>
      </w:pPr>
      <w:r>
        <w:rPr>
          <w:rtl w:val="0"/>
          <w:lang w:val="en-US"/>
        </w:rPr>
        <w:t>Skills for Care (2024) identifies digital skills as becoming more vital in adult social care. The same study, conducted by Laakkonen et al. (2024), revealed that healthcare leaders need digital competence in decision-making and the development of healthcare services.</w:t>
      </w:r>
    </w:p>
    <w:p>
      <w:pPr>
        <w:pStyle w:val="Body"/>
        <w:spacing w:before="100" w:after="100" w:line="360" w:lineRule="auto"/>
        <w:jc w:val="both"/>
      </w:pPr>
      <w:r>
        <w:rPr>
          <w:rtl w:val="0"/>
          <w:lang w:val="en-US"/>
        </w:rPr>
        <w:t>But knowledge of software use does not mean that a person has the ability to manage effectively. The key element is how one uses the information to make decisions. If frequent late visits have been recorded, for instance, a manager should determine if the cause is due to issues with rotas, staffing, travel time or poor planning. If you just record the issue without any additional details, it would not benefit the service.</w:t>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4. Evaluation of My Current Employability Profile</w:t>
      </w:r>
    </w:p>
    <w:p>
      <w:pPr>
        <w:pStyle w:val="Body"/>
        <w:spacing w:before="100" w:after="100" w:line="360" w:lineRule="auto"/>
        <w:jc w:val="both"/>
      </w:pPr>
      <w:r>
        <w:rPr>
          <w:rtl w:val="0"/>
          <w:lang w:val="en-US"/>
        </w:rPr>
        <w:t>My BSc (Hons) Health and Social Care provides me with relevant academic knowledge. My studies build an understanding of person-centred practice, safeguarding, equality, communication, professional responsibility and health and social care services. Evidence assessment and decision-making in academic work are also required of me.</w:t>
      </w:r>
    </w:p>
    <w:p>
      <w:pPr>
        <w:pStyle w:val="Body"/>
        <w:spacing w:before="100" w:after="100" w:line="360" w:lineRule="auto"/>
        <w:jc w:val="both"/>
      </w:pPr>
      <w:r>
        <w:rPr>
          <w:rtl w:val="0"/>
          <w:lang w:val="en-US"/>
        </w:rPr>
        <w:t>These strengths are applicable, but should not be overemphasized. I cannot demonstrate at this point in my academic career that I have the requisite skills and knowledge to run a regulated home-care branch. Responsibility for good management is different from knowing about it.</w:t>
      </w:r>
    </w:p>
    <w:p>
      <w:pPr>
        <w:pStyle w:val="Body"/>
        <w:spacing w:line="36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Current Profile Against the Vacancy</w:t>
      </w: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43"/>
        <w:gridCol w:w="3183"/>
        <w:gridCol w:w="3434"/>
      </w:tblGrid>
      <w:tr>
        <w:tblPrEx>
          <w:shd w:val="clear" w:color="auto" w:fill="ced7e7"/>
        </w:tblPrEx>
        <w:trPr>
          <w:trHeight w:val="221"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hd w:val="nil" w:color="auto" w:fill="auto"/>
                <w:rtl w:val="0"/>
                <w:lang w:val="en-US"/>
              </w:rPr>
              <w:t>Role Requirement</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Current Evidence</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Evaluation</w:t>
            </w:r>
          </w:p>
        </w:tc>
      </w:tr>
      <w:tr>
        <w:tblPrEx>
          <w:shd w:val="clear" w:color="auto" w:fill="ced7e7"/>
        </w:tblPrEx>
        <w:trPr>
          <w:trHeight w:val="587"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Health and social care knowledge</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BSc Health and Social Care study</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Relevant foundation</w:t>
            </w:r>
          </w:p>
        </w:tc>
      </w:tr>
      <w:tr>
        <w:tblPrEx>
          <w:shd w:val="clear" w:color="auto" w:fill="ced7e7"/>
        </w:tblPrEx>
        <w:trPr>
          <w:trHeight w:val="587"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Person-centred care</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Academic understanding</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Partial match; evidence in practice is required</w:t>
            </w:r>
          </w:p>
        </w:tc>
      </w:tr>
      <w:tr>
        <w:tblPrEx>
          <w:shd w:val="clear" w:color="auto" w:fill="ced7e7"/>
        </w:tblPrEx>
        <w:trPr>
          <w:trHeight w:val="587"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Staff leadership</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No management evidence was available</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Major development need</w:t>
            </w:r>
          </w:p>
        </w:tc>
      </w:tr>
      <w:tr>
        <w:tblPrEx>
          <w:shd w:val="clear" w:color="auto" w:fill="ced7e7"/>
        </w:tblPrEx>
        <w:trPr>
          <w:trHeight w:val="221"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CQC and governance</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Academic understanding</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Major development need</w:t>
            </w:r>
          </w:p>
        </w:tc>
      </w:tr>
      <w:tr>
        <w:tblPrEx>
          <w:shd w:val="clear" w:color="auto" w:fill="ced7e7"/>
        </w:tblPrEx>
        <w:trPr>
          <w:trHeight w:val="221"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Budget management</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No current evidence</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Major development need</w:t>
            </w:r>
          </w:p>
        </w:tc>
      </w:tr>
      <w:tr>
        <w:tblPrEx>
          <w:shd w:val="clear" w:color="auto" w:fill="ced7e7"/>
        </w:tblPrEx>
        <w:trPr>
          <w:trHeight w:val="221"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KPI monitoring</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No current evidence</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Major development need</w:t>
            </w:r>
          </w:p>
        </w:tc>
      </w:tr>
      <w:tr>
        <w:tblPrEx>
          <w:shd w:val="clear" w:color="auto" w:fill="ced7e7"/>
        </w:tblPrEx>
        <w:trPr>
          <w:trHeight w:val="221"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Data and digital systems</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General academic experience</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Care-specific evidence needed</w:t>
            </w:r>
          </w:p>
        </w:tc>
      </w:tr>
      <w:tr>
        <w:tblPrEx>
          <w:shd w:val="clear" w:color="auto" w:fill="ced7e7"/>
        </w:tblPrEx>
        <w:trPr>
          <w:trHeight w:val="587" w:hRule="atLeast"/>
        </w:trPr>
        <w:tc>
          <w:tcPr>
            <w:tcW w:type="dxa" w:w="27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Service development</w:t>
            </w:r>
          </w:p>
        </w:tc>
        <w:tc>
          <w:tcPr>
            <w:tcW w:type="dxa" w:w="31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There is no confirmation of any evidence</w:t>
            </w:r>
          </w:p>
        </w:tc>
        <w:tc>
          <w:tcPr>
            <w:tcW w:type="dxa" w:w="3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Major development need</w:t>
            </w:r>
          </w:p>
        </w:tc>
      </w:tr>
    </w:tbl>
    <w:p>
      <w:pPr>
        <w:pStyle w:val="Body"/>
        <w:widowControl w:val="0"/>
        <w:spacing w:line="240" w:lineRule="auto"/>
        <w:jc w:val="both"/>
        <w:rPr>
          <w:b w:val="1"/>
          <w:bCs w:val="1"/>
          <w:outline w:val="0"/>
          <w:color w:val="000000"/>
          <w:u w:color="000000"/>
          <w14:textFill>
            <w14:solidFill>
              <w14:srgbClr w14:val="000000"/>
            </w14:solidFill>
          </w14:textFill>
        </w:rPr>
      </w:pPr>
    </w:p>
    <w:p>
      <w:pPr>
        <w:pStyle w:val="Body"/>
        <w:spacing w:before="100" w:after="100" w:line="360" w:lineRule="auto"/>
        <w:jc w:val="both"/>
      </w:pPr>
      <w:r>
        <w:rPr>
          <w:rtl w:val="0"/>
          <w:lang w:val="en-US"/>
        </w:rPr>
        <w:t>My primary weak area is management accountability. Currently, I don't have evidence of budgets, KPIs, recruitment or staff performance, CQC preparation, or branch growth. These are key areas of the vacancy.</w:t>
      </w:r>
    </w:p>
    <w:p>
      <w:pPr>
        <w:pStyle w:val="Body"/>
        <w:spacing w:before="100" w:after="100" w:line="360" w:lineRule="auto"/>
        <w:jc w:val="both"/>
      </w:pPr>
      <w:r>
        <w:rPr>
          <w:rtl w:val="0"/>
          <w:lang w:val="en-US"/>
        </w:rPr>
        <w:t>Another gap is a lack of direct experience in social care. CQC requires experience and competence that are suitable for the regulated activity (CQC, 2025). The skills gained from a Health and Social Care degree can be helpful for management development but cannot stand in place of practical evidence.</w:t>
      </w:r>
    </w:p>
    <w:p>
      <w:pPr>
        <w:pStyle w:val="Body"/>
        <w:spacing w:before="100" w:after="100" w:line="360" w:lineRule="auto"/>
        <w:jc w:val="both"/>
      </w:pPr>
      <w:r>
        <w:rPr>
          <w:rtl w:val="0"/>
          <w:lang w:val="en-US"/>
        </w:rPr>
        <w:t>Li, Pu and Liao (2022) determined that self-efficacy and adaptability can be leveraged as factors that can strengthen the perceived employability of university students. Career development can thus also be assisted by confidence. But perceived employability is not the same as employer judgement. I might feel I'm ready, but an employer will still want proof that I have performed the appropriate work.</w:t>
      </w:r>
    </w:p>
    <w:p>
      <w:pPr>
        <w:pStyle w:val="Body"/>
        <w:spacing w:before="100" w:after="100" w:line="360" w:lineRule="auto"/>
        <w:jc w:val="both"/>
      </w:pPr>
      <w:r>
        <w:rPr>
          <w:rtl w:val="0"/>
          <w:lang w:val="en-US"/>
        </w:rPr>
        <w:t>I would conduct a skills audit every six months and compare my development with that of the Helping Hands vacancy and the Registered Manager pathway. It would also be helpful to have feedback from tutors, supervisors and workplace managers. According to Jackson et al. (2024), workplace learning, mentoring and career-development activities can help develop graduate employability. These other kinds of evidence would be more valuable to me than relying only on my own assessment.</w:t>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5. Building My Personal Brand and Professional Identity</w:t>
      </w:r>
    </w:p>
    <w:p>
      <w:pPr>
        <w:pStyle w:val="Body"/>
        <w:spacing w:before="100" w:after="100" w:line="360" w:lineRule="auto"/>
        <w:jc w:val="both"/>
      </w:pPr>
      <w:r>
        <w:rPr>
          <w:rtl w:val="0"/>
          <w:lang w:val="en-US"/>
        </w:rPr>
        <w:t>My personal brand would be:</w:t>
      </w:r>
    </w:p>
    <w:p>
      <w:pPr>
        <w:pStyle w:val="List Paragraph"/>
        <w:numPr>
          <w:ilvl w:val="0"/>
          <w:numId w:val="2"/>
        </w:numPr>
        <w:bidi w:val="0"/>
        <w:spacing w:before="100" w:after="100" w:line="360" w:lineRule="auto"/>
        <w:ind w:right="0"/>
        <w:jc w:val="both"/>
        <w:rPr>
          <w:rtl w:val="0"/>
          <w:lang w:val="en-US"/>
        </w:rPr>
      </w:pPr>
      <w:r>
        <w:rPr>
          <w:rtl w:val="0"/>
          <w:lang w:val="en-US"/>
        </w:rPr>
        <w:t>An evidence-based, person-centred future care manager who will be able to manage the balance between safe provision of care and effective organised service delivery.</w:t>
      </w:r>
    </w:p>
    <w:p>
      <w:pPr>
        <w:pStyle w:val="List Paragraph"/>
        <w:numPr>
          <w:ilvl w:val="0"/>
          <w:numId w:val="2"/>
        </w:numPr>
        <w:bidi w:val="0"/>
        <w:spacing w:before="100" w:after="100" w:line="360" w:lineRule="auto"/>
        <w:ind w:right="0"/>
        <w:jc w:val="both"/>
        <w:rPr>
          <w:rtl w:val="0"/>
          <w:lang w:val="en-US"/>
        </w:rPr>
      </w:pPr>
      <w:r>
        <w:rPr>
          <w:rtl w:val="0"/>
          <w:lang w:val="en-US"/>
        </w:rPr>
        <w:t>This matches the vacancy because Helping Hands requires someone who has the accountability and responsibility for ensuring the quality of care as well as managing employees, resources and branch performance.</w:t>
      </w:r>
    </w:p>
    <w:p>
      <w:pPr>
        <w:pStyle w:val="List Paragraph"/>
        <w:numPr>
          <w:ilvl w:val="0"/>
          <w:numId w:val="2"/>
        </w:numPr>
        <w:bidi w:val="0"/>
        <w:spacing w:before="100" w:after="100" w:line="360" w:lineRule="auto"/>
        <w:ind w:right="0"/>
        <w:jc w:val="both"/>
        <w:rPr>
          <w:rtl w:val="0"/>
          <w:lang w:val="en-US"/>
        </w:rPr>
      </w:pPr>
      <w:r>
        <w:rPr>
          <w:rtl w:val="0"/>
          <w:lang w:val="en-US"/>
        </w:rPr>
        <w:t>My own brand should be accurate. I'm not a seasoned manager yet, so I should not make that claim. As found by Trang et al. (2024), there can be a disconnect between what students want to profess about themselves online and how they are perceived by others. This helps to create more realistic personal branding.</w:t>
      </w:r>
    </w:p>
    <w:p>
      <w:pPr>
        <w:pStyle w:val="List Paragraph"/>
        <w:numPr>
          <w:ilvl w:val="0"/>
          <w:numId w:val="2"/>
        </w:numPr>
        <w:bidi w:val="0"/>
        <w:spacing w:before="100" w:after="100" w:line="360" w:lineRule="auto"/>
        <w:ind w:right="0"/>
        <w:jc w:val="both"/>
        <w:rPr>
          <w:rtl w:val="0"/>
          <w:lang w:val="en-US"/>
        </w:rPr>
      </w:pPr>
      <w:r>
        <w:rPr>
          <w:rtl w:val="0"/>
          <w:lang w:val="en-US"/>
        </w:rPr>
        <w:t>My CV would therefore be based on evidence. When I reach a higher level of achievement, it will incorporate leadership duties, safeguarding training, quality audits, recruitment experience, budget exposure and measurable improvements in service.</w:t>
      </w:r>
    </w:p>
    <w:p>
      <w:pPr>
        <w:pStyle w:val="List Paragraph"/>
        <w:numPr>
          <w:ilvl w:val="0"/>
          <w:numId w:val="2"/>
        </w:numPr>
        <w:bidi w:val="0"/>
        <w:spacing w:before="100" w:after="100" w:line="360" w:lineRule="auto"/>
        <w:ind w:right="0"/>
        <w:jc w:val="both"/>
        <w:rPr>
          <w:rtl w:val="0"/>
          <w:lang w:val="en-US"/>
        </w:rPr>
      </w:pPr>
      <w:r>
        <w:rPr>
          <w:rtl w:val="0"/>
          <w:lang w:val="en-US"/>
        </w:rPr>
        <w:t>My LinkedIn profile would be about adult social care, leadership development, knowledge of the CQC, home care and service quality. I would also keep a professional portfolio of certificates, workplace development, feedback and CPD.</w:t>
      </w:r>
    </w:p>
    <w:p>
      <w:pPr>
        <w:pStyle w:val="Body"/>
        <w:spacing w:before="100" w:after="100" w:line="360" w:lineRule="auto"/>
        <w:jc w:val="both"/>
      </w:pPr>
      <w:r>
        <w:rPr>
          <w:rtl w:val="0"/>
          <w:lang w:val="en-US"/>
        </w:rPr>
        <w:t>Networking would be focused. I would be meeting with Registered Managers, home-care professionals, Skills for Care professionals, university tutors and individuals in adult social care leadership. According to De Weerdt et al. (2024), professional contacts are a source of helpful job-related information and career prospects. Networking isn't about how many contacts you can make; it's about what you can get from them.</w:t>
      </w:r>
    </w:p>
    <w:p>
      <w:pPr>
        <w:pStyle w:val="Body"/>
        <w:spacing w:before="100" w:after="100" w:line="360" w:lineRule="auto"/>
        <w:jc w:val="both"/>
      </w:pPr>
      <w:r>
        <w:rPr>
          <w:rtl w:val="0"/>
          <w:lang w:val="en-US"/>
        </w:rPr>
        <w:t>The unique selling point would be a mixture of current Health and Social Care education and an intended transition into evidence-based care management. This isn't a full strength yet. It will only become believable if I can demonstrate it with service-management and leadership-based experience.</w:t>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6. Personal Development and Action Plan</w:t>
      </w:r>
    </w:p>
    <w:p>
      <w:pPr>
        <w:pStyle w:val="Body"/>
        <w:spacing w:before="100" w:after="100" w:line="360" w:lineRule="auto"/>
        <w:jc w:val="both"/>
      </w:pPr>
      <w:r>
        <w:rPr>
          <w:rtl w:val="0"/>
          <w:lang w:val="en-US"/>
        </w:rPr>
        <w:t>I need to progress from knowledge of care to supervised leadership and ultimately take on full leadership responsibility in my development plan. Applying directly for a Registered Care Manager role is not realistic without this experience.</w:t>
      </w:r>
    </w:p>
    <w:p>
      <w:pPr>
        <w:pStyle w:val="Body"/>
        <w:spacing w:before="240" w:line="360" w:lineRule="auto"/>
        <w:jc w:val="both"/>
        <w:rPr>
          <w:b w:val="1"/>
          <w:bCs w:val="1"/>
        </w:rPr>
      </w:pPr>
      <w:r>
        <w:rPr>
          <w:b w:val="1"/>
          <w:bCs w:val="1"/>
          <w:rtl w:val="0"/>
          <w:lang w:val="en-US"/>
        </w:rPr>
        <w:t>Five-Year Personal Development Action Plan</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80"/>
        <w:gridCol w:w="2287"/>
        <w:gridCol w:w="2489"/>
        <w:gridCol w:w="1317"/>
        <w:gridCol w:w="1703"/>
      </w:tblGrid>
      <w:tr>
        <w:tblPrEx>
          <w:shd w:val="clear" w:color="auto" w:fill="ced7e7"/>
        </w:tblPrEx>
        <w:trPr>
          <w:trHeight w:val="587"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hd w:val="nil" w:color="auto" w:fill="auto"/>
                <w:rtl w:val="0"/>
                <w:lang w:val="en-US"/>
              </w:rPr>
              <w:t>Development Need</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Specific Action</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Resource</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Timescale</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Evidence of Success</w:t>
            </w:r>
          </w:p>
        </w:tc>
      </w:tr>
      <w:tr>
        <w:tblPrEx>
          <w:shd w:val="clear" w:color="auto" w:fill="ced7e7"/>
        </w:tblPrEx>
        <w:trPr>
          <w:trHeight w:val="1684"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Care-sector experience</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Obtain paid, voluntary and/or placement experience in adult social care or home care</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Care provider or placement</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0</w:t>
            </w:r>
            <w:r>
              <w:rPr>
                <w:shd w:val="nil" w:color="auto" w:fill="auto"/>
                <w:rtl w:val="0"/>
                <w:lang w:val="en-US"/>
              </w:rPr>
              <w:t>–</w:t>
            </w:r>
            <w:r>
              <w:rPr>
                <w:shd w:val="nil" w:color="auto" w:fill="auto"/>
                <w:rtl w:val="0"/>
                <w:lang w:val="en-US"/>
              </w:rPr>
              <w:t>12 months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Work record and supervisor feedback</w:t>
            </w:r>
          </w:p>
        </w:tc>
      </w:tr>
      <w:tr>
        <w:tblPrEx>
          <w:shd w:val="clear" w:color="auto" w:fill="ced7e7"/>
        </w:tblPrEx>
        <w:trPr>
          <w:trHeight w:val="953"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CQC knowledge</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Learn about the current regulations and quality requirements</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CQC guidance</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0</w:t>
            </w:r>
            <w:r>
              <w:rPr>
                <w:shd w:val="nil" w:color="auto" w:fill="auto"/>
                <w:rtl w:val="0"/>
                <w:lang w:val="en-US"/>
              </w:rPr>
              <w:t>–</w:t>
            </w:r>
            <w:r>
              <w:rPr>
                <w:shd w:val="nil" w:color="auto" w:fill="auto"/>
                <w:rtl w:val="0"/>
                <w:lang w:val="en-US"/>
              </w:rPr>
              <w:t>6 months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CPD and reflection</w:t>
            </w:r>
          </w:p>
        </w:tc>
      </w:tr>
      <w:tr>
        <w:tblPrEx>
          <w:shd w:val="clear" w:color="auto" w:fill="ced7e7"/>
        </w:tblPrEx>
        <w:trPr>
          <w:trHeight w:val="587"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Safeguarding</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Complete the full adult safeguarding syllabus</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Employer/recognised provider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0</w:t>
            </w:r>
            <w:r>
              <w:rPr>
                <w:shd w:val="nil" w:color="auto" w:fill="auto"/>
                <w:rtl w:val="0"/>
                <w:lang w:val="en-US"/>
              </w:rPr>
              <w:t>–</w:t>
            </w:r>
            <w:r>
              <w:rPr>
                <w:shd w:val="nil" w:color="auto" w:fill="auto"/>
                <w:rtl w:val="0"/>
                <w:lang w:val="en-US"/>
              </w:rPr>
              <w:t>6 months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Certificate</w:t>
            </w:r>
          </w:p>
        </w:tc>
      </w:tr>
      <w:tr>
        <w:tblPrEx>
          <w:shd w:val="clear" w:color="auto" w:fill="ced7e7"/>
        </w:tblPrEx>
        <w:trPr>
          <w:trHeight w:val="953"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Staff leadership</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Supervise staff activities and lead handovers</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Workplace manager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6</w:t>
            </w:r>
            <w:r>
              <w:rPr>
                <w:shd w:val="nil" w:color="auto" w:fill="auto"/>
                <w:rtl w:val="0"/>
                <w:lang w:val="en-US"/>
              </w:rPr>
              <w:t>–</w:t>
            </w:r>
            <w:r>
              <w:rPr>
                <w:shd w:val="nil" w:color="auto" w:fill="auto"/>
                <w:rtl w:val="0"/>
                <w:lang w:val="en-US"/>
              </w:rPr>
              <w:t>18 months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Manager feedback</w:t>
            </w:r>
          </w:p>
        </w:tc>
      </w:tr>
      <w:tr>
        <w:tblPrEx>
          <w:shd w:val="clear" w:color="auto" w:fill="ced7e7"/>
        </w:tblPrEx>
        <w:trPr>
          <w:trHeight w:val="587"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Recruitment</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Take part in interviews and induction</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12</w:t>
            </w:r>
            <w:r>
              <w:rPr>
                <w:shd w:val="nil" w:color="auto" w:fill="auto"/>
                <w:rtl w:val="0"/>
                <w:lang w:val="en-US"/>
              </w:rPr>
              <w:t>–</w:t>
            </w:r>
            <w:r>
              <w:rPr>
                <w:shd w:val="nil" w:color="auto" w:fill="auto"/>
                <w:rtl w:val="0"/>
                <w:lang w:val="en-US"/>
              </w:rPr>
              <w:t>24 months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Recruitment evidence</w:t>
            </w:r>
          </w:p>
        </w:tc>
      </w:tr>
      <w:tr>
        <w:tblPrEx>
          <w:shd w:val="clear" w:color="auto" w:fill="ced7e7"/>
        </w:tblPrEx>
        <w:trPr>
          <w:trHeight w:val="953"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Quality management</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Support audits, complaint reviews and improvement plans</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Quality lead</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12</w:t>
            </w:r>
            <w:r>
              <w:rPr>
                <w:shd w:val="nil" w:color="auto" w:fill="auto"/>
                <w:rtl w:val="0"/>
                <w:lang w:val="en-US"/>
              </w:rPr>
              <w:t>–</w:t>
            </w:r>
            <w:r>
              <w:rPr>
                <w:shd w:val="nil" w:color="auto" w:fill="auto"/>
                <w:rtl w:val="0"/>
                <w:lang w:val="en-US"/>
              </w:rPr>
              <w:t>24 months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Audit evidence</w:t>
            </w:r>
          </w:p>
        </w:tc>
      </w:tr>
      <w:tr>
        <w:tblPrEx>
          <w:shd w:val="clear" w:color="auto" w:fill="ced7e7"/>
        </w:tblPrEx>
        <w:trPr>
          <w:trHeight w:val="1319"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Budgets and KPIs</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Shadow budget reviews and performance monitoring</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Registered Manager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1</w:t>
            </w:r>
            <w:r>
              <w:rPr>
                <w:shd w:val="nil" w:color="auto" w:fill="auto"/>
                <w:rtl w:val="0"/>
                <w:lang w:val="en-US"/>
              </w:rPr>
              <w:t>–</w:t>
            </w:r>
            <w:r>
              <w:rPr>
                <w:shd w:val="nil" w:color="auto" w:fill="auto"/>
                <w:rtl w:val="0"/>
                <w:lang w:val="en-US"/>
              </w:rPr>
              <w:t>3 years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Budget and KPI evidence</w:t>
            </w:r>
          </w:p>
        </w:tc>
      </w:tr>
      <w:tr>
        <w:tblPrEx>
          <w:shd w:val="clear" w:color="auto" w:fill="ced7e7"/>
        </w:tblPrEx>
        <w:trPr>
          <w:trHeight w:val="1319"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Management qualification</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Complete Level 5 Leadership and Management for Adult Care</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Approved provider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2</w:t>
            </w:r>
            <w:r>
              <w:rPr>
                <w:shd w:val="nil" w:color="auto" w:fill="auto"/>
                <w:rtl w:val="0"/>
                <w:lang w:val="en-US"/>
              </w:rPr>
              <w:t>–</w:t>
            </w:r>
            <w:r>
              <w:rPr>
                <w:shd w:val="nil" w:color="auto" w:fill="auto"/>
                <w:rtl w:val="0"/>
                <w:lang w:val="en-US"/>
              </w:rPr>
              <w:t>3 years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Qualification</w:t>
            </w:r>
          </w:p>
        </w:tc>
      </w:tr>
      <w:tr>
        <w:tblPrEx>
          <w:shd w:val="clear" w:color="auto" w:fill="ced7e7"/>
        </w:tblPrEx>
        <w:trPr>
          <w:trHeight w:val="587"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Service improvement</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Deliver a small quality or growth project</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2</w:t>
            </w:r>
            <w:r>
              <w:rPr>
                <w:shd w:val="nil" w:color="auto" w:fill="auto"/>
                <w:rtl w:val="0"/>
                <w:lang w:val="en-US"/>
              </w:rPr>
              <w:t>–</w:t>
            </w:r>
            <w:r>
              <w:rPr>
                <w:shd w:val="nil" w:color="auto" w:fill="auto"/>
                <w:rtl w:val="0"/>
                <w:lang w:val="en-US"/>
              </w:rPr>
              <w:t>4 years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Measurable outcome</w:t>
            </w:r>
          </w:p>
        </w:tc>
      </w:tr>
      <w:tr>
        <w:tblPrEx>
          <w:shd w:val="clear" w:color="auto" w:fill="ced7e7"/>
        </w:tblPrEx>
        <w:trPr>
          <w:trHeight w:val="953"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Management progression</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Progress to a senior, team leader or deputy position</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2</w:t>
            </w:r>
            <w:r>
              <w:rPr>
                <w:shd w:val="nil" w:color="auto" w:fill="auto"/>
                <w:rtl w:val="0"/>
                <w:lang w:val="en-US"/>
              </w:rPr>
              <w:t>–</w:t>
            </w:r>
            <w:r>
              <w:rPr>
                <w:shd w:val="nil" w:color="auto" w:fill="auto"/>
                <w:rtl w:val="0"/>
                <w:lang w:val="en-US"/>
              </w:rPr>
              <w:t>4 years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Promotion</w:t>
            </w:r>
          </w:p>
        </w:tc>
      </w:tr>
      <w:tr>
        <w:tblPrEx>
          <w:shd w:val="clear" w:color="auto" w:fill="ced7e7"/>
        </w:tblPrEx>
        <w:trPr>
          <w:trHeight w:val="1319" w:hRule="atLeast"/>
        </w:trPr>
        <w:tc>
          <w:tcPr>
            <w:tcW w:type="dxa" w:w="1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Registered Manager readiness</w:t>
            </w:r>
          </w:p>
        </w:tc>
        <w:tc>
          <w:tcPr>
            <w:tcW w:type="dxa" w:w="2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Apply once practical and regulatory requirements have been met</w:t>
            </w:r>
          </w:p>
        </w:tc>
        <w:tc>
          <w:tcPr>
            <w:tcW w:type="dxa" w:w="24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 vacancies and CQC guidance</w:t>
            </w:r>
          </w:p>
        </w:tc>
        <w:tc>
          <w:tcPr>
            <w:tcW w:type="dxa" w:w="13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4</w:t>
            </w:r>
            <w:r>
              <w:rPr>
                <w:shd w:val="nil" w:color="auto" w:fill="auto"/>
                <w:rtl w:val="0"/>
                <w:lang w:val="en-US"/>
              </w:rPr>
              <w:t>–</w:t>
            </w:r>
            <w:r>
              <w:rPr>
                <w:shd w:val="nil" w:color="auto" w:fill="auto"/>
                <w:rtl w:val="0"/>
                <w:lang w:val="en-US"/>
              </w:rPr>
              <w:t>5 years</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Successful appointment</w:t>
            </w:r>
          </w:p>
        </w:tc>
      </w:tr>
    </w:tbl>
    <w:p>
      <w:pPr>
        <w:pStyle w:val="Body"/>
        <w:widowControl w:val="0"/>
        <w:spacing w:before="240" w:line="240" w:lineRule="auto"/>
        <w:jc w:val="both"/>
        <w:rPr>
          <w:b w:val="1"/>
          <w:bCs w:val="1"/>
        </w:rPr>
      </w:pPr>
    </w:p>
    <w:p>
      <w:pPr>
        <w:pStyle w:val="Body"/>
        <w:spacing w:before="100" w:after="100" w:line="360" w:lineRule="auto"/>
        <w:jc w:val="both"/>
      </w:pPr>
      <w:r>
        <w:rPr>
          <w:rtl w:val="0"/>
          <w:lang w:val="en-US"/>
        </w:rPr>
        <w:t>The order is important. Given that later management decisions rely on an understanding of the operation of services, it is important that direct care experience and regulatory knowledge take priority.</w:t>
      </w:r>
    </w:p>
    <w:p>
      <w:pPr>
        <w:pStyle w:val="Body"/>
        <w:spacing w:before="100" w:after="100" w:line="360" w:lineRule="auto"/>
        <w:jc w:val="both"/>
      </w:pPr>
      <w:r>
        <w:rPr>
          <w:rtl w:val="0"/>
          <w:lang w:val="en-US"/>
        </w:rPr>
        <w:t>Recruitment, supervision of staff, audits and monitoring of performance should be the next step. A Level 5 management qualification could be completed at this stage, enabling theory to be applied in the workplace. Within the Registered Manager pathway, management competence and leadership development are identified as important by DHSC (2026).</w:t>
      </w:r>
    </w:p>
    <w:p>
      <w:pPr>
        <w:pStyle w:val="Body"/>
        <w:spacing w:before="100" w:after="100" w:line="360" w:lineRule="auto"/>
        <w:jc w:val="both"/>
      </w:pPr>
      <w:r>
        <w:rPr>
          <w:rtl w:val="0"/>
          <w:lang w:val="en-US"/>
        </w:rPr>
        <w:t>The final stage should cover responsibility for quality, people and resources prior to applying for a Registered Manager role. I'd check the plan every six months and not make the timeline my end goal. Career adaptability was correlated with better career decision-making (Lee &amp; Jung, 2022). This means that if a suitable opportunity to adjust the route comes up, I could do so, but I should not eliminate any key development stages in order to get to the job title sooner.</w:t>
      </w:r>
    </w:p>
    <w:p>
      <w:pPr>
        <w:pStyle w:val="Heading 2"/>
        <w:spacing w:line="360" w:lineRule="auto"/>
        <w:jc w:val="both"/>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it-IT"/>
          <w14:textFill>
            <w14:solidFill>
              <w14:srgbClr w14:val="000000"/>
            </w14:solidFill>
          </w14:textFill>
        </w:rPr>
        <w:t>7. Conclusion</w:t>
      </w:r>
    </w:p>
    <w:p>
      <w:pPr>
        <w:pStyle w:val="Body"/>
        <w:spacing w:before="100" w:after="100" w:line="360" w:lineRule="auto"/>
        <w:jc w:val="both"/>
      </w:pPr>
      <w:r>
        <w:rPr>
          <w:rtl w:val="0"/>
          <w:lang w:val="en-US"/>
        </w:rPr>
        <w:t>The Helping Hands Registered Care Manager vacancy is a realistic long-term career goal, but my current Health and Social Care education is not sufficient. My key development areas are practical leadership, CQC responsibility, staff performance, budgets, KPIs and service development.</w:t>
      </w:r>
    </w:p>
    <w:p>
      <w:pPr>
        <w:pStyle w:val="Body"/>
        <w:spacing w:before="100" w:after="100" w:line="360" w:lineRule="auto"/>
        <w:jc w:val="both"/>
      </w:pPr>
      <w:r>
        <w:rPr>
          <w:rtl w:val="0"/>
          <w:lang w:val="en-US"/>
        </w:rPr>
        <w:t>My own brand should then be informed and based on evidence and not on early claims of management expertise. A clear pathway over five years involving care experience, leadership and management development, quality work and financial responsibility would provide me with better evidence of readiness. This would give me the opportunity to move from academic knowledge towards becoming a competent Registered Care Manager.</w:t>
      </w: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2"/>
        <w:spacing w:line="360" w:lineRule="auto"/>
        <w:jc w:val="center"/>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fr-FR"/>
          <w14:textFill>
            <w14:solidFill>
              <w14:srgbClr w14:val="000000"/>
            </w14:solidFill>
          </w14:textFill>
        </w:rPr>
        <w:t>References</w:t>
      </w:r>
    </w:p>
    <w:p>
      <w:pPr>
        <w:pStyle w:val="Body"/>
        <w:spacing w:before="100" w:after="100" w:line="360" w:lineRule="auto"/>
        <w:ind w:left="720" w:hanging="720"/>
        <w:rPr>
          <w:rStyle w:val="None"/>
        </w:rPr>
      </w:pPr>
      <w:r>
        <w:rPr>
          <w:rtl w:val="0"/>
          <w:lang w:val="en-US"/>
        </w:rPr>
        <w:t xml:space="preserve">Care Quality Commission (CQC) (2025) </w:t>
      </w:r>
      <w:r>
        <w:rPr>
          <w:i w:val="1"/>
          <w:iCs w:val="1"/>
          <w:rtl w:val="0"/>
          <w:lang w:val="en-US"/>
        </w:rPr>
        <w:t>Regulation 7: Requirements relating to registered managers</w:t>
      </w:r>
      <w:r>
        <w:rPr>
          <w:rtl w:val="0"/>
          <w:lang w:val="en-US"/>
        </w:rPr>
        <w:t xml:space="preserve">. Available at: </w:t>
      </w:r>
      <w:r>
        <w:rPr>
          <w:rStyle w:val="Hyperlink.0"/>
        </w:rPr>
        <w:fldChar w:fldCharType="begin" w:fldLock="0"/>
      </w:r>
      <w:r>
        <w:rPr>
          <w:rStyle w:val="Hyperlink.0"/>
        </w:rPr>
        <w:instrText xml:space="preserve"> HYPERLINK "https://www.cqc.org.uk/guidance-regulation/providers/regulations-service-providers-and-managers/health-social-care-act/regulation-7"</w:instrText>
      </w:r>
      <w:r>
        <w:rPr>
          <w:rStyle w:val="Hyperlink.0"/>
        </w:rPr>
        <w:fldChar w:fldCharType="separate" w:fldLock="0"/>
      </w:r>
      <w:r>
        <w:rPr>
          <w:rStyle w:val="Hyperlink.0"/>
          <w:rtl w:val="0"/>
          <w:lang w:val="en-US"/>
        </w:rPr>
        <w:t>https://www.cqc.org.uk/guidance-regulation/providers/regulations-service-providers-and-managers/health-social-care-act/regulation-7</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en-US"/>
        </w:rPr>
        <w:t xml:space="preserve">Department of Health and Social Care (DHSC) (2026) </w:t>
      </w:r>
      <w:r>
        <w:rPr>
          <w:rStyle w:val="None"/>
          <w:i w:val="1"/>
          <w:iCs w:val="1"/>
          <w:rtl w:val="0"/>
          <w:lang w:val="en-US"/>
        </w:rPr>
        <w:t>Registered manager role category: Care workforce pathway for adult social care</w:t>
      </w:r>
      <w:r>
        <w:rPr>
          <w:rStyle w:val="None"/>
          <w:rtl w:val="0"/>
          <w:lang w:val="en-US"/>
        </w:rPr>
        <w:t xml:space="preserve">. London: Department of Health and Social Care. Available at: </w:t>
      </w:r>
      <w:r>
        <w:rPr>
          <w:rStyle w:val="Hyperlink.0"/>
        </w:rPr>
        <w:fldChar w:fldCharType="begin" w:fldLock="0"/>
      </w:r>
      <w:r>
        <w:rPr>
          <w:rStyle w:val="Hyperlink.0"/>
        </w:rPr>
        <w:instrText xml:space="preserve"> HYPERLINK "https://www.gov.uk/government/publications/care-workforce-pathway-for-adult-social-care/registered-manager-role-category"</w:instrText>
      </w:r>
      <w:r>
        <w:rPr>
          <w:rStyle w:val="Hyperlink.0"/>
        </w:rPr>
        <w:fldChar w:fldCharType="separate" w:fldLock="0"/>
      </w:r>
      <w:r>
        <w:rPr>
          <w:rStyle w:val="Hyperlink.0"/>
          <w:rtl w:val="0"/>
          <w:lang w:val="en-US"/>
        </w:rPr>
        <w:t>https://www.gov.uk/government/publications/care-workforce-pathway-for-adult-social-care/registered-manager-role-category</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nl-NL"/>
        </w:rPr>
        <w:t xml:space="preserve">De Weerdt, D., De Schepper, A., Kyndt, E. and Gijbels, D. (2024) </w:t>
      </w:r>
      <w:r>
        <w:rPr>
          <w:rStyle w:val="None"/>
          <w:rtl w:val="1"/>
        </w:rPr>
        <w:t>‘</w:t>
      </w:r>
      <w:r>
        <w:rPr>
          <w:rStyle w:val="None"/>
          <w:rtl w:val="0"/>
          <w:lang w:val="en-US"/>
        </w:rPr>
        <w:t>Entering the labor market: Networks and networking behavior in the school-to-work transition</w:t>
      </w:r>
      <w:r>
        <w:rPr>
          <w:rStyle w:val="None"/>
          <w:rtl w:val="1"/>
        </w:rPr>
        <w:t>’</w:t>
      </w:r>
      <w:r>
        <w:rPr>
          <w:rStyle w:val="None"/>
          <w:rtl w:val="0"/>
        </w:rPr>
        <w:t xml:space="preserve">, </w:t>
      </w:r>
      <w:r>
        <w:rPr>
          <w:rStyle w:val="None"/>
          <w:i w:val="1"/>
          <w:iCs w:val="1"/>
          <w:rtl w:val="0"/>
          <w:lang w:val="en-US"/>
        </w:rPr>
        <w:t>Vocations and Learning</w:t>
      </w:r>
      <w:r>
        <w:rPr>
          <w:rStyle w:val="None"/>
          <w:rtl w:val="0"/>
        </w:rPr>
        <w:t>, 17, pp. 311</w:t>
      </w:r>
      <w:r>
        <w:rPr>
          <w:rStyle w:val="None"/>
          <w:rtl w:val="0"/>
        </w:rPr>
        <w:t>–</w:t>
      </w:r>
      <w:r>
        <w:rPr>
          <w:rStyle w:val="None"/>
          <w:rtl w:val="0"/>
          <w:lang w:val="en-US"/>
        </w:rPr>
        <w:t xml:space="preserve">332. Available at: </w:t>
      </w:r>
      <w:r>
        <w:rPr>
          <w:rStyle w:val="Hyperlink.0"/>
        </w:rPr>
        <w:fldChar w:fldCharType="begin" w:fldLock="0"/>
      </w:r>
      <w:r>
        <w:rPr>
          <w:rStyle w:val="Hyperlink.0"/>
        </w:rPr>
        <w:instrText xml:space="preserve"> HYPERLINK "https://doi.org/10.1007/s12186-024-09343-4"</w:instrText>
      </w:r>
      <w:r>
        <w:rPr>
          <w:rStyle w:val="Hyperlink.0"/>
        </w:rPr>
        <w:fldChar w:fldCharType="separate" w:fldLock="0"/>
      </w:r>
      <w:r>
        <w:rPr>
          <w:rStyle w:val="Hyperlink.0"/>
          <w:rtl w:val="0"/>
          <w:lang w:val="en-US"/>
        </w:rPr>
        <w:t>https://doi.org/10.1007/s12186-024-09343-4</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Gallegos, P., Riaz, M.S. and Peeters, M. (2024) </w:t>
      </w:r>
      <w:r>
        <w:rPr>
          <w:rStyle w:val="None"/>
          <w:rtl w:val="1"/>
        </w:rPr>
        <w:t>‘</w:t>
      </w:r>
      <w:r>
        <w:rPr>
          <w:rStyle w:val="None"/>
          <w:rtl w:val="0"/>
          <w:lang w:val="en-US"/>
        </w:rPr>
        <w:t>Leadership and followership in health professions: A systematic review</w:t>
      </w:r>
      <w:r>
        <w:rPr>
          <w:rStyle w:val="None"/>
          <w:rtl w:val="1"/>
        </w:rPr>
        <w:t>’</w:t>
      </w:r>
      <w:r>
        <w:rPr>
          <w:rStyle w:val="None"/>
          <w:rtl w:val="0"/>
        </w:rPr>
        <w:t xml:space="preserve">, </w:t>
      </w:r>
      <w:r>
        <w:rPr>
          <w:rStyle w:val="None"/>
          <w:i w:val="1"/>
          <w:iCs w:val="1"/>
          <w:rtl w:val="0"/>
          <w:lang w:val="en-US"/>
        </w:rPr>
        <w:t>Innovations in Pharmacy</w:t>
      </w:r>
      <w:r>
        <w:rPr>
          <w:rStyle w:val="None"/>
          <w:rtl w:val="0"/>
          <w:lang w:val="en-US"/>
        </w:rPr>
        <w:t xml:space="preserve">, 15(2). Available at: </w:t>
      </w:r>
      <w:r>
        <w:rPr>
          <w:rStyle w:val="Hyperlink.0"/>
        </w:rPr>
        <w:fldChar w:fldCharType="begin" w:fldLock="0"/>
      </w:r>
      <w:r>
        <w:rPr>
          <w:rStyle w:val="Hyperlink.0"/>
        </w:rPr>
        <w:instrText xml:space="preserve"> HYPERLINK "https://pubmed.ncbi.nlm.nih.gov/39166139/"</w:instrText>
      </w:r>
      <w:r>
        <w:rPr>
          <w:rStyle w:val="Hyperlink.0"/>
        </w:rPr>
        <w:fldChar w:fldCharType="separate" w:fldLock="0"/>
      </w:r>
      <w:r>
        <w:rPr>
          <w:rStyle w:val="Hyperlink.0"/>
          <w:rtl w:val="0"/>
        </w:rPr>
        <w:t>https://pubmed.ncbi.nlm.nih.gov/39166139/</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Helping Hands (2026) </w:t>
      </w:r>
      <w:r>
        <w:rPr>
          <w:rStyle w:val="None"/>
          <w:i w:val="1"/>
          <w:iCs w:val="1"/>
          <w:rtl w:val="0"/>
          <w:lang w:val="en-US"/>
        </w:rPr>
        <w:t>Registered Care Manager: Taunton</w:t>
      </w:r>
      <w:r>
        <w:rPr>
          <w:rStyle w:val="None"/>
          <w:rtl w:val="0"/>
          <w:lang w:val="en-US"/>
        </w:rPr>
        <w:t xml:space="preserve">. Available at: </w:t>
      </w:r>
      <w:r>
        <w:rPr>
          <w:rStyle w:val="Hyperlink.0"/>
        </w:rPr>
        <w:fldChar w:fldCharType="begin" w:fldLock="0"/>
      </w:r>
      <w:r>
        <w:rPr>
          <w:rStyle w:val="Hyperlink.0"/>
        </w:rPr>
        <w:instrText xml:space="preserve"> HYPERLINK "https://careers.helpinghands.co.uk/e/careers/positions/c1Qj4SlJ1mSkFoYKSw774v"</w:instrText>
      </w:r>
      <w:r>
        <w:rPr>
          <w:rStyle w:val="Hyperlink.0"/>
        </w:rPr>
        <w:fldChar w:fldCharType="separate" w:fldLock="0"/>
      </w:r>
      <w:r>
        <w:rPr>
          <w:rStyle w:val="Hyperlink.0"/>
          <w:rtl w:val="0"/>
          <w:lang w:val="en-US"/>
        </w:rPr>
        <w:t>https://careers.helpinghands.co.uk/e/careers/positions/c1Qj4SlJ1mSkFoYKSw774v</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Indeed (2026) </w:t>
      </w:r>
      <w:r>
        <w:rPr>
          <w:rStyle w:val="None"/>
          <w:i w:val="1"/>
          <w:iCs w:val="1"/>
          <w:rtl w:val="0"/>
          <w:lang w:val="en-US"/>
        </w:rPr>
        <w:t>Registered Care Manager: Helping Hands, Taunton</w:t>
      </w:r>
      <w:r>
        <w:rPr>
          <w:rStyle w:val="None"/>
          <w:rtl w:val="0"/>
          <w:lang w:val="en-US"/>
        </w:rPr>
        <w:t xml:space="preserve">. Available at: </w:t>
      </w:r>
      <w:r>
        <w:rPr>
          <w:rStyle w:val="Hyperlink.0"/>
        </w:rPr>
        <w:fldChar w:fldCharType="begin" w:fldLock="0"/>
      </w:r>
      <w:r>
        <w:rPr>
          <w:rStyle w:val="Hyperlink.0"/>
        </w:rPr>
        <w:instrText xml:space="preserve"> HYPERLINK "https://uk.indeed.com/cmp/Helping-Hands-8/jobs/q-Registered-Manager"</w:instrText>
      </w:r>
      <w:r>
        <w:rPr>
          <w:rStyle w:val="Hyperlink.0"/>
        </w:rPr>
        <w:fldChar w:fldCharType="separate" w:fldLock="0"/>
      </w:r>
      <w:r>
        <w:rPr>
          <w:rStyle w:val="Hyperlink.0"/>
          <w:rtl w:val="0"/>
          <w:lang w:val="en-US"/>
        </w:rPr>
        <w:t>https://uk.indeed.com/cmp/Helping-Hands-8/jobs/q-Registered-Manager</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Jackson, D., Lambert, C., Sibson, R., Bridgstock, R. and Tofa, M. (2024) </w:t>
      </w:r>
      <w:r>
        <w:rPr>
          <w:rStyle w:val="None"/>
          <w:rtl w:val="1"/>
        </w:rPr>
        <w:t>‘</w:t>
      </w:r>
      <w:r>
        <w:rPr>
          <w:rStyle w:val="None"/>
          <w:rtl w:val="0"/>
          <w:lang w:val="en-US"/>
        </w:rPr>
        <w:t>Student employability-building activities: Participation and contribution to graduate outcomes</w:t>
      </w:r>
      <w:r>
        <w:rPr>
          <w:rStyle w:val="None"/>
          <w:rtl w:val="1"/>
        </w:rPr>
        <w:t>’</w:t>
      </w:r>
      <w:r>
        <w:rPr>
          <w:rStyle w:val="None"/>
          <w:rtl w:val="0"/>
        </w:rPr>
        <w:t xml:space="preserve">, </w:t>
      </w:r>
      <w:r>
        <w:rPr>
          <w:rStyle w:val="None"/>
          <w:i w:val="1"/>
          <w:iCs w:val="1"/>
          <w:rtl w:val="0"/>
          <w:lang w:val="en-US"/>
        </w:rPr>
        <w:t>Higher Education Research &amp; Development</w:t>
      </w:r>
      <w:r>
        <w:rPr>
          <w:rStyle w:val="None"/>
          <w:rtl w:val="0"/>
          <w:lang w:val="en-US"/>
        </w:rPr>
        <w:t xml:space="preserve">. Available at: </w:t>
      </w:r>
      <w:r>
        <w:rPr>
          <w:rStyle w:val="Hyperlink.0"/>
        </w:rPr>
        <w:fldChar w:fldCharType="begin" w:fldLock="0"/>
      </w:r>
      <w:r>
        <w:rPr>
          <w:rStyle w:val="Hyperlink.0"/>
        </w:rPr>
        <w:instrText xml:space="preserve"> HYPERLINK "https://doi.org/10.1080/07294360.2024.2325154"</w:instrText>
      </w:r>
      <w:r>
        <w:rPr>
          <w:rStyle w:val="Hyperlink.0"/>
        </w:rPr>
        <w:fldChar w:fldCharType="separate" w:fldLock="0"/>
      </w:r>
      <w:r>
        <w:rPr>
          <w:rStyle w:val="Hyperlink.0"/>
          <w:rtl w:val="0"/>
          <w:lang w:val="en-US"/>
        </w:rPr>
        <w:t>https://doi.org/10.1080/07294360.2024.2325154</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Laakkonen, N., Jarva, E., Hammar</w:t>
      </w:r>
      <w:r>
        <w:rPr>
          <w:rStyle w:val="None"/>
          <w:rtl w:val="0"/>
          <w:lang w:val="fr-FR"/>
        </w:rPr>
        <w:t>é</w:t>
      </w:r>
      <w:r>
        <w:rPr>
          <w:rStyle w:val="None"/>
          <w:rtl w:val="0"/>
          <w:lang w:val="fr-FR"/>
        </w:rPr>
        <w:t>n, M., Kanste, O., K</w:t>
      </w:r>
      <w:r>
        <w:rPr>
          <w:rStyle w:val="None"/>
          <w:rtl w:val="0"/>
        </w:rPr>
        <w:t>ää</w:t>
      </w:r>
      <w:r>
        <w:rPr>
          <w:rStyle w:val="None"/>
          <w:rtl w:val="0"/>
        </w:rPr>
        <w:t>ri</w:t>
      </w:r>
      <w:r>
        <w:rPr>
          <w:rStyle w:val="None"/>
          <w:rtl w:val="0"/>
        </w:rPr>
        <w:t>ä</w:t>
      </w:r>
      <w:r>
        <w:rPr>
          <w:rStyle w:val="None"/>
          <w:rtl w:val="0"/>
        </w:rPr>
        <w:t xml:space="preserve">inen, M., Oikarinen, A. and Mikkonen, K. (2024) </w:t>
      </w:r>
      <w:r>
        <w:rPr>
          <w:rStyle w:val="None"/>
          <w:rtl w:val="1"/>
        </w:rPr>
        <w:t>‘</w:t>
      </w:r>
      <w:r>
        <w:rPr>
          <w:rStyle w:val="None"/>
          <w:rtl w:val="0"/>
          <w:lang w:val="en-US"/>
        </w:rPr>
        <w:t>Digital competence among healthcare leaders: A mixed-methods systematic review</w:t>
      </w:r>
      <w:r>
        <w:rPr>
          <w:rStyle w:val="None"/>
          <w:rtl w:val="1"/>
        </w:rPr>
        <w:t>’</w:t>
      </w:r>
      <w:r>
        <w:rPr>
          <w:rStyle w:val="None"/>
          <w:rtl w:val="0"/>
        </w:rPr>
        <w:t xml:space="preserve">, </w:t>
      </w:r>
      <w:r>
        <w:rPr>
          <w:rStyle w:val="None"/>
          <w:i w:val="1"/>
          <w:iCs w:val="1"/>
          <w:rtl w:val="0"/>
          <w:lang w:val="en-US"/>
        </w:rPr>
        <w:t>Journal of Nursing Management</w:t>
      </w:r>
      <w:r>
        <w:rPr>
          <w:rStyle w:val="None"/>
          <w:rtl w:val="0"/>
          <w:lang w:val="en-US"/>
        </w:rPr>
        <w:t xml:space="preserve">, 2024, 8435248. Available at: </w:t>
      </w:r>
      <w:r>
        <w:rPr>
          <w:rStyle w:val="Hyperlink.0"/>
        </w:rPr>
        <w:fldChar w:fldCharType="begin" w:fldLock="0"/>
      </w:r>
      <w:r>
        <w:rPr>
          <w:rStyle w:val="Hyperlink.0"/>
        </w:rPr>
        <w:instrText xml:space="preserve"> HYPERLINK "https://doi.org/10.1155/2024/8435248"</w:instrText>
      </w:r>
      <w:r>
        <w:rPr>
          <w:rStyle w:val="Hyperlink.0"/>
        </w:rPr>
        <w:fldChar w:fldCharType="separate" w:fldLock="0"/>
      </w:r>
      <w:r>
        <w:rPr>
          <w:rStyle w:val="Hyperlink.0"/>
          <w:rtl w:val="0"/>
          <w:lang w:val="en-US"/>
        </w:rPr>
        <w:t>https://doi.org/10.1155/2024/8435248</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Lee, A. and Jung, E. (2022) </w:t>
      </w:r>
      <w:r>
        <w:rPr>
          <w:rStyle w:val="None"/>
          <w:rtl w:val="1"/>
        </w:rPr>
        <w:t>‘</w:t>
      </w:r>
      <w:r>
        <w:rPr>
          <w:rStyle w:val="None"/>
          <w:rtl w:val="0"/>
          <w:lang w:val="en-US"/>
        </w:rPr>
        <w:t>University students</w:t>
      </w:r>
      <w:r>
        <w:rPr>
          <w:rStyle w:val="None"/>
          <w:rtl w:val="1"/>
        </w:rPr>
        <w:t xml:space="preserve">’ </w:t>
      </w:r>
      <w:r>
        <w:rPr>
          <w:rStyle w:val="None"/>
          <w:rtl w:val="0"/>
          <w:lang w:val="en-US"/>
        </w:rPr>
        <w:t>career adaptability as a mediator between cognitive emotion regulation and career decision-making self-efficacy</w:t>
      </w:r>
      <w:r>
        <w:rPr>
          <w:rStyle w:val="None"/>
          <w:rtl w:val="1"/>
        </w:rPr>
        <w:t>’</w:t>
      </w:r>
      <w:r>
        <w:rPr>
          <w:rStyle w:val="None"/>
          <w:rtl w:val="0"/>
        </w:rPr>
        <w:t xml:space="preserve">, </w:t>
      </w:r>
      <w:r>
        <w:rPr>
          <w:rStyle w:val="None"/>
          <w:i w:val="1"/>
          <w:iCs w:val="1"/>
          <w:rtl w:val="0"/>
          <w:lang w:val="en-US"/>
        </w:rPr>
        <w:t>Frontiers in Psychology</w:t>
      </w:r>
      <w:r>
        <w:rPr>
          <w:rStyle w:val="None"/>
          <w:rtl w:val="0"/>
          <w:lang w:val="en-US"/>
        </w:rPr>
        <w:t xml:space="preserve">, 13, 896492. Available at: </w:t>
      </w:r>
      <w:r>
        <w:rPr>
          <w:rStyle w:val="Hyperlink.0"/>
        </w:rPr>
        <w:fldChar w:fldCharType="begin" w:fldLock="0"/>
      </w:r>
      <w:r>
        <w:rPr>
          <w:rStyle w:val="Hyperlink.0"/>
        </w:rPr>
        <w:instrText xml:space="preserve"> HYPERLINK "https://doi.org/10.3389/fpsyg.2022.896492"</w:instrText>
      </w:r>
      <w:r>
        <w:rPr>
          <w:rStyle w:val="Hyperlink.0"/>
        </w:rPr>
        <w:fldChar w:fldCharType="separate" w:fldLock="0"/>
      </w:r>
      <w:r>
        <w:rPr>
          <w:rStyle w:val="Hyperlink.0"/>
          <w:rtl w:val="0"/>
          <w:lang w:val="en-US"/>
        </w:rPr>
        <w:t>https://doi.org/10.3389/fpsyg.2022.896492</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Li, X., Pu, R. and Liao, H. (2022) </w:t>
      </w:r>
      <w:r>
        <w:rPr>
          <w:rStyle w:val="None"/>
          <w:rtl w:val="1"/>
        </w:rPr>
        <w:t>‘</w:t>
      </w:r>
      <w:r>
        <w:rPr>
          <w:rStyle w:val="None"/>
          <w:rtl w:val="0"/>
          <w:lang w:val="en-US"/>
        </w:rPr>
        <w:t>The impacts of innovation capability and social adaptability on undergraduates</w:t>
      </w:r>
      <w:r>
        <w:rPr>
          <w:rStyle w:val="None"/>
          <w:rtl w:val="1"/>
        </w:rPr>
        <w:t xml:space="preserve">’ </w:t>
      </w:r>
      <w:r>
        <w:rPr>
          <w:rStyle w:val="None"/>
          <w:rtl w:val="0"/>
          <w:lang w:val="en-US"/>
        </w:rPr>
        <w:t>employability: The role of self-efficacy</w:t>
      </w:r>
      <w:r>
        <w:rPr>
          <w:rStyle w:val="None"/>
          <w:rtl w:val="1"/>
        </w:rPr>
        <w:t>’</w:t>
      </w:r>
      <w:r>
        <w:rPr>
          <w:rStyle w:val="None"/>
          <w:rtl w:val="0"/>
        </w:rPr>
        <w:t xml:space="preserve">, </w:t>
      </w:r>
      <w:r>
        <w:rPr>
          <w:rStyle w:val="None"/>
          <w:i w:val="1"/>
          <w:iCs w:val="1"/>
          <w:rtl w:val="0"/>
          <w:lang w:val="en-US"/>
        </w:rPr>
        <w:t>Frontiers in Psychology</w:t>
      </w:r>
      <w:r>
        <w:rPr>
          <w:rStyle w:val="None"/>
          <w:rtl w:val="0"/>
          <w:lang w:val="en-US"/>
        </w:rPr>
        <w:t xml:space="preserve">, 13, 954828. Available at: </w:t>
      </w:r>
      <w:r>
        <w:rPr>
          <w:rStyle w:val="Hyperlink.0"/>
        </w:rPr>
        <w:fldChar w:fldCharType="begin" w:fldLock="0"/>
      </w:r>
      <w:r>
        <w:rPr>
          <w:rStyle w:val="Hyperlink.0"/>
        </w:rPr>
        <w:instrText xml:space="preserve"> HYPERLINK "https://doi.org/10.3389/fpsyg.2022.954828"</w:instrText>
      </w:r>
      <w:r>
        <w:rPr>
          <w:rStyle w:val="Hyperlink.0"/>
        </w:rPr>
        <w:fldChar w:fldCharType="separate" w:fldLock="0"/>
      </w:r>
      <w:r>
        <w:rPr>
          <w:rStyle w:val="Hyperlink.0"/>
          <w:rtl w:val="0"/>
          <w:lang w:val="en-US"/>
        </w:rPr>
        <w:t>https://doi.org/10.3389/fpsyg.2022.954828</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Skills for Care (2024) </w:t>
      </w:r>
      <w:r>
        <w:rPr>
          <w:rStyle w:val="None"/>
          <w:i w:val="1"/>
          <w:iCs w:val="1"/>
          <w:rtl w:val="0"/>
          <w:lang w:val="en-US"/>
        </w:rPr>
        <w:t>Empowering care through technology: The vital role of digital skills in adult social care</w:t>
      </w:r>
      <w:r>
        <w:rPr>
          <w:rStyle w:val="None"/>
          <w:rtl w:val="0"/>
          <w:lang w:val="en-US"/>
        </w:rPr>
        <w:t xml:space="preserve">. Leeds: Skills for Care. Available at: </w:t>
      </w:r>
      <w:r>
        <w:rPr>
          <w:rStyle w:val="Hyperlink.0"/>
        </w:rPr>
        <w:fldChar w:fldCharType="begin" w:fldLock="0"/>
      </w:r>
      <w:r>
        <w:rPr>
          <w:rStyle w:val="Hyperlink.0"/>
        </w:rPr>
        <w:instrText xml:space="preserve"> HYPERLINK "https://www.skillsforcare.org.uk/news-and-events/blogs/empowering-care-through-technology-the-vital-role-of-digital-skills-in-adult-social-care"</w:instrText>
      </w:r>
      <w:r>
        <w:rPr>
          <w:rStyle w:val="Hyperlink.0"/>
        </w:rPr>
        <w:fldChar w:fldCharType="separate" w:fldLock="0"/>
      </w:r>
      <w:r>
        <w:rPr>
          <w:rStyle w:val="Hyperlink.0"/>
          <w:rtl w:val="0"/>
          <w:lang w:val="en-US"/>
        </w:rPr>
        <w:t>https://www.skillsforcare.org.uk/news-and-events/blogs/empowering-care-through-technology-the-vital-role-of-digital-skills-in-adult-social-care</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Skills for Care (2025) </w:t>
      </w:r>
      <w:r>
        <w:rPr>
          <w:rStyle w:val="None"/>
          <w:i w:val="1"/>
          <w:iCs w:val="1"/>
          <w:rtl w:val="0"/>
          <w:lang w:val="en-US"/>
        </w:rPr>
        <w:t>The state of the adult social care sector and workforce in England, 2025</w:t>
      </w:r>
      <w:r>
        <w:rPr>
          <w:rStyle w:val="None"/>
          <w:rtl w:val="0"/>
          <w:lang w:val="en-US"/>
        </w:rPr>
        <w:t xml:space="preserve">. Leeds: Skills for Care. Available at: </w:t>
      </w:r>
      <w:r>
        <w:rPr>
          <w:rStyle w:val="Hyperlink.0"/>
        </w:rPr>
        <w:fldChar w:fldCharType="begin" w:fldLock="0"/>
      </w:r>
      <w:r>
        <w:rPr>
          <w:rStyle w:val="Hyperlink.0"/>
        </w:rPr>
        <w:instrText xml:space="preserve"> HYPERLINK "https://www.skillsforcare.org.uk/Adult-Social-Care-Workforce-Data/workforceintelligence/Reports-and-visualisations/National-information/The-State-of-report.aspx"</w:instrText>
      </w:r>
      <w:r>
        <w:rPr>
          <w:rStyle w:val="Hyperlink.0"/>
        </w:rPr>
        <w:fldChar w:fldCharType="separate" w:fldLock="0"/>
      </w:r>
      <w:r>
        <w:rPr>
          <w:rStyle w:val="Hyperlink.0"/>
          <w:rtl w:val="0"/>
          <w:lang w:val="en-US"/>
        </w:rPr>
        <w:t>https://www.skillsforcare.org.uk/Adult-Social-Care-Workforce-Data/workforceintelligence/Reports-and-visualisations/National-information/The-State-of-report.aspx</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Trang, N.M., McKenna, B., Cai, W. and Morrison, A.M. (2024) </w:t>
      </w:r>
      <w:r>
        <w:rPr>
          <w:rStyle w:val="None"/>
          <w:rtl w:val="1"/>
        </w:rPr>
        <w:t>‘</w:t>
      </w:r>
      <w:r>
        <w:rPr>
          <w:rStyle w:val="None"/>
          <w:rtl w:val="0"/>
          <w:lang w:val="en-US"/>
        </w:rPr>
        <w:t>I do not want to be perfect: Investigating Generation Z students</w:t>
      </w:r>
      <w:r>
        <w:rPr>
          <w:rStyle w:val="None"/>
          <w:rtl w:val="1"/>
        </w:rPr>
        <w:t xml:space="preserve">’ </w:t>
      </w:r>
      <w:r>
        <w:rPr>
          <w:rStyle w:val="None"/>
          <w:rtl w:val="0"/>
          <w:lang w:val="en-US"/>
        </w:rPr>
        <w:t>personal brands on social media for job seeking</w:t>
      </w:r>
      <w:r>
        <w:rPr>
          <w:rStyle w:val="None"/>
          <w:rtl w:val="1"/>
        </w:rPr>
        <w:t>’</w:t>
      </w:r>
      <w:r>
        <w:rPr>
          <w:rStyle w:val="None"/>
          <w:rtl w:val="0"/>
        </w:rPr>
        <w:t xml:space="preserve">, </w:t>
      </w:r>
      <w:r>
        <w:rPr>
          <w:rStyle w:val="None"/>
          <w:i w:val="1"/>
          <w:iCs w:val="1"/>
          <w:rtl w:val="0"/>
          <w:lang w:val="en-US"/>
        </w:rPr>
        <w:t>Information Technology &amp; People</w:t>
      </w:r>
      <w:r>
        <w:rPr>
          <w:rStyle w:val="None"/>
          <w:rtl w:val="0"/>
        </w:rPr>
        <w:t>, 37(2), pp. 793</w:t>
      </w:r>
      <w:r>
        <w:rPr>
          <w:rStyle w:val="None"/>
          <w:rtl w:val="0"/>
        </w:rPr>
        <w:t>–</w:t>
      </w:r>
      <w:r>
        <w:rPr>
          <w:rStyle w:val="None"/>
          <w:rtl w:val="0"/>
          <w:lang w:val="en-US"/>
        </w:rPr>
        <w:t xml:space="preserve">814. Available at: </w:t>
      </w:r>
      <w:r>
        <w:rPr>
          <w:rStyle w:val="Hyperlink.0"/>
        </w:rPr>
        <w:fldChar w:fldCharType="begin" w:fldLock="0"/>
      </w:r>
      <w:r>
        <w:rPr>
          <w:rStyle w:val="Hyperlink.0"/>
        </w:rPr>
        <w:instrText xml:space="preserve"> HYPERLINK "https://doi.org/10.1108/ITP-08-2022-0602"</w:instrText>
      </w:r>
      <w:r>
        <w:rPr>
          <w:rStyle w:val="Hyperlink.0"/>
        </w:rPr>
        <w:fldChar w:fldCharType="separate" w:fldLock="0"/>
      </w:r>
      <w:r>
        <w:rPr>
          <w:rStyle w:val="Hyperlink.0"/>
          <w:rtl w:val="0"/>
          <w:lang w:val="en-US"/>
        </w:rPr>
        <w:t>https://doi.org/10.1108/ITP-08-2022-0602</w:t>
      </w:r>
      <w:r>
        <w:rPr/>
        <w:fldChar w:fldCharType="end" w:fldLock="0"/>
      </w:r>
      <w:r>
        <w:rPr>
          <w:rStyle w:val="None"/>
          <w:rtl w:val="0"/>
          <w:lang w:val="en-US"/>
        </w:rPr>
        <w:t xml:space="preserve"> (Accessed: 7 August 2026).</w:t>
      </w:r>
    </w:p>
    <w:p>
      <w:pPr>
        <w:pStyle w:val="Body"/>
        <w:spacing w:before="100" w:after="100" w:line="360" w:lineRule="auto"/>
        <w:ind w:left="720" w:hanging="720"/>
      </w:pPr>
      <w:r>
        <w:rPr>
          <w:rStyle w:val="None"/>
          <w:rtl w:val="0"/>
          <w:lang w:val="en-US"/>
        </w:rPr>
        <w:t xml:space="preserve">Indeed (2026) Registered Care Manager: Helping Hands, Taunton. Available at: </w:t>
      </w:r>
      <w:r>
        <w:rPr>
          <w:rStyle w:val="Hyperlink.1"/>
        </w:rPr>
        <w:fldChar w:fldCharType="begin" w:fldLock="0"/>
      </w:r>
      <w:r>
        <w:rPr>
          <w:rStyle w:val="Hyperlink.1"/>
        </w:rPr>
        <w:instrText xml:space="preserve"> HYPERLINK "https://uk.indeed.com/%2520"</w:instrText>
      </w:r>
      <w:r>
        <w:rPr>
          <w:rStyle w:val="Hyperlink.1"/>
        </w:rPr>
        <w:fldChar w:fldCharType="separate" w:fldLock="0"/>
      </w:r>
      <w:r>
        <w:rPr>
          <w:rStyle w:val="Hyperlink.1"/>
          <w:rtl w:val="0"/>
          <w:lang w:val="en-US"/>
        </w:rPr>
        <w:t>https://uk.indeed.com/</w:t>
      </w:r>
      <w:r>
        <w:rPr/>
        <w:fldChar w:fldCharType="end" w:fldLock="0"/>
      </w:r>
      <w:r>
        <w:rPr>
          <w:rStyle w:val="None"/>
          <w:rtl w:val="0"/>
          <w:lang w:val="en-US"/>
        </w:rPr>
        <w:t xml:space="preserve"> (Accessed: 7 August 2026).</w:t>
      </w:r>
      <w:r>
        <w:rPr>
          <w:rStyle w:val="None"/>
          <w:rFonts w:ascii="Arial Unicode MS" w:cs="Arial Unicode MS" w:hAnsi="Arial Unicode MS" w:eastAsia="Arial Unicode MS"/>
          <w:b w:val="0"/>
          <w:bCs w:val="0"/>
          <w:i w:val="0"/>
          <w:iCs w:val="0"/>
        </w:rPr>
        <w:br w:type="page"/>
      </w:r>
    </w:p>
    <w:p>
      <w:pPr>
        <w:pStyle w:val="Heading 2"/>
        <w:spacing w:line="360" w:lineRule="auto"/>
        <w:jc w:val="center"/>
        <w:rPr>
          <w:rStyle w:val="None"/>
          <w:rFonts w:ascii="Calibri" w:cs="Calibri" w:hAnsi="Calibri" w:eastAsia="Calibri"/>
          <w:b w:val="1"/>
          <w:bCs w:val="1"/>
          <w:outline w:val="0"/>
          <w:color w:val="000000"/>
          <w:sz w:val="32"/>
          <w:szCs w:val="32"/>
          <w:u w:color="000000"/>
          <w14:textFill>
            <w14:solidFill>
              <w14:srgbClr w14:val="000000"/>
            </w14:solidFill>
          </w14:textFill>
        </w:rPr>
      </w:pPr>
      <w:r>
        <w:rPr>
          <w:rStyle w:val="None"/>
          <w:rFonts w:ascii="Calibri" w:hAnsi="Calibri"/>
          <w:b w:val="1"/>
          <w:bCs w:val="1"/>
          <w:outline w:val="0"/>
          <w:color w:val="000000"/>
          <w:sz w:val="32"/>
          <w:szCs w:val="32"/>
          <w:u w:color="000000"/>
          <w:rtl w:val="0"/>
          <w:lang w:val="en-US"/>
          <w14:textFill>
            <w14:solidFill>
              <w14:srgbClr w14:val="000000"/>
            </w14:solidFill>
          </w14:textFill>
        </w:rPr>
        <w:t>Appendix: Indeed Job Advertisement</w:t>
      </w:r>
    </w:p>
    <w:p>
      <w:pPr>
        <w:pStyle w:val="Body"/>
        <w:spacing w:line="360" w:lineRule="auto"/>
        <w:rPr>
          <w:rStyle w:val="None"/>
          <w:b w:val="1"/>
          <w:bCs w:val="1"/>
          <w:outline w:val="0"/>
          <w:color w:val="000000"/>
          <w:u w:color="000000"/>
          <w14:textFill>
            <w14:solidFill>
              <w14:srgbClr w14:val="000000"/>
            </w14:solidFill>
          </w14:textFill>
        </w:rPr>
      </w:pPr>
      <w:r>
        <w:rPr>
          <w:rStyle w:val="None"/>
          <w:b w:val="1"/>
          <w:bCs w:val="1"/>
          <w:outline w:val="0"/>
          <w:color w:val="000000"/>
          <w:u w:color="000000"/>
          <w:rtl w:val="0"/>
          <w:lang w:val="en-US"/>
          <w14:textFill>
            <w14:solidFill>
              <w14:srgbClr w14:val="000000"/>
            </w14:solidFill>
          </w14:textFill>
        </w:rPr>
        <w:t>Registered Care Manager</w:t>
      </w:r>
    </w:p>
    <w:p>
      <w:pPr>
        <w:pStyle w:val="Body"/>
        <w:spacing w:before="100" w:after="100" w:line="360" w:lineRule="auto"/>
        <w:rPr>
          <w:rStyle w:val="None"/>
          <w:i w:val="1"/>
          <w:iCs w:val="1"/>
        </w:rPr>
      </w:pPr>
      <w:r>
        <w:rPr>
          <w:rStyle w:val="None"/>
          <w:b w:val="1"/>
          <w:bCs w:val="1"/>
          <w:rtl w:val="0"/>
        </w:rPr>
        <w:t>Job Title:</w:t>
      </w:r>
      <w:r>
        <w:rPr>
          <w:rStyle w:val="None"/>
          <w:rtl w:val="0"/>
          <w:lang w:val="en-US"/>
        </w:rPr>
        <w:t xml:space="preserve"> Registered Care Manager</w:t>
      </w:r>
      <w:r>
        <w:rPr>
          <w:rStyle w:val="None"/>
        </w:rPr>
        <w:br w:type="textWrapping"/>
      </w:r>
      <w:r>
        <w:rPr>
          <w:rStyle w:val="None"/>
          <w:b w:val="1"/>
          <w:bCs w:val="1"/>
          <w:rtl w:val="0"/>
          <w:lang w:val="en-US"/>
        </w:rPr>
        <w:t>Employer:</w:t>
      </w:r>
      <w:r>
        <w:rPr>
          <w:rStyle w:val="None"/>
          <w:rtl w:val="0"/>
          <w:lang w:val="en-US"/>
        </w:rPr>
        <w:t xml:space="preserve"> Helping Hands</w:t>
      </w:r>
      <w:r>
        <w:rPr>
          <w:rStyle w:val="None"/>
        </w:rPr>
        <w:br w:type="textWrapping"/>
      </w:r>
      <w:r>
        <w:rPr>
          <w:rStyle w:val="None"/>
          <w:b w:val="1"/>
          <w:bCs w:val="1"/>
          <w:rtl w:val="0"/>
          <w:lang w:val="en-US"/>
        </w:rPr>
        <w:t>Location:</w:t>
      </w:r>
      <w:r>
        <w:rPr>
          <w:rStyle w:val="None"/>
          <w:rtl w:val="0"/>
        </w:rPr>
        <w:t xml:space="preserve"> Taunton TA1 4AJ</w:t>
      </w:r>
      <w:r>
        <w:rPr>
          <w:rStyle w:val="None"/>
        </w:rPr>
        <w:br w:type="textWrapping"/>
      </w:r>
      <w:r>
        <w:rPr>
          <w:rStyle w:val="None"/>
          <w:b w:val="1"/>
          <w:bCs w:val="1"/>
          <w:rtl w:val="0"/>
        </w:rPr>
        <w:t>Salary:</w:t>
      </w:r>
      <w:r>
        <w:rPr>
          <w:rStyle w:val="None"/>
          <w:rtl w:val="0"/>
        </w:rPr>
        <w:t xml:space="preserve"> £</w:t>
      </w:r>
      <w:r>
        <w:rPr>
          <w:rStyle w:val="None"/>
          <w:rtl w:val="0"/>
          <w:lang w:val="en-US"/>
        </w:rPr>
        <w:t>42,000</w:t>
      </w:r>
      <w:r>
        <w:rPr>
          <w:rStyle w:val="None"/>
          <w:rtl w:val="0"/>
        </w:rPr>
        <w:t>–£</w:t>
      </w:r>
      <w:r>
        <w:rPr>
          <w:rStyle w:val="None"/>
          <w:rtl w:val="0"/>
          <w:lang w:val="en-US"/>
        </w:rPr>
        <w:t>49,500 per year</w:t>
      </w:r>
      <w:r>
        <w:rPr>
          <w:rStyle w:val="None"/>
        </w:rPr>
        <w:br w:type="textWrapping"/>
      </w:r>
      <w:r>
        <w:rPr>
          <w:rStyle w:val="None"/>
          <w:b w:val="1"/>
          <w:bCs w:val="1"/>
          <w:rtl w:val="0"/>
          <w:lang w:val="en-US"/>
        </w:rPr>
        <w:t>Source:</w:t>
      </w:r>
      <w:r>
        <w:rPr>
          <w:rStyle w:val="None"/>
          <w:rtl w:val="0"/>
        </w:rPr>
        <w:t xml:space="preserve"> Indeed (2026)</w:t>
      </w:r>
    </w:p>
    <w:p>
      <w:pPr>
        <w:pStyle w:val="Body"/>
        <w:spacing w:before="100" w:after="100" w:line="360" w:lineRule="auto"/>
        <w:jc w:val="both"/>
        <w:rPr>
          <w:rStyle w:val="None"/>
          <w:i w:val="1"/>
          <w:iCs w:val="1"/>
        </w:rPr>
      </w:pPr>
      <w:r>
        <w:rPr>
          <w:rStyle w:val="None"/>
          <w:i w:val="1"/>
          <w:iCs w:val="1"/>
        </w:rPr>
        <w:drawing xmlns:a="http://schemas.openxmlformats.org/drawingml/2006/main">
          <wp:inline distT="0" distB="0" distL="0" distR="0">
            <wp:extent cx="5076825" cy="4876800"/>
            <wp:effectExtent l="0" t="0" r="0" b="0"/>
            <wp:docPr id="1073741825" name="officeArt object" descr="Picture 7"/>
            <wp:cNvGraphicFramePr/>
            <a:graphic xmlns:a="http://schemas.openxmlformats.org/drawingml/2006/main">
              <a:graphicData uri="http://schemas.openxmlformats.org/drawingml/2006/picture">
                <pic:pic xmlns:pic="http://schemas.openxmlformats.org/drawingml/2006/picture">
                  <pic:nvPicPr>
                    <pic:cNvPr id="1073741825" name="Picture 7" descr="Picture 7"/>
                    <pic:cNvPicPr>
                      <a:picLocks noChangeAspect="1"/>
                    </pic:cNvPicPr>
                  </pic:nvPicPr>
                  <pic:blipFill>
                    <a:blip r:embed="rId4">
                      <a:extLst/>
                    </a:blip>
                    <a:stretch>
                      <a:fillRect/>
                    </a:stretch>
                  </pic:blipFill>
                  <pic:spPr>
                    <a:xfrm>
                      <a:off x="0" y="0"/>
                      <a:ext cx="5076825" cy="4876800"/>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1: Registered Care Manager vacancy at Helping Hands, Taunton (Indeed, 2026).</w:t>
      </w:r>
    </w:p>
    <w:p>
      <w:pPr>
        <w:pStyle w:val="Body"/>
        <w:spacing w:before="100" w:after="100" w:line="360" w:lineRule="auto"/>
        <w:jc w:val="both"/>
        <w:rPr>
          <w:rStyle w:val="None"/>
          <w:i w:val="1"/>
          <w:iCs w:val="1"/>
        </w:rPr>
      </w:pPr>
      <w:r>
        <w:rPr>
          <w:rStyle w:val="None"/>
          <w:i w:val="1"/>
          <w:iCs w:val="1"/>
        </w:rPr>
        <w:drawing xmlns:a="http://schemas.openxmlformats.org/drawingml/2006/main">
          <wp:inline distT="0" distB="0" distL="0" distR="0">
            <wp:extent cx="5105400" cy="2000250"/>
            <wp:effectExtent l="0" t="0" r="0" b="0"/>
            <wp:docPr id="1073741826" name="officeArt object" descr="Picture 8"/>
            <wp:cNvGraphicFramePr/>
            <a:graphic xmlns:a="http://schemas.openxmlformats.org/drawingml/2006/main">
              <a:graphicData uri="http://schemas.openxmlformats.org/drawingml/2006/picture">
                <pic:pic xmlns:pic="http://schemas.openxmlformats.org/drawingml/2006/picture">
                  <pic:nvPicPr>
                    <pic:cNvPr id="1073741826" name="Picture 8" descr="Picture 8"/>
                    <pic:cNvPicPr>
                      <a:picLocks noChangeAspect="1"/>
                    </pic:cNvPicPr>
                  </pic:nvPicPr>
                  <pic:blipFill>
                    <a:blip r:embed="rId5">
                      <a:extLst/>
                    </a:blip>
                    <a:stretch>
                      <a:fillRect/>
                    </a:stretch>
                  </pic:blipFill>
                  <pic:spPr>
                    <a:xfrm>
                      <a:off x="0" y="0"/>
                      <a:ext cx="5105400" cy="2000250"/>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2: Benefits offered with the Registered Care Manager role (Indeed, 2026).</w:t>
      </w:r>
    </w:p>
    <w:p>
      <w:pPr>
        <w:pStyle w:val="Body"/>
        <w:spacing w:before="100" w:after="100" w:line="360" w:lineRule="auto"/>
        <w:jc w:val="both"/>
        <w:rPr>
          <w:rStyle w:val="None"/>
          <w:i w:val="1"/>
          <w:iCs w:val="1"/>
        </w:rPr>
      </w:pPr>
      <w:r>
        <w:rPr>
          <w:rStyle w:val="None"/>
          <w:i w:val="1"/>
          <w:iCs w:val="1"/>
        </w:rPr>
        <w:drawing xmlns:a="http://schemas.openxmlformats.org/drawingml/2006/main">
          <wp:inline distT="0" distB="0" distL="0" distR="0">
            <wp:extent cx="5943600" cy="2838450"/>
            <wp:effectExtent l="0" t="0" r="0" b="0"/>
            <wp:docPr id="1073741827" name="officeArt object" descr="Picture 9"/>
            <wp:cNvGraphicFramePr/>
            <a:graphic xmlns:a="http://schemas.openxmlformats.org/drawingml/2006/main">
              <a:graphicData uri="http://schemas.openxmlformats.org/drawingml/2006/picture">
                <pic:pic xmlns:pic="http://schemas.openxmlformats.org/drawingml/2006/picture">
                  <pic:nvPicPr>
                    <pic:cNvPr id="1073741827" name="Picture 9" descr="Picture 9"/>
                    <pic:cNvPicPr>
                      <a:picLocks noChangeAspect="1"/>
                    </pic:cNvPicPr>
                  </pic:nvPicPr>
                  <pic:blipFill>
                    <a:blip r:embed="rId6">
                      <a:extLst/>
                    </a:blip>
                    <a:stretch>
                      <a:fillRect/>
                    </a:stretch>
                  </pic:blipFill>
                  <pic:spPr>
                    <a:xfrm>
                      <a:off x="0" y="0"/>
                      <a:ext cx="5943600" cy="2838450"/>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3: Main purpose of the Registered Care Manager role (Indeed, 2026).</w:t>
      </w:r>
    </w:p>
    <w:p>
      <w:pPr>
        <w:pStyle w:val="Body"/>
        <w:spacing w:before="100" w:after="100" w:line="360" w:lineRule="auto"/>
        <w:jc w:val="both"/>
        <w:rPr>
          <w:rStyle w:val="None"/>
          <w:i w:val="1"/>
          <w:iCs w:val="1"/>
        </w:rPr>
      </w:pPr>
      <w:r>
        <w:rPr>
          <w:rStyle w:val="None"/>
          <w:i w:val="1"/>
          <w:iCs w:val="1"/>
        </w:rPr>
        <w:drawing xmlns:a="http://schemas.openxmlformats.org/drawingml/2006/main">
          <wp:inline distT="0" distB="0" distL="0" distR="0">
            <wp:extent cx="5943600" cy="2875915"/>
            <wp:effectExtent l="0" t="0" r="0" b="0"/>
            <wp:docPr id="1073741828" name="officeArt object" descr="Picture 10"/>
            <wp:cNvGraphicFramePr/>
            <a:graphic xmlns:a="http://schemas.openxmlformats.org/drawingml/2006/main">
              <a:graphicData uri="http://schemas.openxmlformats.org/drawingml/2006/picture">
                <pic:pic xmlns:pic="http://schemas.openxmlformats.org/drawingml/2006/picture">
                  <pic:nvPicPr>
                    <pic:cNvPr id="1073741828" name="Picture 10" descr="Picture 10"/>
                    <pic:cNvPicPr>
                      <a:picLocks noChangeAspect="1"/>
                    </pic:cNvPicPr>
                  </pic:nvPicPr>
                  <pic:blipFill>
                    <a:blip r:embed="rId7">
                      <a:extLst/>
                    </a:blip>
                    <a:stretch>
                      <a:fillRect/>
                    </a:stretch>
                  </pic:blipFill>
                  <pic:spPr>
                    <a:xfrm>
                      <a:off x="0" y="0"/>
                      <a:ext cx="5943600" cy="2875915"/>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4: Leadership, compliance, partnership and budget responsibilities (Indeed, 2026).</w:t>
      </w:r>
    </w:p>
    <w:p>
      <w:pPr>
        <w:pStyle w:val="Body"/>
        <w:spacing w:before="100" w:after="100" w:line="360" w:lineRule="auto"/>
        <w:jc w:val="both"/>
        <w:rPr>
          <w:rStyle w:val="None"/>
          <w:i w:val="1"/>
          <w:iCs w:val="1"/>
        </w:rPr>
      </w:pPr>
      <w:r>
        <w:rPr>
          <w:rStyle w:val="None"/>
          <w:i w:val="1"/>
          <w:iCs w:val="1"/>
        </w:rPr>
        <w:drawing xmlns:a="http://schemas.openxmlformats.org/drawingml/2006/main">
          <wp:inline distT="0" distB="0" distL="0" distR="0">
            <wp:extent cx="5943600" cy="2629536"/>
            <wp:effectExtent l="0" t="0" r="0" b="0"/>
            <wp:docPr id="1073741829" name="officeArt object" descr="Picture 11"/>
            <wp:cNvGraphicFramePr/>
            <a:graphic xmlns:a="http://schemas.openxmlformats.org/drawingml/2006/main">
              <a:graphicData uri="http://schemas.openxmlformats.org/drawingml/2006/picture">
                <pic:pic xmlns:pic="http://schemas.openxmlformats.org/drawingml/2006/picture">
                  <pic:nvPicPr>
                    <pic:cNvPr id="1073741829" name="Picture 11" descr="Picture 11"/>
                    <pic:cNvPicPr>
                      <a:picLocks noChangeAspect="1"/>
                    </pic:cNvPicPr>
                  </pic:nvPicPr>
                  <pic:blipFill>
                    <a:blip r:embed="rId8">
                      <a:extLst/>
                    </a:blip>
                    <a:stretch>
                      <a:fillRect/>
                    </a:stretch>
                  </pic:blipFill>
                  <pic:spPr>
                    <a:xfrm>
                      <a:off x="0" y="0"/>
                      <a:ext cx="5943600" cy="2629536"/>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5: Desirable experience, qualifications and career benefits (Indeed, 2026).</w:t>
      </w:r>
    </w:p>
    <w:p>
      <w:pPr>
        <w:pStyle w:val="Body"/>
        <w:spacing w:line="360" w:lineRule="auto"/>
        <w:jc w:val="both"/>
        <w:rPr>
          <w:rStyle w:val="None"/>
          <w:i w:val="1"/>
          <w:iCs w:val="1"/>
        </w:rPr>
      </w:pPr>
    </w:p>
    <w:p>
      <w:pPr>
        <w:pStyle w:val="Body"/>
        <w:spacing w:line="360" w:lineRule="auto"/>
        <w:jc w:val="both"/>
        <w:rPr>
          <w:rStyle w:val="None"/>
          <w:i w:val="1"/>
          <w:iCs w:val="1"/>
        </w:rPr>
      </w:pPr>
    </w:p>
    <w:p>
      <w:pPr>
        <w:pStyle w:val="Body"/>
        <w:spacing w:line="360" w:lineRule="auto"/>
        <w:jc w:val="both"/>
      </w:pPr>
      <w:r>
        <w:rPr>
          <w:rStyle w:val="None"/>
          <w:i w:val="1"/>
          <w:iCs w:val="1"/>
        </w:rPr>
      </w:r>
    </w:p>
    <w:sectPr>
      <w:headerReference w:type="default" r:id="rId9"/>
      <w:footerReference w:type="default" r:id="rId10"/>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00" w:after="0" w:line="276" w:lineRule="auto"/>
      <w:ind w:left="0" w:right="0" w:firstLine="0"/>
      <w:jc w:val="left"/>
      <w:outlineLvl w:val="1"/>
    </w:pPr>
    <w:rPr>
      <w:rFonts w:ascii="Cambria Bold" w:cs="Arial Unicode MS" w:hAnsi="Cambria Bold" w:eastAsia="Arial Unicode MS"/>
      <w:b w:val="0"/>
      <w:bCs w:val="0"/>
      <w:i w:val="0"/>
      <w:iCs w:val="0"/>
      <w:caps w:val="0"/>
      <w:smallCaps w:val="0"/>
      <w:strike w:val="0"/>
      <w:dstrike w:val="0"/>
      <w:outline w:val="0"/>
      <w:color w:val="4f81bd"/>
      <w:spacing w:val="0"/>
      <w:kern w:val="0"/>
      <w:position w:val="0"/>
      <w:sz w:val="26"/>
      <w:szCs w:val="26"/>
      <w:u w:val="none" w:color="4f81bd"/>
      <w:shd w:val="nil" w:color="auto" w:fill="auto"/>
      <w:vertAlign w:val="baseline"/>
      <w:lang w:val="fr-FR"/>
      <w14:textOutline>
        <w14:noFill/>
      </w14:textOutline>
      <w14:textFill>
        <w14:solidFill>
          <w14:srgbClr w14:val="4F81BD"/>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200" w:after="0" w:line="276" w:lineRule="auto"/>
      <w:ind w:left="0" w:right="0" w:firstLine="0"/>
      <w:jc w:val="left"/>
      <w:outlineLvl w:val="2"/>
    </w:pPr>
    <w:rPr>
      <w:rFonts w:ascii="Cambria Bold" w:cs="Arial Unicode MS" w:hAnsi="Cambria Bold" w:eastAsia="Arial Unicode MS"/>
      <w:b w:val="0"/>
      <w:bCs w:val="0"/>
      <w:i w:val="0"/>
      <w:iCs w:val="0"/>
      <w:caps w:val="0"/>
      <w:smallCaps w:val="0"/>
      <w:strike w:val="0"/>
      <w:dstrike w:val="0"/>
      <w:outline w:val="0"/>
      <w:color w:val="4f81bd"/>
      <w:spacing w:val="0"/>
      <w:kern w:val="0"/>
      <w:position w:val="0"/>
      <w:sz w:val="22"/>
      <w:szCs w:val="22"/>
      <w:u w:val="none" w:color="4f81bd"/>
      <w:shd w:val="nil" w:color="auto" w:fill="auto"/>
      <w:vertAlign w:val="baseline"/>
      <w:lang w:val="en-US"/>
      <w14:textOutline>
        <w14:noFill/>
      </w14:textOutline>
      <w14:textFill>
        <w14:solidFill>
          <w14:srgbClr w14:val="4F81BD"/>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None">
    <w:name w:val="None"/>
  </w:style>
  <w:style w:type="character" w:styleId="Hyperlink.0">
    <w:name w:val="Hyperlink.0"/>
    <w:basedOn w:val="None"/>
    <w:next w:val="Hyperlink.0"/>
    <w:rPr>
      <w:rFonts w:ascii="Calibri" w:cs="Calibri" w:hAnsi="Calibri" w:eastAsia="Calibri"/>
      <w:outline w:val="0"/>
      <w:color w:val="0000ff"/>
      <w:u w:val="single" w:color="0000ff"/>
      <w14:textFill>
        <w14:solidFill>
          <w14:srgbClr w14:val="0000FF"/>
        </w14:solidFill>
      </w14:textFill>
    </w:rPr>
  </w:style>
  <w:style w:type="character" w:styleId="Link">
    <w:name w:val="Link"/>
    <w:rPr>
      <w:outline w:val="0"/>
      <w:color w:val="0000ff"/>
      <w:u w:val="single" w:color="0000ff"/>
      <w14:textFill>
        <w14:solidFill>
          <w14:srgbClr w14:val="0000FF"/>
        </w14:solidFill>
      </w14:textFill>
    </w:rPr>
  </w:style>
  <w:style w:type="character" w:styleId="Hyperlink.1">
    <w:name w:val="Hyperlink.1"/>
    <w:basedOn w:val="Link"/>
    <w:next w:val="Hyperlink.1"/>
    <w:rPr>
      <w:rFonts w:ascii="Calibri" w:cs="Calibri" w:hAnsi="Calibri" w:eastAsia="Calibri"/>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