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CBECAD" w14:textId="298E1147" w:rsidR="008222CE" w:rsidRDefault="7BE2799F" w:rsidP="7BE2799F">
      <w:pPr>
        <w:rPr>
          <w:b/>
          <w:bCs/>
        </w:rPr>
      </w:pPr>
      <w:r w:rsidRPr="7BE2799F">
        <w:rPr>
          <w:b/>
          <w:bCs/>
        </w:rPr>
        <w:t>Brain Behaviour and Cognition – Aphasia – two methods used to explore the language deficits experienced by aphasia patients.</w:t>
      </w:r>
    </w:p>
    <w:p w14:paraId="0D93ACA0" w14:textId="6C9D90C9" w:rsidR="008222CE" w:rsidRDefault="008222CE" w:rsidP="7BE2799F"/>
    <w:p w14:paraId="081E71A6" w14:textId="7A54D3F1" w:rsidR="008222CE" w:rsidRDefault="7BE2799F" w:rsidP="666EBA61">
      <w:r>
        <w:t xml:space="preserve">In this essay </w:t>
      </w:r>
      <w:commentRangeStart w:id="0"/>
      <w:r>
        <w:t>we</w:t>
      </w:r>
      <w:commentRangeEnd w:id="0"/>
      <w:r w:rsidR="003B40B2">
        <w:commentReference w:id="0"/>
      </w:r>
      <w:r>
        <w:t xml:space="preserve"> discuss some of the methods used to explore the language deficits experienced by Aphasia patients.</w:t>
      </w:r>
    </w:p>
    <w:p w14:paraId="0BBA888F" w14:textId="28BFF036" w:rsidR="008222CE" w:rsidRDefault="7BE2799F" w:rsidP="666EBA61">
      <w:r>
        <w:t xml:space="preserve">Aphasia is a general term used to describe any partial or complete loss of language abilities. This is said to be organic, because it is caused by a lesion in the brain, which could have been caused by trauma, a stroke, or an accident. There are many variants of aphasia which are constantly being revised, but these are based on the cortical location of the lesion, or the general sensory and motor functions that may be impaired, or even linguistic abilities. Currently according to the Penguin Dictionary of Psychology (2009) variants of aphasia are called; </w:t>
      </w:r>
      <w:proofErr w:type="spellStart"/>
      <w:r>
        <w:t>acousticoamnestic</w:t>
      </w:r>
      <w:proofErr w:type="spellEnd"/>
      <w:r>
        <w:t xml:space="preserve">, </w:t>
      </w:r>
      <w:proofErr w:type="spellStart"/>
      <w:r>
        <w:t>anomin</w:t>
      </w:r>
      <w:proofErr w:type="spellEnd"/>
      <w:r>
        <w:t xml:space="preserve">, ataxic, auditory, </w:t>
      </w:r>
      <w:proofErr w:type="spellStart"/>
      <w:r>
        <w:t>Broca’s</w:t>
      </w:r>
      <w:proofErr w:type="spellEnd"/>
      <w:r>
        <w:t xml:space="preserve">, conduction, developmental, global, jargon, mixed transcortical, motor, optic, primary progressive, syntactic, transcortical, transcortical motor, transcortical sensory, traumatic, and Wernicke’s, </w:t>
      </w:r>
      <w:commentRangeStart w:id="1"/>
      <w:r>
        <w:t>So a</w:t>
      </w:r>
      <w:commentRangeEnd w:id="1"/>
      <w:r w:rsidR="003B40B2">
        <w:commentReference w:id="1"/>
      </w:r>
      <w:r>
        <w:t xml:space="preserve">s one might imagine there are many methods derived to explore the memory deficits that are experienced by aphasic patients, including; The </w:t>
      </w:r>
      <w:proofErr w:type="spellStart"/>
      <w:r>
        <w:t>Frenchay</w:t>
      </w:r>
      <w:proofErr w:type="spellEnd"/>
      <w:r>
        <w:t xml:space="preserve"> Aphasia screening test, Western Aphasia Battery, Aachen Aphasia bedside test, Mount </w:t>
      </w:r>
      <w:proofErr w:type="spellStart"/>
      <w:r>
        <w:t>Wilga</w:t>
      </w:r>
      <w:proofErr w:type="spellEnd"/>
      <w:r>
        <w:t xml:space="preserve"> High level language test, </w:t>
      </w:r>
      <w:proofErr w:type="spellStart"/>
      <w:r>
        <w:t>Sklar</w:t>
      </w:r>
      <w:proofErr w:type="spellEnd"/>
      <w:r>
        <w:t xml:space="preserve"> aphasia scale, plus </w:t>
      </w:r>
      <w:proofErr w:type="spellStart"/>
      <w:r>
        <w:t>mamy</w:t>
      </w:r>
      <w:proofErr w:type="spellEnd"/>
      <w:r>
        <w:t xml:space="preserve"> many more varying methods, so for the sake of being brief we will focus just on The </w:t>
      </w:r>
      <w:proofErr w:type="spellStart"/>
      <w:r>
        <w:t>Freshay</w:t>
      </w:r>
      <w:proofErr w:type="spellEnd"/>
      <w:r>
        <w:t xml:space="preserve"> Aphasia screening test, and the Western Aphasia Battery  </w:t>
      </w:r>
    </w:p>
    <w:p w14:paraId="0D616087" w14:textId="4EA61E6C" w:rsidR="008222CE" w:rsidRDefault="7BE2799F" w:rsidP="666EBA61">
      <w:r>
        <w:t xml:space="preserve">There are various methods used to explore or assess language deficits experienced by patients with Aphasia, as already stated above, this is because aphasia is such a complex condition, it may affect ones reading ability, writing ability, production of vocabulary, comprehension of words, etc, so hence the need for various forms of distinguishing the </w:t>
      </w:r>
      <w:r w:rsidR="006C5ADF">
        <w:t>patient’s</w:t>
      </w:r>
      <w:r>
        <w:t xml:space="preserve"> </w:t>
      </w:r>
      <w:proofErr w:type="gramStart"/>
      <w:r>
        <w:t>particular condition</w:t>
      </w:r>
      <w:proofErr w:type="gramEnd"/>
      <w:r>
        <w:t>.</w:t>
      </w:r>
    </w:p>
    <w:p w14:paraId="08D5461A" w14:textId="53D8C1FB" w:rsidR="008222CE" w:rsidRDefault="7BE2799F" w:rsidP="666EBA61">
      <w:r>
        <w:t xml:space="preserve">As previously mentioned this appears to be a mind field of varying methods of exploring language deficits, but the initial one that appears to be available most readily for primary diagnoses of aphasia by non-specialists is the </w:t>
      </w:r>
      <w:proofErr w:type="spellStart"/>
      <w:r>
        <w:t>Frenchay</w:t>
      </w:r>
      <w:proofErr w:type="spellEnd"/>
      <w:r>
        <w:t xml:space="preserve"> Aphasia screening test () or (FAST) test, because it generally takes between three and ten minutes to complete (Enderby, Wood, Wade &amp; </w:t>
      </w:r>
      <w:proofErr w:type="spellStart"/>
      <w:r>
        <w:t>Hewer</w:t>
      </w:r>
      <w:proofErr w:type="spellEnd"/>
      <w:r>
        <w:t xml:space="preserve"> 2009) which is used as a quick and relatively easy method to identify if there is indeed a presence of language deficit which can be quantified by general medical staff as an indication as to what level of further evaluation is needed by a speech and language specialist.</w:t>
      </w:r>
    </w:p>
    <w:p w14:paraId="4BC3757A" w14:textId="05ADBBC3" w:rsidR="008222CE" w:rsidRDefault="56175720" w:rsidP="666EBA61">
      <w:r>
        <w:t>Then there is the Western aphasia battery test (WAB) which according to Hula, Donovan, Kendall &amp; Gonzalez-</w:t>
      </w:r>
      <w:proofErr w:type="spellStart"/>
      <w:r>
        <w:t>Rothi</w:t>
      </w:r>
      <w:proofErr w:type="spellEnd"/>
      <w:r>
        <w:t xml:space="preserve"> (2010) “is one of the most frequently used tests of general language performance in aphasia”, even if it does have some significant psychometric limitations, which Hula, et al (2009) believe can be addressed by Item Response Theory (IRT). </w:t>
      </w:r>
      <w:proofErr w:type="spellStart"/>
      <w:r>
        <w:t>Bakheit</w:t>
      </w:r>
      <w:proofErr w:type="spellEnd"/>
      <w:r>
        <w:t xml:space="preserve">, Carrington, Griffiths &amp; Searle (2009) believe that getting high scores in the Western Aphasia Battery can directly correlate with good functional communication skills, and in an experiment with sixty-seven acute stroke patients over a twenty-four-week period suggest that WAB and the Communicative Effectiveness Index (CETI) had a statistically significant correlation between them. This is echoed by Kumar, </w:t>
      </w:r>
      <w:proofErr w:type="spellStart"/>
      <w:r>
        <w:t>Basu</w:t>
      </w:r>
      <w:proofErr w:type="spellEnd"/>
      <w:r>
        <w:t xml:space="preserve">, Chakrabarty &amp; Kishore (2013) who claim that “WAB has proven to be one of the most comprehensive test batteries for describing the aphasia symptom complex”. </w:t>
      </w:r>
      <w:proofErr w:type="spellStart"/>
      <w:r>
        <w:t>Victoriano</w:t>
      </w:r>
      <w:proofErr w:type="spellEnd"/>
      <w:r>
        <w:t xml:space="preserve">, </w:t>
      </w:r>
      <w:proofErr w:type="spellStart"/>
      <w:r>
        <w:t>Homauer</w:t>
      </w:r>
      <w:proofErr w:type="spellEnd"/>
      <w:r>
        <w:t xml:space="preserve">-Hughes, </w:t>
      </w:r>
      <w:proofErr w:type="spellStart"/>
      <w:r>
        <w:t>Moscoso</w:t>
      </w:r>
      <w:proofErr w:type="spellEnd"/>
      <w:r>
        <w:t xml:space="preserve">, Serra &amp; Gonzalez (2015) also agree with the WAB use, as in a study testing Primary progressive aphasia (PPA) concluded that “the WAB is a suitable tool </w:t>
      </w:r>
      <w:proofErr w:type="spellStart"/>
      <w:r>
        <w:t>t</w:t>
      </w:r>
      <w:proofErr w:type="spellEnd"/>
      <w:r>
        <w:t xml:space="preserve"> determine the clinical characteristics of the different variants of PPA” claiming that WAB helps to establish the characteristic of each of the variants which mirror the classic classification of aphasia. </w:t>
      </w:r>
    </w:p>
    <w:p w14:paraId="7486C979" w14:textId="41EA1E45" w:rsidR="56175720" w:rsidRDefault="56175720" w:rsidP="56175720"/>
    <w:p w14:paraId="0A0880C2" w14:textId="65F94692" w:rsidR="56175720" w:rsidRDefault="56175720" w:rsidP="56175720"/>
    <w:p w14:paraId="653F6893" w14:textId="4C0468B1" w:rsidR="7BE2799F" w:rsidRDefault="7BE2799F" w:rsidP="7BE2799F"/>
    <w:p w14:paraId="284F211E" w14:textId="538C5733" w:rsidR="008222CE" w:rsidRDefault="7BE2799F" w:rsidP="666EBA61">
      <w:r>
        <w:t xml:space="preserve">It would appear that the Western Aphasia Battery (WAB) is a very popular choice for assessing the level of aphasia at a higher level than the more basic </w:t>
      </w:r>
      <w:proofErr w:type="spellStart"/>
      <w:r>
        <w:t>Frenchay</w:t>
      </w:r>
      <w:proofErr w:type="spellEnd"/>
      <w:r>
        <w:t xml:space="preserve"> Aphasia Screening Test (FAST), although </w:t>
      </w:r>
      <w:proofErr w:type="spellStart"/>
      <w:r>
        <w:t>Javali</w:t>
      </w:r>
      <w:proofErr w:type="spellEnd"/>
      <w:r>
        <w:t xml:space="preserve">, </w:t>
      </w:r>
      <w:proofErr w:type="spellStart"/>
      <w:r>
        <w:t>Mahale</w:t>
      </w:r>
      <w:proofErr w:type="spellEnd"/>
      <w:r>
        <w:t xml:space="preserve">, Mehta, Acharya &amp; </w:t>
      </w:r>
      <w:proofErr w:type="spellStart"/>
      <w:r>
        <w:t>Scrinivasa</w:t>
      </w:r>
      <w:proofErr w:type="spellEnd"/>
      <w:r>
        <w:t xml:space="preserve"> (2017) claim that there are actually many inconsistences and even discrepancies between all of the different methods of assessing aphasia, and actually claim that they find it hard to differentiate between WAB and a simple bedside clinical examination (FAST), and in their study found an overall agreement of 63.4% between WAB and FAST in diagnosing aphasia, they concluded that clinical diagnosis in a bedside examination  FAST was quite reliable in comparison to WAB, however WAB is required to quantify the type of aphasia, but claim a standard (FAST) bedside examination should be carried out in all cases to strengthen the diagnosis, but are so many variants of assessment of deficit actually needed?</w:t>
      </w:r>
    </w:p>
    <w:p w14:paraId="270EA332" w14:textId="60BB292B" w:rsidR="008222CE" w:rsidRDefault="7BE2799F" w:rsidP="666EBA61">
      <w:commentRangeStart w:id="2"/>
      <w:commentRangeStart w:id="3"/>
      <w:proofErr w:type="spellStart"/>
      <w:r>
        <w:t>Blombert</w:t>
      </w:r>
      <w:proofErr w:type="spellEnd"/>
      <w:r>
        <w:t xml:space="preserve"> (2007)</w:t>
      </w:r>
      <w:commentRangeEnd w:id="2"/>
      <w:r w:rsidR="003B40B2">
        <w:commentReference w:id="2"/>
      </w:r>
      <w:commentRangeEnd w:id="3"/>
      <w:r w:rsidR="003B40B2">
        <w:commentReference w:id="3"/>
      </w:r>
      <w:r>
        <w:t xml:space="preserve"> believes that the current assessments do not account for communicative effectiveness, meaning that the improved scores given on standard aphasia tests only have limited relevance to improved functional communication., claiming that functional impairments can also contribute to aphasia therapies by developing more valid and reliable instruments to evaluate communicative adequacy. They conclude that in effect we need to listen to the patient more, “even if the message is rather poor, aphasic patients bring across at least the most central elements of the message”.  </w:t>
      </w:r>
      <w:proofErr w:type="spellStart"/>
      <w:r>
        <w:t>Kagen</w:t>
      </w:r>
      <w:proofErr w:type="spellEnd"/>
      <w:r>
        <w:t xml:space="preserve">, Simmons-Mackie, </w:t>
      </w:r>
      <w:proofErr w:type="spellStart"/>
      <w:r>
        <w:t>Rowand</w:t>
      </w:r>
      <w:proofErr w:type="spellEnd"/>
      <w:r>
        <w:t xml:space="preserve">, </w:t>
      </w:r>
      <w:proofErr w:type="spellStart"/>
      <w:r>
        <w:t>Huijbrets</w:t>
      </w:r>
      <w:proofErr w:type="spellEnd"/>
      <w:r>
        <w:t xml:space="preserve">, Shumway &amp; McEwen (2008) concur that there is a “lack of integrated approach to outcome evaluation across diverse approaches to aphasia intervention” claiming that potential assessments or classifications on offer are not always easily available or user friendly.  </w:t>
      </w:r>
    </w:p>
    <w:p w14:paraId="761785AB" w14:textId="0833B8D4" w:rsidR="008222CE" w:rsidRDefault="7BE2799F" w:rsidP="666EBA61">
      <w:r>
        <w:t xml:space="preserve">It could be argued that the professionals have lost their way whilst trying to outsmart each other with more elaborate assessments for the sake of their own ego rather than the benefit of the patient? </w:t>
      </w:r>
      <w:proofErr w:type="spellStart"/>
      <w:r>
        <w:t>Angelopoulou</w:t>
      </w:r>
      <w:proofErr w:type="spellEnd"/>
      <w:r>
        <w:t xml:space="preserve">, </w:t>
      </w:r>
      <w:proofErr w:type="spellStart"/>
      <w:r>
        <w:t>Kasselimis</w:t>
      </w:r>
      <w:proofErr w:type="spellEnd"/>
      <w:r>
        <w:t xml:space="preserve">, </w:t>
      </w:r>
      <w:proofErr w:type="spellStart"/>
      <w:r>
        <w:t>Makrydakis</w:t>
      </w:r>
      <w:proofErr w:type="spellEnd"/>
      <w:r>
        <w:t xml:space="preserve">, </w:t>
      </w:r>
      <w:proofErr w:type="spellStart"/>
      <w:r>
        <w:t>Varkanitsa</w:t>
      </w:r>
      <w:proofErr w:type="spellEnd"/>
      <w:r>
        <w:t xml:space="preserve">, Roussos, et al (2018) claim that </w:t>
      </w:r>
      <w:proofErr w:type="spellStart"/>
      <w:r>
        <w:t>l“Evidence</w:t>
      </w:r>
      <w:proofErr w:type="spellEnd"/>
      <w:r>
        <w:t xml:space="preserve"> from patients with language impairment is sparse and restricted to small-scale studies” so maybe we should listen more, a good bedside manner appears to be what is required, not a three to ten minute FAST examination, this may be too brief, if more time is taken actually seeing what the patient can do rather than concentrating on what they can’t do, we might actually establish a more holistic bespoke assessment rather than the many </w:t>
      </w:r>
      <w:proofErr w:type="spellStart"/>
      <w:r>
        <w:t>many</w:t>
      </w:r>
      <w:proofErr w:type="spellEnd"/>
      <w:r>
        <w:t xml:space="preserve"> variants of test currently in use. Which bring us to a point made by </w:t>
      </w:r>
      <w:proofErr w:type="spellStart"/>
      <w:r>
        <w:t>Eisenson</w:t>
      </w:r>
      <w:proofErr w:type="spellEnd"/>
      <w:r>
        <w:t xml:space="preserve"> (1960) who suggests that brain damage can be incurred by anybody, so when evaluating effects caused by brain damage on modifications of personality or intellect, we should also take into consideration the patients clinical or psychological history before running performance tests, in order to establish which true aspects of the patients performance should actually be attributed to the brain trauma, taking into consideration pre trauma personality and intellect that may have existed prior to the brains damage.</w:t>
      </w:r>
    </w:p>
    <w:p w14:paraId="4078E955" w14:textId="1E72EA6F" w:rsidR="008222CE" w:rsidRDefault="008222CE" w:rsidP="666EBA61"/>
    <w:p w14:paraId="623263C5" w14:textId="1A2B0A76" w:rsidR="008222CE" w:rsidRDefault="008222CE" w:rsidP="666EBA61"/>
    <w:p w14:paraId="308DB4CB" w14:textId="4A2051C3" w:rsidR="008222CE" w:rsidRDefault="008222CE" w:rsidP="666EBA61"/>
    <w:p w14:paraId="506DDB0C" w14:textId="657530A2" w:rsidR="56175720" w:rsidRDefault="56175720" w:rsidP="56175720"/>
    <w:p w14:paraId="1267B185" w14:textId="55D6DB24" w:rsidR="56175720" w:rsidRDefault="56175720" w:rsidP="56175720"/>
    <w:p w14:paraId="1409F30B" w14:textId="19480FA7" w:rsidR="56175720" w:rsidRDefault="56175720" w:rsidP="56175720"/>
    <w:p w14:paraId="3D4813C4" w14:textId="370E7FDD" w:rsidR="008222CE" w:rsidRDefault="008222CE" w:rsidP="666EBA61"/>
    <w:p w14:paraId="0237AD22" w14:textId="3A6FD38B" w:rsidR="008222CE" w:rsidRDefault="008222CE" w:rsidP="666EBA61"/>
    <w:p w14:paraId="5E5787A5" w14:textId="2236BB7F" w:rsidR="008222CE" w:rsidRDefault="56175720" w:rsidP="7BE2799F">
      <w:pPr>
        <w:rPr>
          <w:b/>
          <w:bCs/>
        </w:rPr>
      </w:pPr>
      <w:commentRangeStart w:id="4"/>
      <w:r w:rsidRPr="56175720">
        <w:rPr>
          <w:b/>
          <w:bCs/>
        </w:rPr>
        <w:t>Reference list</w:t>
      </w:r>
      <w:commentRangeEnd w:id="4"/>
      <w:r w:rsidR="003B40B2">
        <w:commentReference w:id="4"/>
      </w:r>
    </w:p>
    <w:p w14:paraId="4FB7B756" w14:textId="57FD1662" w:rsidR="7BE2799F" w:rsidRDefault="56175720" w:rsidP="56175720">
      <w:pPr>
        <w:rPr>
          <w:rFonts w:ascii="Calibri" w:eastAsia="Calibri" w:hAnsi="Calibri" w:cs="Calibri"/>
          <w:color w:val="666666"/>
          <w:sz w:val="19"/>
          <w:szCs w:val="19"/>
        </w:rPr>
      </w:pPr>
      <w:proofErr w:type="spellStart"/>
      <w:r w:rsidRPr="56175720">
        <w:rPr>
          <w:rFonts w:ascii="Calibri" w:eastAsia="Calibri" w:hAnsi="Calibri" w:cs="Calibri"/>
          <w:color w:val="000000" w:themeColor="text1"/>
          <w:sz w:val="19"/>
          <w:szCs w:val="19"/>
        </w:rPr>
        <w:t>Angelopoulou</w:t>
      </w:r>
      <w:proofErr w:type="spellEnd"/>
      <w:r w:rsidRPr="56175720">
        <w:rPr>
          <w:rFonts w:ascii="Calibri" w:eastAsia="Calibri" w:hAnsi="Calibri" w:cs="Calibri"/>
          <w:color w:val="000000" w:themeColor="text1"/>
          <w:sz w:val="19"/>
          <w:szCs w:val="19"/>
        </w:rPr>
        <w:t xml:space="preserve">, G., </w:t>
      </w:r>
      <w:proofErr w:type="spellStart"/>
      <w:r w:rsidRPr="56175720">
        <w:rPr>
          <w:rFonts w:ascii="Calibri" w:eastAsia="Calibri" w:hAnsi="Calibri" w:cs="Calibri"/>
          <w:color w:val="000000" w:themeColor="text1"/>
          <w:sz w:val="19"/>
          <w:szCs w:val="19"/>
        </w:rPr>
        <w:t>Kasselimis</w:t>
      </w:r>
      <w:proofErr w:type="spellEnd"/>
      <w:r w:rsidRPr="56175720">
        <w:rPr>
          <w:rFonts w:ascii="Calibri" w:eastAsia="Calibri" w:hAnsi="Calibri" w:cs="Calibri"/>
          <w:color w:val="000000" w:themeColor="text1"/>
          <w:sz w:val="19"/>
          <w:szCs w:val="19"/>
        </w:rPr>
        <w:t xml:space="preserve">, D., </w:t>
      </w:r>
      <w:proofErr w:type="spellStart"/>
      <w:r w:rsidRPr="56175720">
        <w:rPr>
          <w:rFonts w:ascii="Calibri" w:eastAsia="Calibri" w:hAnsi="Calibri" w:cs="Calibri"/>
          <w:color w:val="000000" w:themeColor="text1"/>
          <w:sz w:val="19"/>
          <w:szCs w:val="19"/>
        </w:rPr>
        <w:t>Makrydakis</w:t>
      </w:r>
      <w:proofErr w:type="spellEnd"/>
      <w:r w:rsidRPr="56175720">
        <w:rPr>
          <w:rFonts w:ascii="Calibri" w:eastAsia="Calibri" w:hAnsi="Calibri" w:cs="Calibri"/>
          <w:color w:val="000000" w:themeColor="text1"/>
          <w:sz w:val="19"/>
          <w:szCs w:val="19"/>
        </w:rPr>
        <w:t xml:space="preserve">, G., </w:t>
      </w:r>
      <w:proofErr w:type="spellStart"/>
      <w:r w:rsidRPr="56175720">
        <w:rPr>
          <w:rFonts w:ascii="Calibri" w:eastAsia="Calibri" w:hAnsi="Calibri" w:cs="Calibri"/>
          <w:color w:val="000000" w:themeColor="text1"/>
          <w:sz w:val="19"/>
          <w:szCs w:val="19"/>
        </w:rPr>
        <w:t>Varkanitsa</w:t>
      </w:r>
      <w:proofErr w:type="spellEnd"/>
      <w:r w:rsidRPr="56175720">
        <w:rPr>
          <w:rFonts w:ascii="Calibri" w:eastAsia="Calibri" w:hAnsi="Calibri" w:cs="Calibri"/>
          <w:color w:val="000000" w:themeColor="text1"/>
          <w:sz w:val="19"/>
          <w:szCs w:val="19"/>
        </w:rPr>
        <w:t xml:space="preserve">, M., Roussos, P., &amp; </w:t>
      </w:r>
      <w:proofErr w:type="spellStart"/>
      <w:r w:rsidRPr="56175720">
        <w:rPr>
          <w:rFonts w:ascii="Calibri" w:eastAsia="Calibri" w:hAnsi="Calibri" w:cs="Calibri"/>
          <w:color w:val="000000" w:themeColor="text1"/>
          <w:sz w:val="19"/>
          <w:szCs w:val="19"/>
        </w:rPr>
        <w:t>Goutsos</w:t>
      </w:r>
      <w:proofErr w:type="spellEnd"/>
      <w:r w:rsidRPr="56175720">
        <w:rPr>
          <w:rFonts w:ascii="Calibri" w:eastAsia="Calibri" w:hAnsi="Calibri" w:cs="Calibri"/>
          <w:color w:val="000000" w:themeColor="text1"/>
          <w:sz w:val="19"/>
          <w:szCs w:val="19"/>
        </w:rPr>
        <w:t xml:space="preserve">, D. et al. (2018). Silent pauses in aphasia. </w:t>
      </w:r>
      <w:proofErr w:type="spellStart"/>
      <w:r w:rsidRPr="56175720">
        <w:rPr>
          <w:rFonts w:ascii="Calibri" w:eastAsia="Calibri" w:hAnsi="Calibri" w:cs="Calibri"/>
          <w:i/>
          <w:iCs/>
          <w:color w:val="000000" w:themeColor="text1"/>
          <w:sz w:val="19"/>
          <w:szCs w:val="19"/>
        </w:rPr>
        <w:t>Neuropsychologia</w:t>
      </w:r>
      <w:proofErr w:type="spellEnd"/>
      <w:r w:rsidRPr="56175720">
        <w:rPr>
          <w:rFonts w:ascii="Calibri" w:eastAsia="Calibri" w:hAnsi="Calibri" w:cs="Calibri"/>
          <w:color w:val="000000" w:themeColor="text1"/>
          <w:sz w:val="19"/>
          <w:szCs w:val="19"/>
        </w:rPr>
        <w:t xml:space="preserve">, </w:t>
      </w:r>
      <w:r w:rsidRPr="56175720">
        <w:rPr>
          <w:rFonts w:ascii="Calibri" w:eastAsia="Calibri" w:hAnsi="Calibri" w:cs="Calibri"/>
          <w:i/>
          <w:iCs/>
          <w:color w:val="000000" w:themeColor="text1"/>
          <w:sz w:val="19"/>
          <w:szCs w:val="19"/>
        </w:rPr>
        <w:t>114</w:t>
      </w:r>
      <w:r w:rsidRPr="56175720">
        <w:rPr>
          <w:rFonts w:ascii="Calibri" w:eastAsia="Calibri" w:hAnsi="Calibri" w:cs="Calibri"/>
          <w:color w:val="000000" w:themeColor="text1"/>
          <w:sz w:val="19"/>
          <w:szCs w:val="19"/>
        </w:rPr>
        <w:t xml:space="preserve">, 41-49. </w:t>
      </w:r>
      <w:proofErr w:type="spellStart"/>
      <w:r w:rsidRPr="56175720">
        <w:rPr>
          <w:rFonts w:ascii="Calibri" w:eastAsia="Calibri" w:hAnsi="Calibri" w:cs="Calibri"/>
          <w:color w:val="000000" w:themeColor="text1"/>
          <w:sz w:val="19"/>
          <w:szCs w:val="19"/>
        </w:rPr>
        <w:t>doi</w:t>
      </w:r>
      <w:proofErr w:type="spellEnd"/>
      <w:r w:rsidRPr="56175720">
        <w:rPr>
          <w:rFonts w:ascii="Calibri" w:eastAsia="Calibri" w:hAnsi="Calibri" w:cs="Calibri"/>
          <w:color w:val="000000" w:themeColor="text1"/>
          <w:sz w:val="19"/>
          <w:szCs w:val="19"/>
        </w:rPr>
        <w:t>: 10.1016/j.neuropsychologia.2018.04.006</w:t>
      </w:r>
    </w:p>
    <w:p w14:paraId="22579950" w14:textId="034B1AD7" w:rsidR="7BE2799F" w:rsidRDefault="56175720" w:rsidP="56175720">
      <w:pPr>
        <w:rPr>
          <w:rFonts w:ascii="Calibri" w:eastAsia="Calibri" w:hAnsi="Calibri" w:cs="Calibri"/>
          <w:color w:val="666666"/>
          <w:sz w:val="19"/>
          <w:szCs w:val="19"/>
        </w:rPr>
      </w:pPr>
      <w:proofErr w:type="spellStart"/>
      <w:r w:rsidRPr="56175720">
        <w:rPr>
          <w:rFonts w:ascii="Calibri" w:eastAsia="Calibri" w:hAnsi="Calibri" w:cs="Calibri"/>
          <w:color w:val="000000" w:themeColor="text1"/>
          <w:sz w:val="19"/>
          <w:szCs w:val="19"/>
        </w:rPr>
        <w:t>Bakheit</w:t>
      </w:r>
      <w:proofErr w:type="spellEnd"/>
      <w:r w:rsidRPr="56175720">
        <w:rPr>
          <w:rFonts w:ascii="Calibri" w:eastAsia="Calibri" w:hAnsi="Calibri" w:cs="Calibri"/>
          <w:color w:val="000000" w:themeColor="text1"/>
          <w:sz w:val="19"/>
          <w:szCs w:val="19"/>
        </w:rPr>
        <w:t xml:space="preserve">, A., Carrington, S., Griffiths, S., &amp; Searle, K. (2005). High scores on the Western Aphasia Battery correlate with good functional communication skills (as measured with the Communicative Effectiveness Index) in aphasic stroke patients. </w:t>
      </w:r>
      <w:r w:rsidRPr="56175720">
        <w:rPr>
          <w:rFonts w:ascii="Calibri" w:eastAsia="Calibri" w:hAnsi="Calibri" w:cs="Calibri"/>
          <w:i/>
          <w:iCs/>
          <w:color w:val="000000" w:themeColor="text1"/>
          <w:sz w:val="19"/>
          <w:szCs w:val="19"/>
        </w:rPr>
        <w:t xml:space="preserve">Disability </w:t>
      </w:r>
      <w:proofErr w:type="gramStart"/>
      <w:r w:rsidRPr="56175720">
        <w:rPr>
          <w:rFonts w:ascii="Calibri" w:eastAsia="Calibri" w:hAnsi="Calibri" w:cs="Calibri"/>
          <w:i/>
          <w:iCs/>
          <w:color w:val="000000" w:themeColor="text1"/>
          <w:sz w:val="19"/>
          <w:szCs w:val="19"/>
        </w:rPr>
        <w:t>And</w:t>
      </w:r>
      <w:proofErr w:type="gramEnd"/>
      <w:r w:rsidRPr="56175720">
        <w:rPr>
          <w:rFonts w:ascii="Calibri" w:eastAsia="Calibri" w:hAnsi="Calibri" w:cs="Calibri"/>
          <w:i/>
          <w:iCs/>
          <w:color w:val="000000" w:themeColor="text1"/>
          <w:sz w:val="19"/>
          <w:szCs w:val="19"/>
        </w:rPr>
        <w:t xml:space="preserve"> Rehabilitation</w:t>
      </w:r>
      <w:r w:rsidRPr="56175720">
        <w:rPr>
          <w:rFonts w:ascii="Calibri" w:eastAsia="Calibri" w:hAnsi="Calibri" w:cs="Calibri"/>
          <w:color w:val="000000" w:themeColor="text1"/>
          <w:sz w:val="19"/>
          <w:szCs w:val="19"/>
        </w:rPr>
        <w:t xml:space="preserve">, </w:t>
      </w:r>
      <w:r w:rsidRPr="56175720">
        <w:rPr>
          <w:rFonts w:ascii="Calibri" w:eastAsia="Calibri" w:hAnsi="Calibri" w:cs="Calibri"/>
          <w:i/>
          <w:iCs/>
          <w:color w:val="000000" w:themeColor="text1"/>
          <w:sz w:val="19"/>
          <w:szCs w:val="19"/>
        </w:rPr>
        <w:t>27</w:t>
      </w:r>
      <w:r w:rsidRPr="56175720">
        <w:rPr>
          <w:rFonts w:ascii="Calibri" w:eastAsia="Calibri" w:hAnsi="Calibri" w:cs="Calibri"/>
          <w:color w:val="000000" w:themeColor="text1"/>
          <w:sz w:val="19"/>
          <w:szCs w:val="19"/>
        </w:rPr>
        <w:t xml:space="preserve">(6), 287-291. </w:t>
      </w:r>
      <w:proofErr w:type="spellStart"/>
      <w:r w:rsidRPr="56175720">
        <w:rPr>
          <w:rFonts w:ascii="Calibri" w:eastAsia="Calibri" w:hAnsi="Calibri" w:cs="Calibri"/>
          <w:color w:val="000000" w:themeColor="text1"/>
          <w:sz w:val="19"/>
          <w:szCs w:val="19"/>
        </w:rPr>
        <w:t>doi</w:t>
      </w:r>
      <w:proofErr w:type="spellEnd"/>
      <w:r w:rsidRPr="56175720">
        <w:rPr>
          <w:rFonts w:ascii="Calibri" w:eastAsia="Calibri" w:hAnsi="Calibri" w:cs="Calibri"/>
          <w:color w:val="000000" w:themeColor="text1"/>
          <w:sz w:val="19"/>
          <w:szCs w:val="19"/>
        </w:rPr>
        <w:t>: 10.1080/09638280400009006</w:t>
      </w:r>
    </w:p>
    <w:p w14:paraId="14A6E19B" w14:textId="4E95B003" w:rsidR="7BE2799F" w:rsidRDefault="56175720" w:rsidP="7BE2799F">
      <w:proofErr w:type="spellStart"/>
      <w:r w:rsidRPr="56175720">
        <w:rPr>
          <w:rFonts w:ascii="Calibri" w:eastAsia="Calibri" w:hAnsi="Calibri" w:cs="Calibri"/>
          <w:color w:val="000000" w:themeColor="text1"/>
          <w:sz w:val="19"/>
          <w:szCs w:val="19"/>
        </w:rPr>
        <w:t>Blomert</w:t>
      </w:r>
      <w:proofErr w:type="spellEnd"/>
      <w:r w:rsidRPr="56175720">
        <w:rPr>
          <w:rFonts w:ascii="Calibri" w:eastAsia="Calibri" w:hAnsi="Calibri" w:cs="Calibri"/>
          <w:color w:val="000000" w:themeColor="text1"/>
          <w:sz w:val="19"/>
          <w:szCs w:val="19"/>
        </w:rPr>
        <w:t xml:space="preserve">, L. (1990). What functional assessment can contribute to setting goals for aphasia therapy. </w:t>
      </w:r>
      <w:r w:rsidRPr="56175720">
        <w:rPr>
          <w:rFonts w:ascii="Calibri" w:eastAsia="Calibri" w:hAnsi="Calibri" w:cs="Calibri"/>
          <w:i/>
          <w:iCs/>
          <w:color w:val="000000" w:themeColor="text1"/>
          <w:sz w:val="19"/>
          <w:szCs w:val="19"/>
        </w:rPr>
        <w:t>Aphasiology</w:t>
      </w:r>
      <w:r w:rsidRPr="56175720">
        <w:rPr>
          <w:rFonts w:ascii="Calibri" w:eastAsia="Calibri" w:hAnsi="Calibri" w:cs="Calibri"/>
          <w:color w:val="000000" w:themeColor="text1"/>
          <w:sz w:val="19"/>
          <w:szCs w:val="19"/>
        </w:rPr>
        <w:t xml:space="preserve">, </w:t>
      </w:r>
      <w:r w:rsidRPr="56175720">
        <w:rPr>
          <w:rFonts w:ascii="Calibri" w:eastAsia="Calibri" w:hAnsi="Calibri" w:cs="Calibri"/>
          <w:i/>
          <w:iCs/>
          <w:color w:val="000000" w:themeColor="text1"/>
          <w:sz w:val="19"/>
          <w:szCs w:val="19"/>
        </w:rPr>
        <w:t>4</w:t>
      </w:r>
      <w:r w:rsidRPr="56175720">
        <w:rPr>
          <w:rFonts w:ascii="Calibri" w:eastAsia="Calibri" w:hAnsi="Calibri" w:cs="Calibri"/>
          <w:color w:val="000000" w:themeColor="text1"/>
          <w:sz w:val="19"/>
          <w:szCs w:val="19"/>
        </w:rPr>
        <w:t xml:space="preserve">(4), 307-320. </w:t>
      </w:r>
      <w:proofErr w:type="spellStart"/>
      <w:r w:rsidRPr="56175720">
        <w:rPr>
          <w:rFonts w:ascii="Calibri" w:eastAsia="Calibri" w:hAnsi="Calibri" w:cs="Calibri"/>
          <w:color w:val="000000" w:themeColor="text1"/>
          <w:sz w:val="19"/>
          <w:szCs w:val="19"/>
        </w:rPr>
        <w:t>doi</w:t>
      </w:r>
      <w:proofErr w:type="spellEnd"/>
      <w:r w:rsidRPr="56175720">
        <w:rPr>
          <w:rFonts w:ascii="Calibri" w:eastAsia="Calibri" w:hAnsi="Calibri" w:cs="Calibri"/>
          <w:color w:val="000000" w:themeColor="text1"/>
          <w:sz w:val="19"/>
          <w:szCs w:val="19"/>
        </w:rPr>
        <w:t>: 10.1080/02687039008249085</w:t>
      </w:r>
      <w:commentRangeStart w:id="5"/>
      <w:commentRangeStart w:id="6"/>
      <w:commentRangeStart w:id="7"/>
    </w:p>
    <w:p w14:paraId="5348FFF7" w14:textId="204F9E99" w:rsidR="7BE2799F" w:rsidRDefault="56175720" w:rsidP="56175720">
      <w:pPr>
        <w:rPr>
          <w:rFonts w:ascii="Calibri" w:eastAsia="Calibri" w:hAnsi="Calibri" w:cs="Calibri"/>
          <w:color w:val="666666"/>
          <w:sz w:val="19"/>
          <w:szCs w:val="19"/>
        </w:rPr>
      </w:pPr>
      <w:proofErr w:type="spellStart"/>
      <w:r w:rsidRPr="56175720">
        <w:rPr>
          <w:rFonts w:ascii="Calibri" w:eastAsia="Calibri" w:hAnsi="Calibri" w:cs="Calibri"/>
          <w:color w:val="000000" w:themeColor="text1"/>
          <w:sz w:val="19"/>
          <w:szCs w:val="19"/>
        </w:rPr>
        <w:t>Eisenson</w:t>
      </w:r>
      <w:proofErr w:type="spellEnd"/>
      <w:r w:rsidRPr="56175720">
        <w:rPr>
          <w:rFonts w:ascii="Calibri" w:eastAsia="Calibri" w:hAnsi="Calibri" w:cs="Calibri"/>
          <w:color w:val="000000" w:themeColor="text1"/>
          <w:sz w:val="19"/>
          <w:szCs w:val="19"/>
        </w:rPr>
        <w:t xml:space="preserve">, J. (1960). When and What Is Aphasia. </w:t>
      </w:r>
      <w:r w:rsidRPr="56175720">
        <w:rPr>
          <w:rFonts w:ascii="Calibri" w:eastAsia="Calibri" w:hAnsi="Calibri" w:cs="Calibri"/>
          <w:i/>
          <w:iCs/>
          <w:color w:val="000000" w:themeColor="text1"/>
          <w:sz w:val="19"/>
          <w:szCs w:val="19"/>
        </w:rPr>
        <w:t xml:space="preserve">Monographs </w:t>
      </w:r>
      <w:proofErr w:type="gramStart"/>
      <w:r w:rsidRPr="56175720">
        <w:rPr>
          <w:rFonts w:ascii="Calibri" w:eastAsia="Calibri" w:hAnsi="Calibri" w:cs="Calibri"/>
          <w:i/>
          <w:iCs/>
          <w:color w:val="000000" w:themeColor="text1"/>
          <w:sz w:val="19"/>
          <w:szCs w:val="19"/>
        </w:rPr>
        <w:t>Of</w:t>
      </w:r>
      <w:proofErr w:type="gramEnd"/>
      <w:r w:rsidRPr="56175720">
        <w:rPr>
          <w:rFonts w:ascii="Calibri" w:eastAsia="Calibri" w:hAnsi="Calibri" w:cs="Calibri"/>
          <w:i/>
          <w:iCs/>
          <w:color w:val="000000" w:themeColor="text1"/>
          <w:sz w:val="19"/>
          <w:szCs w:val="19"/>
        </w:rPr>
        <w:t xml:space="preserve"> The Society For Research In Child Development</w:t>
      </w:r>
      <w:r w:rsidRPr="56175720">
        <w:rPr>
          <w:rFonts w:ascii="Calibri" w:eastAsia="Calibri" w:hAnsi="Calibri" w:cs="Calibri"/>
          <w:color w:val="000000" w:themeColor="text1"/>
          <w:sz w:val="19"/>
          <w:szCs w:val="19"/>
        </w:rPr>
        <w:t xml:space="preserve">, </w:t>
      </w:r>
      <w:r w:rsidRPr="56175720">
        <w:rPr>
          <w:rFonts w:ascii="Calibri" w:eastAsia="Calibri" w:hAnsi="Calibri" w:cs="Calibri"/>
          <w:i/>
          <w:iCs/>
          <w:color w:val="000000" w:themeColor="text1"/>
          <w:sz w:val="19"/>
          <w:szCs w:val="19"/>
        </w:rPr>
        <w:t>25</w:t>
      </w:r>
      <w:r w:rsidRPr="56175720">
        <w:rPr>
          <w:rFonts w:ascii="Calibri" w:eastAsia="Calibri" w:hAnsi="Calibri" w:cs="Calibri"/>
          <w:color w:val="000000" w:themeColor="text1"/>
          <w:sz w:val="19"/>
          <w:szCs w:val="19"/>
        </w:rPr>
        <w:t xml:space="preserve">(3), 89. </w:t>
      </w:r>
      <w:proofErr w:type="spellStart"/>
      <w:r w:rsidRPr="56175720">
        <w:rPr>
          <w:rFonts w:ascii="Calibri" w:eastAsia="Calibri" w:hAnsi="Calibri" w:cs="Calibri"/>
          <w:color w:val="000000" w:themeColor="text1"/>
          <w:sz w:val="19"/>
          <w:szCs w:val="19"/>
        </w:rPr>
        <w:t>doi</w:t>
      </w:r>
      <w:proofErr w:type="spellEnd"/>
      <w:r w:rsidRPr="56175720">
        <w:rPr>
          <w:rFonts w:ascii="Calibri" w:eastAsia="Calibri" w:hAnsi="Calibri" w:cs="Calibri"/>
          <w:color w:val="000000" w:themeColor="text1"/>
          <w:sz w:val="19"/>
          <w:szCs w:val="19"/>
        </w:rPr>
        <w:t>: 10.2307/1165638</w:t>
      </w:r>
    </w:p>
    <w:p w14:paraId="4547A6BE" w14:textId="2ADE15C0" w:rsidR="56175720" w:rsidRDefault="56175720" w:rsidP="56175720">
      <w:pPr>
        <w:rPr>
          <w:rFonts w:ascii="Calibri" w:eastAsia="Calibri" w:hAnsi="Calibri" w:cs="Calibri"/>
          <w:color w:val="666666"/>
          <w:sz w:val="19"/>
          <w:szCs w:val="19"/>
        </w:rPr>
      </w:pPr>
      <w:r w:rsidRPr="56175720">
        <w:rPr>
          <w:rFonts w:ascii="Calibri" w:eastAsia="Calibri" w:hAnsi="Calibri" w:cs="Calibri"/>
          <w:color w:val="000000" w:themeColor="text1"/>
          <w:sz w:val="19"/>
          <w:szCs w:val="19"/>
        </w:rPr>
        <w:t xml:space="preserve">González </w:t>
      </w:r>
      <w:proofErr w:type="spellStart"/>
      <w:r w:rsidRPr="56175720">
        <w:rPr>
          <w:rFonts w:ascii="Calibri" w:eastAsia="Calibri" w:hAnsi="Calibri" w:cs="Calibri"/>
          <w:color w:val="000000" w:themeColor="text1"/>
          <w:sz w:val="19"/>
          <w:szCs w:val="19"/>
        </w:rPr>
        <w:t>Victoriano</w:t>
      </w:r>
      <w:proofErr w:type="spellEnd"/>
      <w:r w:rsidRPr="56175720">
        <w:rPr>
          <w:rFonts w:ascii="Calibri" w:eastAsia="Calibri" w:hAnsi="Calibri" w:cs="Calibri"/>
          <w:color w:val="000000" w:themeColor="text1"/>
          <w:sz w:val="19"/>
          <w:szCs w:val="19"/>
        </w:rPr>
        <w:t xml:space="preserve">, R., </w:t>
      </w:r>
      <w:proofErr w:type="spellStart"/>
      <w:r w:rsidRPr="56175720">
        <w:rPr>
          <w:rFonts w:ascii="Calibri" w:eastAsia="Calibri" w:hAnsi="Calibri" w:cs="Calibri"/>
          <w:color w:val="000000" w:themeColor="text1"/>
          <w:sz w:val="19"/>
          <w:szCs w:val="19"/>
        </w:rPr>
        <w:t>Hornauer</w:t>
      </w:r>
      <w:proofErr w:type="spellEnd"/>
      <w:r w:rsidRPr="56175720">
        <w:rPr>
          <w:rFonts w:ascii="Calibri" w:eastAsia="Calibri" w:hAnsi="Calibri" w:cs="Calibri"/>
          <w:color w:val="000000" w:themeColor="text1"/>
          <w:sz w:val="19"/>
          <w:szCs w:val="19"/>
        </w:rPr>
        <w:t xml:space="preserve">-Hughes, A., Leyton </w:t>
      </w:r>
      <w:proofErr w:type="spellStart"/>
      <w:r w:rsidRPr="56175720">
        <w:rPr>
          <w:rFonts w:ascii="Calibri" w:eastAsia="Calibri" w:hAnsi="Calibri" w:cs="Calibri"/>
          <w:color w:val="000000" w:themeColor="text1"/>
          <w:sz w:val="19"/>
          <w:szCs w:val="19"/>
        </w:rPr>
        <w:t>Moscoso</w:t>
      </w:r>
      <w:proofErr w:type="spellEnd"/>
      <w:r w:rsidRPr="56175720">
        <w:rPr>
          <w:rFonts w:ascii="Calibri" w:eastAsia="Calibri" w:hAnsi="Calibri" w:cs="Calibri"/>
          <w:color w:val="000000" w:themeColor="text1"/>
          <w:sz w:val="19"/>
          <w:szCs w:val="19"/>
        </w:rPr>
        <w:t xml:space="preserve">, C., Neumann Serra, S., &amp; Vera González, R. (2015). Clinical characterisation of primary progressive aphasia cases using western aphasia battery (WAB-R). </w:t>
      </w:r>
      <w:r w:rsidRPr="56175720">
        <w:rPr>
          <w:rFonts w:ascii="Calibri" w:eastAsia="Calibri" w:hAnsi="Calibri" w:cs="Calibri"/>
          <w:i/>
          <w:iCs/>
          <w:color w:val="000000" w:themeColor="text1"/>
          <w:sz w:val="19"/>
          <w:szCs w:val="19"/>
        </w:rPr>
        <w:t xml:space="preserve">Journal </w:t>
      </w:r>
      <w:proofErr w:type="gramStart"/>
      <w:r w:rsidRPr="56175720">
        <w:rPr>
          <w:rFonts w:ascii="Calibri" w:eastAsia="Calibri" w:hAnsi="Calibri" w:cs="Calibri"/>
          <w:i/>
          <w:iCs/>
          <w:color w:val="000000" w:themeColor="text1"/>
          <w:sz w:val="19"/>
          <w:szCs w:val="19"/>
        </w:rPr>
        <w:t>Of</w:t>
      </w:r>
      <w:proofErr w:type="gramEnd"/>
      <w:r w:rsidRPr="56175720">
        <w:rPr>
          <w:rFonts w:ascii="Calibri" w:eastAsia="Calibri" w:hAnsi="Calibri" w:cs="Calibri"/>
          <w:i/>
          <w:iCs/>
          <w:color w:val="000000" w:themeColor="text1"/>
          <w:sz w:val="19"/>
          <w:szCs w:val="19"/>
        </w:rPr>
        <w:t xml:space="preserve"> The Neurological Sciences</w:t>
      </w:r>
      <w:r w:rsidRPr="56175720">
        <w:rPr>
          <w:rFonts w:ascii="Calibri" w:eastAsia="Calibri" w:hAnsi="Calibri" w:cs="Calibri"/>
          <w:color w:val="000000" w:themeColor="text1"/>
          <w:sz w:val="19"/>
          <w:szCs w:val="19"/>
        </w:rPr>
        <w:t xml:space="preserve">, </w:t>
      </w:r>
      <w:r w:rsidRPr="56175720">
        <w:rPr>
          <w:rFonts w:ascii="Calibri" w:eastAsia="Calibri" w:hAnsi="Calibri" w:cs="Calibri"/>
          <w:i/>
          <w:iCs/>
          <w:color w:val="000000" w:themeColor="text1"/>
          <w:sz w:val="19"/>
          <w:szCs w:val="19"/>
        </w:rPr>
        <w:t>357</w:t>
      </w:r>
      <w:r w:rsidRPr="56175720">
        <w:rPr>
          <w:rFonts w:ascii="Calibri" w:eastAsia="Calibri" w:hAnsi="Calibri" w:cs="Calibri"/>
          <w:color w:val="000000" w:themeColor="text1"/>
          <w:sz w:val="19"/>
          <w:szCs w:val="19"/>
        </w:rPr>
        <w:t xml:space="preserve">, e449. </w:t>
      </w:r>
      <w:proofErr w:type="spellStart"/>
      <w:r w:rsidRPr="56175720">
        <w:rPr>
          <w:rFonts w:ascii="Calibri" w:eastAsia="Calibri" w:hAnsi="Calibri" w:cs="Calibri"/>
          <w:color w:val="000000" w:themeColor="text1"/>
          <w:sz w:val="19"/>
          <w:szCs w:val="19"/>
        </w:rPr>
        <w:t>doi</w:t>
      </w:r>
      <w:proofErr w:type="spellEnd"/>
      <w:r w:rsidRPr="56175720">
        <w:rPr>
          <w:rFonts w:ascii="Calibri" w:eastAsia="Calibri" w:hAnsi="Calibri" w:cs="Calibri"/>
          <w:color w:val="000000" w:themeColor="text1"/>
          <w:sz w:val="19"/>
          <w:szCs w:val="19"/>
        </w:rPr>
        <w:t>: 10.1016/j.jns.2015.09.101</w:t>
      </w:r>
    </w:p>
    <w:p w14:paraId="5FC7FCDA" w14:textId="395CC5CB" w:rsidR="56175720" w:rsidRDefault="56175720" w:rsidP="56175720">
      <w:pPr>
        <w:rPr>
          <w:rFonts w:ascii="Calibri" w:eastAsia="Calibri" w:hAnsi="Calibri" w:cs="Calibri"/>
          <w:color w:val="666666"/>
          <w:sz w:val="19"/>
          <w:szCs w:val="19"/>
        </w:rPr>
      </w:pPr>
      <w:r w:rsidRPr="56175720">
        <w:rPr>
          <w:rFonts w:ascii="Calibri" w:eastAsia="Calibri" w:hAnsi="Calibri" w:cs="Calibri"/>
          <w:color w:val="000000" w:themeColor="text1"/>
          <w:sz w:val="19"/>
          <w:szCs w:val="19"/>
        </w:rPr>
        <w:t>Hula, W., Donovan, N., Kendall, D., &amp; Gonzalez-</w:t>
      </w:r>
      <w:proofErr w:type="spellStart"/>
      <w:r w:rsidRPr="56175720">
        <w:rPr>
          <w:rFonts w:ascii="Calibri" w:eastAsia="Calibri" w:hAnsi="Calibri" w:cs="Calibri"/>
          <w:color w:val="000000" w:themeColor="text1"/>
          <w:sz w:val="19"/>
          <w:szCs w:val="19"/>
        </w:rPr>
        <w:t>Rothi</w:t>
      </w:r>
      <w:proofErr w:type="spellEnd"/>
      <w:r w:rsidRPr="56175720">
        <w:rPr>
          <w:rFonts w:ascii="Calibri" w:eastAsia="Calibri" w:hAnsi="Calibri" w:cs="Calibri"/>
          <w:color w:val="000000" w:themeColor="text1"/>
          <w:sz w:val="19"/>
          <w:szCs w:val="19"/>
        </w:rPr>
        <w:t xml:space="preserve">, L. (2010). Item response theory analysis of the Western Aphasia Battery. </w:t>
      </w:r>
      <w:r w:rsidRPr="56175720">
        <w:rPr>
          <w:rFonts w:ascii="Calibri" w:eastAsia="Calibri" w:hAnsi="Calibri" w:cs="Calibri"/>
          <w:i/>
          <w:iCs/>
          <w:color w:val="000000" w:themeColor="text1"/>
          <w:sz w:val="19"/>
          <w:szCs w:val="19"/>
        </w:rPr>
        <w:t>Aphasiology</w:t>
      </w:r>
      <w:r w:rsidRPr="56175720">
        <w:rPr>
          <w:rFonts w:ascii="Calibri" w:eastAsia="Calibri" w:hAnsi="Calibri" w:cs="Calibri"/>
          <w:color w:val="000000" w:themeColor="text1"/>
          <w:sz w:val="19"/>
          <w:szCs w:val="19"/>
        </w:rPr>
        <w:t xml:space="preserve">, </w:t>
      </w:r>
      <w:r w:rsidRPr="56175720">
        <w:rPr>
          <w:rFonts w:ascii="Calibri" w:eastAsia="Calibri" w:hAnsi="Calibri" w:cs="Calibri"/>
          <w:i/>
          <w:iCs/>
          <w:color w:val="000000" w:themeColor="text1"/>
          <w:sz w:val="19"/>
          <w:szCs w:val="19"/>
        </w:rPr>
        <w:t>24</w:t>
      </w:r>
      <w:r w:rsidRPr="56175720">
        <w:rPr>
          <w:rFonts w:ascii="Calibri" w:eastAsia="Calibri" w:hAnsi="Calibri" w:cs="Calibri"/>
          <w:color w:val="000000" w:themeColor="text1"/>
          <w:sz w:val="19"/>
          <w:szCs w:val="19"/>
        </w:rPr>
        <w:t xml:space="preserve">(11), 1326-1341. </w:t>
      </w:r>
      <w:proofErr w:type="spellStart"/>
      <w:r w:rsidRPr="56175720">
        <w:rPr>
          <w:rFonts w:ascii="Calibri" w:eastAsia="Calibri" w:hAnsi="Calibri" w:cs="Calibri"/>
          <w:color w:val="000000" w:themeColor="text1"/>
          <w:sz w:val="19"/>
          <w:szCs w:val="19"/>
        </w:rPr>
        <w:t>doi</w:t>
      </w:r>
      <w:proofErr w:type="spellEnd"/>
      <w:r w:rsidRPr="56175720">
        <w:rPr>
          <w:rFonts w:ascii="Calibri" w:eastAsia="Calibri" w:hAnsi="Calibri" w:cs="Calibri"/>
          <w:color w:val="000000" w:themeColor="text1"/>
          <w:sz w:val="19"/>
          <w:szCs w:val="19"/>
        </w:rPr>
        <w:t>: 10.1080/02687030903422502</w:t>
      </w:r>
    </w:p>
    <w:p w14:paraId="250EBC9B" w14:textId="0A33DEDA" w:rsidR="56175720" w:rsidRDefault="56175720" w:rsidP="56175720">
      <w:pPr>
        <w:rPr>
          <w:rFonts w:ascii="Calibri" w:eastAsia="Calibri" w:hAnsi="Calibri" w:cs="Calibri"/>
          <w:color w:val="666666"/>
          <w:sz w:val="19"/>
          <w:szCs w:val="19"/>
        </w:rPr>
      </w:pPr>
      <w:r w:rsidRPr="56175720">
        <w:rPr>
          <w:rFonts w:ascii="Calibri" w:eastAsia="Calibri" w:hAnsi="Calibri" w:cs="Calibri"/>
          <w:color w:val="000000" w:themeColor="text1"/>
          <w:sz w:val="19"/>
          <w:szCs w:val="19"/>
        </w:rPr>
        <w:t xml:space="preserve">R., John, A., </w:t>
      </w:r>
      <w:proofErr w:type="spellStart"/>
      <w:r w:rsidRPr="56175720">
        <w:rPr>
          <w:rFonts w:ascii="Calibri" w:eastAsia="Calibri" w:hAnsi="Calibri" w:cs="Calibri"/>
          <w:color w:val="000000" w:themeColor="text1"/>
          <w:sz w:val="19"/>
          <w:szCs w:val="19"/>
        </w:rPr>
        <w:t>Javali</w:t>
      </w:r>
      <w:proofErr w:type="spellEnd"/>
      <w:r w:rsidRPr="56175720">
        <w:rPr>
          <w:rFonts w:ascii="Calibri" w:eastAsia="Calibri" w:hAnsi="Calibri" w:cs="Calibri"/>
          <w:color w:val="000000" w:themeColor="text1"/>
          <w:sz w:val="19"/>
          <w:szCs w:val="19"/>
        </w:rPr>
        <w:t xml:space="preserve">, M., </w:t>
      </w:r>
      <w:proofErr w:type="spellStart"/>
      <w:r w:rsidRPr="56175720">
        <w:rPr>
          <w:rFonts w:ascii="Calibri" w:eastAsia="Calibri" w:hAnsi="Calibri" w:cs="Calibri"/>
          <w:color w:val="000000" w:themeColor="text1"/>
          <w:sz w:val="19"/>
          <w:szCs w:val="19"/>
        </w:rPr>
        <w:t>Mahale</w:t>
      </w:r>
      <w:proofErr w:type="spellEnd"/>
      <w:r w:rsidRPr="56175720">
        <w:rPr>
          <w:rFonts w:ascii="Calibri" w:eastAsia="Calibri" w:hAnsi="Calibri" w:cs="Calibri"/>
          <w:color w:val="000000" w:themeColor="text1"/>
          <w:sz w:val="19"/>
          <w:szCs w:val="19"/>
        </w:rPr>
        <w:t xml:space="preserve">, R., Mehta, A., &amp; Acharya, P. (2017). Clinical impression and western aphasia battery classification of aphasia in acute ischemic stroke: Is there a </w:t>
      </w:r>
      <w:proofErr w:type="gramStart"/>
      <w:r w:rsidRPr="56175720">
        <w:rPr>
          <w:rFonts w:ascii="Calibri" w:eastAsia="Calibri" w:hAnsi="Calibri" w:cs="Calibri"/>
          <w:color w:val="000000" w:themeColor="text1"/>
          <w:sz w:val="19"/>
          <w:szCs w:val="19"/>
        </w:rPr>
        <w:t>discrepancy?.</w:t>
      </w:r>
      <w:proofErr w:type="gramEnd"/>
      <w:r w:rsidRPr="56175720">
        <w:rPr>
          <w:rFonts w:ascii="Calibri" w:eastAsia="Calibri" w:hAnsi="Calibri" w:cs="Calibri"/>
          <w:color w:val="000000" w:themeColor="text1"/>
          <w:sz w:val="19"/>
          <w:szCs w:val="19"/>
        </w:rPr>
        <w:t xml:space="preserve"> </w:t>
      </w:r>
      <w:r w:rsidRPr="56175720">
        <w:rPr>
          <w:rFonts w:ascii="Calibri" w:eastAsia="Calibri" w:hAnsi="Calibri" w:cs="Calibri"/>
          <w:i/>
          <w:iCs/>
          <w:color w:val="000000" w:themeColor="text1"/>
          <w:sz w:val="19"/>
          <w:szCs w:val="19"/>
        </w:rPr>
        <w:t xml:space="preserve">Journal </w:t>
      </w:r>
      <w:proofErr w:type="gramStart"/>
      <w:r w:rsidRPr="56175720">
        <w:rPr>
          <w:rFonts w:ascii="Calibri" w:eastAsia="Calibri" w:hAnsi="Calibri" w:cs="Calibri"/>
          <w:i/>
          <w:iCs/>
          <w:color w:val="000000" w:themeColor="text1"/>
          <w:sz w:val="19"/>
          <w:szCs w:val="19"/>
        </w:rPr>
        <w:t>Of</w:t>
      </w:r>
      <w:proofErr w:type="gramEnd"/>
      <w:r w:rsidRPr="56175720">
        <w:rPr>
          <w:rFonts w:ascii="Calibri" w:eastAsia="Calibri" w:hAnsi="Calibri" w:cs="Calibri"/>
          <w:i/>
          <w:iCs/>
          <w:color w:val="000000" w:themeColor="text1"/>
          <w:sz w:val="19"/>
          <w:szCs w:val="19"/>
        </w:rPr>
        <w:t xml:space="preserve"> Neurosciences In Rural Practice</w:t>
      </w:r>
      <w:r w:rsidRPr="56175720">
        <w:rPr>
          <w:rFonts w:ascii="Calibri" w:eastAsia="Calibri" w:hAnsi="Calibri" w:cs="Calibri"/>
          <w:color w:val="000000" w:themeColor="text1"/>
          <w:sz w:val="19"/>
          <w:szCs w:val="19"/>
        </w:rPr>
        <w:t xml:space="preserve">, </w:t>
      </w:r>
      <w:r w:rsidRPr="56175720">
        <w:rPr>
          <w:rFonts w:ascii="Calibri" w:eastAsia="Calibri" w:hAnsi="Calibri" w:cs="Calibri"/>
          <w:i/>
          <w:iCs/>
          <w:color w:val="000000" w:themeColor="text1"/>
          <w:sz w:val="19"/>
          <w:szCs w:val="19"/>
        </w:rPr>
        <w:t>8</w:t>
      </w:r>
      <w:r w:rsidRPr="56175720">
        <w:rPr>
          <w:rFonts w:ascii="Calibri" w:eastAsia="Calibri" w:hAnsi="Calibri" w:cs="Calibri"/>
          <w:color w:val="000000" w:themeColor="text1"/>
          <w:sz w:val="19"/>
          <w:szCs w:val="19"/>
        </w:rPr>
        <w:t xml:space="preserve">(1), 74. </w:t>
      </w:r>
      <w:proofErr w:type="spellStart"/>
      <w:r w:rsidRPr="56175720">
        <w:rPr>
          <w:rFonts w:ascii="Calibri" w:eastAsia="Calibri" w:hAnsi="Calibri" w:cs="Calibri"/>
          <w:color w:val="000000" w:themeColor="text1"/>
          <w:sz w:val="19"/>
          <w:szCs w:val="19"/>
        </w:rPr>
        <w:t>doi</w:t>
      </w:r>
      <w:proofErr w:type="spellEnd"/>
      <w:r w:rsidRPr="56175720">
        <w:rPr>
          <w:rFonts w:ascii="Calibri" w:eastAsia="Calibri" w:hAnsi="Calibri" w:cs="Calibri"/>
          <w:color w:val="000000" w:themeColor="text1"/>
          <w:sz w:val="19"/>
          <w:szCs w:val="19"/>
        </w:rPr>
        <w:t>: 10.4103/0976-3147.193531</w:t>
      </w:r>
    </w:p>
    <w:p w14:paraId="537A88C4" w14:textId="64791785" w:rsidR="56175720" w:rsidRDefault="56175720" w:rsidP="56175720">
      <w:pPr>
        <w:rPr>
          <w:rFonts w:ascii="Calibri" w:eastAsia="Calibri" w:hAnsi="Calibri" w:cs="Calibri"/>
          <w:color w:val="666666"/>
          <w:sz w:val="19"/>
          <w:szCs w:val="19"/>
        </w:rPr>
      </w:pPr>
      <w:proofErr w:type="spellStart"/>
      <w:r w:rsidRPr="56175720">
        <w:rPr>
          <w:rFonts w:ascii="Calibri" w:eastAsia="Calibri" w:hAnsi="Calibri" w:cs="Calibri"/>
          <w:color w:val="000000" w:themeColor="text1"/>
          <w:sz w:val="19"/>
          <w:szCs w:val="19"/>
        </w:rPr>
        <w:t>Kagan</w:t>
      </w:r>
      <w:proofErr w:type="spellEnd"/>
      <w:r w:rsidRPr="56175720">
        <w:rPr>
          <w:rFonts w:ascii="Calibri" w:eastAsia="Calibri" w:hAnsi="Calibri" w:cs="Calibri"/>
          <w:color w:val="000000" w:themeColor="text1"/>
          <w:sz w:val="19"/>
          <w:szCs w:val="19"/>
        </w:rPr>
        <w:t xml:space="preserve">, A., Simmons‐Mackie, N., Rowland, A., </w:t>
      </w:r>
      <w:proofErr w:type="spellStart"/>
      <w:r w:rsidRPr="56175720">
        <w:rPr>
          <w:rFonts w:ascii="Calibri" w:eastAsia="Calibri" w:hAnsi="Calibri" w:cs="Calibri"/>
          <w:color w:val="000000" w:themeColor="text1"/>
          <w:sz w:val="19"/>
          <w:szCs w:val="19"/>
        </w:rPr>
        <w:t>Huijbregts</w:t>
      </w:r>
      <w:proofErr w:type="spellEnd"/>
      <w:r w:rsidRPr="56175720">
        <w:rPr>
          <w:rFonts w:ascii="Calibri" w:eastAsia="Calibri" w:hAnsi="Calibri" w:cs="Calibri"/>
          <w:color w:val="000000" w:themeColor="text1"/>
          <w:sz w:val="19"/>
          <w:szCs w:val="19"/>
        </w:rPr>
        <w:t xml:space="preserve">, M., Shumway, E., &amp; McEwen, S. et al. (2008). Counting what counts: A framework for capturing real‐life outcomes of aphasia intervention. </w:t>
      </w:r>
      <w:r w:rsidRPr="56175720">
        <w:rPr>
          <w:rFonts w:ascii="Calibri" w:eastAsia="Calibri" w:hAnsi="Calibri" w:cs="Calibri"/>
          <w:i/>
          <w:iCs/>
          <w:color w:val="000000" w:themeColor="text1"/>
          <w:sz w:val="19"/>
          <w:szCs w:val="19"/>
        </w:rPr>
        <w:t>Aphasiology</w:t>
      </w:r>
      <w:r w:rsidRPr="56175720">
        <w:rPr>
          <w:rFonts w:ascii="Calibri" w:eastAsia="Calibri" w:hAnsi="Calibri" w:cs="Calibri"/>
          <w:color w:val="000000" w:themeColor="text1"/>
          <w:sz w:val="19"/>
          <w:szCs w:val="19"/>
        </w:rPr>
        <w:t xml:space="preserve">, </w:t>
      </w:r>
      <w:r w:rsidRPr="56175720">
        <w:rPr>
          <w:rFonts w:ascii="Calibri" w:eastAsia="Calibri" w:hAnsi="Calibri" w:cs="Calibri"/>
          <w:i/>
          <w:iCs/>
          <w:color w:val="000000" w:themeColor="text1"/>
          <w:sz w:val="19"/>
          <w:szCs w:val="19"/>
        </w:rPr>
        <w:t>22</w:t>
      </w:r>
      <w:r w:rsidRPr="56175720">
        <w:rPr>
          <w:rFonts w:ascii="Calibri" w:eastAsia="Calibri" w:hAnsi="Calibri" w:cs="Calibri"/>
          <w:color w:val="000000" w:themeColor="text1"/>
          <w:sz w:val="19"/>
          <w:szCs w:val="19"/>
        </w:rPr>
        <w:t xml:space="preserve">(3), 258-280. </w:t>
      </w:r>
      <w:proofErr w:type="spellStart"/>
      <w:r w:rsidRPr="56175720">
        <w:rPr>
          <w:rFonts w:ascii="Calibri" w:eastAsia="Calibri" w:hAnsi="Calibri" w:cs="Calibri"/>
          <w:color w:val="000000" w:themeColor="text1"/>
          <w:sz w:val="19"/>
          <w:szCs w:val="19"/>
        </w:rPr>
        <w:t>doi</w:t>
      </w:r>
      <w:proofErr w:type="spellEnd"/>
      <w:r w:rsidRPr="56175720">
        <w:rPr>
          <w:rFonts w:ascii="Calibri" w:eastAsia="Calibri" w:hAnsi="Calibri" w:cs="Calibri"/>
          <w:color w:val="000000" w:themeColor="text1"/>
          <w:sz w:val="19"/>
          <w:szCs w:val="19"/>
        </w:rPr>
        <w:t>: 10.1080/02687030701282595</w:t>
      </w:r>
    </w:p>
    <w:p w14:paraId="4480D7D4" w14:textId="397B5F75" w:rsidR="56175720" w:rsidRDefault="56175720" w:rsidP="56175720">
      <w:pPr>
        <w:rPr>
          <w:rFonts w:ascii="Calibri" w:eastAsia="Calibri" w:hAnsi="Calibri" w:cs="Calibri"/>
          <w:color w:val="666666"/>
          <w:sz w:val="19"/>
          <w:szCs w:val="19"/>
        </w:rPr>
      </w:pPr>
      <w:proofErr w:type="spellStart"/>
      <w:r w:rsidRPr="56175720">
        <w:rPr>
          <w:rFonts w:ascii="Calibri" w:eastAsia="Calibri" w:hAnsi="Calibri" w:cs="Calibri"/>
          <w:color w:val="000000" w:themeColor="text1"/>
          <w:sz w:val="19"/>
          <w:szCs w:val="19"/>
        </w:rPr>
        <w:t>Keshree</w:t>
      </w:r>
      <w:proofErr w:type="spellEnd"/>
      <w:r w:rsidRPr="56175720">
        <w:rPr>
          <w:rFonts w:ascii="Calibri" w:eastAsia="Calibri" w:hAnsi="Calibri" w:cs="Calibri"/>
          <w:color w:val="000000" w:themeColor="text1"/>
          <w:sz w:val="19"/>
          <w:szCs w:val="19"/>
        </w:rPr>
        <w:t xml:space="preserve">, N., Kumar, S., </w:t>
      </w:r>
      <w:proofErr w:type="spellStart"/>
      <w:r w:rsidRPr="56175720">
        <w:rPr>
          <w:rFonts w:ascii="Calibri" w:eastAsia="Calibri" w:hAnsi="Calibri" w:cs="Calibri"/>
          <w:color w:val="000000" w:themeColor="text1"/>
          <w:sz w:val="19"/>
          <w:szCs w:val="19"/>
        </w:rPr>
        <w:t>Basu</w:t>
      </w:r>
      <w:proofErr w:type="spellEnd"/>
      <w:r w:rsidRPr="56175720">
        <w:rPr>
          <w:rFonts w:ascii="Calibri" w:eastAsia="Calibri" w:hAnsi="Calibri" w:cs="Calibri"/>
          <w:color w:val="000000" w:themeColor="text1"/>
          <w:sz w:val="19"/>
          <w:szCs w:val="19"/>
        </w:rPr>
        <w:t xml:space="preserve">, S., Chakrabarty, M., &amp; Kishore, T. (2013). Adaptation of The Western Aphasia Battery in Bangla. </w:t>
      </w:r>
      <w:r w:rsidRPr="56175720">
        <w:rPr>
          <w:rFonts w:ascii="Calibri" w:eastAsia="Calibri" w:hAnsi="Calibri" w:cs="Calibri"/>
          <w:i/>
          <w:iCs/>
          <w:color w:val="000000" w:themeColor="text1"/>
          <w:sz w:val="19"/>
          <w:szCs w:val="19"/>
        </w:rPr>
        <w:t xml:space="preserve">Psychology </w:t>
      </w:r>
      <w:proofErr w:type="gramStart"/>
      <w:r w:rsidRPr="56175720">
        <w:rPr>
          <w:rFonts w:ascii="Calibri" w:eastAsia="Calibri" w:hAnsi="Calibri" w:cs="Calibri"/>
          <w:i/>
          <w:iCs/>
          <w:color w:val="000000" w:themeColor="text1"/>
          <w:sz w:val="19"/>
          <w:szCs w:val="19"/>
        </w:rPr>
        <w:t>Of</w:t>
      </w:r>
      <w:proofErr w:type="gramEnd"/>
      <w:r w:rsidRPr="56175720">
        <w:rPr>
          <w:rFonts w:ascii="Calibri" w:eastAsia="Calibri" w:hAnsi="Calibri" w:cs="Calibri"/>
          <w:i/>
          <w:iCs/>
          <w:color w:val="000000" w:themeColor="text1"/>
          <w:sz w:val="19"/>
          <w:szCs w:val="19"/>
        </w:rPr>
        <w:t xml:space="preserve"> Language And Communication</w:t>
      </w:r>
      <w:r w:rsidRPr="56175720">
        <w:rPr>
          <w:rFonts w:ascii="Calibri" w:eastAsia="Calibri" w:hAnsi="Calibri" w:cs="Calibri"/>
          <w:color w:val="000000" w:themeColor="text1"/>
          <w:sz w:val="19"/>
          <w:szCs w:val="19"/>
        </w:rPr>
        <w:t xml:space="preserve">, </w:t>
      </w:r>
      <w:r w:rsidRPr="56175720">
        <w:rPr>
          <w:rFonts w:ascii="Calibri" w:eastAsia="Calibri" w:hAnsi="Calibri" w:cs="Calibri"/>
          <w:i/>
          <w:iCs/>
          <w:color w:val="000000" w:themeColor="text1"/>
          <w:sz w:val="19"/>
          <w:szCs w:val="19"/>
        </w:rPr>
        <w:t>17</w:t>
      </w:r>
      <w:r w:rsidRPr="56175720">
        <w:rPr>
          <w:rFonts w:ascii="Calibri" w:eastAsia="Calibri" w:hAnsi="Calibri" w:cs="Calibri"/>
          <w:color w:val="000000" w:themeColor="text1"/>
          <w:sz w:val="19"/>
          <w:szCs w:val="19"/>
        </w:rPr>
        <w:t xml:space="preserve">(2), 189-201. </w:t>
      </w:r>
      <w:proofErr w:type="spellStart"/>
      <w:r w:rsidRPr="56175720">
        <w:rPr>
          <w:rFonts w:ascii="Calibri" w:eastAsia="Calibri" w:hAnsi="Calibri" w:cs="Calibri"/>
          <w:color w:val="000000" w:themeColor="text1"/>
          <w:sz w:val="19"/>
          <w:szCs w:val="19"/>
        </w:rPr>
        <w:t>doi</w:t>
      </w:r>
      <w:proofErr w:type="spellEnd"/>
      <w:r w:rsidRPr="56175720">
        <w:rPr>
          <w:rFonts w:ascii="Calibri" w:eastAsia="Calibri" w:hAnsi="Calibri" w:cs="Calibri"/>
          <w:color w:val="000000" w:themeColor="text1"/>
          <w:sz w:val="19"/>
          <w:szCs w:val="19"/>
        </w:rPr>
        <w:t>: 10.2478/plc-2013-0012</w:t>
      </w:r>
    </w:p>
    <w:p w14:paraId="042B025A" w14:textId="3E03ABA1" w:rsidR="5A4B8887" w:rsidRDefault="5A4B8887" w:rsidP="56175720"/>
    <w:p w14:paraId="2D896FB8" w14:textId="30B5A7EE" w:rsidR="5A4B8887" w:rsidRDefault="7BE2799F" w:rsidP="7BE2799F">
      <w:proofErr w:type="spellStart"/>
      <w:r>
        <w:t>Penguine</w:t>
      </w:r>
      <w:proofErr w:type="spellEnd"/>
      <w:r>
        <w:t xml:space="preserve"> Dictionary of Psychology (2009) Pp 50-51 </w:t>
      </w:r>
      <w:commentRangeEnd w:id="5"/>
      <w:r w:rsidR="5A4B8887">
        <w:commentReference w:id="5"/>
      </w:r>
      <w:commentRangeEnd w:id="6"/>
      <w:r w:rsidR="5A4B8887">
        <w:commentReference w:id="6"/>
      </w:r>
      <w:commentRangeEnd w:id="7"/>
      <w:r w:rsidR="5A4B8887">
        <w:commentReference w:id="7"/>
      </w:r>
    </w:p>
    <w:sectPr w:rsidR="5A4B8887">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Guest User" w:date="2019-03-10T23:16:00Z" w:initials="GU">
    <w:p w14:paraId="17E39642" w14:textId="54B49A44" w:rsidR="7BE2799F" w:rsidRDefault="7BE2799F">
      <w:r>
        <w:t xml:space="preserve">Try and avoid pronouns. </w:t>
      </w:r>
      <w:r>
        <w:annotationRef/>
      </w:r>
    </w:p>
  </w:comment>
  <w:comment w:id="1" w:author="Guest User" w:date="2019-03-10T23:17:00Z" w:initials="GU">
    <w:p w14:paraId="20134FB1" w14:textId="3B847612" w:rsidR="7BE2799F" w:rsidRDefault="7BE2799F">
      <w:r>
        <w:t>New paragraph here.</w:t>
      </w:r>
      <w:r>
        <w:annotationRef/>
      </w:r>
    </w:p>
  </w:comment>
  <w:comment w:id="2" w:author="Guest User" w:date="2019-03-10T23:24:00Z" w:initials="GU">
    <w:p w14:paraId="079918E8" w14:textId="5716DE5A" w:rsidR="7BE2799F" w:rsidRDefault="7BE2799F">
      <w:r>
        <w:t xml:space="preserve">Suggest new </w:t>
      </w:r>
      <w:proofErr w:type="spellStart"/>
      <w:r>
        <w:t>ew</w:t>
      </w:r>
      <w:proofErr w:type="spellEnd"/>
      <w:r>
        <w:t xml:space="preserve"> paragraph used and then introduce your first </w:t>
      </w:r>
      <w:proofErr w:type="spellStart"/>
      <w:r>
        <w:t>Apasia</w:t>
      </w:r>
      <w:proofErr w:type="spellEnd"/>
      <w:r>
        <w:t xml:space="preserve"> test - which appears to be FAST ... Firstly and then proceed to unpack the text and (FAST) and its pros and cons (which you seem to have done here).</w:t>
      </w:r>
      <w:r>
        <w:annotationRef/>
      </w:r>
    </w:p>
  </w:comment>
  <w:comment w:id="3" w:author="Guest User" w:date="2019-03-10T23:25:00Z" w:initials="GU">
    <w:p w14:paraId="1587A486" w14:textId="65B01D80" w:rsidR="7BE2799F" w:rsidRDefault="7BE2799F">
      <w:r>
        <w:t xml:space="preserve">New paragraph at </w:t>
      </w:r>
      <w:proofErr w:type="spellStart"/>
      <w:r>
        <w:t>Blombert</w:t>
      </w:r>
      <w:proofErr w:type="spellEnd"/>
      <w:r>
        <w:t xml:space="preserve"> (2007).</w:t>
      </w:r>
      <w:r>
        <w:annotationRef/>
      </w:r>
    </w:p>
  </w:comment>
  <w:comment w:id="4" w:author="Guest User" w:date="2019-03-10T23:28:00Z" w:initials="GU">
    <w:p w14:paraId="799E260E" w14:textId="10956EF7" w:rsidR="7BE2799F" w:rsidRDefault="7BE2799F">
      <w:r>
        <w:t>Reference list.</w:t>
      </w:r>
      <w:r>
        <w:annotationRef/>
      </w:r>
    </w:p>
  </w:comment>
  <w:comment w:id="5" w:author="Guest User" w:date="2019-03-10T23:29:00Z" w:initials="GU">
    <w:p w14:paraId="1F6FF846" w14:textId="1A672B7E" w:rsidR="7BE2799F" w:rsidRDefault="7BE2799F">
      <w:r>
        <w:t>Delete repeated word.</w:t>
      </w:r>
      <w:r>
        <w:annotationRef/>
      </w:r>
      <w:r>
        <w:annotationRef/>
      </w:r>
    </w:p>
  </w:comment>
  <w:comment w:id="6" w:author="Guest User" w:date="2019-03-10T23:31:00Z" w:initials="GU">
    <w:p w14:paraId="5B37174C" w14:textId="2DD57ADD" w:rsidR="7BE2799F" w:rsidRDefault="7BE2799F">
      <w:r>
        <w:t>Suggest spending time with the UWTSD reference list and dotting Is and Ts</w:t>
      </w:r>
      <w:r>
        <w:annotationRef/>
      </w:r>
      <w:r>
        <w:annotationRef/>
      </w:r>
    </w:p>
  </w:comment>
  <w:comment w:id="7" w:author="Guest User" w:date="2019-03-10T23:32:00Z" w:initials="GU">
    <w:p w14:paraId="67D2521B" w14:textId="429FF899" w:rsidR="7BE2799F" w:rsidRDefault="7BE2799F">
      <w:bookmarkStart w:id="8" w:name="_GoBack"/>
      <w:r>
        <w:t xml:space="preserve">Double check your references as this looks like a </w:t>
      </w:r>
      <w:proofErr w:type="spellStart"/>
      <w:r>
        <w:t>jouranl</w:t>
      </w:r>
      <w:proofErr w:type="spellEnd"/>
      <w:r>
        <w:t xml:space="preserve"> article but I cannot see the name of </w:t>
      </w:r>
      <w:proofErr w:type="spellStart"/>
      <w:r>
        <w:t>thye</w:t>
      </w:r>
      <w:proofErr w:type="spellEnd"/>
      <w:r>
        <w:t xml:space="preserve"> Journal vol number etc. </w:t>
      </w:r>
      <w:r>
        <w:annotationRef/>
      </w:r>
      <w:r>
        <w:annotationRef/>
      </w:r>
      <w:bookmarkEnd w:id="8"/>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7E39642" w15:done="1"/>
  <w15:commentEx w15:paraId="20134FB1" w15:done="1"/>
  <w15:commentEx w15:paraId="079918E8" w15:done="1"/>
  <w15:commentEx w15:paraId="1587A486" w15:done="1"/>
  <w15:commentEx w15:paraId="799E260E" w15:done="1"/>
  <w15:commentEx w15:paraId="1F6FF846" w15:done="1"/>
  <w15:commentEx w15:paraId="5B37174C" w15:done="1"/>
  <w15:commentEx w15:paraId="67D2521B"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7E39642" w16cid:durableId="2B490A90"/>
  <w16cid:commentId w16cid:paraId="20134FB1" w16cid:durableId="03DC9547"/>
  <w16cid:commentId w16cid:paraId="079918E8" w16cid:durableId="7C4C0D79"/>
  <w16cid:commentId w16cid:paraId="1587A486" w16cid:durableId="550E8809"/>
  <w16cid:commentId w16cid:paraId="799E260E" w16cid:durableId="398A8D4C"/>
  <w16cid:commentId w16cid:paraId="1F6FF846" w16cid:durableId="23366A44"/>
  <w16cid:commentId w16cid:paraId="5B37174C" w16cid:durableId="21635989"/>
  <w16cid:commentId w16cid:paraId="67D2521B" w16cid:durableId="26FFCBF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AE31E0"/>
    <w:rsid w:val="003B40B2"/>
    <w:rsid w:val="00563ECB"/>
    <w:rsid w:val="006C5ADF"/>
    <w:rsid w:val="008222CE"/>
    <w:rsid w:val="56175720"/>
    <w:rsid w:val="5A4B8887"/>
    <w:rsid w:val="666EBA61"/>
    <w:rsid w:val="6BAE31E0"/>
    <w:rsid w:val="7BE27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E31E0"/>
  <w15:chartTrackingRefBased/>
  <w15:docId w15:val="{3B9F1675-6059-4D8D-9384-0551BD9B7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B40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40B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4"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1370</Words>
  <Characters>7811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Evans (1501653)</dc:creator>
  <cp:keywords/>
  <dc:description/>
  <cp:lastModifiedBy>Christopher Evans</cp:lastModifiedBy>
  <cp:revision>6</cp:revision>
  <dcterms:created xsi:type="dcterms:W3CDTF">2019-03-11T11:34:00Z</dcterms:created>
  <dcterms:modified xsi:type="dcterms:W3CDTF">2019-03-11T11:38:00Z</dcterms:modified>
</cp:coreProperties>
</file>