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8C7D0" w14:textId="77777777" w:rsidR="0074300D" w:rsidRDefault="00D1475E">
      <w:pPr>
        <w:tabs>
          <w:tab w:val="center" w:pos="4153"/>
          <w:tab w:val="right" w:pos="8306"/>
        </w:tabs>
        <w:spacing w:line="240" w:lineRule="auto"/>
        <w:jc w:val="right"/>
        <w:rPr>
          <w:b/>
          <w:sz w:val="28"/>
          <w:szCs w:val="28"/>
        </w:rPr>
      </w:pPr>
      <w:r>
        <w:rPr>
          <w:sz w:val="20"/>
          <w:szCs w:val="20"/>
        </w:rPr>
        <w:t xml:space="preserve"> </w:t>
      </w:r>
      <w:r>
        <w:rPr>
          <w:sz w:val="20"/>
          <w:szCs w:val="20"/>
        </w:rPr>
        <w:br/>
      </w:r>
      <w:r>
        <w:rPr>
          <w:b/>
          <w:sz w:val="28"/>
          <w:szCs w:val="28"/>
        </w:rPr>
        <w:t>APPENDIX GA36b</w:t>
      </w:r>
      <w:r>
        <w:rPr>
          <w:noProof/>
        </w:rPr>
        <w:drawing>
          <wp:anchor distT="0" distB="0" distL="114300" distR="114300" simplePos="0" relativeHeight="251658240" behindDoc="0" locked="0" layoutInCell="1" hidden="0" allowOverlap="1" wp14:anchorId="17080F48" wp14:editId="2B3F0743">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2" name="image2.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2.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66A64828" w14:textId="77777777" w:rsidR="0074300D" w:rsidRDefault="0074300D">
      <w:pPr>
        <w:spacing w:line="240" w:lineRule="auto"/>
        <w:rPr>
          <w:sz w:val="20"/>
          <w:szCs w:val="20"/>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74300D" w14:paraId="555D38C5" w14:textId="77777777">
        <w:tc>
          <w:tcPr>
            <w:tcW w:w="9922" w:type="dxa"/>
            <w:shd w:val="clear" w:color="auto" w:fill="C0C0C0"/>
          </w:tcPr>
          <w:p w14:paraId="142B1F52" w14:textId="77777777" w:rsidR="0074300D" w:rsidRDefault="00D1475E">
            <w:pPr>
              <w:pStyle w:val="Heading4"/>
              <w:keepLines w:val="0"/>
              <w:spacing w:before="120" w:after="120" w:line="240" w:lineRule="auto"/>
              <w:jc w:val="center"/>
              <w:rPr>
                <w:b/>
                <w:color w:val="000000"/>
                <w:sz w:val="40"/>
                <w:szCs w:val="40"/>
              </w:rPr>
            </w:pPr>
            <w:r>
              <w:rPr>
                <w:b/>
                <w:color w:val="000000"/>
                <w:sz w:val="40"/>
                <w:szCs w:val="40"/>
              </w:rPr>
              <w:t xml:space="preserve">LEVEL 5 ASSESSMENT SPECIFICATION </w:t>
            </w:r>
          </w:p>
        </w:tc>
      </w:tr>
    </w:tbl>
    <w:p w14:paraId="7457CF4E" w14:textId="77777777" w:rsidR="0074300D" w:rsidRDefault="0074300D">
      <w:pPr>
        <w:spacing w:line="240" w:lineRule="auto"/>
        <w:jc w:val="center"/>
        <w:rPr>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74300D" w14:paraId="48AACFA5" w14:textId="77777777">
        <w:tc>
          <w:tcPr>
            <w:tcW w:w="2093" w:type="dxa"/>
            <w:shd w:val="clear" w:color="auto" w:fill="D9D9D9"/>
          </w:tcPr>
          <w:p w14:paraId="67B8D932" w14:textId="77777777" w:rsidR="0074300D" w:rsidRDefault="00D1475E">
            <w:pPr>
              <w:spacing w:before="120" w:after="120" w:line="240" w:lineRule="auto"/>
              <w:jc w:val="both"/>
              <w:rPr>
                <w:b/>
              </w:rPr>
            </w:pPr>
            <w:r>
              <w:rPr>
                <w:b/>
              </w:rPr>
              <w:t>Student name:</w:t>
            </w:r>
          </w:p>
        </w:tc>
        <w:tc>
          <w:tcPr>
            <w:tcW w:w="3293" w:type="dxa"/>
          </w:tcPr>
          <w:p w14:paraId="397148BA" w14:textId="77777777" w:rsidR="0074300D" w:rsidRDefault="00D1475E">
            <w:pPr>
              <w:spacing w:before="120" w:after="120" w:line="240" w:lineRule="auto"/>
              <w:jc w:val="both"/>
              <w:rPr>
                <w:b/>
              </w:rPr>
            </w:pPr>
            <w:r>
              <w:rPr>
                <w:b/>
              </w:rPr>
              <w:t>AIDA SABRINA ASMADI</w:t>
            </w:r>
          </w:p>
        </w:tc>
        <w:tc>
          <w:tcPr>
            <w:tcW w:w="2268" w:type="dxa"/>
            <w:shd w:val="clear" w:color="auto" w:fill="D9D9D9"/>
          </w:tcPr>
          <w:p w14:paraId="49FFE12F" w14:textId="77777777" w:rsidR="0074300D" w:rsidRDefault="00D1475E">
            <w:pPr>
              <w:spacing w:before="120" w:after="120" w:line="240" w:lineRule="auto"/>
              <w:jc w:val="both"/>
              <w:rPr>
                <w:b/>
              </w:rPr>
            </w:pPr>
            <w:r>
              <w:rPr>
                <w:b/>
              </w:rPr>
              <w:t>Student ID number:</w:t>
            </w:r>
          </w:p>
        </w:tc>
        <w:tc>
          <w:tcPr>
            <w:tcW w:w="2268" w:type="dxa"/>
          </w:tcPr>
          <w:p w14:paraId="786EAB34" w14:textId="77777777" w:rsidR="0074300D" w:rsidRDefault="00D1475E">
            <w:pPr>
              <w:spacing w:before="120" w:after="120" w:line="240" w:lineRule="auto"/>
              <w:jc w:val="both"/>
              <w:rPr>
                <w:b/>
              </w:rPr>
            </w:pPr>
            <w:r>
              <w:rPr>
                <w:b/>
              </w:rPr>
              <w:t>2026693</w:t>
            </w:r>
          </w:p>
        </w:tc>
      </w:tr>
      <w:tr w:rsidR="0074300D" w14:paraId="2A80CA46" w14:textId="77777777">
        <w:tc>
          <w:tcPr>
            <w:tcW w:w="2093" w:type="dxa"/>
            <w:shd w:val="clear" w:color="auto" w:fill="D9D9D9"/>
          </w:tcPr>
          <w:p w14:paraId="5BECBA31" w14:textId="77777777" w:rsidR="0074300D" w:rsidRDefault="00D1475E">
            <w:pPr>
              <w:spacing w:before="120" w:after="120" w:line="240" w:lineRule="auto"/>
              <w:jc w:val="both"/>
              <w:rPr>
                <w:b/>
              </w:rPr>
            </w:pPr>
            <w:proofErr w:type="spellStart"/>
            <w:r>
              <w:rPr>
                <w:b/>
              </w:rPr>
              <w:t>Programme</w:t>
            </w:r>
            <w:proofErr w:type="spellEnd"/>
            <w:r>
              <w:rPr>
                <w:b/>
              </w:rPr>
              <w:t>:</w:t>
            </w:r>
          </w:p>
        </w:tc>
        <w:tc>
          <w:tcPr>
            <w:tcW w:w="7829" w:type="dxa"/>
            <w:gridSpan w:val="3"/>
          </w:tcPr>
          <w:p w14:paraId="23AFCE0F" w14:textId="77777777" w:rsidR="0074300D" w:rsidRDefault="00D1475E">
            <w:pPr>
              <w:spacing w:before="120" w:after="120" w:line="240" w:lineRule="auto"/>
              <w:jc w:val="both"/>
              <w:rPr>
                <w:b/>
              </w:rPr>
            </w:pPr>
            <w:r>
              <w:rPr>
                <w:b/>
              </w:rPr>
              <w:t>Law Portfolio</w:t>
            </w:r>
          </w:p>
        </w:tc>
      </w:tr>
      <w:tr w:rsidR="0074300D" w14:paraId="3A5EF3E1" w14:textId="77777777">
        <w:tc>
          <w:tcPr>
            <w:tcW w:w="2093" w:type="dxa"/>
            <w:shd w:val="clear" w:color="auto" w:fill="D9D9D9"/>
          </w:tcPr>
          <w:p w14:paraId="29DCBB71" w14:textId="77777777" w:rsidR="0074300D" w:rsidRDefault="00D1475E">
            <w:pPr>
              <w:spacing w:before="120" w:after="120" w:line="240" w:lineRule="auto"/>
              <w:jc w:val="both"/>
              <w:rPr>
                <w:b/>
              </w:rPr>
            </w:pPr>
            <w:r>
              <w:rPr>
                <w:b/>
              </w:rPr>
              <w:t>Module:</w:t>
            </w:r>
          </w:p>
        </w:tc>
        <w:tc>
          <w:tcPr>
            <w:tcW w:w="7829" w:type="dxa"/>
            <w:gridSpan w:val="3"/>
            <w:shd w:val="clear" w:color="auto" w:fill="auto"/>
          </w:tcPr>
          <w:p w14:paraId="140FB9FE" w14:textId="77777777" w:rsidR="0074300D" w:rsidRDefault="00D1475E">
            <w:pPr>
              <w:spacing w:before="120" w:after="120" w:line="240" w:lineRule="auto"/>
              <w:jc w:val="both"/>
              <w:rPr>
                <w:b/>
              </w:rPr>
            </w:pPr>
            <w:r>
              <w:rPr>
                <w:b/>
              </w:rPr>
              <w:t>Contract law</w:t>
            </w:r>
          </w:p>
        </w:tc>
      </w:tr>
      <w:tr w:rsidR="0074300D" w14:paraId="167E41D7" w14:textId="77777777">
        <w:tc>
          <w:tcPr>
            <w:tcW w:w="2093" w:type="dxa"/>
            <w:shd w:val="clear" w:color="auto" w:fill="D9D9D9"/>
          </w:tcPr>
          <w:p w14:paraId="67BED7D3" w14:textId="77777777" w:rsidR="0074300D" w:rsidRDefault="00D1475E">
            <w:pPr>
              <w:spacing w:before="120" w:after="120" w:line="240" w:lineRule="auto"/>
              <w:jc w:val="both"/>
              <w:rPr>
                <w:b/>
              </w:rPr>
            </w:pPr>
            <w:r>
              <w:rPr>
                <w:b/>
              </w:rPr>
              <w:t>Module code:</w:t>
            </w:r>
          </w:p>
        </w:tc>
        <w:tc>
          <w:tcPr>
            <w:tcW w:w="3293" w:type="dxa"/>
          </w:tcPr>
          <w:p w14:paraId="1F6AB8BC" w14:textId="77777777" w:rsidR="0074300D" w:rsidRDefault="00D1475E">
            <w:pPr>
              <w:spacing w:before="120" w:after="120" w:line="240" w:lineRule="auto"/>
              <w:jc w:val="both"/>
              <w:rPr>
                <w:b/>
              </w:rPr>
            </w:pPr>
            <w:r>
              <w:rPr>
                <w:b/>
              </w:rPr>
              <w:t>BMLW5006</w:t>
            </w:r>
          </w:p>
        </w:tc>
        <w:tc>
          <w:tcPr>
            <w:tcW w:w="2268" w:type="dxa"/>
            <w:shd w:val="clear" w:color="auto" w:fill="D9D9D9"/>
          </w:tcPr>
          <w:p w14:paraId="5C3DBA2B" w14:textId="77777777" w:rsidR="0074300D" w:rsidRDefault="00D1475E">
            <w:pPr>
              <w:pStyle w:val="Heading2"/>
              <w:keepLines w:val="0"/>
              <w:spacing w:before="0" w:after="0" w:line="240" w:lineRule="auto"/>
              <w:jc w:val="both"/>
              <w:rPr>
                <w:b/>
                <w:sz w:val="22"/>
                <w:szCs w:val="22"/>
              </w:rPr>
            </w:pPr>
            <w:r>
              <w:rPr>
                <w:b/>
                <w:sz w:val="22"/>
                <w:szCs w:val="22"/>
              </w:rPr>
              <w:t>Contribution to Overall Module Assessment (%):</w:t>
            </w:r>
          </w:p>
        </w:tc>
        <w:tc>
          <w:tcPr>
            <w:tcW w:w="2268" w:type="dxa"/>
          </w:tcPr>
          <w:p w14:paraId="471BF477" w14:textId="77777777" w:rsidR="0074300D" w:rsidRDefault="00D1475E">
            <w:pPr>
              <w:spacing w:before="120" w:after="120" w:line="240" w:lineRule="auto"/>
              <w:jc w:val="both"/>
              <w:rPr>
                <w:b/>
              </w:rPr>
            </w:pPr>
            <w:r>
              <w:rPr>
                <w:b/>
              </w:rPr>
              <w:t>50%</w:t>
            </w:r>
          </w:p>
        </w:tc>
      </w:tr>
      <w:tr w:rsidR="0074300D" w14:paraId="71ABF82F" w14:textId="77777777">
        <w:tc>
          <w:tcPr>
            <w:tcW w:w="2093" w:type="dxa"/>
            <w:shd w:val="clear" w:color="auto" w:fill="D9D9D9"/>
          </w:tcPr>
          <w:p w14:paraId="04B088F6" w14:textId="77777777" w:rsidR="0074300D" w:rsidRDefault="00D1475E">
            <w:pPr>
              <w:spacing w:before="120" w:after="120" w:line="240" w:lineRule="auto"/>
              <w:jc w:val="both"/>
              <w:rPr>
                <w:b/>
              </w:rPr>
            </w:pPr>
            <w:r>
              <w:rPr>
                <w:b/>
              </w:rPr>
              <w:t>Lecturer:</w:t>
            </w:r>
          </w:p>
        </w:tc>
        <w:tc>
          <w:tcPr>
            <w:tcW w:w="3293" w:type="dxa"/>
          </w:tcPr>
          <w:p w14:paraId="0382ED28" w14:textId="77777777" w:rsidR="0074300D" w:rsidRDefault="00D1475E">
            <w:pPr>
              <w:spacing w:before="120" w:after="120" w:line="240" w:lineRule="auto"/>
              <w:jc w:val="both"/>
              <w:rPr>
                <w:b/>
              </w:rPr>
            </w:pPr>
            <w:r>
              <w:rPr>
                <w:b/>
              </w:rPr>
              <w:t>Laura Knight</w:t>
            </w:r>
          </w:p>
        </w:tc>
        <w:tc>
          <w:tcPr>
            <w:tcW w:w="2268" w:type="dxa"/>
            <w:shd w:val="clear" w:color="auto" w:fill="D9D9D9"/>
          </w:tcPr>
          <w:p w14:paraId="50D0DC51" w14:textId="77777777" w:rsidR="0074300D" w:rsidRDefault="00D1475E">
            <w:pPr>
              <w:spacing w:before="120" w:after="120" w:line="240" w:lineRule="auto"/>
              <w:jc w:val="both"/>
              <w:rPr>
                <w:b/>
              </w:rPr>
            </w:pPr>
            <w:r>
              <w:rPr>
                <w:b/>
              </w:rPr>
              <w:t>Internal Verifier:</w:t>
            </w:r>
          </w:p>
        </w:tc>
        <w:tc>
          <w:tcPr>
            <w:tcW w:w="2268" w:type="dxa"/>
          </w:tcPr>
          <w:p w14:paraId="77A0DF85" w14:textId="77777777" w:rsidR="0074300D" w:rsidRDefault="00D1475E">
            <w:pPr>
              <w:spacing w:before="120" w:after="120" w:line="240" w:lineRule="auto"/>
              <w:jc w:val="both"/>
              <w:rPr>
                <w:b/>
              </w:rPr>
            </w:pPr>
            <w:r>
              <w:rPr>
                <w:b/>
              </w:rPr>
              <w:t>Sian Turvey</w:t>
            </w:r>
          </w:p>
        </w:tc>
      </w:tr>
      <w:tr w:rsidR="0074300D" w14:paraId="696E35E6" w14:textId="77777777">
        <w:tc>
          <w:tcPr>
            <w:tcW w:w="2093" w:type="dxa"/>
            <w:shd w:val="clear" w:color="auto" w:fill="D9D9D9"/>
          </w:tcPr>
          <w:p w14:paraId="6D5D217A" w14:textId="77777777" w:rsidR="0074300D" w:rsidRDefault="00D1475E">
            <w:pPr>
              <w:spacing w:before="120" w:after="120" w:line="240" w:lineRule="auto"/>
              <w:jc w:val="both"/>
              <w:rPr>
                <w:b/>
              </w:rPr>
            </w:pPr>
            <w:r>
              <w:rPr>
                <w:b/>
              </w:rPr>
              <w:t>Assignment Title:</w:t>
            </w:r>
          </w:p>
        </w:tc>
        <w:tc>
          <w:tcPr>
            <w:tcW w:w="3293" w:type="dxa"/>
          </w:tcPr>
          <w:p w14:paraId="28DA2FA5" w14:textId="77777777" w:rsidR="0074300D" w:rsidRDefault="00D1475E">
            <w:pPr>
              <w:spacing w:before="120" w:after="120" w:line="240" w:lineRule="auto"/>
              <w:jc w:val="both"/>
              <w:rPr>
                <w:b/>
              </w:rPr>
            </w:pPr>
            <w:r>
              <w:rPr>
                <w:b/>
              </w:rPr>
              <w:t>Consumer Rights Act 2015</w:t>
            </w:r>
          </w:p>
        </w:tc>
        <w:tc>
          <w:tcPr>
            <w:tcW w:w="2268" w:type="dxa"/>
            <w:shd w:val="clear" w:color="auto" w:fill="D9D9D9"/>
          </w:tcPr>
          <w:p w14:paraId="55629D30" w14:textId="77777777" w:rsidR="0074300D" w:rsidRDefault="00D1475E">
            <w:pPr>
              <w:spacing w:before="120" w:after="120" w:line="240" w:lineRule="auto"/>
              <w:jc w:val="both"/>
              <w:rPr>
                <w:b/>
              </w:rPr>
            </w:pPr>
            <w:r>
              <w:rPr>
                <w:b/>
              </w:rPr>
              <w:t>Word count (or equivalent):</w:t>
            </w:r>
          </w:p>
        </w:tc>
        <w:tc>
          <w:tcPr>
            <w:tcW w:w="2268" w:type="dxa"/>
          </w:tcPr>
          <w:p w14:paraId="433528E2" w14:textId="77777777" w:rsidR="0074300D" w:rsidRDefault="00D1475E">
            <w:pPr>
              <w:spacing w:before="120" w:after="120" w:line="240" w:lineRule="auto"/>
              <w:jc w:val="both"/>
              <w:rPr>
                <w:b/>
              </w:rPr>
            </w:pPr>
            <w:r>
              <w:rPr>
                <w:b/>
              </w:rPr>
              <w:t>2000 words</w:t>
            </w:r>
          </w:p>
        </w:tc>
      </w:tr>
      <w:tr w:rsidR="0074300D" w14:paraId="30A91DA8" w14:textId="77777777">
        <w:tc>
          <w:tcPr>
            <w:tcW w:w="2093" w:type="dxa"/>
            <w:shd w:val="clear" w:color="auto" w:fill="D9D9D9"/>
          </w:tcPr>
          <w:p w14:paraId="4416A38D" w14:textId="77777777" w:rsidR="0074300D" w:rsidRDefault="00D1475E">
            <w:pPr>
              <w:spacing w:before="120" w:after="120" w:line="240" w:lineRule="auto"/>
              <w:jc w:val="both"/>
              <w:rPr>
                <w:b/>
              </w:rPr>
            </w:pPr>
            <w:r>
              <w:rPr>
                <w:b/>
              </w:rPr>
              <w:t>Submission deadline:</w:t>
            </w:r>
          </w:p>
        </w:tc>
        <w:tc>
          <w:tcPr>
            <w:tcW w:w="3293" w:type="dxa"/>
            <w:shd w:val="clear" w:color="auto" w:fill="auto"/>
          </w:tcPr>
          <w:p w14:paraId="338D40C0" w14:textId="77777777" w:rsidR="0074300D" w:rsidRDefault="00D1475E">
            <w:pPr>
              <w:spacing w:before="120" w:after="120" w:line="240" w:lineRule="auto"/>
              <w:jc w:val="both"/>
              <w:rPr>
                <w:b/>
              </w:rPr>
            </w:pPr>
            <w:r>
              <w:rPr>
                <w:b/>
              </w:rPr>
              <w:t>23:59 Friday 6</w:t>
            </w:r>
            <w:r>
              <w:rPr>
                <w:b/>
                <w:vertAlign w:val="superscript"/>
              </w:rPr>
              <w:t>th</w:t>
            </w:r>
            <w:r>
              <w:rPr>
                <w:b/>
              </w:rPr>
              <w:t xml:space="preserve"> May 2022</w:t>
            </w:r>
          </w:p>
        </w:tc>
        <w:tc>
          <w:tcPr>
            <w:tcW w:w="2268" w:type="dxa"/>
            <w:shd w:val="clear" w:color="auto" w:fill="D9D9D9"/>
          </w:tcPr>
          <w:p w14:paraId="4CF9C823" w14:textId="77777777" w:rsidR="0074300D" w:rsidRDefault="00D1475E">
            <w:pPr>
              <w:spacing w:before="120" w:after="120" w:line="240" w:lineRule="auto"/>
              <w:jc w:val="both"/>
              <w:rPr>
                <w:b/>
              </w:rPr>
            </w:pPr>
            <w:r>
              <w:rPr>
                <w:b/>
              </w:rPr>
              <w:t>Return date of provisional marks &amp; written feedback:</w:t>
            </w:r>
          </w:p>
        </w:tc>
        <w:tc>
          <w:tcPr>
            <w:tcW w:w="2268" w:type="dxa"/>
          </w:tcPr>
          <w:p w14:paraId="257FBE02" w14:textId="77777777" w:rsidR="0074300D" w:rsidRDefault="00D1475E">
            <w:pPr>
              <w:spacing w:before="120" w:after="120" w:line="240" w:lineRule="auto"/>
              <w:jc w:val="both"/>
              <w:rPr>
                <w:b/>
              </w:rPr>
            </w:pPr>
            <w:r>
              <w:rPr>
                <w:b/>
              </w:rPr>
              <w:t>Tuesday 7</w:t>
            </w:r>
            <w:r>
              <w:rPr>
                <w:b/>
                <w:vertAlign w:val="superscript"/>
              </w:rPr>
              <w:t>th</w:t>
            </w:r>
            <w:r>
              <w:rPr>
                <w:b/>
              </w:rPr>
              <w:t xml:space="preserve"> June 2022</w:t>
            </w:r>
          </w:p>
        </w:tc>
      </w:tr>
      <w:tr w:rsidR="0074300D" w14:paraId="7AC4B0DC" w14:textId="77777777">
        <w:tc>
          <w:tcPr>
            <w:tcW w:w="2093" w:type="dxa"/>
            <w:shd w:val="clear" w:color="auto" w:fill="D9D9D9"/>
          </w:tcPr>
          <w:p w14:paraId="62E38215" w14:textId="77777777" w:rsidR="0074300D" w:rsidRDefault="00D1475E">
            <w:pPr>
              <w:spacing w:before="120" w:after="120" w:line="240" w:lineRule="auto"/>
              <w:jc w:val="both"/>
              <w:rPr>
                <w:b/>
              </w:rPr>
            </w:pPr>
            <w:r>
              <w:rPr>
                <w:b/>
              </w:rPr>
              <w:t>Submission method:</w:t>
            </w:r>
          </w:p>
        </w:tc>
        <w:tc>
          <w:tcPr>
            <w:tcW w:w="7829" w:type="dxa"/>
            <w:gridSpan w:val="3"/>
            <w:shd w:val="clear" w:color="auto" w:fill="auto"/>
          </w:tcPr>
          <w:p w14:paraId="4D02477B" w14:textId="77777777" w:rsidR="0074300D" w:rsidRDefault="00D1475E">
            <w:pPr>
              <w:spacing w:line="240" w:lineRule="auto"/>
            </w:pPr>
            <w:r>
              <w:t>All written assessments, where practical and possible, must be submitted via Turnitin unless otherwise instructed by the Lecturer. (Please DO NOT put this assessment specification into Turnitin or it will match many similarities with other students’ submis</w:t>
            </w:r>
            <w:r>
              <w:t>sions.)</w:t>
            </w:r>
          </w:p>
          <w:p w14:paraId="6B7D0A14" w14:textId="77777777" w:rsidR="0074300D" w:rsidRDefault="00D1475E">
            <w:pPr>
              <w:spacing w:before="120" w:after="120" w:line="240" w:lineRule="auto"/>
              <w:jc w:val="both"/>
              <w:rPr>
                <w:b/>
              </w:rPr>
            </w:pPr>
            <w:r>
              <w:rPr>
                <w:b/>
              </w:rPr>
              <w:t xml:space="preserve">Alternative submission method (if applicable): </w:t>
            </w:r>
          </w:p>
          <w:p w14:paraId="36F89DA6" w14:textId="77777777" w:rsidR="0074300D" w:rsidRDefault="00D1475E">
            <w:pPr>
              <w:spacing w:before="120" w:after="120" w:line="240" w:lineRule="auto"/>
              <w:jc w:val="both"/>
              <w:rPr>
                <w:b/>
              </w:rPr>
            </w:pPr>
            <w:r>
              <w:rPr>
                <w:b/>
              </w:rPr>
              <w:t xml:space="preserve">Late submission of the assessment will result in a late penalty mark.  </w:t>
            </w:r>
            <w:r>
              <w:t>Penalties for late submission: Up to one week late, maximum mark of 40%.  Over one week late, 0%.  Only the Extenuating Circumsta</w:t>
            </w:r>
            <w:r>
              <w:t>nces Panel may approve a change to submission dates.</w:t>
            </w:r>
          </w:p>
        </w:tc>
      </w:tr>
      <w:tr w:rsidR="0074300D" w14:paraId="63424196" w14:textId="77777777">
        <w:tc>
          <w:tcPr>
            <w:tcW w:w="2093" w:type="dxa"/>
            <w:shd w:val="clear" w:color="auto" w:fill="D9D9D9"/>
          </w:tcPr>
          <w:p w14:paraId="66C1D3AB" w14:textId="77777777" w:rsidR="0074300D" w:rsidRDefault="00D1475E">
            <w:pPr>
              <w:spacing w:before="120" w:after="120" w:line="240" w:lineRule="auto"/>
              <w:rPr>
                <w:b/>
              </w:rPr>
            </w:pPr>
            <w:r>
              <w:rPr>
                <w:b/>
              </w:rPr>
              <w:t>Academic honesty / referencing:</w:t>
            </w:r>
          </w:p>
        </w:tc>
        <w:tc>
          <w:tcPr>
            <w:tcW w:w="7829" w:type="dxa"/>
            <w:gridSpan w:val="3"/>
            <w:shd w:val="clear" w:color="auto" w:fill="auto"/>
          </w:tcPr>
          <w:p w14:paraId="34E228C1" w14:textId="77777777" w:rsidR="0074300D" w:rsidRDefault="00D1475E">
            <w:pPr>
              <w:spacing w:before="120" w:after="120" w:line="240" w:lineRule="auto"/>
              <w:jc w:val="both"/>
            </w:pPr>
            <w:r>
              <w:t xml:space="preserve">Academic honesty is required. In the main body of your submission you must give credit to authors on whose research and ideas your work is based. Append to your submission a reference list that indicates the books, articles, etc. that you have used, cited </w:t>
            </w:r>
            <w:r>
              <w:t xml:space="preserve">or quoted in order to complete this assessment.  </w:t>
            </w:r>
          </w:p>
        </w:tc>
      </w:tr>
    </w:tbl>
    <w:p w14:paraId="7FDB10A6" w14:textId="77777777" w:rsidR="0074300D" w:rsidRDefault="0074300D">
      <w:pPr>
        <w:spacing w:line="240" w:lineRule="auto"/>
      </w:pPr>
    </w:p>
    <w:p w14:paraId="121AA57F" w14:textId="77777777" w:rsidR="0074300D" w:rsidRDefault="0074300D">
      <w:pPr>
        <w:jc w:val="center"/>
      </w:pPr>
    </w:p>
    <w:p w14:paraId="234BAFE9" w14:textId="77777777" w:rsidR="0074300D" w:rsidRDefault="0074300D">
      <w:pPr>
        <w:jc w:val="center"/>
      </w:pPr>
    </w:p>
    <w:p w14:paraId="29A84F05" w14:textId="77777777" w:rsidR="0074300D" w:rsidRDefault="0074300D">
      <w:pPr>
        <w:jc w:val="center"/>
      </w:pPr>
    </w:p>
    <w:p w14:paraId="38EC3055" w14:textId="77777777" w:rsidR="0074300D" w:rsidRDefault="0074300D">
      <w:pPr>
        <w:jc w:val="center"/>
      </w:pPr>
    </w:p>
    <w:p w14:paraId="58070B96" w14:textId="77777777" w:rsidR="0074300D" w:rsidRDefault="0074300D">
      <w:pPr>
        <w:jc w:val="center"/>
      </w:pPr>
    </w:p>
    <w:p w14:paraId="21546A1D" w14:textId="77777777" w:rsidR="0074300D" w:rsidRDefault="0074300D">
      <w:pPr>
        <w:jc w:val="center"/>
      </w:pPr>
    </w:p>
    <w:p w14:paraId="3E778E3C" w14:textId="77777777" w:rsidR="0074300D" w:rsidRDefault="0074300D">
      <w:pPr>
        <w:jc w:val="center"/>
      </w:pPr>
    </w:p>
    <w:p w14:paraId="0B987A61" w14:textId="77777777" w:rsidR="0074300D" w:rsidRDefault="0074300D">
      <w:pPr>
        <w:jc w:val="center"/>
      </w:pPr>
    </w:p>
    <w:p w14:paraId="739B81E6" w14:textId="77777777" w:rsidR="0074300D" w:rsidRDefault="0074300D">
      <w:pPr>
        <w:jc w:val="center"/>
      </w:pPr>
    </w:p>
    <w:p w14:paraId="2FD34A45" w14:textId="77777777" w:rsidR="0074300D" w:rsidRDefault="0074300D">
      <w:pPr>
        <w:jc w:val="center"/>
      </w:pPr>
    </w:p>
    <w:p w14:paraId="57D4FA54" w14:textId="77777777" w:rsidR="0074300D" w:rsidRDefault="0074300D">
      <w:pPr>
        <w:jc w:val="center"/>
      </w:pPr>
    </w:p>
    <w:p w14:paraId="20944A60" w14:textId="77777777" w:rsidR="0074300D" w:rsidRDefault="0074300D">
      <w:pPr>
        <w:jc w:val="center"/>
      </w:pPr>
    </w:p>
    <w:p w14:paraId="73F600E4" w14:textId="77777777" w:rsidR="0074300D" w:rsidRDefault="0074300D">
      <w:pPr>
        <w:jc w:val="center"/>
      </w:pPr>
    </w:p>
    <w:p w14:paraId="3F8D17A0" w14:textId="77777777" w:rsidR="0074300D" w:rsidRDefault="0074300D">
      <w:pPr>
        <w:jc w:val="center"/>
      </w:pPr>
    </w:p>
    <w:p w14:paraId="22D02513" w14:textId="77777777" w:rsidR="0074300D" w:rsidRDefault="0074300D">
      <w:pPr>
        <w:jc w:val="center"/>
      </w:pPr>
    </w:p>
    <w:p w14:paraId="262B1C7A" w14:textId="77777777" w:rsidR="0074300D" w:rsidRDefault="0074300D">
      <w:pPr>
        <w:jc w:val="center"/>
      </w:pPr>
    </w:p>
    <w:p w14:paraId="5EF02E3D" w14:textId="77777777" w:rsidR="0074300D" w:rsidRDefault="0074300D">
      <w:pPr>
        <w:jc w:val="center"/>
      </w:pPr>
    </w:p>
    <w:p w14:paraId="3F2AC3A9" w14:textId="77777777" w:rsidR="0074300D" w:rsidRDefault="0074300D">
      <w:pPr>
        <w:jc w:val="center"/>
      </w:pPr>
    </w:p>
    <w:p w14:paraId="66A0FAA4" w14:textId="77777777" w:rsidR="0074300D" w:rsidRDefault="0074300D">
      <w:pPr>
        <w:jc w:val="center"/>
      </w:pPr>
    </w:p>
    <w:p w14:paraId="48BC5406" w14:textId="77777777" w:rsidR="0074300D" w:rsidRDefault="0074300D">
      <w:pPr>
        <w:jc w:val="center"/>
      </w:pPr>
    </w:p>
    <w:p w14:paraId="7BF039FA" w14:textId="77777777" w:rsidR="0074300D" w:rsidRDefault="0074300D">
      <w:pPr>
        <w:jc w:val="center"/>
      </w:pPr>
    </w:p>
    <w:p w14:paraId="49ED16D1" w14:textId="77777777" w:rsidR="0074300D" w:rsidRDefault="0074300D">
      <w:pPr>
        <w:jc w:val="center"/>
      </w:pPr>
    </w:p>
    <w:p w14:paraId="27913874" w14:textId="77777777" w:rsidR="0074300D" w:rsidRDefault="0074300D">
      <w:pPr>
        <w:jc w:val="center"/>
      </w:pPr>
    </w:p>
    <w:p w14:paraId="092F7C88" w14:textId="77777777" w:rsidR="0074300D" w:rsidRDefault="0074300D">
      <w:pPr>
        <w:jc w:val="center"/>
      </w:pPr>
    </w:p>
    <w:p w14:paraId="7DC91E55" w14:textId="77777777" w:rsidR="0074300D" w:rsidRDefault="0074300D">
      <w:pPr>
        <w:jc w:val="center"/>
      </w:pPr>
    </w:p>
    <w:p w14:paraId="279D942C" w14:textId="77777777" w:rsidR="0074300D" w:rsidRDefault="0074300D">
      <w:pPr>
        <w:jc w:val="center"/>
      </w:pPr>
    </w:p>
    <w:p w14:paraId="634A2809" w14:textId="77777777" w:rsidR="0074300D" w:rsidRDefault="0074300D">
      <w:pPr>
        <w:jc w:val="center"/>
      </w:pPr>
    </w:p>
    <w:p w14:paraId="2EEEC91F" w14:textId="77777777" w:rsidR="0074300D" w:rsidRDefault="0074300D">
      <w:pPr>
        <w:jc w:val="center"/>
      </w:pPr>
    </w:p>
    <w:p w14:paraId="19A67AAA" w14:textId="77777777" w:rsidR="0074300D" w:rsidRDefault="0074300D">
      <w:pPr>
        <w:jc w:val="center"/>
      </w:pPr>
    </w:p>
    <w:p w14:paraId="22BC7B6A" w14:textId="77777777" w:rsidR="0074300D" w:rsidRDefault="0074300D">
      <w:pPr>
        <w:jc w:val="center"/>
      </w:pPr>
    </w:p>
    <w:p w14:paraId="33D75911" w14:textId="77777777" w:rsidR="0074300D" w:rsidRDefault="0074300D">
      <w:pPr>
        <w:jc w:val="center"/>
      </w:pPr>
    </w:p>
    <w:p w14:paraId="6780A68F" w14:textId="77777777" w:rsidR="0074300D" w:rsidRDefault="0074300D">
      <w:pPr>
        <w:jc w:val="center"/>
      </w:pPr>
    </w:p>
    <w:p w14:paraId="4D829D6E" w14:textId="77777777" w:rsidR="0074300D" w:rsidRDefault="0074300D">
      <w:pPr>
        <w:jc w:val="center"/>
      </w:pPr>
    </w:p>
    <w:p w14:paraId="26DE6ADE" w14:textId="77777777" w:rsidR="0074300D" w:rsidRDefault="0074300D">
      <w:pPr>
        <w:jc w:val="center"/>
      </w:pPr>
    </w:p>
    <w:p w14:paraId="3DB67B53" w14:textId="77777777" w:rsidR="0074300D" w:rsidRDefault="0074300D">
      <w:pPr>
        <w:jc w:val="center"/>
      </w:pPr>
    </w:p>
    <w:p w14:paraId="1CA5ED3B" w14:textId="77777777" w:rsidR="0074300D" w:rsidRDefault="0074300D">
      <w:pPr>
        <w:jc w:val="center"/>
      </w:pPr>
    </w:p>
    <w:p w14:paraId="248AAE40" w14:textId="77777777" w:rsidR="0074300D" w:rsidRDefault="0074300D">
      <w:pPr>
        <w:jc w:val="center"/>
      </w:pPr>
    </w:p>
    <w:p w14:paraId="774BA177" w14:textId="77777777" w:rsidR="0074300D" w:rsidRDefault="0074300D">
      <w:pPr>
        <w:jc w:val="center"/>
      </w:pPr>
    </w:p>
    <w:p w14:paraId="2B7E58BA" w14:textId="77777777" w:rsidR="0074300D" w:rsidRDefault="0074300D">
      <w:pPr>
        <w:jc w:val="center"/>
      </w:pPr>
    </w:p>
    <w:p w14:paraId="291EB336" w14:textId="77777777" w:rsidR="0074300D" w:rsidRDefault="0074300D">
      <w:pPr>
        <w:jc w:val="center"/>
      </w:pPr>
    </w:p>
    <w:p w14:paraId="19CDD7B7" w14:textId="77777777" w:rsidR="0074300D" w:rsidRDefault="0074300D">
      <w:pPr>
        <w:jc w:val="center"/>
      </w:pPr>
    </w:p>
    <w:p w14:paraId="08D94AB2" w14:textId="77777777" w:rsidR="0074300D" w:rsidRDefault="0074300D">
      <w:pPr>
        <w:jc w:val="center"/>
      </w:pPr>
    </w:p>
    <w:p w14:paraId="13133F85" w14:textId="77777777" w:rsidR="0074300D" w:rsidRDefault="0074300D">
      <w:pPr>
        <w:jc w:val="center"/>
      </w:pPr>
    </w:p>
    <w:p w14:paraId="64789546" w14:textId="77777777" w:rsidR="0074300D" w:rsidRDefault="0074300D">
      <w:pPr>
        <w:jc w:val="center"/>
      </w:pPr>
    </w:p>
    <w:p w14:paraId="010394F8" w14:textId="77777777" w:rsidR="0074300D" w:rsidRDefault="00D1475E">
      <w:pPr>
        <w:jc w:val="center"/>
      </w:pPr>
      <w:r>
        <w:rPr>
          <w:noProof/>
        </w:rPr>
        <w:lastRenderedPageBreak/>
        <w:drawing>
          <wp:inline distT="114300" distB="114300" distL="114300" distR="114300" wp14:anchorId="2C066178" wp14:editId="0BD6010E">
            <wp:extent cx="4748213" cy="1894719"/>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4748213" cy="1894719"/>
                    </a:xfrm>
                    <a:prstGeom prst="rect">
                      <a:avLst/>
                    </a:prstGeom>
                    <a:ln/>
                  </pic:spPr>
                </pic:pic>
              </a:graphicData>
            </a:graphic>
          </wp:inline>
        </w:drawing>
      </w:r>
    </w:p>
    <w:p w14:paraId="0176AF36" w14:textId="77777777" w:rsidR="0074300D" w:rsidRDefault="0074300D">
      <w:pPr>
        <w:jc w:val="center"/>
      </w:pPr>
    </w:p>
    <w:p w14:paraId="412C582D" w14:textId="77777777" w:rsidR="0074300D" w:rsidRDefault="0074300D">
      <w:pPr>
        <w:jc w:val="center"/>
      </w:pPr>
    </w:p>
    <w:p w14:paraId="5D3F861B" w14:textId="77777777" w:rsidR="0074300D" w:rsidRDefault="0074300D">
      <w:pPr>
        <w:jc w:val="center"/>
      </w:pPr>
    </w:p>
    <w:p w14:paraId="69089D89" w14:textId="77777777" w:rsidR="0074300D" w:rsidRDefault="00D1475E">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UNIVERSITY OF WALES</w:t>
      </w:r>
    </w:p>
    <w:p w14:paraId="0A9087E9" w14:textId="77777777" w:rsidR="0074300D" w:rsidRDefault="00D1475E">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TRINITY SAINT DAVID</w:t>
      </w:r>
    </w:p>
    <w:p w14:paraId="65BAA1C6" w14:textId="77777777" w:rsidR="0074300D" w:rsidRDefault="0074300D">
      <w:pPr>
        <w:jc w:val="center"/>
        <w:rPr>
          <w:rFonts w:ascii="Times New Roman" w:eastAsia="Times New Roman" w:hAnsi="Times New Roman" w:cs="Times New Roman"/>
          <w:b/>
          <w:sz w:val="28"/>
          <w:szCs w:val="28"/>
        </w:rPr>
      </w:pPr>
    </w:p>
    <w:p w14:paraId="43DD289C" w14:textId="77777777" w:rsidR="0074300D" w:rsidRDefault="00D1475E">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FACULTY OF BUSINESS</w:t>
      </w:r>
    </w:p>
    <w:p w14:paraId="166BAFEE" w14:textId="77777777" w:rsidR="0074300D" w:rsidRDefault="0074300D">
      <w:pPr>
        <w:jc w:val="center"/>
        <w:rPr>
          <w:rFonts w:ascii="Times New Roman" w:eastAsia="Times New Roman" w:hAnsi="Times New Roman" w:cs="Times New Roman"/>
          <w:b/>
          <w:sz w:val="28"/>
          <w:szCs w:val="28"/>
        </w:rPr>
      </w:pPr>
    </w:p>
    <w:p w14:paraId="3C490D56" w14:textId="77777777" w:rsidR="0074300D" w:rsidRDefault="00D1475E">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MODULE CODE:</w:t>
      </w:r>
    </w:p>
    <w:p w14:paraId="599167D8" w14:textId="77777777" w:rsidR="0074300D" w:rsidRDefault="00D1475E">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BMLW5006</w:t>
      </w:r>
    </w:p>
    <w:p w14:paraId="3A49ADE0" w14:textId="77777777" w:rsidR="0074300D" w:rsidRDefault="0074300D">
      <w:pPr>
        <w:jc w:val="center"/>
        <w:rPr>
          <w:rFonts w:ascii="Times New Roman" w:eastAsia="Times New Roman" w:hAnsi="Times New Roman" w:cs="Times New Roman"/>
          <w:b/>
          <w:sz w:val="28"/>
          <w:szCs w:val="28"/>
        </w:rPr>
      </w:pPr>
    </w:p>
    <w:p w14:paraId="37A02D23" w14:textId="77777777" w:rsidR="0074300D" w:rsidRDefault="00D1475E">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CONTRACT LAW:</w:t>
      </w:r>
    </w:p>
    <w:p w14:paraId="16F06B7D" w14:textId="77777777" w:rsidR="0074300D" w:rsidRDefault="00D1475E">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CONSUMER RIGHTS ACT 2015</w:t>
      </w:r>
    </w:p>
    <w:p w14:paraId="205850BC" w14:textId="77777777" w:rsidR="0074300D" w:rsidRDefault="0074300D">
      <w:pPr>
        <w:jc w:val="center"/>
        <w:rPr>
          <w:rFonts w:ascii="Times New Roman" w:eastAsia="Times New Roman" w:hAnsi="Times New Roman" w:cs="Times New Roman"/>
          <w:b/>
          <w:sz w:val="28"/>
          <w:szCs w:val="28"/>
        </w:rPr>
      </w:pPr>
    </w:p>
    <w:p w14:paraId="771E0A38" w14:textId="77777777" w:rsidR="0074300D" w:rsidRDefault="00D1475E">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BBA (HONS) IN INTERNATIONAL BUSINESS</w:t>
      </w:r>
    </w:p>
    <w:p w14:paraId="567B02F3" w14:textId="77777777" w:rsidR="0074300D" w:rsidRDefault="0074300D">
      <w:pPr>
        <w:jc w:val="center"/>
        <w:rPr>
          <w:rFonts w:ascii="Times New Roman" w:eastAsia="Times New Roman" w:hAnsi="Times New Roman" w:cs="Times New Roman"/>
          <w:b/>
          <w:sz w:val="28"/>
          <w:szCs w:val="28"/>
        </w:rPr>
      </w:pPr>
    </w:p>
    <w:p w14:paraId="482D00D0" w14:textId="77777777" w:rsidR="0074300D" w:rsidRDefault="00D1475E">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NAME: AIDA SABRINA ASMADI</w:t>
      </w:r>
    </w:p>
    <w:p w14:paraId="018511EB" w14:textId="77777777" w:rsidR="0074300D" w:rsidRDefault="0074300D">
      <w:pPr>
        <w:jc w:val="center"/>
        <w:rPr>
          <w:rFonts w:ascii="Times New Roman" w:eastAsia="Times New Roman" w:hAnsi="Times New Roman" w:cs="Times New Roman"/>
          <w:b/>
          <w:sz w:val="28"/>
          <w:szCs w:val="28"/>
        </w:rPr>
      </w:pPr>
    </w:p>
    <w:p w14:paraId="690D1C7D" w14:textId="77777777" w:rsidR="0074300D" w:rsidRDefault="00D1475E">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ID: 2026693</w:t>
      </w:r>
    </w:p>
    <w:p w14:paraId="370AE97D" w14:textId="77777777" w:rsidR="0074300D" w:rsidRDefault="0074300D">
      <w:pPr>
        <w:jc w:val="center"/>
        <w:rPr>
          <w:rFonts w:ascii="Times New Roman" w:eastAsia="Times New Roman" w:hAnsi="Times New Roman" w:cs="Times New Roman"/>
          <w:b/>
          <w:sz w:val="28"/>
          <w:szCs w:val="28"/>
        </w:rPr>
      </w:pPr>
    </w:p>
    <w:p w14:paraId="38AC2BF0" w14:textId="77777777" w:rsidR="0074300D" w:rsidRDefault="0074300D">
      <w:pPr>
        <w:jc w:val="center"/>
        <w:rPr>
          <w:rFonts w:ascii="Times New Roman" w:eastAsia="Times New Roman" w:hAnsi="Times New Roman" w:cs="Times New Roman"/>
          <w:b/>
          <w:sz w:val="28"/>
          <w:szCs w:val="28"/>
        </w:rPr>
      </w:pPr>
    </w:p>
    <w:p w14:paraId="401E73A0" w14:textId="77777777" w:rsidR="0074300D" w:rsidRDefault="0074300D">
      <w:pPr>
        <w:jc w:val="center"/>
        <w:rPr>
          <w:rFonts w:ascii="Times New Roman" w:eastAsia="Times New Roman" w:hAnsi="Times New Roman" w:cs="Times New Roman"/>
          <w:b/>
          <w:sz w:val="28"/>
          <w:szCs w:val="28"/>
        </w:rPr>
      </w:pPr>
    </w:p>
    <w:p w14:paraId="6B468801" w14:textId="77777777" w:rsidR="0074300D" w:rsidRDefault="0074300D">
      <w:pPr>
        <w:jc w:val="center"/>
        <w:rPr>
          <w:rFonts w:ascii="Times New Roman" w:eastAsia="Times New Roman" w:hAnsi="Times New Roman" w:cs="Times New Roman"/>
          <w:b/>
          <w:sz w:val="28"/>
          <w:szCs w:val="28"/>
        </w:rPr>
      </w:pPr>
    </w:p>
    <w:p w14:paraId="0BDC8820" w14:textId="77777777" w:rsidR="0074300D" w:rsidRDefault="0074300D">
      <w:pPr>
        <w:jc w:val="center"/>
        <w:rPr>
          <w:rFonts w:ascii="Times New Roman" w:eastAsia="Times New Roman" w:hAnsi="Times New Roman" w:cs="Times New Roman"/>
          <w:b/>
          <w:sz w:val="28"/>
          <w:szCs w:val="28"/>
        </w:rPr>
      </w:pPr>
    </w:p>
    <w:p w14:paraId="265EED8C" w14:textId="77777777" w:rsidR="0074300D" w:rsidRDefault="0074300D">
      <w:pPr>
        <w:jc w:val="center"/>
        <w:rPr>
          <w:rFonts w:ascii="Times New Roman" w:eastAsia="Times New Roman" w:hAnsi="Times New Roman" w:cs="Times New Roman"/>
          <w:b/>
          <w:sz w:val="28"/>
          <w:szCs w:val="28"/>
        </w:rPr>
      </w:pPr>
    </w:p>
    <w:p w14:paraId="22CBD6FF" w14:textId="77777777" w:rsidR="0074300D" w:rsidRDefault="00D1475E">
      <w:pP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Evaluate to what extent</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u w:val="single"/>
        </w:rPr>
        <w:t>the Consumer Rights Act (2015) has improved protection for consumers.</w:t>
      </w:r>
    </w:p>
    <w:p w14:paraId="0103C4E4" w14:textId="77777777" w:rsidR="0074300D" w:rsidRDefault="0074300D">
      <w:pPr>
        <w:spacing w:line="360" w:lineRule="auto"/>
        <w:rPr>
          <w:rFonts w:ascii="Times New Roman" w:eastAsia="Times New Roman" w:hAnsi="Times New Roman" w:cs="Times New Roman"/>
          <w:b/>
          <w:sz w:val="24"/>
          <w:szCs w:val="24"/>
          <w:u w:val="single"/>
        </w:rPr>
      </w:pPr>
    </w:p>
    <w:p w14:paraId="08A5008D" w14:textId="77777777" w:rsidR="0074300D" w:rsidRDefault="00D147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Consumer Rights Act (2015) applies to contracts with consumers for the sale of goods, digital content and services concluded on or after 1 October 2015. The Consumer Rights Act (2015) puts out a simple modern structure of consumer rights, with the aim </w:t>
      </w:r>
      <w:r>
        <w:rPr>
          <w:rFonts w:ascii="Times New Roman" w:eastAsia="Times New Roman" w:hAnsi="Times New Roman" w:cs="Times New Roman"/>
          <w:sz w:val="24"/>
          <w:szCs w:val="24"/>
        </w:rPr>
        <w:t xml:space="preserve">of growing consumers’ confidence and making enforcement easier. </w:t>
      </w:r>
    </w:p>
    <w:p w14:paraId="3D12CAA9" w14:textId="77777777" w:rsidR="0074300D" w:rsidRDefault="0074300D">
      <w:pPr>
        <w:spacing w:line="360" w:lineRule="auto"/>
        <w:jc w:val="both"/>
        <w:rPr>
          <w:rFonts w:ascii="Times New Roman" w:eastAsia="Times New Roman" w:hAnsi="Times New Roman" w:cs="Times New Roman"/>
          <w:sz w:val="24"/>
          <w:szCs w:val="24"/>
        </w:rPr>
      </w:pPr>
    </w:p>
    <w:p w14:paraId="14F58589" w14:textId="77777777" w:rsidR="0074300D" w:rsidRDefault="00D147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Specifically, the CRA (2015) is intended to: </w:t>
      </w:r>
    </w:p>
    <w:p w14:paraId="2A10832E" w14:textId="77777777" w:rsidR="0074300D" w:rsidRDefault="0074300D">
      <w:pPr>
        <w:spacing w:line="360" w:lineRule="auto"/>
        <w:jc w:val="both"/>
        <w:rPr>
          <w:rFonts w:ascii="Times New Roman" w:eastAsia="Times New Roman" w:hAnsi="Times New Roman" w:cs="Times New Roman"/>
          <w:sz w:val="24"/>
          <w:szCs w:val="24"/>
        </w:rPr>
      </w:pPr>
    </w:p>
    <w:p w14:paraId="56854E35" w14:textId="77777777" w:rsidR="0074300D" w:rsidRDefault="00D1475E">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Consolidate in one place key consumer rights covering consumer contracts for goods, digital content, and services. (Part 1)</w:t>
      </w:r>
    </w:p>
    <w:p w14:paraId="53162091" w14:textId="77777777" w:rsidR="0074300D" w:rsidRDefault="00D1475E">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Reform and consolid</w:t>
      </w:r>
      <w:r>
        <w:rPr>
          <w:rFonts w:ascii="Times New Roman" w:eastAsia="Times New Roman" w:hAnsi="Times New Roman" w:cs="Times New Roman"/>
          <w:sz w:val="24"/>
          <w:szCs w:val="24"/>
        </w:rPr>
        <w:t>ate the law relating to unfair terms in consumer contracts (Part 2)</w:t>
      </w:r>
    </w:p>
    <w:p w14:paraId="12EC484D" w14:textId="77777777" w:rsidR="0074300D" w:rsidRDefault="00D1475E">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Consolidate and simplify enforcers’ powers as listed in Schedule 5 to investigate potential breaches of consumer law and clarify that certain enforcers’ (trading standards) can operate acr</w:t>
      </w:r>
      <w:r>
        <w:rPr>
          <w:rFonts w:ascii="Times New Roman" w:eastAsia="Times New Roman" w:hAnsi="Times New Roman" w:cs="Times New Roman"/>
          <w:sz w:val="24"/>
          <w:szCs w:val="24"/>
        </w:rPr>
        <w:t xml:space="preserve">oss local authority boundaries (part 3). </w:t>
      </w:r>
    </w:p>
    <w:p w14:paraId="0D9E5B7D" w14:textId="77777777" w:rsidR="0074300D" w:rsidRDefault="00D1475E">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Give the civil courts and public enforcement bodies greater flexibility to take the most appropriate action for the consumers when dealing with breaches or potential breaches of consumer law (Part 3). </w:t>
      </w:r>
    </w:p>
    <w:p w14:paraId="0F286FA7" w14:textId="77777777" w:rsidR="0074300D" w:rsidRDefault="00D1475E">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Introduce ea</w:t>
      </w:r>
      <w:r>
        <w:rPr>
          <w:rFonts w:ascii="Times New Roman" w:eastAsia="Times New Roman" w:hAnsi="Times New Roman" w:cs="Times New Roman"/>
          <w:sz w:val="24"/>
          <w:szCs w:val="24"/>
        </w:rPr>
        <w:t xml:space="preserve">sier routes for consumers and small and medium enterprises (SMEs) to challenge anti-competitive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through the Competition Appeal Tribunal (CAT) (Part 3) </w:t>
      </w:r>
    </w:p>
    <w:p w14:paraId="1D5017B6" w14:textId="77777777" w:rsidR="0074300D" w:rsidRDefault="0074300D">
      <w:pPr>
        <w:spacing w:line="360" w:lineRule="auto"/>
        <w:jc w:val="both"/>
        <w:rPr>
          <w:rFonts w:ascii="Times New Roman" w:eastAsia="Times New Roman" w:hAnsi="Times New Roman" w:cs="Times New Roman"/>
          <w:sz w:val="24"/>
          <w:szCs w:val="24"/>
        </w:rPr>
      </w:pPr>
    </w:p>
    <w:p w14:paraId="24AA63E1" w14:textId="77777777" w:rsidR="0074300D" w:rsidRDefault="00D147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primary aims of the CRA was to better protect “Consumers” (essentially individuals</w:t>
      </w:r>
      <w:r>
        <w:rPr>
          <w:rFonts w:ascii="Times New Roman" w:eastAsia="Times New Roman" w:hAnsi="Times New Roman" w:cs="Times New Roman"/>
          <w:sz w:val="24"/>
          <w:szCs w:val="24"/>
        </w:rPr>
        <w:t xml:space="preserve"> acting as individuals) against unfair contract terms and notices.  The Act also intended to update the rights of consumers in the evolving digital world. The CRA also validated the standards that businesses should meet when supplying goods, performing ser</w:t>
      </w:r>
      <w:r>
        <w:rPr>
          <w:rFonts w:ascii="Times New Roman" w:eastAsia="Times New Roman" w:hAnsi="Times New Roman" w:cs="Times New Roman"/>
          <w:sz w:val="24"/>
          <w:szCs w:val="24"/>
        </w:rPr>
        <w:t>vices and offering digital content to consumers. Moreover, the CRA defined and consolidated laws on unfair contract terms and consumer notices. If a contract term or consumer notice generated a significant imbalance in the parties' rights and obligations u</w:t>
      </w:r>
      <w:r>
        <w:rPr>
          <w:rFonts w:ascii="Times New Roman" w:eastAsia="Times New Roman" w:hAnsi="Times New Roman" w:cs="Times New Roman"/>
          <w:sz w:val="24"/>
          <w:szCs w:val="24"/>
        </w:rPr>
        <w:t xml:space="preserve">nder the contract, to the detriment of the consumer, then the term or notice would simply be unenforceable. </w:t>
      </w:r>
    </w:p>
    <w:p w14:paraId="37C68282" w14:textId="77777777" w:rsidR="0074300D" w:rsidRDefault="0074300D">
      <w:pPr>
        <w:spacing w:line="360" w:lineRule="auto"/>
        <w:jc w:val="both"/>
        <w:rPr>
          <w:rFonts w:ascii="Times New Roman" w:eastAsia="Times New Roman" w:hAnsi="Times New Roman" w:cs="Times New Roman"/>
          <w:sz w:val="24"/>
          <w:szCs w:val="24"/>
        </w:rPr>
      </w:pPr>
    </w:p>
    <w:p w14:paraId="558991E9" w14:textId="77777777" w:rsidR="0074300D" w:rsidRDefault="0074300D">
      <w:pPr>
        <w:spacing w:line="360" w:lineRule="auto"/>
        <w:jc w:val="both"/>
        <w:rPr>
          <w:rFonts w:ascii="Times New Roman" w:eastAsia="Times New Roman" w:hAnsi="Times New Roman" w:cs="Times New Roman"/>
          <w:sz w:val="24"/>
          <w:szCs w:val="24"/>
        </w:rPr>
      </w:pPr>
    </w:p>
    <w:p w14:paraId="19AF8BF0" w14:textId="77777777" w:rsidR="0074300D" w:rsidRDefault="0074300D">
      <w:pPr>
        <w:spacing w:line="360" w:lineRule="auto"/>
        <w:jc w:val="both"/>
        <w:rPr>
          <w:rFonts w:ascii="Times New Roman" w:eastAsia="Times New Roman" w:hAnsi="Times New Roman" w:cs="Times New Roman"/>
          <w:sz w:val="24"/>
          <w:szCs w:val="24"/>
        </w:rPr>
      </w:pPr>
    </w:p>
    <w:p w14:paraId="7E982610" w14:textId="77777777" w:rsidR="0074300D" w:rsidRDefault="00D147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Importantly, the CRA only applies to contracts between a trader and a consumer. A trader in CRA is defined as somebody acting for purposes relat</w:t>
      </w:r>
      <w:r>
        <w:rPr>
          <w:rFonts w:ascii="Times New Roman" w:eastAsia="Times New Roman" w:hAnsi="Times New Roman" w:cs="Times New Roman"/>
          <w:sz w:val="24"/>
          <w:szCs w:val="24"/>
        </w:rPr>
        <w:t>ing to that person’s trade, business, craft or profession whether personally or through another person acting on behalf of them. A consumer is deemed to be somebody acting for purposes wholly or mainly outside of their trade, business, craft or profession.</w:t>
      </w:r>
      <w:r>
        <w:rPr>
          <w:rFonts w:ascii="Times New Roman" w:eastAsia="Times New Roman" w:hAnsi="Times New Roman" w:cs="Times New Roman"/>
          <w:sz w:val="24"/>
          <w:szCs w:val="24"/>
        </w:rPr>
        <w:t xml:space="preserve"> </w:t>
      </w:r>
    </w:p>
    <w:p w14:paraId="2DF936A4" w14:textId="77777777" w:rsidR="0074300D" w:rsidRDefault="0074300D">
      <w:pPr>
        <w:spacing w:line="360" w:lineRule="auto"/>
        <w:jc w:val="both"/>
        <w:rPr>
          <w:rFonts w:ascii="Times New Roman" w:eastAsia="Times New Roman" w:hAnsi="Times New Roman" w:cs="Times New Roman"/>
          <w:sz w:val="24"/>
          <w:szCs w:val="24"/>
        </w:rPr>
      </w:pPr>
    </w:p>
    <w:p w14:paraId="4CB1EABF" w14:textId="77777777" w:rsidR="0074300D" w:rsidRDefault="00D1475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Goods (PART 1)</w:t>
      </w:r>
    </w:p>
    <w:p w14:paraId="608791ED" w14:textId="77777777" w:rsidR="0074300D" w:rsidRDefault="0074300D">
      <w:pPr>
        <w:spacing w:line="360" w:lineRule="auto"/>
        <w:jc w:val="both"/>
        <w:rPr>
          <w:rFonts w:ascii="Times New Roman" w:eastAsia="Times New Roman" w:hAnsi="Times New Roman" w:cs="Times New Roman"/>
          <w:b/>
          <w:i/>
          <w:sz w:val="24"/>
          <w:szCs w:val="24"/>
        </w:rPr>
      </w:pPr>
    </w:p>
    <w:p w14:paraId="4BF62A8E" w14:textId="77777777" w:rsidR="0074300D" w:rsidRDefault="00D147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supplies of goods to consumers are covered by the CRA (e.g., sale, hire, hire-purchase). Whilst in general the same rules apply disregarding of the type of transaction, there are a small number of differences in the details of the ru</w:t>
      </w:r>
      <w:r>
        <w:rPr>
          <w:rFonts w:ascii="Times New Roman" w:eastAsia="Times New Roman" w:hAnsi="Times New Roman" w:cs="Times New Roman"/>
          <w:sz w:val="24"/>
          <w:szCs w:val="24"/>
        </w:rPr>
        <w:t>les depending on the nature of supply. The standards consumers can anticipate in relation to goods largely reflect those contained in the Sale of Goods Act 1979 (“SGA”), including that the goods will be of satisfactory quality, be fit for the purpose and m</w:t>
      </w:r>
      <w:r>
        <w:rPr>
          <w:rFonts w:ascii="Times New Roman" w:eastAsia="Times New Roman" w:hAnsi="Times New Roman" w:cs="Times New Roman"/>
          <w:sz w:val="24"/>
          <w:szCs w:val="24"/>
        </w:rPr>
        <w:t xml:space="preserve">atch their description. However, these are some minor additions: </w:t>
      </w:r>
    </w:p>
    <w:p w14:paraId="3DCB7449" w14:textId="77777777" w:rsidR="0074300D" w:rsidRDefault="0074300D">
      <w:pPr>
        <w:spacing w:line="360" w:lineRule="auto"/>
        <w:jc w:val="both"/>
        <w:rPr>
          <w:rFonts w:ascii="Times New Roman" w:eastAsia="Times New Roman" w:hAnsi="Times New Roman" w:cs="Times New Roman"/>
          <w:sz w:val="24"/>
          <w:szCs w:val="24"/>
        </w:rPr>
      </w:pPr>
    </w:p>
    <w:p w14:paraId="4138E12C" w14:textId="77777777" w:rsidR="0074300D" w:rsidRDefault="00D1475E">
      <w:pPr>
        <w:numPr>
          <w:ilvl w:val="0"/>
          <w:numId w:val="4"/>
        </w:numPr>
        <w:spacing w:line="360" w:lineRule="auto"/>
        <w:jc w:val="both"/>
        <w:rPr>
          <w:rFonts w:ascii="Times New Roman" w:eastAsia="Times New Roman" w:hAnsi="Times New Roman" w:cs="Times New Roman"/>
          <w:color w:val="2E2D2C"/>
          <w:sz w:val="24"/>
          <w:szCs w:val="24"/>
        </w:rPr>
      </w:pPr>
      <w:r>
        <w:rPr>
          <w:rFonts w:ascii="Times New Roman" w:eastAsia="Times New Roman" w:hAnsi="Times New Roman" w:cs="Times New Roman"/>
          <w:color w:val="2E2D2C"/>
          <w:sz w:val="24"/>
          <w:szCs w:val="24"/>
        </w:rPr>
        <w:t>Where goods are supplied by reference to a model seen or inspected by a consumer before they enter into a contract (e.g. a car on a showroom floor or a TV in a department store) the goods m</w:t>
      </w:r>
      <w:r>
        <w:rPr>
          <w:rFonts w:ascii="Times New Roman" w:eastAsia="Times New Roman" w:hAnsi="Times New Roman" w:cs="Times New Roman"/>
          <w:color w:val="2E2D2C"/>
          <w:sz w:val="24"/>
          <w:szCs w:val="24"/>
        </w:rPr>
        <w:t>ust match the model unless the applicable differences are brought to the consumer’s consideration before they enter into the contract.  This is similar to the well-established rule on sale by the sample that appears in the SGA and is now reflected in the C</w:t>
      </w:r>
      <w:r>
        <w:rPr>
          <w:rFonts w:ascii="Times New Roman" w:eastAsia="Times New Roman" w:hAnsi="Times New Roman" w:cs="Times New Roman"/>
          <w:color w:val="2E2D2C"/>
          <w:sz w:val="24"/>
          <w:szCs w:val="24"/>
        </w:rPr>
        <w:t>RA.</w:t>
      </w:r>
    </w:p>
    <w:p w14:paraId="3E2327DB" w14:textId="77777777" w:rsidR="0074300D" w:rsidRDefault="00D1475E">
      <w:pPr>
        <w:numPr>
          <w:ilvl w:val="0"/>
          <w:numId w:val="4"/>
        </w:numPr>
        <w:spacing w:after="240" w:line="360" w:lineRule="auto"/>
        <w:jc w:val="both"/>
        <w:rPr>
          <w:rFonts w:ascii="Times New Roman" w:eastAsia="Times New Roman" w:hAnsi="Times New Roman" w:cs="Times New Roman"/>
          <w:color w:val="2E2D2C"/>
          <w:sz w:val="24"/>
          <w:szCs w:val="24"/>
        </w:rPr>
      </w:pPr>
      <w:r>
        <w:rPr>
          <w:rFonts w:ascii="Times New Roman" w:eastAsia="Times New Roman" w:hAnsi="Times New Roman" w:cs="Times New Roman"/>
          <w:color w:val="2E2D2C"/>
          <w:sz w:val="24"/>
          <w:szCs w:val="24"/>
        </w:rPr>
        <w:t>When a trader agrees to situate the goods they are supplying, or organize for them to be installed, that installation must be done correctly.</w:t>
      </w:r>
    </w:p>
    <w:p w14:paraId="65BCD259" w14:textId="77777777" w:rsidR="0074300D" w:rsidRDefault="00D1475E">
      <w:pPr>
        <w:spacing w:after="240" w:line="360" w:lineRule="auto"/>
        <w:jc w:val="both"/>
        <w:rPr>
          <w:rFonts w:ascii="Times New Roman" w:eastAsia="Times New Roman" w:hAnsi="Times New Roman" w:cs="Times New Roman"/>
          <w:color w:val="2E2D2C"/>
          <w:sz w:val="24"/>
          <w:szCs w:val="24"/>
          <w:highlight w:val="white"/>
        </w:rPr>
      </w:pPr>
      <w:r>
        <w:rPr>
          <w:rFonts w:ascii="Times New Roman" w:eastAsia="Times New Roman" w:hAnsi="Times New Roman" w:cs="Times New Roman"/>
          <w:color w:val="2E2D2C"/>
          <w:sz w:val="24"/>
          <w:szCs w:val="24"/>
          <w:highlight w:val="white"/>
        </w:rPr>
        <w:t>Undoubtedly, the main impact of the CRA in relation to the supply of goods will be as a result of the new three-ti</w:t>
      </w:r>
      <w:r>
        <w:rPr>
          <w:rFonts w:ascii="Times New Roman" w:eastAsia="Times New Roman" w:hAnsi="Times New Roman" w:cs="Times New Roman"/>
          <w:color w:val="2E2D2C"/>
          <w:sz w:val="24"/>
          <w:szCs w:val="24"/>
          <w:highlight w:val="white"/>
        </w:rPr>
        <w:t>er remedy structure that will usually apply when a trader breaches the standards contained in the Act.  This replaces the current two-tier system available under the Sale and Supply of Goods to Consumers Regulations 2002 ("SSGCRs").</w:t>
      </w:r>
    </w:p>
    <w:p w14:paraId="17DE9FB7" w14:textId="77777777" w:rsidR="0074300D" w:rsidRDefault="00D1475E">
      <w:pPr>
        <w:spacing w:after="240" w:line="360" w:lineRule="auto"/>
        <w:jc w:val="both"/>
        <w:rPr>
          <w:rFonts w:ascii="Times New Roman" w:eastAsia="Times New Roman" w:hAnsi="Times New Roman" w:cs="Times New Roman"/>
          <w:b/>
          <w:color w:val="2E2D2C"/>
          <w:sz w:val="24"/>
          <w:szCs w:val="24"/>
          <w:highlight w:val="white"/>
        </w:rPr>
      </w:pPr>
      <w:r>
        <w:rPr>
          <w:rFonts w:ascii="Times New Roman" w:eastAsia="Times New Roman" w:hAnsi="Times New Roman" w:cs="Times New Roman"/>
          <w:b/>
          <w:color w:val="2E2D2C"/>
          <w:sz w:val="24"/>
          <w:szCs w:val="24"/>
          <w:highlight w:val="white"/>
        </w:rPr>
        <w:t>The three-tier structur</w:t>
      </w:r>
      <w:r>
        <w:rPr>
          <w:rFonts w:ascii="Times New Roman" w:eastAsia="Times New Roman" w:hAnsi="Times New Roman" w:cs="Times New Roman"/>
          <w:b/>
          <w:color w:val="2E2D2C"/>
          <w:sz w:val="24"/>
          <w:szCs w:val="24"/>
          <w:highlight w:val="white"/>
        </w:rPr>
        <w:t>e generally operates as follows:</w:t>
      </w:r>
    </w:p>
    <w:p w14:paraId="52A1DADD" w14:textId="77777777" w:rsidR="0074300D" w:rsidRDefault="00D1475E">
      <w:pPr>
        <w:numPr>
          <w:ilvl w:val="0"/>
          <w:numId w:val="2"/>
        </w:numPr>
        <w:spacing w:line="360" w:lineRule="auto"/>
        <w:jc w:val="both"/>
        <w:rPr>
          <w:rFonts w:ascii="Times New Roman" w:eastAsia="Times New Roman" w:hAnsi="Times New Roman" w:cs="Times New Roman"/>
          <w:b/>
          <w:color w:val="2E2D2C"/>
          <w:sz w:val="24"/>
          <w:szCs w:val="24"/>
          <w:highlight w:val="white"/>
        </w:rPr>
      </w:pPr>
      <w:r>
        <w:rPr>
          <w:rFonts w:ascii="Times New Roman" w:eastAsia="Times New Roman" w:hAnsi="Times New Roman" w:cs="Times New Roman"/>
          <w:b/>
          <w:color w:val="2E2D2C"/>
          <w:sz w:val="24"/>
          <w:szCs w:val="24"/>
          <w:highlight w:val="white"/>
        </w:rPr>
        <w:lastRenderedPageBreak/>
        <w:t xml:space="preserve">The short term right to reject: </w:t>
      </w:r>
      <w:r>
        <w:rPr>
          <w:rFonts w:ascii="Times New Roman" w:eastAsia="Times New Roman" w:hAnsi="Times New Roman" w:cs="Times New Roman"/>
          <w:color w:val="2E2D2C"/>
          <w:sz w:val="24"/>
          <w:szCs w:val="24"/>
          <w:highlight w:val="white"/>
        </w:rPr>
        <w:t>This is a brand new statutory remedy which is available within the first thirty (30) days of the goods being supplied unless the expected life of the goods is shorter (e.g. in the case of highly perishable goods).  The consumer is permitted to treat the co</w:t>
      </w:r>
      <w:r>
        <w:rPr>
          <w:rFonts w:ascii="Times New Roman" w:eastAsia="Times New Roman" w:hAnsi="Times New Roman" w:cs="Times New Roman"/>
          <w:color w:val="2E2D2C"/>
          <w:sz w:val="24"/>
          <w:szCs w:val="24"/>
          <w:highlight w:val="white"/>
        </w:rPr>
        <w:t xml:space="preserve">ntract as at an end and obtain a refund but must make the goods accessible for collection by the trader.  The trader is normally in charge of the cost of collecting the goods from the consumer unless the contract needed the consumer to return the goods to </w:t>
      </w:r>
      <w:r>
        <w:rPr>
          <w:rFonts w:ascii="Times New Roman" w:eastAsia="Times New Roman" w:hAnsi="Times New Roman" w:cs="Times New Roman"/>
          <w:color w:val="2E2D2C"/>
          <w:sz w:val="24"/>
          <w:szCs w:val="24"/>
          <w:highlight w:val="white"/>
        </w:rPr>
        <w:t>the place where they took valuable them, or the consumer takes the goods there deliberately.  The short term right to reject does not apply where the only breach relates to incorrect installation.</w:t>
      </w:r>
    </w:p>
    <w:p w14:paraId="265630A5" w14:textId="77777777" w:rsidR="0074300D" w:rsidRDefault="00D1475E">
      <w:pPr>
        <w:numPr>
          <w:ilvl w:val="0"/>
          <w:numId w:val="2"/>
        </w:numPr>
        <w:spacing w:line="360" w:lineRule="auto"/>
        <w:jc w:val="both"/>
        <w:rPr>
          <w:rFonts w:ascii="Times New Roman" w:eastAsia="Times New Roman" w:hAnsi="Times New Roman" w:cs="Times New Roman"/>
          <w:b/>
          <w:color w:val="2E2D2C"/>
          <w:sz w:val="24"/>
          <w:szCs w:val="24"/>
          <w:highlight w:val="white"/>
        </w:rPr>
      </w:pPr>
      <w:r>
        <w:rPr>
          <w:rFonts w:ascii="Times New Roman" w:eastAsia="Times New Roman" w:hAnsi="Times New Roman" w:cs="Times New Roman"/>
          <w:b/>
          <w:color w:val="2E2D2C"/>
          <w:sz w:val="24"/>
          <w:szCs w:val="24"/>
          <w:highlight w:val="white"/>
        </w:rPr>
        <w:t xml:space="preserve"> Right to repair or replacement: </w:t>
      </w:r>
      <w:r>
        <w:rPr>
          <w:rFonts w:ascii="Times New Roman" w:eastAsia="Times New Roman" w:hAnsi="Times New Roman" w:cs="Times New Roman"/>
          <w:color w:val="2E2D2C"/>
          <w:sz w:val="24"/>
          <w:szCs w:val="24"/>
          <w:highlight w:val="white"/>
        </w:rPr>
        <w:t>This remedy already exists</w:t>
      </w:r>
      <w:r>
        <w:rPr>
          <w:rFonts w:ascii="Times New Roman" w:eastAsia="Times New Roman" w:hAnsi="Times New Roman" w:cs="Times New Roman"/>
          <w:color w:val="2E2D2C"/>
          <w:sz w:val="24"/>
          <w:szCs w:val="24"/>
          <w:highlight w:val="white"/>
        </w:rPr>
        <w:t xml:space="preserve"> under the SSGCRs.  The trader must provide the repair or replacement within a reasonable time, without causing significant inconvenience to the consumer and at no cost to the consumer.  Note that the consumer cannot choose a replacement over a repair or v</w:t>
      </w:r>
      <w:r>
        <w:rPr>
          <w:rFonts w:ascii="Times New Roman" w:eastAsia="Times New Roman" w:hAnsi="Times New Roman" w:cs="Times New Roman"/>
          <w:color w:val="2E2D2C"/>
          <w:sz w:val="24"/>
          <w:szCs w:val="24"/>
          <w:highlight w:val="white"/>
        </w:rPr>
        <w:t xml:space="preserve">ice versa if the chosen remedy is disproportionate compared to the other remedy. If the consumer requests a repair or replacement within the first thirty (30) days of the goods being supplied then the short term right to reject is paused.  On provision of </w:t>
      </w:r>
      <w:r>
        <w:rPr>
          <w:rFonts w:ascii="Times New Roman" w:eastAsia="Times New Roman" w:hAnsi="Times New Roman" w:cs="Times New Roman"/>
          <w:color w:val="2E2D2C"/>
          <w:sz w:val="24"/>
          <w:szCs w:val="24"/>
          <w:highlight w:val="white"/>
        </w:rPr>
        <w:t>the repaired or replaced goods, the consumer has either the remainder of the thirty (30) day period or seven (7) days, whichever is the longer, in which to reject the goods if they still do not conform to the contract.  Unlike the SSGCRs, the CRA and assoc</w:t>
      </w:r>
      <w:r>
        <w:rPr>
          <w:rFonts w:ascii="Times New Roman" w:eastAsia="Times New Roman" w:hAnsi="Times New Roman" w:cs="Times New Roman"/>
          <w:color w:val="2E2D2C"/>
          <w:sz w:val="24"/>
          <w:szCs w:val="24"/>
          <w:highlight w:val="white"/>
        </w:rPr>
        <w:t xml:space="preserve">iated guidance have clarified that the consumer only has to accept one repair or replacement.  If the goods still do not meet the consumer's rights, whether because the original issue persists or a new one has arisen, the consumer can exercise their right </w:t>
      </w:r>
      <w:r>
        <w:rPr>
          <w:rFonts w:ascii="Times New Roman" w:eastAsia="Times New Roman" w:hAnsi="Times New Roman" w:cs="Times New Roman"/>
          <w:color w:val="2E2D2C"/>
          <w:sz w:val="24"/>
          <w:szCs w:val="24"/>
          <w:highlight w:val="white"/>
        </w:rPr>
        <w:t xml:space="preserve">to a price reduction or final right to reject. </w:t>
      </w:r>
    </w:p>
    <w:p w14:paraId="5394F40B" w14:textId="77777777" w:rsidR="0074300D" w:rsidRDefault="00D1475E">
      <w:pPr>
        <w:numPr>
          <w:ilvl w:val="0"/>
          <w:numId w:val="2"/>
        </w:numPr>
        <w:spacing w:after="240" w:line="360" w:lineRule="auto"/>
        <w:jc w:val="both"/>
        <w:rPr>
          <w:rFonts w:ascii="Times New Roman" w:eastAsia="Times New Roman" w:hAnsi="Times New Roman" w:cs="Times New Roman"/>
          <w:b/>
          <w:color w:val="2E2D2C"/>
          <w:sz w:val="24"/>
          <w:szCs w:val="24"/>
          <w:highlight w:val="white"/>
        </w:rPr>
      </w:pPr>
      <w:r>
        <w:rPr>
          <w:rFonts w:ascii="Times New Roman" w:eastAsia="Times New Roman" w:hAnsi="Times New Roman" w:cs="Times New Roman"/>
          <w:b/>
          <w:color w:val="2E2D2C"/>
          <w:sz w:val="24"/>
          <w:szCs w:val="24"/>
          <w:highlight w:val="white"/>
        </w:rPr>
        <w:t>Right to a price reduction or final right to reject:</w:t>
      </w:r>
      <w:r>
        <w:rPr>
          <w:rFonts w:ascii="Times New Roman" w:eastAsia="Times New Roman" w:hAnsi="Times New Roman" w:cs="Times New Roman"/>
          <w:color w:val="2E2D2C"/>
          <w:sz w:val="24"/>
          <w:szCs w:val="24"/>
          <w:highlight w:val="white"/>
        </w:rPr>
        <w:t xml:space="preserve"> This remedy also already exists under the SSGCRs and is available where a repair or replacement is unsuccessful, impossible or not provided within a reason</w:t>
      </w:r>
      <w:r>
        <w:rPr>
          <w:rFonts w:ascii="Times New Roman" w:eastAsia="Times New Roman" w:hAnsi="Times New Roman" w:cs="Times New Roman"/>
          <w:color w:val="2E2D2C"/>
          <w:sz w:val="24"/>
          <w:szCs w:val="24"/>
          <w:highlight w:val="white"/>
        </w:rPr>
        <w:t xml:space="preserve">able timeframe or without significant inconvenience to the consumer.  Essentially, the consumer chooses either to keep the goods and claim a reduction in price or return them and claim a refund.  The reduction in price must be an appropriate amount taking </w:t>
      </w:r>
      <w:r>
        <w:rPr>
          <w:rFonts w:ascii="Times New Roman" w:eastAsia="Times New Roman" w:hAnsi="Times New Roman" w:cs="Times New Roman"/>
          <w:color w:val="2E2D2C"/>
          <w:sz w:val="24"/>
          <w:szCs w:val="24"/>
          <w:highlight w:val="white"/>
        </w:rPr>
        <w:t>into account all of the circumstances and can usually take into account any use that the consumer has had from the goods.  However, no deduction for use can be made where the goods are rejected within six (6) months of supply except in the case of motor ve</w:t>
      </w:r>
      <w:r>
        <w:rPr>
          <w:rFonts w:ascii="Times New Roman" w:eastAsia="Times New Roman" w:hAnsi="Times New Roman" w:cs="Times New Roman"/>
          <w:color w:val="2E2D2C"/>
          <w:sz w:val="24"/>
          <w:szCs w:val="24"/>
          <w:highlight w:val="white"/>
        </w:rPr>
        <w:t>hicles.</w:t>
      </w:r>
    </w:p>
    <w:p w14:paraId="14633C7D" w14:textId="77777777" w:rsidR="0074300D" w:rsidRDefault="00D1475E">
      <w:pPr>
        <w:spacing w:after="240" w:line="360" w:lineRule="auto"/>
        <w:jc w:val="both"/>
        <w:rPr>
          <w:rFonts w:ascii="Times New Roman" w:eastAsia="Times New Roman" w:hAnsi="Times New Roman" w:cs="Times New Roman"/>
          <w:color w:val="2E2D2C"/>
          <w:sz w:val="24"/>
          <w:szCs w:val="24"/>
          <w:highlight w:val="white"/>
        </w:rPr>
      </w:pPr>
      <w:r>
        <w:rPr>
          <w:rFonts w:ascii="Times New Roman" w:eastAsia="Times New Roman" w:hAnsi="Times New Roman" w:cs="Times New Roman"/>
          <w:b/>
          <w:color w:val="2E2D2C"/>
          <w:sz w:val="24"/>
          <w:szCs w:val="24"/>
          <w:highlight w:val="white"/>
        </w:rPr>
        <w:lastRenderedPageBreak/>
        <w:t>Digital Content (PART 1):</w:t>
      </w:r>
      <w:r>
        <w:rPr>
          <w:rFonts w:ascii="Times New Roman" w:eastAsia="Times New Roman" w:hAnsi="Times New Roman" w:cs="Times New Roman"/>
          <w:color w:val="2E2D2C"/>
          <w:sz w:val="24"/>
          <w:szCs w:val="24"/>
          <w:highlight w:val="white"/>
        </w:rPr>
        <w:t xml:space="preserve"> The CRA introduces a new regime specifically for digital content – defined as data which is produced and supplied in digital form – and offers some welcome clarity as previously it was often unclear as to whether digital c</w:t>
      </w:r>
      <w:r>
        <w:rPr>
          <w:rFonts w:ascii="Times New Roman" w:eastAsia="Times New Roman" w:hAnsi="Times New Roman" w:cs="Times New Roman"/>
          <w:color w:val="2E2D2C"/>
          <w:sz w:val="24"/>
          <w:szCs w:val="24"/>
          <w:highlight w:val="white"/>
        </w:rPr>
        <w:t xml:space="preserve">ontent should be </w:t>
      </w:r>
      <w:proofErr w:type="spellStart"/>
      <w:r>
        <w:rPr>
          <w:rFonts w:ascii="Times New Roman" w:eastAsia="Times New Roman" w:hAnsi="Times New Roman" w:cs="Times New Roman"/>
          <w:color w:val="2E2D2C"/>
          <w:sz w:val="24"/>
          <w:szCs w:val="24"/>
          <w:highlight w:val="white"/>
        </w:rPr>
        <w:t>categorised</w:t>
      </w:r>
      <w:proofErr w:type="spellEnd"/>
      <w:r>
        <w:rPr>
          <w:rFonts w:ascii="Times New Roman" w:eastAsia="Times New Roman" w:hAnsi="Times New Roman" w:cs="Times New Roman"/>
          <w:color w:val="2E2D2C"/>
          <w:sz w:val="24"/>
          <w:szCs w:val="24"/>
          <w:highlight w:val="white"/>
        </w:rPr>
        <w:t xml:space="preserve"> as goods or services in certain contexts. The standards which apply to digital content, which are clearly inspired by the goods standards, are that it must be of satisfactory quality, fit for purpose and as described.  A two-ti</w:t>
      </w:r>
      <w:r>
        <w:rPr>
          <w:rFonts w:ascii="Times New Roman" w:eastAsia="Times New Roman" w:hAnsi="Times New Roman" w:cs="Times New Roman"/>
          <w:color w:val="2E2D2C"/>
          <w:sz w:val="24"/>
          <w:szCs w:val="24"/>
          <w:highlight w:val="white"/>
        </w:rPr>
        <w:t>er statutory remedy structure has been introduced in the event that those standards are breached:</w:t>
      </w:r>
    </w:p>
    <w:p w14:paraId="3E144FDE" w14:textId="77777777" w:rsidR="0074300D" w:rsidRDefault="00D1475E">
      <w:pPr>
        <w:numPr>
          <w:ilvl w:val="0"/>
          <w:numId w:val="1"/>
        </w:numPr>
        <w:spacing w:line="360" w:lineRule="auto"/>
        <w:jc w:val="both"/>
        <w:rPr>
          <w:rFonts w:ascii="Times New Roman" w:eastAsia="Times New Roman" w:hAnsi="Times New Roman" w:cs="Times New Roman"/>
          <w:b/>
          <w:color w:val="2E2D2C"/>
          <w:sz w:val="24"/>
          <w:szCs w:val="24"/>
          <w:highlight w:val="white"/>
        </w:rPr>
      </w:pPr>
      <w:r>
        <w:rPr>
          <w:rFonts w:ascii="Times New Roman" w:eastAsia="Times New Roman" w:hAnsi="Times New Roman" w:cs="Times New Roman"/>
          <w:b/>
          <w:color w:val="2E2D2C"/>
          <w:sz w:val="24"/>
          <w:szCs w:val="24"/>
          <w:highlight w:val="white"/>
        </w:rPr>
        <w:t xml:space="preserve"> Right to a repair or replacement - </w:t>
      </w:r>
      <w:r>
        <w:rPr>
          <w:rFonts w:ascii="Times New Roman" w:eastAsia="Times New Roman" w:hAnsi="Times New Roman" w:cs="Times New Roman"/>
          <w:color w:val="2E2D2C"/>
          <w:sz w:val="24"/>
          <w:szCs w:val="24"/>
          <w:highlight w:val="white"/>
        </w:rPr>
        <w:t>As with the provisions of the goods, the trader must provide the repair or replacement within a reasonable time, without c</w:t>
      </w:r>
      <w:r>
        <w:rPr>
          <w:rFonts w:ascii="Times New Roman" w:eastAsia="Times New Roman" w:hAnsi="Times New Roman" w:cs="Times New Roman"/>
          <w:color w:val="2E2D2C"/>
          <w:sz w:val="24"/>
          <w:szCs w:val="24"/>
          <w:highlight w:val="white"/>
        </w:rPr>
        <w:t>ausing significant inconvenience to the consumer and at no cost to the consumer.  Again, the consumer cannot choose a replacement over a repair or vice versa if the chosen remedy is disproportionate compared to the other remedy.  However, unlike with goods</w:t>
      </w:r>
      <w:r>
        <w:rPr>
          <w:rFonts w:ascii="Times New Roman" w:eastAsia="Times New Roman" w:hAnsi="Times New Roman" w:cs="Times New Roman"/>
          <w:color w:val="2E2D2C"/>
          <w:sz w:val="24"/>
          <w:szCs w:val="24"/>
          <w:highlight w:val="white"/>
        </w:rPr>
        <w:t xml:space="preserve">, there is no cap on the number of repairs or replacements that the trader can provide before the consumer is entitled to a price reduction. </w:t>
      </w:r>
    </w:p>
    <w:p w14:paraId="2C48C3ED" w14:textId="77777777" w:rsidR="0074300D" w:rsidRDefault="00D1475E">
      <w:pPr>
        <w:numPr>
          <w:ilvl w:val="0"/>
          <w:numId w:val="1"/>
        </w:numPr>
        <w:spacing w:after="240" w:line="360" w:lineRule="auto"/>
        <w:jc w:val="both"/>
        <w:rPr>
          <w:rFonts w:ascii="Times New Roman" w:eastAsia="Times New Roman" w:hAnsi="Times New Roman" w:cs="Times New Roman"/>
          <w:b/>
          <w:color w:val="2E2D2C"/>
          <w:sz w:val="24"/>
          <w:szCs w:val="24"/>
          <w:highlight w:val="white"/>
        </w:rPr>
      </w:pPr>
      <w:r>
        <w:rPr>
          <w:rFonts w:ascii="Times New Roman" w:eastAsia="Times New Roman" w:hAnsi="Times New Roman" w:cs="Times New Roman"/>
          <w:b/>
          <w:color w:val="2E2D2C"/>
          <w:sz w:val="24"/>
          <w:szCs w:val="24"/>
          <w:highlight w:val="white"/>
        </w:rPr>
        <w:t>Right to a price reduction -</w:t>
      </w:r>
      <w:r>
        <w:rPr>
          <w:rFonts w:ascii="Times New Roman" w:eastAsia="Times New Roman" w:hAnsi="Times New Roman" w:cs="Times New Roman"/>
          <w:color w:val="2E2D2C"/>
          <w:sz w:val="24"/>
          <w:szCs w:val="24"/>
          <w:highlight w:val="white"/>
        </w:rPr>
        <w:t xml:space="preserve"> This remedy is only triggered if repair or replacement is impossible or not provided </w:t>
      </w:r>
      <w:r>
        <w:rPr>
          <w:rFonts w:ascii="Times New Roman" w:eastAsia="Times New Roman" w:hAnsi="Times New Roman" w:cs="Times New Roman"/>
          <w:color w:val="2E2D2C"/>
          <w:sz w:val="24"/>
          <w:szCs w:val="24"/>
          <w:highlight w:val="white"/>
        </w:rPr>
        <w:t>within a reasonable timeframe or without significant inconvenience to the consumer.  The reduction in price must be an appropriate amount taking into account all of the circumstances and can be anything up to the whole price paid. The CRA also imposes a te</w:t>
      </w:r>
      <w:r>
        <w:rPr>
          <w:rFonts w:ascii="Times New Roman" w:eastAsia="Times New Roman" w:hAnsi="Times New Roman" w:cs="Times New Roman"/>
          <w:color w:val="2E2D2C"/>
          <w:sz w:val="24"/>
          <w:szCs w:val="24"/>
          <w:highlight w:val="white"/>
        </w:rPr>
        <w:t>rm that the trader has the right to provide digital content.  In the event that this term is breached the consumer is usually entitled to a full refund unless only some of the digital content supplied is affected (e.g. certain tracks on a music streaming s</w:t>
      </w:r>
      <w:r>
        <w:rPr>
          <w:rFonts w:ascii="Times New Roman" w:eastAsia="Times New Roman" w:hAnsi="Times New Roman" w:cs="Times New Roman"/>
          <w:color w:val="2E2D2C"/>
          <w:sz w:val="24"/>
          <w:szCs w:val="24"/>
          <w:highlight w:val="white"/>
        </w:rPr>
        <w:t>ervice).</w:t>
      </w:r>
    </w:p>
    <w:p w14:paraId="7E91317D" w14:textId="77777777" w:rsidR="0074300D" w:rsidRDefault="0074300D">
      <w:pPr>
        <w:spacing w:after="240" w:line="360" w:lineRule="auto"/>
        <w:jc w:val="both"/>
        <w:rPr>
          <w:rFonts w:ascii="Times New Roman" w:eastAsia="Times New Roman" w:hAnsi="Times New Roman" w:cs="Times New Roman"/>
          <w:b/>
          <w:color w:val="2E2D2C"/>
          <w:sz w:val="24"/>
          <w:szCs w:val="24"/>
          <w:highlight w:val="white"/>
        </w:rPr>
      </w:pPr>
    </w:p>
    <w:p w14:paraId="232472CF" w14:textId="77777777" w:rsidR="0074300D" w:rsidRDefault="00D1475E">
      <w:pPr>
        <w:spacing w:after="240" w:line="360" w:lineRule="auto"/>
        <w:jc w:val="both"/>
        <w:rPr>
          <w:rFonts w:ascii="Times New Roman" w:eastAsia="Times New Roman" w:hAnsi="Times New Roman" w:cs="Times New Roman"/>
          <w:color w:val="2E2D2C"/>
          <w:sz w:val="24"/>
          <w:szCs w:val="24"/>
          <w:highlight w:val="white"/>
        </w:rPr>
      </w:pPr>
      <w:r>
        <w:rPr>
          <w:rFonts w:ascii="Times New Roman" w:eastAsia="Times New Roman" w:hAnsi="Times New Roman" w:cs="Times New Roman"/>
          <w:b/>
          <w:color w:val="2E2D2C"/>
          <w:sz w:val="24"/>
          <w:szCs w:val="24"/>
          <w:highlight w:val="white"/>
        </w:rPr>
        <w:t xml:space="preserve">Services (PART 1): </w:t>
      </w:r>
      <w:r>
        <w:rPr>
          <w:rFonts w:ascii="Times New Roman" w:eastAsia="Times New Roman" w:hAnsi="Times New Roman" w:cs="Times New Roman"/>
          <w:color w:val="2E2D2C"/>
          <w:sz w:val="24"/>
          <w:szCs w:val="24"/>
          <w:highlight w:val="white"/>
        </w:rPr>
        <w:t>When it comes to the provision of services, the CRA largely reflects the relevant provisions of the Supply of Goods and Services Act 1982. However, the CRA also introduces a new provision under which the trader is contractually</w:t>
      </w:r>
      <w:r>
        <w:rPr>
          <w:rFonts w:ascii="Times New Roman" w:eastAsia="Times New Roman" w:hAnsi="Times New Roman" w:cs="Times New Roman"/>
          <w:color w:val="2E2D2C"/>
          <w:sz w:val="24"/>
          <w:szCs w:val="24"/>
          <w:highlight w:val="white"/>
        </w:rPr>
        <w:t xml:space="preserve"> liable for any statements it makes, whether about the service or the trader, that is taken into account by the consumer when deciding whether to enter into the contract or when making any decision about the service after entering into the contract.</w:t>
      </w:r>
    </w:p>
    <w:p w14:paraId="48554657" w14:textId="77777777" w:rsidR="0074300D" w:rsidRDefault="00D1475E">
      <w:pPr>
        <w:spacing w:before="520" w:after="520" w:line="360" w:lineRule="auto"/>
        <w:jc w:val="both"/>
        <w:rPr>
          <w:rFonts w:ascii="Times New Roman" w:eastAsia="Times New Roman" w:hAnsi="Times New Roman" w:cs="Times New Roman"/>
          <w:color w:val="2E2D2C"/>
          <w:sz w:val="24"/>
          <w:szCs w:val="24"/>
          <w:highlight w:val="white"/>
        </w:rPr>
      </w:pPr>
      <w:r>
        <w:rPr>
          <w:rFonts w:ascii="Times New Roman" w:eastAsia="Times New Roman" w:hAnsi="Times New Roman" w:cs="Times New Roman"/>
          <w:color w:val="2E2D2C"/>
          <w:sz w:val="24"/>
          <w:szCs w:val="24"/>
          <w:highlight w:val="white"/>
        </w:rPr>
        <w:lastRenderedPageBreak/>
        <w:t>The CR</w:t>
      </w:r>
      <w:r>
        <w:rPr>
          <w:rFonts w:ascii="Times New Roman" w:eastAsia="Times New Roman" w:hAnsi="Times New Roman" w:cs="Times New Roman"/>
          <w:color w:val="2E2D2C"/>
          <w:sz w:val="24"/>
          <w:szCs w:val="24"/>
          <w:highlight w:val="white"/>
        </w:rPr>
        <w:t>A also establishes a new two-tier statutory remedy system which applies when the services standards are breached:</w:t>
      </w:r>
    </w:p>
    <w:p w14:paraId="0A785AF7" w14:textId="77777777" w:rsidR="0074300D" w:rsidRDefault="00D1475E">
      <w:pPr>
        <w:spacing w:before="520" w:after="520" w:line="360" w:lineRule="auto"/>
        <w:ind w:left="460"/>
        <w:jc w:val="both"/>
        <w:rPr>
          <w:color w:val="2E2D2C"/>
          <w:sz w:val="24"/>
          <w:szCs w:val="24"/>
          <w:highlight w:val="white"/>
        </w:rPr>
      </w:pPr>
      <w:r>
        <w:rPr>
          <w:color w:val="2E2D2C"/>
          <w:sz w:val="24"/>
          <w:szCs w:val="24"/>
          <w:highlight w:val="white"/>
        </w:rPr>
        <w:t>1.</w:t>
      </w:r>
      <w:r>
        <w:rPr>
          <w:rFonts w:ascii="Times New Roman" w:eastAsia="Times New Roman" w:hAnsi="Times New Roman" w:cs="Times New Roman"/>
          <w:b/>
          <w:color w:val="2E2D2C"/>
          <w:sz w:val="24"/>
          <w:szCs w:val="24"/>
          <w:highlight w:val="white"/>
        </w:rPr>
        <w:t xml:space="preserve">  Repeat performance</w:t>
      </w:r>
      <w:r>
        <w:rPr>
          <w:color w:val="2E2D2C"/>
          <w:sz w:val="24"/>
          <w:szCs w:val="24"/>
          <w:highlight w:val="white"/>
        </w:rPr>
        <w:t xml:space="preserve"> </w:t>
      </w:r>
    </w:p>
    <w:p w14:paraId="464663A9" w14:textId="77777777" w:rsidR="0074300D" w:rsidRDefault="00D1475E">
      <w:pPr>
        <w:spacing w:before="520" w:after="520" w:line="360" w:lineRule="auto"/>
        <w:ind w:left="460"/>
        <w:jc w:val="both"/>
        <w:rPr>
          <w:rFonts w:ascii="Times New Roman" w:eastAsia="Times New Roman" w:hAnsi="Times New Roman" w:cs="Times New Roman"/>
          <w:color w:val="2E2D2C"/>
          <w:sz w:val="24"/>
          <w:szCs w:val="24"/>
          <w:highlight w:val="white"/>
        </w:rPr>
      </w:pPr>
      <w:r>
        <w:rPr>
          <w:rFonts w:ascii="Times New Roman" w:eastAsia="Times New Roman" w:hAnsi="Times New Roman" w:cs="Times New Roman"/>
          <w:color w:val="2E2D2C"/>
          <w:sz w:val="24"/>
          <w:szCs w:val="24"/>
          <w:highlight w:val="white"/>
        </w:rPr>
        <w:t>This remedy is available where the trader fails to exercise reasonable care and skill or has not complied with the inf</w:t>
      </w:r>
      <w:r>
        <w:rPr>
          <w:rFonts w:ascii="Times New Roman" w:eastAsia="Times New Roman" w:hAnsi="Times New Roman" w:cs="Times New Roman"/>
          <w:color w:val="2E2D2C"/>
          <w:sz w:val="24"/>
          <w:szCs w:val="24"/>
          <w:highlight w:val="white"/>
        </w:rPr>
        <w:t>ormation they have given about the service and requires the trader to repeat the service to the extent required to complete it properly.  The work must be done within a reasonable time, without causing significant inconvenience to the consumer and at no co</w:t>
      </w:r>
      <w:r>
        <w:rPr>
          <w:rFonts w:ascii="Times New Roman" w:eastAsia="Times New Roman" w:hAnsi="Times New Roman" w:cs="Times New Roman"/>
          <w:color w:val="2E2D2C"/>
          <w:sz w:val="24"/>
          <w:szCs w:val="24"/>
          <w:highlight w:val="white"/>
        </w:rPr>
        <w:t>st to the consumer.</w:t>
      </w:r>
    </w:p>
    <w:p w14:paraId="156A3180" w14:textId="77777777" w:rsidR="0074300D" w:rsidRDefault="00D1475E">
      <w:pPr>
        <w:spacing w:before="520" w:after="520" w:line="360" w:lineRule="auto"/>
        <w:ind w:left="460"/>
        <w:jc w:val="both"/>
        <w:rPr>
          <w:rFonts w:ascii="Times New Roman" w:eastAsia="Times New Roman" w:hAnsi="Times New Roman" w:cs="Times New Roman"/>
          <w:b/>
          <w:color w:val="2E2D2C"/>
          <w:sz w:val="24"/>
          <w:szCs w:val="24"/>
          <w:highlight w:val="white"/>
        </w:rPr>
      </w:pPr>
      <w:r>
        <w:rPr>
          <w:color w:val="2E2D2C"/>
          <w:sz w:val="24"/>
          <w:szCs w:val="24"/>
          <w:highlight w:val="white"/>
        </w:rPr>
        <w:t xml:space="preserve">2. </w:t>
      </w:r>
      <w:r>
        <w:rPr>
          <w:rFonts w:ascii="Times New Roman" w:eastAsia="Times New Roman" w:hAnsi="Times New Roman" w:cs="Times New Roman"/>
          <w:b/>
          <w:color w:val="2E2D2C"/>
          <w:sz w:val="24"/>
          <w:szCs w:val="24"/>
          <w:highlight w:val="white"/>
        </w:rPr>
        <w:t xml:space="preserve">  Price reduction</w:t>
      </w:r>
    </w:p>
    <w:p w14:paraId="25F9AC94" w14:textId="77777777" w:rsidR="0074300D" w:rsidRDefault="00D1475E">
      <w:pPr>
        <w:spacing w:before="520" w:after="520" w:line="360" w:lineRule="auto"/>
        <w:ind w:left="460"/>
        <w:jc w:val="both"/>
        <w:rPr>
          <w:rFonts w:ascii="Times New Roman" w:eastAsia="Times New Roman" w:hAnsi="Times New Roman" w:cs="Times New Roman"/>
          <w:color w:val="2E2D2C"/>
          <w:sz w:val="24"/>
          <w:szCs w:val="24"/>
          <w:highlight w:val="white"/>
        </w:rPr>
      </w:pPr>
      <w:r>
        <w:rPr>
          <w:rFonts w:ascii="Times New Roman" w:eastAsia="Times New Roman" w:hAnsi="Times New Roman" w:cs="Times New Roman"/>
          <w:color w:val="2E2D2C"/>
          <w:sz w:val="24"/>
          <w:szCs w:val="24"/>
          <w:highlight w:val="white"/>
        </w:rPr>
        <w:t>A price reduction can be claimed where repeat performance is impossible or cannot be done within a reasonable time or without significant inconvenience to the consumer. It is also available if the service is not per</w:t>
      </w:r>
      <w:r>
        <w:rPr>
          <w:rFonts w:ascii="Times New Roman" w:eastAsia="Times New Roman" w:hAnsi="Times New Roman" w:cs="Times New Roman"/>
          <w:color w:val="2E2D2C"/>
          <w:sz w:val="24"/>
          <w:szCs w:val="24"/>
          <w:highlight w:val="white"/>
        </w:rPr>
        <w:t>formed within a reasonable time or in line with information given about the trader.  The amount of the price reduction will depend on the seriousness of the breach and can be anything up to the whole price paid.</w:t>
      </w:r>
    </w:p>
    <w:p w14:paraId="765E82A1" w14:textId="77777777" w:rsidR="0074300D" w:rsidRDefault="00D1475E">
      <w:pPr>
        <w:pStyle w:val="Heading5"/>
        <w:keepNext w:val="0"/>
        <w:keepLines w:val="0"/>
        <w:spacing w:before="0" w:after="40" w:line="360" w:lineRule="auto"/>
        <w:jc w:val="both"/>
        <w:rPr>
          <w:rFonts w:ascii="Times New Roman" w:eastAsia="Times New Roman" w:hAnsi="Times New Roman" w:cs="Times New Roman"/>
          <w:color w:val="2E2D2C"/>
          <w:sz w:val="24"/>
          <w:szCs w:val="24"/>
          <w:highlight w:val="white"/>
        </w:rPr>
      </w:pPr>
      <w:bookmarkStart w:id="0" w:name="_p1azv6tnyeyf" w:colFirst="0" w:colLast="0"/>
      <w:bookmarkEnd w:id="0"/>
      <w:r>
        <w:rPr>
          <w:rFonts w:ascii="Times New Roman" w:eastAsia="Times New Roman" w:hAnsi="Times New Roman" w:cs="Times New Roman"/>
          <w:b/>
          <w:color w:val="2E2D2C"/>
          <w:sz w:val="24"/>
          <w:szCs w:val="24"/>
          <w:highlight w:val="white"/>
        </w:rPr>
        <w:t xml:space="preserve">Unfair contractual terms (PART 2) </w:t>
      </w:r>
    </w:p>
    <w:p w14:paraId="22C644AA" w14:textId="77777777" w:rsidR="0074300D" w:rsidRDefault="00D1475E">
      <w:pPr>
        <w:spacing w:before="520" w:after="520" w:line="360" w:lineRule="auto"/>
        <w:jc w:val="both"/>
        <w:rPr>
          <w:rFonts w:ascii="Times New Roman" w:eastAsia="Times New Roman" w:hAnsi="Times New Roman" w:cs="Times New Roman"/>
          <w:color w:val="2E2D2C"/>
          <w:sz w:val="24"/>
          <w:szCs w:val="24"/>
          <w:highlight w:val="white"/>
        </w:rPr>
      </w:pPr>
      <w:r>
        <w:rPr>
          <w:rFonts w:ascii="Times New Roman" w:eastAsia="Times New Roman" w:hAnsi="Times New Roman" w:cs="Times New Roman"/>
          <w:color w:val="2E2D2C"/>
          <w:sz w:val="24"/>
          <w:szCs w:val="24"/>
          <w:highlight w:val="white"/>
        </w:rPr>
        <w:t>The CRA merges the various rules under the Unfair Contract Terms Act 1977 ("UCTA") and the Unfair Terms in Consumer Contracts Regulations 1999 (the "UTCCRs") which give consumers protection against contractual wording tha</w:t>
      </w:r>
      <w:r>
        <w:rPr>
          <w:rFonts w:ascii="Times New Roman" w:eastAsia="Times New Roman" w:hAnsi="Times New Roman" w:cs="Times New Roman"/>
          <w:color w:val="2E2D2C"/>
          <w:sz w:val="24"/>
          <w:szCs w:val="24"/>
          <w:highlight w:val="white"/>
        </w:rPr>
        <w:t>t could be used to give traders an unfair advantage. Whilst much of the law remains the same, the CRA has also introduced some limited changes. Unlike the UTCCRs, but broadly in line with UCTA, the CRA applies to notices as well as terms, and blacklists ce</w:t>
      </w:r>
      <w:r>
        <w:rPr>
          <w:rFonts w:ascii="Times New Roman" w:eastAsia="Times New Roman" w:hAnsi="Times New Roman" w:cs="Times New Roman"/>
          <w:color w:val="2E2D2C"/>
          <w:sz w:val="24"/>
          <w:szCs w:val="24"/>
          <w:highlight w:val="white"/>
        </w:rPr>
        <w:t>rtain terms and notices. A requirement of prominence has been added to the main exemption in the UTCCRs relating to price setting and main subject matter terms.  The exemption allows such terms to escape from the usual fairness test, which has been importe</w:t>
      </w:r>
      <w:r>
        <w:rPr>
          <w:rFonts w:ascii="Times New Roman" w:eastAsia="Times New Roman" w:hAnsi="Times New Roman" w:cs="Times New Roman"/>
          <w:color w:val="2E2D2C"/>
          <w:sz w:val="24"/>
          <w:szCs w:val="24"/>
          <w:highlight w:val="white"/>
        </w:rPr>
        <w:t xml:space="preserve">d from the UTCCRs.  A term is unfair if "contrary to the requirement of good faith, it causes a significant </w:t>
      </w:r>
      <w:r>
        <w:rPr>
          <w:rFonts w:ascii="Times New Roman" w:eastAsia="Times New Roman" w:hAnsi="Times New Roman" w:cs="Times New Roman"/>
          <w:color w:val="2E2D2C"/>
          <w:sz w:val="24"/>
          <w:szCs w:val="24"/>
          <w:highlight w:val="white"/>
        </w:rPr>
        <w:lastRenderedPageBreak/>
        <w:t xml:space="preserve">imbalance in the parties' rights and obligations under the contract to the detriment of the consumer". </w:t>
      </w:r>
    </w:p>
    <w:p w14:paraId="2B44F012" w14:textId="77777777" w:rsidR="0074300D" w:rsidRDefault="00D1475E">
      <w:pPr>
        <w:spacing w:before="520" w:after="520" w:line="360" w:lineRule="auto"/>
        <w:jc w:val="both"/>
        <w:rPr>
          <w:rFonts w:ascii="Times New Roman" w:eastAsia="Times New Roman" w:hAnsi="Times New Roman" w:cs="Times New Roman"/>
          <w:color w:val="2E2D2C"/>
          <w:sz w:val="24"/>
          <w:szCs w:val="24"/>
          <w:highlight w:val="white"/>
        </w:rPr>
      </w:pPr>
      <w:r>
        <w:rPr>
          <w:rFonts w:ascii="Times New Roman" w:eastAsia="Times New Roman" w:hAnsi="Times New Roman" w:cs="Times New Roman"/>
          <w:color w:val="2E2D2C"/>
          <w:sz w:val="24"/>
          <w:szCs w:val="24"/>
          <w:highlight w:val="white"/>
        </w:rPr>
        <w:t>Despite the CRA’s intention to consolidate c</w:t>
      </w:r>
      <w:r>
        <w:rPr>
          <w:rFonts w:ascii="Times New Roman" w:eastAsia="Times New Roman" w:hAnsi="Times New Roman" w:cs="Times New Roman"/>
          <w:color w:val="2E2D2C"/>
          <w:sz w:val="24"/>
          <w:szCs w:val="24"/>
          <w:highlight w:val="white"/>
        </w:rPr>
        <w:t>onsumer legislation, there are still a number of regulations and pieces of legislation that have to be read in conjunction to achieve a full picture of consumer rights. These include some aspects of the Consumer Contracts (Information, Cancellation and Add</w:t>
      </w:r>
      <w:r>
        <w:rPr>
          <w:rFonts w:ascii="Times New Roman" w:eastAsia="Times New Roman" w:hAnsi="Times New Roman" w:cs="Times New Roman"/>
          <w:color w:val="2E2D2C"/>
          <w:sz w:val="24"/>
          <w:szCs w:val="24"/>
          <w:highlight w:val="white"/>
        </w:rPr>
        <w:t>itional Charges) Regulations 2013 and the Consumer Protection Act 1987. The new unfair contract terms regime in the CRA also operates in parallel with the Consumer Protection from Unfair Trading Regulations. While the CRA has certainly consolidated a numbe</w:t>
      </w:r>
      <w:r>
        <w:rPr>
          <w:rFonts w:ascii="Times New Roman" w:eastAsia="Times New Roman" w:hAnsi="Times New Roman" w:cs="Times New Roman"/>
          <w:color w:val="2E2D2C"/>
          <w:sz w:val="24"/>
          <w:szCs w:val="24"/>
          <w:highlight w:val="white"/>
        </w:rPr>
        <w:t>r of Acts, its failure to create a single piece of legislation can leave consumers slightly in the dark. Furthermore, the CRA is by no means a simple piece of legislation that can be easily navigated by consumers, leaving its full comprehension available o</w:t>
      </w:r>
      <w:r>
        <w:rPr>
          <w:rFonts w:ascii="Times New Roman" w:eastAsia="Times New Roman" w:hAnsi="Times New Roman" w:cs="Times New Roman"/>
          <w:color w:val="2E2D2C"/>
          <w:sz w:val="24"/>
          <w:szCs w:val="24"/>
          <w:highlight w:val="white"/>
        </w:rPr>
        <w:t xml:space="preserve">nly to those with deep knowledge and understanding of its workings. </w:t>
      </w:r>
    </w:p>
    <w:p w14:paraId="0EBAB2DE" w14:textId="77777777" w:rsidR="0074300D" w:rsidRDefault="00D1475E">
      <w:pPr>
        <w:spacing w:before="520" w:after="520" w:line="360" w:lineRule="auto"/>
        <w:jc w:val="both"/>
        <w:rPr>
          <w:rFonts w:ascii="Times New Roman" w:eastAsia="Times New Roman" w:hAnsi="Times New Roman" w:cs="Times New Roman"/>
          <w:color w:val="2E2D2C"/>
          <w:sz w:val="24"/>
          <w:szCs w:val="24"/>
          <w:highlight w:val="white"/>
        </w:rPr>
      </w:pPr>
      <w:r>
        <w:rPr>
          <w:rFonts w:ascii="Times New Roman" w:eastAsia="Times New Roman" w:hAnsi="Times New Roman" w:cs="Times New Roman"/>
          <w:color w:val="2E2D2C"/>
          <w:sz w:val="24"/>
          <w:szCs w:val="24"/>
          <w:highlight w:val="white"/>
        </w:rPr>
        <w:t>In order to prepare for the implementation of the CRA, most consumer-facing businesses should be:</w:t>
      </w:r>
    </w:p>
    <w:p w14:paraId="2B6C9756" w14:textId="77777777" w:rsidR="0074300D" w:rsidRDefault="00D1475E">
      <w:pPr>
        <w:numPr>
          <w:ilvl w:val="0"/>
          <w:numId w:val="3"/>
        </w:numPr>
        <w:spacing w:line="360" w:lineRule="auto"/>
        <w:rPr>
          <w:rFonts w:ascii="Times New Roman" w:eastAsia="Times New Roman" w:hAnsi="Times New Roman" w:cs="Times New Roman"/>
          <w:highlight w:val="white"/>
        </w:rPr>
      </w:pPr>
      <w:r>
        <w:rPr>
          <w:rFonts w:ascii="Times New Roman" w:eastAsia="Times New Roman" w:hAnsi="Times New Roman" w:cs="Times New Roman"/>
          <w:color w:val="2E2D2C"/>
          <w:sz w:val="24"/>
          <w:szCs w:val="24"/>
          <w:highlight w:val="white"/>
        </w:rPr>
        <w:t>reviewing their standard terms and conditions of sale, including those provided on retail</w:t>
      </w:r>
      <w:r>
        <w:rPr>
          <w:rFonts w:ascii="Times New Roman" w:eastAsia="Times New Roman" w:hAnsi="Times New Roman" w:cs="Times New Roman"/>
          <w:color w:val="2E2D2C"/>
          <w:sz w:val="24"/>
          <w:szCs w:val="24"/>
          <w:highlight w:val="white"/>
        </w:rPr>
        <w:t xml:space="preserve"> websites and mobile apps, for compliance with the CRA;</w:t>
      </w:r>
    </w:p>
    <w:p w14:paraId="7FF689EB" w14:textId="77777777" w:rsidR="0074300D" w:rsidRDefault="00D1475E">
      <w:pPr>
        <w:numPr>
          <w:ilvl w:val="0"/>
          <w:numId w:val="3"/>
        </w:numPr>
        <w:spacing w:line="360" w:lineRule="auto"/>
        <w:rPr>
          <w:rFonts w:ascii="Times New Roman" w:eastAsia="Times New Roman" w:hAnsi="Times New Roman" w:cs="Times New Roman"/>
          <w:highlight w:val="white"/>
        </w:rPr>
      </w:pPr>
      <w:r>
        <w:rPr>
          <w:rFonts w:ascii="Times New Roman" w:eastAsia="Times New Roman" w:hAnsi="Times New Roman" w:cs="Times New Roman"/>
          <w:color w:val="2E2D2C"/>
          <w:sz w:val="24"/>
          <w:szCs w:val="24"/>
          <w:highlight w:val="white"/>
        </w:rPr>
        <w:t>examining the provisions of any other sales contracts they enter into with consumers;</w:t>
      </w:r>
    </w:p>
    <w:p w14:paraId="3015E7BF" w14:textId="77777777" w:rsidR="0074300D" w:rsidRDefault="00D1475E">
      <w:pPr>
        <w:numPr>
          <w:ilvl w:val="0"/>
          <w:numId w:val="3"/>
        </w:numPr>
        <w:spacing w:line="360" w:lineRule="auto"/>
        <w:rPr>
          <w:rFonts w:ascii="Times New Roman" w:eastAsia="Times New Roman" w:hAnsi="Times New Roman" w:cs="Times New Roman"/>
          <w:highlight w:val="white"/>
        </w:rPr>
      </w:pPr>
      <w:r>
        <w:rPr>
          <w:rFonts w:ascii="Times New Roman" w:eastAsia="Times New Roman" w:hAnsi="Times New Roman" w:cs="Times New Roman"/>
          <w:color w:val="2E2D2C"/>
          <w:sz w:val="24"/>
          <w:szCs w:val="24"/>
          <w:highlight w:val="white"/>
        </w:rPr>
        <w:t>evaluating contracts and arrangements with suppliers and distributors to ensure that the consumer rights and remed</w:t>
      </w:r>
      <w:r>
        <w:rPr>
          <w:rFonts w:ascii="Times New Roman" w:eastAsia="Times New Roman" w:hAnsi="Times New Roman" w:cs="Times New Roman"/>
          <w:color w:val="2E2D2C"/>
          <w:sz w:val="24"/>
          <w:szCs w:val="24"/>
          <w:highlight w:val="white"/>
        </w:rPr>
        <w:t>ies provided for in the CRA will be observed and accommodated and that there are no potential liability gaps;</w:t>
      </w:r>
    </w:p>
    <w:p w14:paraId="5368491A" w14:textId="77777777" w:rsidR="0074300D" w:rsidRDefault="00D1475E">
      <w:pPr>
        <w:numPr>
          <w:ilvl w:val="0"/>
          <w:numId w:val="3"/>
        </w:numPr>
        <w:spacing w:line="360" w:lineRule="auto"/>
        <w:rPr>
          <w:rFonts w:ascii="Times New Roman" w:eastAsia="Times New Roman" w:hAnsi="Times New Roman" w:cs="Times New Roman"/>
          <w:highlight w:val="white"/>
        </w:rPr>
      </w:pPr>
      <w:r>
        <w:rPr>
          <w:rFonts w:ascii="Times New Roman" w:eastAsia="Times New Roman" w:hAnsi="Times New Roman" w:cs="Times New Roman"/>
          <w:color w:val="2E2D2C"/>
          <w:sz w:val="24"/>
          <w:szCs w:val="24"/>
          <w:highlight w:val="white"/>
        </w:rPr>
        <w:t>updating statutory references in all relevant documentation;</w:t>
      </w:r>
    </w:p>
    <w:p w14:paraId="62C9458E" w14:textId="77777777" w:rsidR="0074300D" w:rsidRDefault="00D1475E">
      <w:pPr>
        <w:numPr>
          <w:ilvl w:val="0"/>
          <w:numId w:val="3"/>
        </w:numPr>
        <w:spacing w:line="360" w:lineRule="auto"/>
        <w:rPr>
          <w:rFonts w:ascii="Times New Roman" w:eastAsia="Times New Roman" w:hAnsi="Times New Roman" w:cs="Times New Roman"/>
          <w:highlight w:val="white"/>
        </w:rPr>
      </w:pPr>
      <w:r>
        <w:rPr>
          <w:rFonts w:ascii="Times New Roman" w:eastAsia="Times New Roman" w:hAnsi="Times New Roman" w:cs="Times New Roman"/>
          <w:color w:val="2E2D2C"/>
          <w:sz w:val="24"/>
          <w:szCs w:val="24"/>
          <w:highlight w:val="white"/>
        </w:rPr>
        <w:t>reviewing pre-contractual information that is supplied to consumers, including notices, advertisements and announcements;</w:t>
      </w:r>
    </w:p>
    <w:p w14:paraId="5E7E53FE" w14:textId="77777777" w:rsidR="0074300D" w:rsidRDefault="00D1475E">
      <w:pPr>
        <w:numPr>
          <w:ilvl w:val="0"/>
          <w:numId w:val="3"/>
        </w:numPr>
        <w:spacing w:line="360" w:lineRule="auto"/>
        <w:rPr>
          <w:rFonts w:ascii="Times New Roman" w:eastAsia="Times New Roman" w:hAnsi="Times New Roman" w:cs="Times New Roman"/>
          <w:highlight w:val="white"/>
        </w:rPr>
      </w:pPr>
      <w:r>
        <w:rPr>
          <w:rFonts w:ascii="Times New Roman" w:eastAsia="Times New Roman" w:hAnsi="Times New Roman" w:cs="Times New Roman"/>
          <w:color w:val="2E2D2C"/>
          <w:sz w:val="24"/>
          <w:szCs w:val="24"/>
          <w:highlight w:val="white"/>
        </w:rPr>
        <w:t>updating cancellation, returns and complaints handling policies; and</w:t>
      </w:r>
    </w:p>
    <w:p w14:paraId="2F691755" w14:textId="77777777" w:rsidR="0074300D" w:rsidRDefault="00D1475E">
      <w:pPr>
        <w:numPr>
          <w:ilvl w:val="0"/>
          <w:numId w:val="3"/>
        </w:numPr>
        <w:spacing w:after="240" w:line="360" w:lineRule="auto"/>
        <w:rPr>
          <w:rFonts w:ascii="Times New Roman" w:eastAsia="Times New Roman" w:hAnsi="Times New Roman" w:cs="Times New Roman"/>
          <w:highlight w:val="white"/>
        </w:rPr>
      </w:pPr>
      <w:r>
        <w:rPr>
          <w:rFonts w:ascii="Times New Roman" w:eastAsia="Times New Roman" w:hAnsi="Times New Roman" w:cs="Times New Roman"/>
          <w:color w:val="2E2D2C"/>
          <w:sz w:val="24"/>
          <w:szCs w:val="24"/>
          <w:highlight w:val="white"/>
        </w:rPr>
        <w:t>training relevant staff on the new consumer rights and remedies.</w:t>
      </w:r>
    </w:p>
    <w:p w14:paraId="6DB0EC78" w14:textId="77777777" w:rsidR="0074300D" w:rsidRDefault="00D1475E">
      <w:pPr>
        <w:spacing w:before="520" w:after="520" w:line="360" w:lineRule="auto"/>
        <w:jc w:val="both"/>
        <w:rPr>
          <w:rFonts w:ascii="Times New Roman" w:eastAsia="Times New Roman" w:hAnsi="Times New Roman" w:cs="Times New Roman"/>
          <w:color w:val="2E2D2C"/>
          <w:sz w:val="24"/>
          <w:szCs w:val="24"/>
          <w:highlight w:val="white"/>
        </w:rPr>
      </w:pPr>
      <w:r>
        <w:rPr>
          <w:rFonts w:ascii="Times New Roman" w:eastAsia="Times New Roman" w:hAnsi="Times New Roman" w:cs="Times New Roman"/>
          <w:color w:val="2E2D2C"/>
          <w:sz w:val="24"/>
          <w:szCs w:val="24"/>
          <w:highlight w:val="white"/>
        </w:rPr>
        <w:lastRenderedPageBreak/>
        <w:t>Businesses with queries about the Consumer Rights Act or that require assistance with any of the tasks outlined above are welcome to get in touch using the contact details provided.</w:t>
      </w:r>
    </w:p>
    <w:p w14:paraId="376CBA92" w14:textId="77777777" w:rsidR="0074300D" w:rsidRDefault="0074300D">
      <w:pPr>
        <w:spacing w:before="520" w:after="520" w:line="360" w:lineRule="auto"/>
        <w:jc w:val="both"/>
        <w:rPr>
          <w:rFonts w:ascii="Times New Roman" w:eastAsia="Times New Roman" w:hAnsi="Times New Roman" w:cs="Times New Roman"/>
          <w:color w:val="2E2D2C"/>
          <w:sz w:val="24"/>
          <w:szCs w:val="24"/>
          <w:highlight w:val="white"/>
        </w:rPr>
      </w:pPr>
    </w:p>
    <w:p w14:paraId="613E39FF" w14:textId="77777777" w:rsidR="0074300D" w:rsidRDefault="00D1475E">
      <w:pPr>
        <w:spacing w:before="520" w:after="520" w:line="360" w:lineRule="auto"/>
        <w:jc w:val="both"/>
        <w:rPr>
          <w:rFonts w:ascii="Times New Roman" w:eastAsia="Times New Roman" w:hAnsi="Times New Roman" w:cs="Times New Roman"/>
          <w:color w:val="2E2D2C"/>
          <w:sz w:val="24"/>
          <w:szCs w:val="24"/>
          <w:highlight w:val="white"/>
        </w:rPr>
      </w:pPr>
      <w:r>
        <w:rPr>
          <w:rFonts w:ascii="Times New Roman" w:eastAsia="Times New Roman" w:hAnsi="Times New Roman" w:cs="Times New Roman"/>
          <w:color w:val="2E2D2C"/>
          <w:sz w:val="24"/>
          <w:szCs w:val="24"/>
          <w:highlight w:val="white"/>
        </w:rPr>
        <w:t xml:space="preserve">REFERENCES: </w:t>
      </w:r>
    </w:p>
    <w:p w14:paraId="2B43C600" w14:textId="77777777" w:rsidR="0074300D" w:rsidRDefault="00D1475E">
      <w:pPr>
        <w:spacing w:before="520" w:after="520" w:line="360" w:lineRule="auto"/>
        <w:jc w:val="both"/>
        <w:rPr>
          <w:rFonts w:ascii="Times New Roman" w:eastAsia="Times New Roman" w:hAnsi="Times New Roman" w:cs="Times New Roman"/>
          <w:color w:val="2E2D2C"/>
          <w:sz w:val="24"/>
          <w:szCs w:val="24"/>
          <w:highlight w:val="white"/>
        </w:rPr>
      </w:pPr>
      <w:r>
        <w:rPr>
          <w:rFonts w:ascii="Times New Roman" w:eastAsia="Times New Roman" w:hAnsi="Times New Roman" w:cs="Times New Roman"/>
          <w:color w:val="2E2D2C"/>
          <w:sz w:val="24"/>
          <w:szCs w:val="24"/>
          <w:highlight w:val="white"/>
        </w:rPr>
        <w:t xml:space="preserve">-Taylor </w:t>
      </w:r>
      <w:proofErr w:type="spellStart"/>
      <w:r>
        <w:rPr>
          <w:rFonts w:ascii="Times New Roman" w:eastAsia="Times New Roman" w:hAnsi="Times New Roman" w:cs="Times New Roman"/>
          <w:color w:val="2E2D2C"/>
          <w:sz w:val="24"/>
          <w:szCs w:val="24"/>
          <w:highlight w:val="white"/>
        </w:rPr>
        <w:t>Vinters</w:t>
      </w:r>
      <w:proofErr w:type="spellEnd"/>
      <w:r>
        <w:rPr>
          <w:rFonts w:ascii="Times New Roman" w:eastAsia="Times New Roman" w:hAnsi="Times New Roman" w:cs="Times New Roman"/>
          <w:color w:val="2E2D2C"/>
          <w:sz w:val="24"/>
          <w:szCs w:val="24"/>
          <w:highlight w:val="white"/>
        </w:rPr>
        <w:t xml:space="preserve">, 25 September 2017, The Consumer Rights Act </w:t>
      </w:r>
      <w:r>
        <w:rPr>
          <w:rFonts w:ascii="Times New Roman" w:eastAsia="Times New Roman" w:hAnsi="Times New Roman" w:cs="Times New Roman"/>
          <w:color w:val="2E2D2C"/>
          <w:sz w:val="24"/>
          <w:szCs w:val="24"/>
          <w:highlight w:val="white"/>
        </w:rPr>
        <w:t xml:space="preserve">2015, two years on… a seismic change in the business-to-consumer relationship? - Taylor </w:t>
      </w:r>
      <w:proofErr w:type="spellStart"/>
      <w:r>
        <w:rPr>
          <w:rFonts w:ascii="Times New Roman" w:eastAsia="Times New Roman" w:hAnsi="Times New Roman" w:cs="Times New Roman"/>
          <w:color w:val="2E2D2C"/>
          <w:sz w:val="24"/>
          <w:szCs w:val="24"/>
          <w:highlight w:val="white"/>
        </w:rPr>
        <w:t>Vinters</w:t>
      </w:r>
      <w:proofErr w:type="spellEnd"/>
      <w:r>
        <w:rPr>
          <w:rFonts w:ascii="Times New Roman" w:eastAsia="Times New Roman" w:hAnsi="Times New Roman" w:cs="Times New Roman"/>
          <w:color w:val="2E2D2C"/>
          <w:sz w:val="24"/>
          <w:szCs w:val="24"/>
          <w:highlight w:val="white"/>
        </w:rPr>
        <w:t xml:space="preserve">. Retrieved from </w:t>
      </w:r>
      <w:hyperlink r:id="rId9">
        <w:r>
          <w:rPr>
            <w:rFonts w:ascii="Times New Roman" w:eastAsia="Times New Roman" w:hAnsi="Times New Roman" w:cs="Times New Roman"/>
            <w:color w:val="1155CC"/>
            <w:sz w:val="24"/>
            <w:szCs w:val="24"/>
            <w:highlight w:val="white"/>
            <w:u w:val="single"/>
          </w:rPr>
          <w:t xml:space="preserve">The Consumer Rights Act 2015, two years on… a seismic change in the business-to-consumer relationship? - Taylor </w:t>
        </w:r>
        <w:proofErr w:type="spellStart"/>
        <w:r>
          <w:rPr>
            <w:rFonts w:ascii="Times New Roman" w:eastAsia="Times New Roman" w:hAnsi="Times New Roman" w:cs="Times New Roman"/>
            <w:color w:val="1155CC"/>
            <w:sz w:val="24"/>
            <w:szCs w:val="24"/>
            <w:highlight w:val="white"/>
            <w:u w:val="single"/>
          </w:rPr>
          <w:t>Vinters</w:t>
        </w:r>
        <w:proofErr w:type="spellEnd"/>
      </w:hyperlink>
    </w:p>
    <w:p w14:paraId="620FCA16" w14:textId="77777777" w:rsidR="0074300D" w:rsidRDefault="00D1475E">
      <w:pPr>
        <w:spacing w:before="520" w:after="520" w:line="360" w:lineRule="auto"/>
        <w:jc w:val="both"/>
        <w:rPr>
          <w:rFonts w:ascii="Times New Roman" w:eastAsia="Times New Roman" w:hAnsi="Times New Roman" w:cs="Times New Roman"/>
          <w:color w:val="2E2D2C"/>
          <w:sz w:val="24"/>
          <w:szCs w:val="24"/>
          <w:highlight w:val="white"/>
        </w:rPr>
      </w:pPr>
      <w:r>
        <w:rPr>
          <w:rFonts w:ascii="Times New Roman" w:eastAsia="Times New Roman" w:hAnsi="Times New Roman" w:cs="Times New Roman"/>
          <w:color w:val="2E2D2C"/>
          <w:sz w:val="24"/>
          <w:szCs w:val="24"/>
          <w:highlight w:val="white"/>
        </w:rPr>
        <w:t>-</w:t>
      </w:r>
      <w:proofErr w:type="spellStart"/>
      <w:r>
        <w:rPr>
          <w:rFonts w:ascii="Times New Roman" w:eastAsia="Times New Roman" w:hAnsi="Times New Roman" w:cs="Times New Roman"/>
          <w:color w:val="2E2D2C"/>
          <w:sz w:val="24"/>
          <w:szCs w:val="24"/>
          <w:highlight w:val="white"/>
        </w:rPr>
        <w:t>FieldFisher</w:t>
      </w:r>
      <w:proofErr w:type="spellEnd"/>
      <w:r>
        <w:rPr>
          <w:rFonts w:ascii="Times New Roman" w:eastAsia="Times New Roman" w:hAnsi="Times New Roman" w:cs="Times New Roman"/>
          <w:color w:val="2E2D2C"/>
          <w:sz w:val="24"/>
          <w:szCs w:val="24"/>
          <w:highlight w:val="white"/>
        </w:rPr>
        <w:t xml:space="preserve">, 17 September 2017, Consumers Right Act 2015 What Has changed? Retrieved from </w:t>
      </w:r>
      <w:hyperlink r:id="rId10">
        <w:r>
          <w:rPr>
            <w:rFonts w:ascii="Times New Roman" w:eastAsia="Times New Roman" w:hAnsi="Times New Roman" w:cs="Times New Roman"/>
            <w:color w:val="1155CC"/>
            <w:sz w:val="24"/>
            <w:szCs w:val="24"/>
            <w:highlight w:val="white"/>
            <w:u w:val="single"/>
          </w:rPr>
          <w:t xml:space="preserve">Consumer Rights Act 2015: What has changed? | </w:t>
        </w:r>
        <w:proofErr w:type="spellStart"/>
        <w:r>
          <w:rPr>
            <w:rFonts w:ascii="Times New Roman" w:eastAsia="Times New Roman" w:hAnsi="Times New Roman" w:cs="Times New Roman"/>
            <w:color w:val="1155CC"/>
            <w:sz w:val="24"/>
            <w:szCs w:val="24"/>
            <w:highlight w:val="white"/>
            <w:u w:val="single"/>
          </w:rPr>
          <w:t>Fieldfisher</w:t>
        </w:r>
        <w:proofErr w:type="spellEnd"/>
      </w:hyperlink>
    </w:p>
    <w:p w14:paraId="12C890E7" w14:textId="77777777" w:rsidR="0074300D" w:rsidRDefault="0074300D">
      <w:pPr>
        <w:spacing w:before="520" w:after="520" w:line="360" w:lineRule="auto"/>
        <w:jc w:val="both"/>
        <w:rPr>
          <w:rFonts w:ascii="Times New Roman" w:eastAsia="Times New Roman" w:hAnsi="Times New Roman" w:cs="Times New Roman"/>
          <w:color w:val="2E2D2C"/>
          <w:sz w:val="24"/>
          <w:szCs w:val="24"/>
          <w:highlight w:val="white"/>
        </w:rPr>
      </w:pPr>
    </w:p>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9360"/>
      </w:tblGrid>
      <w:tr w:rsidR="0074300D" w14:paraId="41C280E2" w14:textId="77777777">
        <w:trPr>
          <w:trHeight w:val="470"/>
        </w:trPr>
        <w:tc>
          <w:tcPr>
            <w:tcW w:w="9360" w:type="dxa"/>
            <w:tcBorders>
              <w:top w:val="nil"/>
              <w:left w:val="nil"/>
              <w:bottom w:val="nil"/>
              <w:right w:val="nil"/>
            </w:tcBorders>
            <w:tcMar>
              <w:top w:w="100" w:type="dxa"/>
              <w:left w:w="100" w:type="dxa"/>
              <w:bottom w:w="100" w:type="dxa"/>
              <w:right w:w="100" w:type="dxa"/>
            </w:tcMar>
          </w:tcPr>
          <w:p w14:paraId="336B9867" w14:textId="77777777" w:rsidR="0074300D" w:rsidRDefault="0074300D">
            <w:pPr>
              <w:widowControl w:val="0"/>
              <w:pBdr>
                <w:top w:val="nil"/>
                <w:left w:val="nil"/>
                <w:bottom w:val="nil"/>
                <w:right w:val="nil"/>
                <w:between w:val="nil"/>
              </w:pBdr>
              <w:rPr>
                <w:sz w:val="21"/>
                <w:szCs w:val="21"/>
                <w:highlight w:val="white"/>
              </w:rPr>
            </w:pPr>
          </w:p>
        </w:tc>
      </w:tr>
    </w:tbl>
    <w:p w14:paraId="5DD7334B" w14:textId="77777777" w:rsidR="0074300D" w:rsidRDefault="0074300D">
      <w:pPr>
        <w:spacing w:before="520" w:after="520" w:line="360" w:lineRule="auto"/>
        <w:jc w:val="both"/>
        <w:rPr>
          <w:rFonts w:ascii="Times New Roman" w:eastAsia="Times New Roman" w:hAnsi="Times New Roman" w:cs="Times New Roman"/>
          <w:color w:val="2E2D2C"/>
          <w:sz w:val="24"/>
          <w:szCs w:val="24"/>
          <w:highlight w:val="white"/>
        </w:rPr>
      </w:pPr>
    </w:p>
    <w:tbl>
      <w:tblPr>
        <w:tblStyle w:val="a2"/>
        <w:tblW w:w="9360" w:type="dxa"/>
        <w:tblBorders>
          <w:top w:val="nil"/>
          <w:left w:val="nil"/>
          <w:bottom w:val="nil"/>
          <w:right w:val="nil"/>
          <w:insideH w:val="nil"/>
          <w:insideV w:val="nil"/>
        </w:tblBorders>
        <w:tblLayout w:type="fixed"/>
        <w:tblLook w:val="0600" w:firstRow="0" w:lastRow="0" w:firstColumn="0" w:lastColumn="0" w:noHBand="1" w:noVBand="1"/>
      </w:tblPr>
      <w:tblGrid>
        <w:gridCol w:w="9360"/>
      </w:tblGrid>
      <w:tr w:rsidR="0074300D" w14:paraId="24DDC0E1" w14:textId="77777777">
        <w:trPr>
          <w:trHeight w:val="470"/>
        </w:trPr>
        <w:tc>
          <w:tcPr>
            <w:tcW w:w="9360" w:type="dxa"/>
            <w:tcBorders>
              <w:top w:val="nil"/>
              <w:left w:val="nil"/>
              <w:bottom w:val="nil"/>
              <w:right w:val="nil"/>
            </w:tcBorders>
            <w:tcMar>
              <w:top w:w="100" w:type="dxa"/>
              <w:left w:w="100" w:type="dxa"/>
              <w:bottom w:w="100" w:type="dxa"/>
              <w:right w:w="100" w:type="dxa"/>
            </w:tcMar>
          </w:tcPr>
          <w:p w14:paraId="23D7B23E" w14:textId="77777777" w:rsidR="0074300D" w:rsidRDefault="0074300D">
            <w:pPr>
              <w:widowControl w:val="0"/>
              <w:pBdr>
                <w:top w:val="nil"/>
                <w:left w:val="nil"/>
                <w:bottom w:val="nil"/>
                <w:right w:val="nil"/>
                <w:between w:val="nil"/>
              </w:pBdr>
              <w:rPr>
                <w:sz w:val="21"/>
                <w:szCs w:val="21"/>
                <w:highlight w:val="white"/>
              </w:rPr>
            </w:pPr>
          </w:p>
        </w:tc>
      </w:tr>
    </w:tbl>
    <w:p w14:paraId="6A3D2EBC" w14:textId="77777777" w:rsidR="0074300D" w:rsidRDefault="0074300D">
      <w:pPr>
        <w:spacing w:before="520" w:after="520" w:line="360" w:lineRule="auto"/>
        <w:jc w:val="both"/>
        <w:rPr>
          <w:rFonts w:ascii="Times New Roman" w:eastAsia="Times New Roman" w:hAnsi="Times New Roman" w:cs="Times New Roman"/>
          <w:color w:val="2E2D2C"/>
          <w:sz w:val="24"/>
          <w:szCs w:val="24"/>
          <w:highlight w:val="white"/>
        </w:rPr>
      </w:pPr>
    </w:p>
    <w:p w14:paraId="4836C893" w14:textId="77777777" w:rsidR="0074300D" w:rsidRDefault="0074300D">
      <w:pPr>
        <w:spacing w:before="520" w:after="520" w:line="360" w:lineRule="auto"/>
        <w:jc w:val="both"/>
        <w:rPr>
          <w:rFonts w:ascii="Times New Roman" w:eastAsia="Times New Roman" w:hAnsi="Times New Roman" w:cs="Times New Roman"/>
          <w:color w:val="2E2D2C"/>
          <w:sz w:val="24"/>
          <w:szCs w:val="24"/>
          <w:highlight w:val="white"/>
        </w:rPr>
      </w:pPr>
    </w:p>
    <w:p w14:paraId="78B986EA" w14:textId="77777777" w:rsidR="0074300D" w:rsidRDefault="0074300D">
      <w:pPr>
        <w:spacing w:before="520" w:after="520" w:line="360" w:lineRule="auto"/>
        <w:jc w:val="both"/>
        <w:rPr>
          <w:rFonts w:ascii="Times New Roman" w:eastAsia="Times New Roman" w:hAnsi="Times New Roman" w:cs="Times New Roman"/>
          <w:color w:val="2E2D2C"/>
          <w:sz w:val="24"/>
          <w:szCs w:val="24"/>
          <w:highlight w:val="white"/>
        </w:rPr>
      </w:pPr>
    </w:p>
    <w:p w14:paraId="0079C535" w14:textId="77777777" w:rsidR="0074300D" w:rsidRDefault="0074300D">
      <w:pPr>
        <w:spacing w:after="240" w:line="360" w:lineRule="auto"/>
        <w:jc w:val="both"/>
        <w:rPr>
          <w:rFonts w:ascii="Times New Roman" w:eastAsia="Times New Roman" w:hAnsi="Times New Roman" w:cs="Times New Roman"/>
          <w:color w:val="2E2D2C"/>
          <w:sz w:val="24"/>
          <w:szCs w:val="24"/>
          <w:highlight w:val="white"/>
        </w:rPr>
      </w:pPr>
    </w:p>
    <w:p w14:paraId="5A8F4204" w14:textId="77777777" w:rsidR="0074300D" w:rsidRDefault="0074300D">
      <w:pPr>
        <w:spacing w:after="240" w:line="360" w:lineRule="auto"/>
        <w:jc w:val="both"/>
        <w:rPr>
          <w:rFonts w:ascii="Times New Roman" w:eastAsia="Times New Roman" w:hAnsi="Times New Roman" w:cs="Times New Roman"/>
          <w:b/>
          <w:color w:val="2E2D2C"/>
          <w:sz w:val="24"/>
          <w:szCs w:val="24"/>
          <w:highlight w:val="white"/>
        </w:rPr>
      </w:pPr>
    </w:p>
    <w:p w14:paraId="44E48366" w14:textId="77777777" w:rsidR="0074300D" w:rsidRDefault="0074300D">
      <w:pPr>
        <w:spacing w:after="240" w:line="360" w:lineRule="auto"/>
        <w:jc w:val="both"/>
        <w:rPr>
          <w:rFonts w:ascii="Times New Roman" w:eastAsia="Times New Roman" w:hAnsi="Times New Roman" w:cs="Times New Roman"/>
          <w:color w:val="2E2D2C"/>
          <w:sz w:val="24"/>
          <w:szCs w:val="24"/>
          <w:highlight w:val="white"/>
        </w:rPr>
      </w:pPr>
    </w:p>
    <w:p w14:paraId="0D91AD3C" w14:textId="77777777" w:rsidR="0074300D" w:rsidRDefault="0074300D">
      <w:pPr>
        <w:spacing w:after="240"/>
        <w:jc w:val="both"/>
        <w:rPr>
          <w:rFonts w:ascii="Times New Roman" w:eastAsia="Times New Roman" w:hAnsi="Times New Roman" w:cs="Times New Roman"/>
          <w:color w:val="2E2D2C"/>
          <w:sz w:val="24"/>
          <w:szCs w:val="24"/>
        </w:rPr>
      </w:pPr>
    </w:p>
    <w:p w14:paraId="28AF8DB9" w14:textId="77777777" w:rsidR="0074300D" w:rsidRDefault="0074300D">
      <w:pPr>
        <w:jc w:val="both"/>
        <w:rPr>
          <w:rFonts w:ascii="Times New Roman" w:eastAsia="Times New Roman" w:hAnsi="Times New Roman" w:cs="Times New Roman"/>
          <w:sz w:val="24"/>
          <w:szCs w:val="24"/>
        </w:rPr>
      </w:pPr>
    </w:p>
    <w:p w14:paraId="71DCAB26" w14:textId="77777777" w:rsidR="0074300D" w:rsidRDefault="0074300D">
      <w:pPr>
        <w:jc w:val="both"/>
        <w:rPr>
          <w:rFonts w:ascii="Times New Roman" w:eastAsia="Times New Roman" w:hAnsi="Times New Roman" w:cs="Times New Roman"/>
          <w:sz w:val="24"/>
          <w:szCs w:val="24"/>
        </w:rPr>
      </w:pPr>
    </w:p>
    <w:p w14:paraId="399ED2CE" w14:textId="77777777" w:rsidR="0074300D" w:rsidRDefault="0074300D">
      <w:pPr>
        <w:rPr>
          <w:rFonts w:ascii="Times New Roman" w:eastAsia="Times New Roman" w:hAnsi="Times New Roman" w:cs="Times New Roman"/>
          <w:b/>
          <w:sz w:val="24"/>
          <w:szCs w:val="24"/>
          <w:u w:val="single"/>
        </w:rPr>
      </w:pPr>
    </w:p>
    <w:p w14:paraId="1D0A085F" w14:textId="77777777" w:rsidR="0074300D" w:rsidRDefault="0074300D">
      <w:pPr>
        <w:rPr>
          <w:rFonts w:ascii="Times New Roman" w:eastAsia="Times New Roman" w:hAnsi="Times New Roman" w:cs="Times New Roman"/>
          <w:b/>
          <w:sz w:val="24"/>
          <w:szCs w:val="24"/>
          <w:u w:val="single"/>
        </w:rPr>
      </w:pPr>
    </w:p>
    <w:p w14:paraId="24EFEEB1" w14:textId="77777777" w:rsidR="0074300D" w:rsidRDefault="0074300D">
      <w:pPr>
        <w:jc w:val="center"/>
        <w:rPr>
          <w:rFonts w:ascii="Times New Roman" w:eastAsia="Times New Roman" w:hAnsi="Times New Roman" w:cs="Times New Roman"/>
          <w:b/>
          <w:sz w:val="28"/>
          <w:szCs w:val="28"/>
        </w:rPr>
      </w:pPr>
    </w:p>
    <w:p w14:paraId="23A4CF66" w14:textId="77777777" w:rsidR="0074300D" w:rsidRDefault="0074300D">
      <w:pPr>
        <w:jc w:val="center"/>
        <w:rPr>
          <w:rFonts w:ascii="Times New Roman" w:eastAsia="Times New Roman" w:hAnsi="Times New Roman" w:cs="Times New Roman"/>
          <w:b/>
          <w:sz w:val="28"/>
          <w:szCs w:val="28"/>
        </w:rPr>
      </w:pPr>
    </w:p>
    <w:p w14:paraId="04B54065" w14:textId="77777777" w:rsidR="0074300D" w:rsidRDefault="0074300D">
      <w:pPr>
        <w:jc w:val="center"/>
        <w:rPr>
          <w:rFonts w:ascii="Times New Roman" w:eastAsia="Times New Roman" w:hAnsi="Times New Roman" w:cs="Times New Roman"/>
          <w:b/>
          <w:sz w:val="28"/>
          <w:szCs w:val="28"/>
        </w:rPr>
      </w:pPr>
    </w:p>
    <w:p w14:paraId="387408FB" w14:textId="77777777" w:rsidR="0074300D" w:rsidRDefault="0074300D">
      <w:pPr>
        <w:jc w:val="center"/>
        <w:rPr>
          <w:rFonts w:ascii="Times New Roman" w:eastAsia="Times New Roman" w:hAnsi="Times New Roman" w:cs="Times New Roman"/>
          <w:b/>
          <w:sz w:val="28"/>
          <w:szCs w:val="28"/>
        </w:rPr>
      </w:pPr>
    </w:p>
    <w:p w14:paraId="5689580E" w14:textId="77777777" w:rsidR="0074300D" w:rsidRDefault="0074300D">
      <w:pPr>
        <w:jc w:val="center"/>
        <w:rPr>
          <w:rFonts w:ascii="Times New Roman" w:eastAsia="Times New Roman" w:hAnsi="Times New Roman" w:cs="Times New Roman"/>
          <w:b/>
          <w:sz w:val="28"/>
          <w:szCs w:val="28"/>
        </w:rPr>
      </w:pPr>
    </w:p>
    <w:p w14:paraId="6E03E6E0" w14:textId="77777777" w:rsidR="0074300D" w:rsidRDefault="0074300D">
      <w:pPr>
        <w:jc w:val="center"/>
        <w:rPr>
          <w:rFonts w:ascii="Times New Roman" w:eastAsia="Times New Roman" w:hAnsi="Times New Roman" w:cs="Times New Roman"/>
          <w:b/>
          <w:sz w:val="28"/>
          <w:szCs w:val="28"/>
        </w:rPr>
      </w:pPr>
    </w:p>
    <w:p w14:paraId="26BD1EC1" w14:textId="77777777" w:rsidR="0074300D" w:rsidRDefault="0074300D">
      <w:pPr>
        <w:jc w:val="center"/>
        <w:rPr>
          <w:rFonts w:ascii="Times New Roman" w:eastAsia="Times New Roman" w:hAnsi="Times New Roman" w:cs="Times New Roman"/>
          <w:b/>
          <w:sz w:val="28"/>
          <w:szCs w:val="28"/>
        </w:rPr>
      </w:pPr>
    </w:p>
    <w:p w14:paraId="4051A3DC" w14:textId="77777777" w:rsidR="0074300D" w:rsidRDefault="0074300D">
      <w:pPr>
        <w:jc w:val="center"/>
        <w:rPr>
          <w:rFonts w:ascii="Times New Roman" w:eastAsia="Times New Roman" w:hAnsi="Times New Roman" w:cs="Times New Roman"/>
          <w:b/>
          <w:sz w:val="28"/>
          <w:szCs w:val="28"/>
        </w:rPr>
      </w:pPr>
    </w:p>
    <w:sectPr w:rsidR="0074300D">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9E779" w14:textId="77777777" w:rsidR="00000000" w:rsidRDefault="00D1475E">
      <w:pPr>
        <w:spacing w:line="240" w:lineRule="auto"/>
      </w:pPr>
      <w:r>
        <w:separator/>
      </w:r>
    </w:p>
  </w:endnote>
  <w:endnote w:type="continuationSeparator" w:id="0">
    <w:p w14:paraId="5A7B3B5A" w14:textId="77777777" w:rsidR="00000000" w:rsidRDefault="00D147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AEE94" w14:textId="77777777" w:rsidR="0074300D" w:rsidRDefault="00D1475E">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F31C00" w14:textId="77777777" w:rsidR="00000000" w:rsidRDefault="00D1475E">
      <w:pPr>
        <w:spacing w:line="240" w:lineRule="auto"/>
      </w:pPr>
      <w:r>
        <w:separator/>
      </w:r>
    </w:p>
  </w:footnote>
  <w:footnote w:type="continuationSeparator" w:id="0">
    <w:p w14:paraId="3816A0BA" w14:textId="77777777" w:rsidR="00000000" w:rsidRDefault="00D147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351FB"/>
    <w:multiLevelType w:val="multilevel"/>
    <w:tmpl w:val="9FF05F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03A3645"/>
    <w:multiLevelType w:val="multilevel"/>
    <w:tmpl w:val="89C6EE10"/>
    <w:lvl w:ilvl="0">
      <w:start w:val="1"/>
      <w:numFmt w:val="bullet"/>
      <w:lvlText w:val="●"/>
      <w:lvlJc w:val="left"/>
      <w:pPr>
        <w:ind w:left="720" w:hanging="360"/>
      </w:pPr>
      <w:rPr>
        <w:rFonts w:ascii="Arial" w:eastAsia="Arial" w:hAnsi="Arial" w:cs="Arial"/>
        <w:color w:val="2E2D2C"/>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FB5A20"/>
    <w:multiLevelType w:val="multilevel"/>
    <w:tmpl w:val="9E18928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48FB0F87"/>
    <w:multiLevelType w:val="multilevel"/>
    <w:tmpl w:val="A8F43F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7334D0E"/>
    <w:multiLevelType w:val="multilevel"/>
    <w:tmpl w:val="CBE6B3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300D"/>
    <w:rsid w:val="0074300D"/>
    <w:rsid w:val="00D1475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913D4"/>
  <w15:docId w15:val="{0AD5DE4F-83C4-4AD2-8553-DB70451DA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2">
    <w:basedOn w:val="TableNormal"/>
    <w:tblPr>
      <w:tblStyleRowBandSize w:val="1"/>
      <w:tblStyleColBandSize w:val="1"/>
      <w:tblCellMar>
        <w:top w:w="100" w:type="dxa"/>
        <w:left w:w="100" w:type="dxa"/>
        <w:bottom w:w="100" w:type="dxa"/>
        <w:right w:w="100" w:type="dxa"/>
      </w:tblCellMar>
    </w:tblPr>
    <w:tcPr>
      <w:shd w:val="clear" w:color="auto" w:fill="FFFFFF"/>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fieldfisher.com/en/insights/consumer-rights-act-2015-what-has-changed" TargetMode="External"/><Relationship Id="rId4" Type="http://schemas.openxmlformats.org/officeDocument/2006/relationships/webSettings" Target="webSettings.xml"/><Relationship Id="rId9" Type="http://schemas.openxmlformats.org/officeDocument/2006/relationships/hyperlink" Target="https://www.taylorvinters.com/article/the-consumer-rights-act-2015-two-years-on-a-seismic-change-in-the-business-to-consumer-relation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2267</Words>
  <Characters>12922</Characters>
  <Application>Microsoft Office Word</Application>
  <DocSecurity>0</DocSecurity>
  <Lines>107</Lines>
  <Paragraphs>30</Paragraphs>
  <ScaleCrop>false</ScaleCrop>
  <Company>University of Wales Trinity Saint David</Company>
  <LinksUpToDate>false</LinksUpToDate>
  <CharactersWithSpaces>15159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Laura Knight</cp:lastModifiedBy>
  <cp:revision>2</cp:revision>
  <dcterms:created xsi:type="dcterms:W3CDTF">2022-05-10T09:53:00Z</dcterms:created>
  <dcterms:modified xsi:type="dcterms:W3CDTF">2022-05-10T09:53:00Z</dcterms:modified>
</cp:coreProperties>
</file>