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6F3C2" w14:textId="77777777" w:rsidR="002410E8" w:rsidRPr="00474640" w:rsidRDefault="002410E8" w:rsidP="002410E8">
      <w:pPr>
        <w:pStyle w:val="Title"/>
        <w:jc w:val="both"/>
        <w:rPr>
          <w:rFonts w:ascii="Arial" w:hAnsi="Arial" w:cs="Arial"/>
        </w:rPr>
      </w:pPr>
    </w:p>
    <w:p w14:paraId="40AD63DE" w14:textId="68B1F5A1" w:rsidR="004B7FBF" w:rsidRPr="00474640" w:rsidRDefault="00000000" w:rsidP="002410E8">
      <w:pPr>
        <w:jc w:val="center"/>
        <w:rPr>
          <w:rFonts w:cs="Arial"/>
          <w:b/>
          <w:bCs/>
          <w:sz w:val="28"/>
          <w:szCs w:val="28"/>
        </w:rPr>
      </w:pPr>
      <w:r w:rsidRPr="00474640">
        <w:rPr>
          <w:rFonts w:cs="Arial"/>
          <w:b/>
          <w:bCs/>
          <w:sz w:val="28"/>
          <w:szCs w:val="28"/>
        </w:rPr>
        <w:t>Student name:</w:t>
      </w:r>
      <w:r w:rsidR="00A430B2">
        <w:rPr>
          <w:rFonts w:cs="Arial"/>
          <w:b/>
          <w:bCs/>
          <w:sz w:val="28"/>
          <w:szCs w:val="28"/>
        </w:rPr>
        <w:t xml:space="preserve"> Anisah Bi</w:t>
      </w:r>
    </w:p>
    <w:p w14:paraId="56DD1736" w14:textId="69BD0674" w:rsidR="004B7FBF" w:rsidRPr="00474640" w:rsidRDefault="00000000" w:rsidP="002410E8">
      <w:pPr>
        <w:jc w:val="center"/>
        <w:rPr>
          <w:rFonts w:cs="Arial"/>
          <w:b/>
          <w:bCs/>
          <w:sz w:val="28"/>
          <w:szCs w:val="28"/>
        </w:rPr>
      </w:pPr>
      <w:r w:rsidRPr="00474640">
        <w:rPr>
          <w:rFonts w:cs="Arial"/>
          <w:b/>
          <w:bCs/>
          <w:sz w:val="28"/>
          <w:szCs w:val="28"/>
        </w:rPr>
        <w:t>Student number:</w:t>
      </w:r>
      <w:r w:rsidR="00A430B2">
        <w:rPr>
          <w:rFonts w:cs="Arial"/>
          <w:b/>
          <w:bCs/>
          <w:sz w:val="28"/>
          <w:szCs w:val="28"/>
        </w:rPr>
        <w:t xml:space="preserve"> 2432005</w:t>
      </w:r>
    </w:p>
    <w:p w14:paraId="7AD04B1B" w14:textId="77777777" w:rsidR="004B7FBF" w:rsidRPr="00474640" w:rsidRDefault="00000000" w:rsidP="002410E8">
      <w:pPr>
        <w:jc w:val="center"/>
        <w:rPr>
          <w:rFonts w:cs="Arial"/>
          <w:b/>
          <w:bCs/>
          <w:sz w:val="28"/>
          <w:szCs w:val="28"/>
        </w:rPr>
      </w:pPr>
      <w:r w:rsidRPr="00474640">
        <w:rPr>
          <w:rFonts w:cs="Arial"/>
          <w:b/>
          <w:bCs/>
          <w:sz w:val="28"/>
          <w:szCs w:val="28"/>
        </w:rPr>
        <w:t>Module code: BMHP5021</w:t>
      </w:r>
    </w:p>
    <w:p w14:paraId="23DE3881" w14:textId="34F4FD68" w:rsidR="004B7FBF" w:rsidRPr="00474640" w:rsidRDefault="00000000" w:rsidP="002410E8">
      <w:pPr>
        <w:jc w:val="center"/>
        <w:rPr>
          <w:rFonts w:cs="Arial"/>
          <w:b/>
          <w:bCs/>
          <w:sz w:val="28"/>
          <w:szCs w:val="28"/>
        </w:rPr>
      </w:pPr>
      <w:r w:rsidRPr="00474640">
        <w:rPr>
          <w:rFonts w:cs="Arial"/>
          <w:b/>
          <w:bCs/>
          <w:sz w:val="28"/>
          <w:szCs w:val="28"/>
        </w:rPr>
        <w:t>Module title:</w:t>
      </w:r>
      <w:r w:rsidR="00A430B2">
        <w:rPr>
          <w:rFonts w:cs="Arial"/>
          <w:b/>
          <w:bCs/>
          <w:sz w:val="28"/>
          <w:szCs w:val="28"/>
        </w:rPr>
        <w:t xml:space="preserve"> Protecting and Supporting Families in Health and Social Care</w:t>
      </w:r>
    </w:p>
    <w:p w14:paraId="1F2A83B5" w14:textId="2BD7BBFF" w:rsidR="004B7FBF" w:rsidRDefault="00000000" w:rsidP="002410E8">
      <w:pPr>
        <w:jc w:val="center"/>
        <w:rPr>
          <w:rFonts w:cs="Arial"/>
          <w:b/>
          <w:bCs/>
          <w:sz w:val="28"/>
          <w:szCs w:val="28"/>
        </w:rPr>
      </w:pPr>
      <w:r w:rsidRPr="00474640">
        <w:rPr>
          <w:rFonts w:cs="Arial"/>
          <w:b/>
          <w:bCs/>
          <w:sz w:val="28"/>
          <w:szCs w:val="28"/>
        </w:rPr>
        <w:t>Assignment: Component 1 Round the Table Group Discussion</w:t>
      </w:r>
    </w:p>
    <w:p w14:paraId="47713D82" w14:textId="58770C7C" w:rsidR="00D153B3" w:rsidRDefault="00D153B3" w:rsidP="00D153B3">
      <w:pPr>
        <w:rPr>
          <w:rFonts w:cs="Arial"/>
          <w:b/>
          <w:bCs/>
          <w:sz w:val="28"/>
          <w:szCs w:val="28"/>
        </w:rPr>
      </w:pPr>
    </w:p>
    <w:p w14:paraId="5BD04A64" w14:textId="77777777" w:rsidR="00D153B3" w:rsidRPr="00474640" w:rsidRDefault="00D153B3" w:rsidP="002410E8">
      <w:pPr>
        <w:jc w:val="center"/>
        <w:rPr>
          <w:rFonts w:cs="Arial"/>
          <w:b/>
          <w:bCs/>
          <w:sz w:val="28"/>
          <w:szCs w:val="28"/>
        </w:rPr>
      </w:pPr>
    </w:p>
    <w:p w14:paraId="67421A4B" w14:textId="4F3CFFD3" w:rsidR="00344477" w:rsidRPr="002A50BF" w:rsidRDefault="00000000" w:rsidP="002410E8">
      <w:pPr>
        <w:jc w:val="both"/>
        <w:rPr>
          <w:rFonts w:cs="Arial"/>
        </w:rPr>
      </w:pPr>
      <w:r w:rsidRPr="00474640">
        <w:rPr>
          <w:rFonts w:cs="Arial"/>
        </w:rPr>
        <w:br w:type="page"/>
      </w:r>
      <w:r w:rsidR="00344477" w:rsidRPr="00474640">
        <w:rPr>
          <w:rFonts w:cs="Arial"/>
          <w:b/>
          <w:bCs/>
        </w:rPr>
        <w:lastRenderedPageBreak/>
        <w:t xml:space="preserve">References </w:t>
      </w:r>
    </w:p>
    <w:p w14:paraId="1F346381" w14:textId="0BB1477E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Chambers, D., Cantrell, A. and Booth, A. (2021) “Recognition of risk and prevention in safeguarding of children and young people: A mapping review and component analysis of service development interventions aimed at health and social care professionals,” </w:t>
      </w:r>
      <w:r w:rsidRPr="00474640">
        <w:rPr>
          <w:rFonts w:ascii="Arial" w:hAnsi="Arial" w:cs="Arial"/>
          <w:i/>
          <w:iCs/>
          <w:sz w:val="22"/>
          <w:szCs w:val="22"/>
        </w:rPr>
        <w:t>BMC Health Services Research</w:t>
      </w:r>
      <w:r w:rsidRPr="00474640">
        <w:rPr>
          <w:rFonts w:ascii="Arial" w:hAnsi="Arial" w:cs="Arial"/>
          <w:sz w:val="22"/>
          <w:szCs w:val="22"/>
        </w:rPr>
        <w:t>, 21(1). Available at: https://doi.org/https://doi.org/10.1186/s12913-021-07257-8.</w:t>
      </w:r>
    </w:p>
    <w:p w14:paraId="37DA19DD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Chang, X., Jiang, X., </w:t>
      </w:r>
      <w:proofErr w:type="spellStart"/>
      <w:r w:rsidRPr="00474640">
        <w:rPr>
          <w:rFonts w:ascii="Arial" w:hAnsi="Arial" w:cs="Arial"/>
          <w:sz w:val="22"/>
          <w:szCs w:val="22"/>
        </w:rPr>
        <w:t>Mkandarwire</w:t>
      </w:r>
      <w:proofErr w:type="spellEnd"/>
      <w:r w:rsidRPr="00474640">
        <w:rPr>
          <w:rFonts w:ascii="Arial" w:hAnsi="Arial" w:cs="Arial"/>
          <w:sz w:val="22"/>
          <w:szCs w:val="22"/>
        </w:rPr>
        <w:t xml:space="preserve">, T. and Shen, M. (2019) “Associations between adverse childhood experiences and health outcomes in adults aged 18–59 years,” </w:t>
      </w:r>
      <w:r w:rsidRPr="00474640">
        <w:rPr>
          <w:rFonts w:ascii="Arial" w:hAnsi="Arial" w:cs="Arial"/>
          <w:i/>
          <w:iCs/>
          <w:sz w:val="22"/>
          <w:szCs w:val="22"/>
        </w:rPr>
        <w:t>PLOS ONE</w:t>
      </w:r>
      <w:r w:rsidRPr="00474640">
        <w:rPr>
          <w:rFonts w:ascii="Arial" w:hAnsi="Arial" w:cs="Arial"/>
          <w:sz w:val="22"/>
          <w:szCs w:val="22"/>
        </w:rPr>
        <w:t>. Edited by S. Seedat, 14(2). Available at: https://doi.org/10.1371/journal.pone.0211850.</w:t>
      </w:r>
    </w:p>
    <w:p w14:paraId="451F107F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Department for Education (2015) </w:t>
      </w:r>
      <w:r w:rsidRPr="00474640">
        <w:rPr>
          <w:rFonts w:ascii="Arial" w:hAnsi="Arial" w:cs="Arial"/>
          <w:i/>
          <w:iCs/>
          <w:sz w:val="22"/>
          <w:szCs w:val="22"/>
        </w:rPr>
        <w:t>Information sharing to safeguard children and young people</w:t>
      </w:r>
      <w:r w:rsidRPr="00474640">
        <w:rPr>
          <w:rFonts w:ascii="Arial" w:hAnsi="Arial" w:cs="Arial"/>
          <w:sz w:val="22"/>
          <w:szCs w:val="22"/>
        </w:rPr>
        <w:t xml:space="preserve">, </w:t>
      </w:r>
      <w:r w:rsidRPr="00474640">
        <w:rPr>
          <w:rFonts w:ascii="Arial" w:hAnsi="Arial" w:cs="Arial"/>
          <w:i/>
          <w:iCs/>
          <w:sz w:val="22"/>
          <w:szCs w:val="22"/>
        </w:rPr>
        <w:t>GOV.UK</w:t>
      </w:r>
      <w:r w:rsidRPr="00474640">
        <w:rPr>
          <w:rFonts w:ascii="Arial" w:hAnsi="Arial" w:cs="Arial"/>
          <w:sz w:val="22"/>
          <w:szCs w:val="22"/>
        </w:rPr>
        <w:t>. Available at: https://www.gov.uk/government/publications/information-sharing-to-safeguard-children-and-young-people (Accessed: October 4, 2026).</w:t>
      </w:r>
    </w:p>
    <w:p w14:paraId="53C8B07A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GOV.UK (1989) </w:t>
      </w:r>
      <w:r w:rsidRPr="00474640">
        <w:rPr>
          <w:rFonts w:ascii="Arial" w:hAnsi="Arial" w:cs="Arial"/>
          <w:i/>
          <w:iCs/>
          <w:sz w:val="22"/>
          <w:szCs w:val="22"/>
        </w:rPr>
        <w:t>Children act 1989</w:t>
      </w:r>
      <w:r w:rsidRPr="00474640">
        <w:rPr>
          <w:rFonts w:ascii="Arial" w:hAnsi="Arial" w:cs="Arial"/>
          <w:sz w:val="22"/>
          <w:szCs w:val="22"/>
        </w:rPr>
        <w:t xml:space="preserve">, </w:t>
      </w:r>
      <w:r w:rsidRPr="00474640">
        <w:rPr>
          <w:rFonts w:ascii="Arial" w:hAnsi="Arial" w:cs="Arial"/>
          <w:i/>
          <w:iCs/>
          <w:sz w:val="22"/>
          <w:szCs w:val="22"/>
        </w:rPr>
        <w:t>Legislation.gov.uk</w:t>
      </w:r>
      <w:r w:rsidRPr="00474640">
        <w:rPr>
          <w:rFonts w:ascii="Arial" w:hAnsi="Arial" w:cs="Arial"/>
          <w:sz w:val="22"/>
          <w:szCs w:val="22"/>
        </w:rPr>
        <w:t>. Available at: https://www.legislation.gov.uk/ukpga/1989/41/section/47 (Accessed: October 4, 2026).</w:t>
      </w:r>
    </w:p>
    <w:p w14:paraId="55271814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Green, C. (2023) </w:t>
      </w:r>
      <w:r w:rsidRPr="00474640">
        <w:rPr>
          <w:rFonts w:ascii="Arial" w:hAnsi="Arial" w:cs="Arial"/>
          <w:i/>
          <w:iCs/>
          <w:sz w:val="22"/>
          <w:szCs w:val="22"/>
        </w:rPr>
        <w:t>Child Safeguarding Practice Review Overview Report: Child F</w:t>
      </w:r>
      <w:r w:rsidRPr="00474640">
        <w:rPr>
          <w:rFonts w:ascii="Arial" w:hAnsi="Arial" w:cs="Arial"/>
          <w:sz w:val="22"/>
          <w:szCs w:val="22"/>
        </w:rPr>
        <w:t>. NSPCC Learning. Available at: https://learning.nspcc.org.uk/research-resources/2022/child-safeguarding-practice-review-panel-annual-report-2021-caspar-briefing (Accessed: October 4, 2026).</w:t>
      </w:r>
    </w:p>
    <w:p w14:paraId="57D39659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Kumah, A., Zon, J., Obot, E., Yaw, T.K., </w:t>
      </w:r>
      <w:proofErr w:type="spellStart"/>
      <w:r w:rsidRPr="00474640">
        <w:rPr>
          <w:rFonts w:ascii="Arial" w:hAnsi="Arial" w:cs="Arial"/>
          <w:sz w:val="22"/>
          <w:szCs w:val="22"/>
        </w:rPr>
        <w:t>Nketsiah</w:t>
      </w:r>
      <w:proofErr w:type="spellEnd"/>
      <w:r w:rsidRPr="00474640">
        <w:rPr>
          <w:rFonts w:ascii="Arial" w:hAnsi="Arial" w:cs="Arial"/>
          <w:sz w:val="22"/>
          <w:szCs w:val="22"/>
        </w:rPr>
        <w:t xml:space="preserve">, E. and Bobie, S.A. (2024) “Using incident reporting systems to improve patient safety and quality of care,” </w:t>
      </w:r>
      <w:r w:rsidRPr="00474640">
        <w:rPr>
          <w:rFonts w:ascii="Arial" w:hAnsi="Arial" w:cs="Arial"/>
          <w:i/>
          <w:iCs/>
          <w:sz w:val="22"/>
          <w:szCs w:val="22"/>
        </w:rPr>
        <w:t>Global Journal on Quality and Safety in Healthcare</w:t>
      </w:r>
      <w:r w:rsidRPr="00474640">
        <w:rPr>
          <w:rFonts w:ascii="Arial" w:hAnsi="Arial" w:cs="Arial"/>
          <w:sz w:val="22"/>
          <w:szCs w:val="22"/>
        </w:rPr>
        <w:t>, 7(4). Available at: https://doi.org/10.36401/jqsh-23-39.</w:t>
      </w:r>
    </w:p>
    <w:p w14:paraId="6B3BC16D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Maxwell, N. (2024) “‘Shove that. There’s always hope’: Young people’s lived experience of child criminal exploitation,” </w:t>
      </w:r>
      <w:r w:rsidRPr="00474640">
        <w:rPr>
          <w:rFonts w:ascii="Arial" w:hAnsi="Arial" w:cs="Arial"/>
          <w:i/>
          <w:iCs/>
          <w:sz w:val="22"/>
          <w:szCs w:val="22"/>
        </w:rPr>
        <w:t>Journal of Youth Studies</w:t>
      </w:r>
      <w:r w:rsidRPr="00474640">
        <w:rPr>
          <w:rFonts w:ascii="Arial" w:hAnsi="Arial" w:cs="Arial"/>
          <w:sz w:val="22"/>
          <w:szCs w:val="22"/>
        </w:rPr>
        <w:t>, 29(1), pp. 54–70. Available at: https://doi.org/10.1080/13676261.2024.2397025.</w:t>
      </w:r>
    </w:p>
    <w:p w14:paraId="6E785E6B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Slack, K.S., Holl, J.L., McDaniel, M., Yoo, J. and Bolger, K. (2004) “Understanding the risks of child neglect: An exploration of poverty and parenting characteristics,” </w:t>
      </w:r>
      <w:r w:rsidRPr="00474640">
        <w:rPr>
          <w:rFonts w:ascii="Arial" w:hAnsi="Arial" w:cs="Arial"/>
          <w:i/>
          <w:iCs/>
          <w:sz w:val="22"/>
          <w:szCs w:val="22"/>
        </w:rPr>
        <w:t xml:space="preserve">Child </w:t>
      </w:r>
      <w:r w:rsidRPr="00474640">
        <w:rPr>
          <w:rFonts w:ascii="Arial" w:hAnsi="Arial" w:cs="Arial"/>
          <w:i/>
          <w:iCs/>
          <w:sz w:val="22"/>
          <w:szCs w:val="22"/>
        </w:rPr>
        <w:lastRenderedPageBreak/>
        <w:t>Maltreatment</w:t>
      </w:r>
      <w:r w:rsidRPr="00474640">
        <w:rPr>
          <w:rFonts w:ascii="Arial" w:hAnsi="Arial" w:cs="Arial"/>
          <w:sz w:val="22"/>
          <w:szCs w:val="22"/>
        </w:rPr>
        <w:t>, 9(4), pp. 395–408. Available at: https://doi.org/10.1177/1077559504269193.</w:t>
      </w:r>
    </w:p>
    <w:p w14:paraId="1ACB1766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Social Work England (2019) </w:t>
      </w:r>
      <w:r w:rsidRPr="00474640">
        <w:rPr>
          <w:rFonts w:ascii="Arial" w:hAnsi="Arial" w:cs="Arial"/>
          <w:i/>
          <w:iCs/>
          <w:sz w:val="22"/>
          <w:szCs w:val="22"/>
        </w:rPr>
        <w:t>Professional standards</w:t>
      </w:r>
      <w:r w:rsidRPr="00474640">
        <w:rPr>
          <w:rFonts w:ascii="Arial" w:hAnsi="Arial" w:cs="Arial"/>
          <w:sz w:val="22"/>
          <w:szCs w:val="22"/>
        </w:rPr>
        <w:t xml:space="preserve">, </w:t>
      </w:r>
      <w:r w:rsidRPr="00474640">
        <w:rPr>
          <w:rFonts w:ascii="Arial" w:hAnsi="Arial" w:cs="Arial"/>
          <w:i/>
          <w:iCs/>
          <w:sz w:val="22"/>
          <w:szCs w:val="22"/>
        </w:rPr>
        <w:t>Social Work England</w:t>
      </w:r>
      <w:r w:rsidRPr="00474640">
        <w:rPr>
          <w:rFonts w:ascii="Arial" w:hAnsi="Arial" w:cs="Arial"/>
          <w:sz w:val="22"/>
          <w:szCs w:val="22"/>
        </w:rPr>
        <w:t>. Available at: https://www.socialworkengland.org.uk/standards/professional-standards/ (Accessed: October 4, 2026).</w:t>
      </w:r>
    </w:p>
    <w:p w14:paraId="7C4D6683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 xml:space="preserve">UK Government (2026) </w:t>
      </w:r>
      <w:r w:rsidRPr="00474640">
        <w:rPr>
          <w:rFonts w:ascii="Arial" w:hAnsi="Arial" w:cs="Arial"/>
          <w:i/>
          <w:iCs/>
          <w:sz w:val="22"/>
          <w:szCs w:val="22"/>
        </w:rPr>
        <w:t xml:space="preserve">Information sharing duty statutory guidance for safeguarding </w:t>
      </w:r>
      <w:proofErr w:type="spellStart"/>
      <w:r w:rsidRPr="00474640">
        <w:rPr>
          <w:rFonts w:ascii="Arial" w:hAnsi="Arial" w:cs="Arial"/>
          <w:i/>
          <w:iCs/>
          <w:sz w:val="22"/>
          <w:szCs w:val="22"/>
        </w:rPr>
        <w:t>organisations</w:t>
      </w:r>
      <w:proofErr w:type="spellEnd"/>
      <w:r w:rsidRPr="00474640">
        <w:rPr>
          <w:rFonts w:ascii="Arial" w:hAnsi="Arial" w:cs="Arial"/>
          <w:i/>
          <w:iCs/>
          <w:sz w:val="22"/>
          <w:szCs w:val="22"/>
        </w:rPr>
        <w:t xml:space="preserve"> and their practitioners</w:t>
      </w:r>
      <w:r w:rsidRPr="00474640">
        <w:rPr>
          <w:rFonts w:ascii="Arial" w:hAnsi="Arial" w:cs="Arial"/>
          <w:sz w:val="22"/>
          <w:szCs w:val="22"/>
        </w:rPr>
        <w:t>. Available at: https://assets.publishing.service.gov.uk/media/6aa2a5b1c5796a7a179c665a/Information_sharing_duty_statutory_guidance.pdf (Accessed: October 4, 2026).</w:t>
      </w:r>
    </w:p>
    <w:p w14:paraId="4062B437" w14:textId="77777777" w:rsidR="00CF175D" w:rsidRPr="00474640" w:rsidRDefault="00CF175D" w:rsidP="002410E8">
      <w:pPr>
        <w:pStyle w:val="NormalWeb"/>
        <w:numPr>
          <w:ilvl w:val="0"/>
          <w:numId w:val="10"/>
        </w:numPr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474640">
        <w:rPr>
          <w:rFonts w:ascii="Arial" w:hAnsi="Arial" w:cs="Arial"/>
          <w:sz w:val="22"/>
          <w:szCs w:val="22"/>
        </w:rPr>
        <w:t>Valdebenito, S., Gaffney, H., Arosemena</w:t>
      </w:r>
      <w:r w:rsidRPr="00474640">
        <w:rPr>
          <w:rFonts w:ascii="Cambria Math" w:hAnsi="Cambria Math" w:cs="Cambria Math"/>
          <w:sz w:val="22"/>
          <w:szCs w:val="22"/>
        </w:rPr>
        <w:t>‐</w:t>
      </w:r>
      <w:r w:rsidRPr="00474640">
        <w:rPr>
          <w:rFonts w:ascii="Arial" w:hAnsi="Arial" w:cs="Arial"/>
          <w:sz w:val="22"/>
          <w:szCs w:val="22"/>
        </w:rPr>
        <w:t>Burbano, M.J., Hitchcock, S., Jolliffe, D. and Sutherland, A. (2025) “School</w:t>
      </w:r>
      <w:r w:rsidRPr="00474640">
        <w:rPr>
          <w:rFonts w:ascii="Cambria Math" w:hAnsi="Cambria Math" w:cs="Cambria Math"/>
          <w:sz w:val="22"/>
          <w:szCs w:val="22"/>
        </w:rPr>
        <w:t>‐</w:t>
      </w:r>
      <w:r w:rsidRPr="00474640">
        <w:rPr>
          <w:rFonts w:ascii="Arial" w:hAnsi="Arial" w:cs="Arial"/>
          <w:sz w:val="22"/>
          <w:szCs w:val="22"/>
        </w:rPr>
        <w:t xml:space="preserve">based interventions for reducing disciplinary school exclusion. An updated systematic review,” </w:t>
      </w:r>
      <w:r w:rsidRPr="00474640">
        <w:rPr>
          <w:rFonts w:ascii="Arial" w:hAnsi="Arial" w:cs="Arial"/>
          <w:i/>
          <w:iCs/>
          <w:sz w:val="22"/>
          <w:szCs w:val="22"/>
        </w:rPr>
        <w:t>Campbell Systematic Reviews</w:t>
      </w:r>
      <w:r w:rsidRPr="00474640">
        <w:rPr>
          <w:rFonts w:ascii="Arial" w:hAnsi="Arial" w:cs="Arial"/>
          <w:sz w:val="22"/>
          <w:szCs w:val="22"/>
        </w:rPr>
        <w:t>, 21(4). Available at: https://doi.org/10.1002/cl2.70063.</w:t>
      </w:r>
    </w:p>
    <w:p w14:paraId="76B095F3" w14:textId="76B3CDFA" w:rsidR="004B7FBF" w:rsidRPr="00474640" w:rsidRDefault="004B7FBF" w:rsidP="002410E8">
      <w:pPr>
        <w:keepLines/>
        <w:spacing w:after="0"/>
        <w:ind w:left="360" w:hanging="360"/>
        <w:jc w:val="both"/>
        <w:rPr>
          <w:rFonts w:cs="Arial"/>
        </w:rPr>
      </w:pPr>
    </w:p>
    <w:sectPr w:rsidR="004B7FBF" w:rsidRPr="00474640" w:rsidSect="00B46B3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EAF24" w14:textId="77777777" w:rsidR="00B94AEB" w:rsidRDefault="00B94AEB">
      <w:pPr>
        <w:spacing w:after="0" w:line="240" w:lineRule="auto"/>
      </w:pPr>
      <w:r>
        <w:separator/>
      </w:r>
    </w:p>
  </w:endnote>
  <w:endnote w:type="continuationSeparator" w:id="0">
    <w:p w14:paraId="68A9B2AE" w14:textId="77777777" w:rsidR="00B94AEB" w:rsidRDefault="00B9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E57F4" w14:textId="3A8F7883" w:rsidR="004B7FBF" w:rsidRDefault="004B7FB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E1496" w14:textId="77777777" w:rsidR="00B94AEB" w:rsidRDefault="00B94AEB">
      <w:pPr>
        <w:spacing w:after="0" w:line="240" w:lineRule="auto"/>
      </w:pPr>
      <w:r>
        <w:separator/>
      </w:r>
    </w:p>
  </w:footnote>
  <w:footnote w:type="continuationSeparator" w:id="0">
    <w:p w14:paraId="4EFBE6BC" w14:textId="77777777" w:rsidR="00B94AEB" w:rsidRDefault="00B94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26694B"/>
    <w:multiLevelType w:val="hybridMultilevel"/>
    <w:tmpl w:val="43603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709055">
    <w:abstractNumId w:val="8"/>
  </w:num>
  <w:num w:numId="2" w16cid:durableId="616571240">
    <w:abstractNumId w:val="6"/>
  </w:num>
  <w:num w:numId="3" w16cid:durableId="1401754691">
    <w:abstractNumId w:val="5"/>
  </w:num>
  <w:num w:numId="4" w16cid:durableId="1094668549">
    <w:abstractNumId w:val="4"/>
  </w:num>
  <w:num w:numId="5" w16cid:durableId="37046478">
    <w:abstractNumId w:val="7"/>
  </w:num>
  <w:num w:numId="6" w16cid:durableId="1309283831">
    <w:abstractNumId w:val="3"/>
  </w:num>
  <w:num w:numId="7" w16cid:durableId="1231620688">
    <w:abstractNumId w:val="2"/>
  </w:num>
  <w:num w:numId="8" w16cid:durableId="621040887">
    <w:abstractNumId w:val="1"/>
  </w:num>
  <w:num w:numId="9" w16cid:durableId="1955406939">
    <w:abstractNumId w:val="0"/>
  </w:num>
  <w:num w:numId="10" w16cid:durableId="6528792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0BA"/>
    <w:rsid w:val="0015074B"/>
    <w:rsid w:val="002410E8"/>
    <w:rsid w:val="0029639D"/>
    <w:rsid w:val="002A50BF"/>
    <w:rsid w:val="002E584C"/>
    <w:rsid w:val="002E6C0F"/>
    <w:rsid w:val="00326F90"/>
    <w:rsid w:val="00344477"/>
    <w:rsid w:val="003845F7"/>
    <w:rsid w:val="00474640"/>
    <w:rsid w:val="004B7FBF"/>
    <w:rsid w:val="00673D71"/>
    <w:rsid w:val="006B12CF"/>
    <w:rsid w:val="00735C9C"/>
    <w:rsid w:val="00814C11"/>
    <w:rsid w:val="00841DEC"/>
    <w:rsid w:val="00990106"/>
    <w:rsid w:val="009B095E"/>
    <w:rsid w:val="009D7BBF"/>
    <w:rsid w:val="00A430B2"/>
    <w:rsid w:val="00A94289"/>
    <w:rsid w:val="00AA1D8D"/>
    <w:rsid w:val="00AD1FAE"/>
    <w:rsid w:val="00AE37A2"/>
    <w:rsid w:val="00B46B30"/>
    <w:rsid w:val="00B47730"/>
    <w:rsid w:val="00B94AEB"/>
    <w:rsid w:val="00B97B63"/>
    <w:rsid w:val="00C04C80"/>
    <w:rsid w:val="00C31376"/>
    <w:rsid w:val="00C62888"/>
    <w:rsid w:val="00CB0664"/>
    <w:rsid w:val="00CF175D"/>
    <w:rsid w:val="00D04915"/>
    <w:rsid w:val="00D153B3"/>
    <w:rsid w:val="00D523CD"/>
    <w:rsid w:val="00EE18FE"/>
    <w:rsid w:val="00EF646B"/>
    <w:rsid w:val="00F008C5"/>
    <w:rsid w:val="00F375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CB87C4"/>
  <w14:defaultImageDpi w14:val="300"/>
  <w15:docId w15:val="{7C52ADD8-3EB5-9B4F-B2C2-F319C7AD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60" w:lineRule="auto"/>
    </w:pPr>
    <w:rPr>
      <w:rFonts w:ascii="Arial" w:hAnsi="Arial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CF1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F panel discussion notes</vt:lpstr>
    </vt:vector>
  </TitlesOfParts>
  <Manager/>
  <Company/>
  <LinksUpToDate>false</LinksUpToDate>
  <CharactersWithSpaces>3025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F panel discussion notes</dc:title>
  <dc:subject>Child criminal exploitation safeguarding review</dc:subject>
  <dc:creator>python-docx</dc:creator>
  <cp:keywords/>
  <dc:description>generated by python-docx</dc:description>
  <cp:lastModifiedBy>Anisah Bi</cp:lastModifiedBy>
  <cp:revision>2</cp:revision>
  <dcterms:created xsi:type="dcterms:W3CDTF">2026-10-13T08:55:00Z</dcterms:created>
  <dcterms:modified xsi:type="dcterms:W3CDTF">2026-10-13T08:55:00Z</dcterms:modified>
  <cp:category/>
</cp:coreProperties>
</file>