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0F5B3472">
      <w:pPr>
        <w:pStyle w:val="style0"/>
        <w:rPr/>
      </w:pPr>
    </w:p>
    <w:p w14:paraId="01B9CA5E">
      <w:pPr>
        <w:pStyle w:val="style0"/>
        <w:spacing w:lineRule="auto" w:line="240"/>
        <w:jc w:val="center"/>
        <w:rPr>
          <w:sz w:val="38"/>
          <w:szCs w:val="38"/>
        </w:rPr>
      </w:pPr>
      <w:r>
        <w:rPr>
          <w:sz w:val="38"/>
          <w:szCs w:val="38"/>
        </w:rPr>
        <w:t>Master of Business Administration</w:t>
      </w:r>
    </w:p>
    <w:p w14:paraId="4F9518BE">
      <w:pPr>
        <w:pStyle w:val="style0"/>
        <w:spacing w:lineRule="auto" w:line="240"/>
        <w:jc w:val="center"/>
        <w:rPr>
          <w:sz w:val="32"/>
          <w:szCs w:val="32"/>
        </w:rPr>
      </w:pPr>
      <w:r>
        <w:rPr>
          <w:sz w:val="32"/>
          <w:szCs w:val="32"/>
        </w:rPr>
        <w:t>International Business pathway</w:t>
      </w:r>
    </w:p>
    <w:p w14:paraId="25E30B64">
      <w:pPr>
        <w:pStyle w:val="style0"/>
        <w:jc w:val="center"/>
        <w:rPr>
          <w:sz w:val="28"/>
          <w:szCs w:val="28"/>
        </w:rPr>
      </w:pPr>
    </w:p>
    <w:p w14:paraId="1238C80F">
      <w:pPr>
        <w:pStyle w:val="style0"/>
        <w:jc w:val="center"/>
        <w:rPr>
          <w:sz w:val="28"/>
          <w:szCs w:val="28"/>
        </w:rPr>
      </w:pPr>
      <w:r>
        <w:rPr>
          <w:noProof/>
          <w:sz w:val="28"/>
          <w:szCs w:val="28"/>
        </w:rPr>
        <w:drawing>
          <wp:inline distL="0" distT="0" distB="0" distR="0">
            <wp:extent cx="2257425" cy="2257425"/>
            <wp:effectExtent l="0" t="0" r="9525" b="9525"/>
            <wp:docPr id="1026"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 cstate="print"/>
                    <a:srcRect l="0" t="0" r="0" b="0"/>
                    <a:stretch/>
                  </pic:blipFill>
                  <pic:spPr>
                    <a:xfrm rot="0">
                      <a:off x="0" y="0"/>
                      <a:ext cx="2257425" cy="2257425"/>
                    </a:xfrm>
                    <a:prstGeom prst="rect"/>
                    <a:ln>
                      <a:noFill/>
                    </a:ln>
                  </pic:spPr>
                </pic:pic>
              </a:graphicData>
            </a:graphic>
          </wp:inline>
        </w:drawing>
      </w:r>
    </w:p>
    <w:p w14:paraId="275F9AED">
      <w:pPr>
        <w:pStyle w:val="style0"/>
        <w:jc w:val="center"/>
        <w:rPr>
          <w:color w:val="ee0000"/>
          <w:sz w:val="32"/>
          <w:szCs w:val="32"/>
        </w:rPr>
      </w:pPr>
      <w:r>
        <w:rPr>
          <w:b/>
          <w:bCs/>
          <w:color w:val="ee0000"/>
          <w:sz w:val="48"/>
          <w:szCs w:val="48"/>
        </w:rPr>
        <w:t>Contemporary employability skills</w:t>
      </w:r>
    </w:p>
    <w:p w14:paraId="19C747C6">
      <w:pPr>
        <w:pStyle w:val="style0"/>
        <w:jc w:val="center"/>
        <w:rPr>
          <w:sz w:val="28"/>
          <w:szCs w:val="28"/>
        </w:rPr>
      </w:pPr>
      <w:r>
        <w:rPr>
          <w:sz w:val="28"/>
          <w:szCs w:val="28"/>
        </w:rPr>
        <w:t xml:space="preserve">Assessment </w:t>
      </w:r>
      <w:r>
        <w:rPr>
          <w:color w:val="ee0000"/>
          <w:sz w:val="28"/>
          <w:szCs w:val="28"/>
        </w:rPr>
        <w:t>1: Individual report</w:t>
      </w:r>
      <w:r>
        <w:rPr>
          <w:sz w:val="28"/>
          <w:szCs w:val="28"/>
        </w:rPr>
        <w:t xml:space="preserve">. Weight: </w:t>
      </w:r>
      <w:r>
        <w:rPr>
          <w:sz w:val="28"/>
          <w:szCs w:val="28"/>
          <w:lang w:val="en-US"/>
        </w:rPr>
        <w:t>100%</w:t>
      </w:r>
    </w:p>
    <w:p w14:paraId="0D1929F6">
      <w:pPr>
        <w:pStyle w:val="style0"/>
        <w:jc w:val="center"/>
        <w:rPr>
          <w:sz w:val="28"/>
          <w:szCs w:val="28"/>
        </w:rPr>
      </w:pPr>
      <w:r>
        <w:rPr>
          <w:b/>
          <w:bCs/>
          <w:sz w:val="28"/>
          <w:szCs w:val="28"/>
        </w:rPr>
        <w:t>Module name:</w:t>
      </w:r>
      <w:r>
        <w:t xml:space="preserve"> </w:t>
      </w:r>
      <w:r>
        <w:rPr>
          <w:sz w:val="28"/>
          <w:szCs w:val="28"/>
        </w:rPr>
        <w:t>International Business Concepts</w:t>
      </w:r>
    </w:p>
    <w:p w14:paraId="196B6A3B">
      <w:pPr>
        <w:pStyle w:val="style0"/>
        <w:jc w:val="center"/>
        <w:rPr>
          <w:sz w:val="28"/>
          <w:szCs w:val="28"/>
        </w:rPr>
      </w:pPr>
      <w:r>
        <w:rPr>
          <w:b/>
          <w:bCs/>
          <w:sz w:val="28"/>
          <w:szCs w:val="28"/>
        </w:rPr>
        <w:t>Module code</w:t>
      </w:r>
      <w:r>
        <w:rPr>
          <w:sz w:val="28"/>
          <w:szCs w:val="28"/>
        </w:rPr>
        <w:t>:</w:t>
      </w:r>
      <w:r>
        <w:t xml:space="preserve"> </w:t>
      </w:r>
      <w:r>
        <w:rPr>
          <w:sz w:val="28"/>
          <w:szCs w:val="28"/>
        </w:rPr>
        <w:t>LCMB7034</w:t>
      </w:r>
    </w:p>
    <w:p w14:paraId="48D72530">
      <w:pPr>
        <w:pStyle w:val="style0"/>
        <w:jc w:val="center"/>
        <w:rPr>
          <w:sz w:val="28"/>
          <w:szCs w:val="28"/>
        </w:rPr>
      </w:pPr>
      <w:r>
        <w:rPr>
          <w:b/>
          <w:bCs/>
          <w:sz w:val="28"/>
          <w:szCs w:val="28"/>
        </w:rPr>
        <w:t>Lecturer name</w:t>
      </w:r>
      <w:r>
        <w:rPr>
          <w:sz w:val="28"/>
          <w:szCs w:val="28"/>
        </w:rPr>
        <w:t>:</w:t>
      </w:r>
      <w:r>
        <w:rPr>
          <w:sz w:val="28"/>
          <w:szCs w:val="28"/>
        </w:rPr>
        <w:t xml:space="preserve"> Dr Charles A.C. </w:t>
      </w:r>
      <w:r>
        <w:rPr>
          <w:sz w:val="28"/>
          <w:szCs w:val="28"/>
        </w:rPr>
        <w:t>Oham</w:t>
      </w:r>
    </w:p>
    <w:p w14:paraId="00BA6E6B">
      <w:pPr>
        <w:pStyle w:val="style0"/>
        <w:jc w:val="center"/>
        <w:rPr>
          <w:sz w:val="28"/>
          <w:szCs w:val="28"/>
        </w:rPr>
      </w:pPr>
    </w:p>
    <w:p w14:paraId="0B2AB965">
      <w:pPr>
        <w:pStyle w:val="style0"/>
        <w:jc w:val="center"/>
        <w:rPr>
          <w:sz w:val="28"/>
          <w:szCs w:val="28"/>
        </w:rPr>
      </w:pPr>
      <w:r>
        <w:rPr>
          <w:b/>
          <w:bCs/>
          <w:sz w:val="28"/>
          <w:szCs w:val="28"/>
        </w:rPr>
        <w:t>Student name</w:t>
      </w:r>
      <w:r>
        <w:rPr>
          <w:sz w:val="28"/>
          <w:szCs w:val="28"/>
        </w:rPr>
        <w:t>:</w:t>
      </w:r>
      <w:r>
        <w:t xml:space="preserve"> </w:t>
      </w:r>
      <w:r>
        <w:t>Abdullah Al Mamun PAVEL</w:t>
      </w:r>
    </w:p>
    <w:p w14:paraId="011705DA">
      <w:pPr>
        <w:pStyle w:val="style0"/>
        <w:jc w:val="center"/>
        <w:rPr>
          <w:rFonts w:cs="Arial"/>
        </w:rPr>
      </w:pPr>
      <w:r>
        <w:rPr>
          <w:b/>
          <w:bCs/>
          <w:sz w:val="28"/>
          <w:szCs w:val="28"/>
        </w:rPr>
        <w:t>Student ID</w:t>
      </w:r>
      <w:r>
        <w:rPr>
          <w:sz w:val="28"/>
          <w:szCs w:val="28"/>
        </w:rPr>
        <w:t>:</w:t>
      </w:r>
      <w:r>
        <w:rPr>
          <w:sz w:val="28"/>
          <w:szCs w:val="28"/>
        </w:rPr>
        <w:t xml:space="preserve"> </w:t>
      </w:r>
      <w:r>
        <w:rPr>
          <w:rFonts w:cs="Arial"/>
        </w:rPr>
        <w:t>2528449</w:t>
      </w:r>
    </w:p>
    <w:p w14:paraId="6B4836F9">
      <w:pPr>
        <w:pStyle w:val="style0"/>
        <w:jc w:val="center"/>
        <w:rPr>
          <w:sz w:val="28"/>
          <w:szCs w:val="28"/>
        </w:rPr>
      </w:pPr>
    </w:p>
    <w:p w14:paraId="4C71EE8C">
      <w:pPr>
        <w:pStyle w:val="style0"/>
        <w:jc w:val="center"/>
        <w:rPr>
          <w:sz w:val="28"/>
          <w:szCs w:val="28"/>
        </w:rPr>
      </w:pPr>
      <w:r>
        <w:rPr>
          <w:b/>
          <w:bCs/>
          <w:sz w:val="28"/>
          <w:szCs w:val="28"/>
        </w:rPr>
        <w:t>Word count</w:t>
      </w:r>
      <w:r>
        <w:rPr>
          <w:sz w:val="28"/>
          <w:szCs w:val="28"/>
        </w:rPr>
        <w:t>:</w:t>
      </w:r>
      <w:r>
        <w:rPr>
          <w:sz w:val="28"/>
          <w:szCs w:val="28"/>
        </w:rPr>
        <w:t xml:space="preserve"> </w:t>
      </w:r>
      <w:r>
        <w:rPr>
          <w:sz w:val="28"/>
          <w:szCs w:val="28"/>
        </w:rPr>
        <w:t>5</w:t>
      </w:r>
      <w:r>
        <w:rPr>
          <w:sz w:val="28"/>
          <w:szCs w:val="28"/>
        </w:rPr>
        <w:t>401</w:t>
      </w:r>
    </w:p>
    <w:p w14:paraId="0436C553">
      <w:pPr>
        <w:pStyle w:val="style0"/>
        <w:jc w:val="center"/>
        <w:rPr>
          <w:sz w:val="28"/>
          <w:szCs w:val="28"/>
        </w:rPr>
      </w:pPr>
    </w:p>
    <w:p w14:paraId="49D956D6">
      <w:pPr>
        <w:pStyle w:val="style0"/>
        <w:jc w:val="center"/>
        <w:rPr>
          <w:sz w:val="28"/>
          <w:szCs w:val="28"/>
        </w:rPr>
      </w:pPr>
      <w:r>
        <w:rPr>
          <w:b/>
          <w:bCs/>
          <w:sz w:val="28"/>
          <w:szCs w:val="28"/>
        </w:rPr>
        <w:t>Submission date</w:t>
      </w:r>
      <w:r>
        <w:rPr>
          <w:sz w:val="28"/>
          <w:szCs w:val="28"/>
        </w:rPr>
        <w:t>:</w:t>
      </w:r>
      <w:r>
        <w:rPr>
          <w:sz w:val="28"/>
          <w:szCs w:val="28"/>
          <w:lang w:val="en-US"/>
        </w:rPr>
        <w:t>14/08/2026.</w:t>
      </w:r>
    </w:p>
    <w:p w14:paraId="7CFBBF33">
      <w:pPr>
        <w:pStyle w:val="style0"/>
        <w:rPr>
          <w:sz w:val="28"/>
          <w:szCs w:val="28"/>
        </w:rPr>
      </w:pPr>
    </w:p>
    <w:p w14:paraId="007E64C1">
      <w:pPr>
        <w:pStyle w:val="style0"/>
        <w:rPr>
          <w:sz w:val="28"/>
          <w:szCs w:val="28"/>
        </w:rPr>
      </w:pPr>
    </w:p>
    <w:p w14:paraId="7548E0E6">
      <w:pPr>
        <w:pStyle w:val="style0"/>
        <w:rPr>
          <w:sz w:val="28"/>
          <w:szCs w:val="28"/>
        </w:rPr>
      </w:pPr>
    </w:p>
    <w:bookmarkStart w:id="0" w:name="_Toc237350562"/>
    <w:p w14:paraId="40B25CB4">
      <w:pPr>
        <w:pStyle w:val="style1"/>
        <w:rPr/>
      </w:pPr>
      <w:r>
        <w:t>AI use acknowledgement</w:t>
      </w:r>
      <w:bookmarkEnd w:id="0"/>
    </w:p>
    <w:p w14:paraId="30434215">
      <w:pPr>
        <w:pStyle w:val="style0"/>
        <w:rPr>
          <w:lang w:eastAsia="en-GB"/>
        </w:rPr>
      </w:pPr>
      <w:r>
        <w:rPr>
          <w:noProof/>
        </w:rPr>
        <w:drawing>
          <wp:inline distL="0" distT="0" distB="0" distR="0">
            <wp:extent cx="5943600" cy="1524000"/>
            <wp:effectExtent l="0" t="0" r="0" b="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5943600" cy="1524000"/>
                    </a:xfrm>
                    <a:prstGeom prst="rect"/>
                  </pic:spPr>
                </pic:pic>
              </a:graphicData>
            </a:graphic>
          </wp:inline>
        </w:drawing>
      </w:r>
    </w:p>
    <w:p w14:paraId="56C1E818">
      <w:pPr>
        <w:pStyle w:val="style0"/>
        <w:rPr/>
      </w:pPr>
    </w:p>
    <w:p w14:paraId="40B4046E">
      <w:pPr>
        <w:pStyle w:val="style0"/>
        <w:rPr/>
      </w:pPr>
    </w:p>
    <w:p w14:paraId="7FEA8D12">
      <w:pPr>
        <w:pStyle w:val="style0"/>
        <w:rPr/>
      </w:pPr>
    </w:p>
    <w:p w14:paraId="121757ED">
      <w:pPr>
        <w:pStyle w:val="style0"/>
        <w:rPr/>
      </w:pPr>
    </w:p>
    <w:p w14:paraId="7E5BEC2E">
      <w:pPr>
        <w:pStyle w:val="style0"/>
        <w:rPr/>
      </w:pPr>
    </w:p>
    <w:p w14:paraId="0C84A484">
      <w:pPr>
        <w:pStyle w:val="style0"/>
        <w:rPr/>
      </w:pPr>
    </w:p>
    <w:p w14:paraId="63F1F150">
      <w:pPr>
        <w:pStyle w:val="style0"/>
        <w:rPr/>
      </w:pPr>
    </w:p>
    <w:p w14:paraId="0EB90E98">
      <w:pPr>
        <w:pStyle w:val="style0"/>
        <w:rPr/>
      </w:pPr>
    </w:p>
    <w:p w14:paraId="5E834EE8">
      <w:pPr>
        <w:pStyle w:val="style0"/>
        <w:rPr/>
      </w:pPr>
    </w:p>
    <w:p w14:paraId="69992038">
      <w:pPr>
        <w:pStyle w:val="style0"/>
        <w:rPr/>
      </w:pPr>
    </w:p>
    <w:p w14:paraId="701B7442">
      <w:pPr>
        <w:pStyle w:val="style0"/>
        <w:rPr/>
      </w:pPr>
    </w:p>
    <w:p w14:paraId="2E2F614E">
      <w:pPr>
        <w:pStyle w:val="style0"/>
        <w:rPr/>
      </w:pPr>
    </w:p>
    <w:p w14:paraId="319AD9EE">
      <w:pPr>
        <w:pStyle w:val="style0"/>
        <w:rPr/>
      </w:pPr>
    </w:p>
    <w:p w14:paraId="59286704">
      <w:pPr>
        <w:pStyle w:val="style0"/>
        <w:rPr/>
      </w:pPr>
    </w:p>
    <w:p w14:paraId="1F1AEF07">
      <w:pPr>
        <w:pStyle w:val="style0"/>
        <w:rPr/>
      </w:pPr>
    </w:p>
    <w:p w14:paraId="1C1BD659">
      <w:pPr>
        <w:pStyle w:val="style0"/>
        <w:rPr/>
      </w:pPr>
    </w:p>
    <w:p w14:paraId="1D6DB83B">
      <w:pPr>
        <w:pStyle w:val="style0"/>
        <w:rPr/>
      </w:pPr>
    </w:p>
    <w:p w14:paraId="0AC6BBF0">
      <w:pPr>
        <w:pStyle w:val="style0"/>
        <w:rPr/>
      </w:pPr>
    </w:p>
    <w:p w14:paraId="68951B83">
      <w:pPr>
        <w:pStyle w:val="style0"/>
        <w:rPr/>
      </w:pPr>
    </w:p>
    <w:p w14:paraId="2462F3A1">
      <w:pPr>
        <w:pStyle w:val="style0"/>
        <w:rPr/>
      </w:pPr>
    </w:p>
    <w:p w14:paraId="7300B95A">
      <w:pPr>
        <w:pStyle w:val="style0"/>
        <w:rPr/>
      </w:pPr>
    </w:p>
    <w:p w14:paraId="65FBC7C5">
      <w:pPr>
        <w:pStyle w:val="style0"/>
        <w:rPr/>
      </w:pPr>
    </w:p>
    <w:p w14:paraId="48A662FD">
      <w:pPr>
        <w:pStyle w:val="style266"/>
        <w:spacing w:lineRule="auto" w:line="360"/>
        <w:rPr>
          <w:rFonts w:ascii="Arial" w:cs="Arial" w:hAnsi="Arial"/>
          <w:b/>
          <w:bCs/>
          <w:lang w:val="en-GB"/>
        </w:rPr>
      </w:pPr>
      <w:r>
        <w:rPr>
          <w:rFonts w:ascii="Arial" w:cs="Arial" w:hAnsi="Arial"/>
          <w:b/>
          <w:bCs/>
          <w:lang w:val="en-GB"/>
        </w:rPr>
        <w:t>Table of Contents</w:t>
      </w:r>
    </w:p>
    <w:p w14:paraId="51CC3EB4">
      <w:pPr>
        <w:pStyle w:val="style19"/>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rFonts w:cs="Arial"/>
          <w:szCs w:val="24"/>
        </w:rPr>
        <w:fldChar w:fldCharType="begin"/>
      </w:r>
      <w:r>
        <w:rPr>
          <w:rFonts w:cs="Arial"/>
          <w:szCs w:val="24"/>
        </w:rPr>
        <w:instrText xml:space="preserve"> TOC \o "1-3" \h \z \u </w:instrText>
      </w:r>
      <w:r>
        <w:rPr>
          <w:rFonts w:cs="Arial"/>
          <w:szCs w:val="24"/>
        </w:rPr>
        <w:fldChar w:fldCharType="separate"/>
      </w:r>
      <w:r>
        <w:rPr/>
        <w:fldChar w:fldCharType="begin"/>
      </w:r>
      <w:r>
        <w:instrText xml:space="preserve"> HYPERLINK \l "_Toc237350562" </w:instrText>
      </w:r>
      <w:r>
        <w:rPr/>
        <w:fldChar w:fldCharType="separate"/>
      </w:r>
      <w:r>
        <w:rPr>
          <w:rStyle w:val="style85"/>
          <w:noProof/>
        </w:rPr>
        <w:t>AI use acknowledgement</w:t>
      </w:r>
      <w:r>
        <w:rPr>
          <w:noProof/>
          <w:webHidden/>
        </w:rPr>
        <w:tab/>
      </w:r>
      <w:r>
        <w:rPr>
          <w:noProof/>
          <w:webHidden/>
        </w:rPr>
        <w:fldChar w:fldCharType="begin"/>
      </w:r>
      <w:r>
        <w:rPr>
          <w:noProof/>
          <w:webHidden/>
        </w:rPr>
        <w:instrText xml:space="preserve"> PAGEREF _Toc237350562 \h </w:instrText>
      </w:r>
      <w:r>
        <w:rPr>
          <w:noProof/>
          <w:webHidden/>
        </w:rPr>
        <w:fldChar w:fldCharType="separate"/>
      </w:r>
      <w:r>
        <w:rPr>
          <w:noProof/>
          <w:webHidden/>
        </w:rPr>
        <w:t>2</w:t>
      </w:r>
      <w:r>
        <w:rPr>
          <w:noProof/>
          <w:webHidden/>
        </w:rPr>
        <w:fldChar w:fldCharType="end"/>
      </w:r>
      <w:r>
        <w:rPr/>
        <w:fldChar w:fldCharType="end"/>
      </w:r>
    </w:p>
    <w:p w14:paraId="238E4E71">
      <w:pPr>
        <w:pStyle w:val="style19"/>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"_Toc237350563" </w:instrText>
      </w:r>
      <w:r>
        <w:rPr/>
        <w:fldChar w:fldCharType="separate"/>
      </w:r>
      <w:r>
        <w:rPr>
          <w:rStyle w:val="style85"/>
          <w:noProof/>
        </w:rPr>
        <w:t>Section 1</w:t>
      </w:r>
      <w:r>
        <w:rPr>
          <w:noProof/>
          <w:webHidden/>
        </w:rPr>
        <w:tab/>
      </w:r>
      <w:r>
        <w:rPr>
          <w:noProof/>
          <w:webHidden/>
        </w:rPr>
        <w:fldChar w:fldCharType="begin"/>
      </w:r>
      <w:r>
        <w:rPr>
          <w:noProof/>
          <w:webHidden/>
        </w:rPr>
        <w:instrText xml:space="preserve"> PAGEREF _Toc237350563 \h </w:instrText>
      </w:r>
      <w:r>
        <w:rPr>
          <w:noProof/>
          <w:webHidden/>
        </w:rPr>
        <w:fldChar w:fldCharType="separate"/>
      </w:r>
      <w:r>
        <w:rPr>
          <w:noProof/>
          <w:webHidden/>
        </w:rPr>
        <w:t>4</w:t>
      </w:r>
      <w:r>
        <w:rPr>
          <w:noProof/>
          <w:webHidden/>
        </w:rPr>
        <w:fldChar w:fldCharType="end"/>
      </w:r>
      <w:r>
        <w:rPr/>
        <w:fldChar w:fldCharType="end"/>
      </w:r>
    </w:p>
    <w:p w14:paraId="256410BB">
      <w:pPr>
        <w:pStyle w:val="style19"/>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"_Toc237350564"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_Toc237350564 \h </w:instrText>
      </w:r>
      <w:r>
        <w:rPr>
          <w:noProof/>
          <w:webHidden/>
        </w:rPr>
        <w:fldChar w:fldCharType="separate"/>
      </w:r>
      <w:r>
        <w:rPr>
          <w:noProof/>
          <w:webHidden/>
        </w:rPr>
        <w:t>4</w:t>
      </w:r>
      <w:r>
        <w:rPr>
          <w:noProof/>
          <w:webHidden/>
        </w:rPr>
        <w:fldChar w:fldCharType="end"/>
      </w:r>
      <w:r>
        <w:rPr/>
        <w:fldChar w:fldCharType="end"/>
      </w:r>
    </w:p>
    <w:p w14:paraId="0AE29AF2">
      <w:pPr>
        <w:pStyle w:val="style19"/>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"_Toc237350565" </w:instrText>
      </w:r>
      <w:r>
        <w:rPr/>
        <w:fldChar w:fldCharType="separate"/>
      </w:r>
      <w:r>
        <w:rPr>
          <w:rStyle w:val="style85"/>
          <w:noProof/>
        </w:rPr>
        <w:t>2. Organizational Classification and Global Strategy</w:t>
      </w:r>
      <w:r>
        <w:rPr>
          <w:noProof/>
          <w:webHidden/>
        </w:rPr>
        <w:tab/>
      </w:r>
      <w:r>
        <w:rPr>
          <w:noProof/>
          <w:webHidden/>
        </w:rPr>
        <w:fldChar w:fldCharType="begin"/>
      </w:r>
      <w:r>
        <w:rPr>
          <w:noProof/>
          <w:webHidden/>
        </w:rPr>
        <w:instrText xml:space="preserve"> PAGEREF _Toc237350565 \h </w:instrText>
      </w:r>
      <w:r>
        <w:rPr>
          <w:noProof/>
          <w:webHidden/>
        </w:rPr>
        <w:fldChar w:fldCharType="separate"/>
      </w:r>
      <w:r>
        <w:rPr>
          <w:noProof/>
          <w:webHidden/>
        </w:rPr>
        <w:t>5</w:t>
      </w:r>
      <w:r>
        <w:rPr>
          <w:noProof/>
          <w:webHidden/>
        </w:rPr>
        <w:fldChar w:fldCharType="end"/>
      </w:r>
      <w:r>
        <w:rPr/>
        <w:fldChar w:fldCharType="end"/>
      </w:r>
    </w:p>
    <w:p w14:paraId="325EF48E">
      <w:pPr>
        <w:pStyle w:val="style20"/>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"_Toc237350566" </w:instrText>
      </w:r>
      <w:r>
        <w:rPr/>
        <w:fldChar w:fldCharType="separate"/>
      </w:r>
      <w:r>
        <w:rPr>
          <w:rStyle w:val="style85"/>
          <w:noProof/>
        </w:rPr>
        <w:t>2.1 Patagonia: Company Overview</w:t>
      </w:r>
      <w:r>
        <w:rPr>
          <w:noProof/>
          <w:webHidden/>
        </w:rPr>
        <w:tab/>
      </w:r>
      <w:r>
        <w:rPr>
          <w:noProof/>
          <w:webHidden/>
        </w:rPr>
        <w:fldChar w:fldCharType="begin"/>
      </w:r>
      <w:r>
        <w:rPr>
          <w:noProof/>
          <w:webHidden/>
        </w:rPr>
        <w:instrText xml:space="preserve"> PAGEREF _Toc237350566 \h </w:instrText>
      </w:r>
      <w:r>
        <w:rPr>
          <w:noProof/>
          <w:webHidden/>
        </w:rPr>
        <w:fldChar w:fldCharType="separate"/>
      </w:r>
      <w:r>
        <w:rPr>
          <w:noProof/>
          <w:webHidden/>
        </w:rPr>
        <w:t>5</w:t>
      </w:r>
      <w:r>
        <w:rPr>
          <w:noProof/>
          <w:webHidden/>
        </w:rPr>
        <w:fldChar w:fldCharType="end"/>
      </w:r>
      <w:r>
        <w:rPr/>
        <w:fldChar w:fldCharType="end"/>
      </w:r>
    </w:p>
    <w:p w14:paraId="7FD8BFBA">
      <w:pPr>
        <w:pStyle w:val="style20"/>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"_Toc237350567" </w:instrText>
      </w:r>
      <w:r>
        <w:rPr/>
        <w:fldChar w:fldCharType="separate"/>
      </w:r>
      <w:r>
        <w:rPr>
          <w:rStyle w:val="style85"/>
          <w:noProof/>
        </w:rPr>
        <w:t>2.2 Strategic Categorization: Bartlett and Ghoshal's Strategic Framework</w:t>
      </w:r>
      <w:r>
        <w:rPr>
          <w:noProof/>
          <w:webHidden/>
        </w:rPr>
        <w:tab/>
      </w:r>
      <w:r>
        <w:rPr>
          <w:noProof/>
          <w:webHidden/>
        </w:rPr>
        <w:fldChar w:fldCharType="begin"/>
      </w:r>
      <w:r>
        <w:rPr>
          <w:noProof/>
          <w:webHidden/>
        </w:rPr>
        <w:instrText xml:space="preserve"> PAGEREF _Toc237350567 \h </w:instrText>
      </w:r>
      <w:r>
        <w:rPr>
          <w:noProof/>
          <w:webHidden/>
        </w:rPr>
        <w:fldChar w:fldCharType="separate"/>
      </w:r>
      <w:r>
        <w:rPr>
          <w:noProof/>
          <w:webHidden/>
        </w:rPr>
        <w:t>6</w:t>
      </w:r>
      <w:r>
        <w:rPr>
          <w:noProof/>
          <w:webHidden/>
        </w:rPr>
        <w:fldChar w:fldCharType="end"/>
      </w:r>
      <w:r>
        <w:rPr/>
        <w:fldChar w:fldCharType="end"/>
      </w:r>
    </w:p>
    <w:p w14:paraId="39404219">
      <w:pPr>
        <w:pStyle w:val="style20"/>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"_Toc237350568" </w:instrText>
      </w:r>
      <w:r>
        <w:rPr/>
        <w:fldChar w:fldCharType="separate"/>
      </w:r>
      <w:r>
        <w:rPr>
          <w:rStyle w:val="style85"/>
          <w:noProof/>
        </w:rPr>
        <w:t>2.3 Global Configuration and Competitive Advantage</w:t>
      </w:r>
      <w:r>
        <w:rPr>
          <w:noProof/>
          <w:webHidden/>
        </w:rPr>
        <w:tab/>
      </w:r>
      <w:r>
        <w:rPr>
          <w:noProof/>
          <w:webHidden/>
        </w:rPr>
        <w:fldChar w:fldCharType="begin"/>
      </w:r>
      <w:r>
        <w:rPr>
          <w:noProof/>
          <w:webHidden/>
        </w:rPr>
        <w:instrText xml:space="preserve"> PAGEREF _Toc237350568 \h </w:instrText>
      </w:r>
      <w:r>
        <w:rPr>
          <w:noProof/>
          <w:webHidden/>
        </w:rPr>
        <w:fldChar w:fldCharType="separate"/>
      </w:r>
      <w:r>
        <w:rPr>
          <w:noProof/>
          <w:webHidden/>
        </w:rPr>
        <w:t>7</w:t>
      </w:r>
      <w:r>
        <w:rPr>
          <w:noProof/>
          <w:webHidden/>
        </w:rPr>
        <w:fldChar w:fldCharType="end"/>
      </w:r>
      <w:r>
        <w:rPr/>
        <w:fldChar w:fldCharType="end"/>
      </w:r>
    </w:p>
    <w:p w14:paraId="713498EA">
      <w:pPr>
        <w:pStyle w:val="style19"/>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"_Toc237350569" </w:instrText>
      </w:r>
      <w:r>
        <w:rPr/>
        <w:fldChar w:fldCharType="separate"/>
      </w:r>
      <w:r>
        <w:rPr>
          <w:rStyle w:val="style85"/>
          <w:noProof/>
        </w:rPr>
        <w:t>3. Macro-Environmental Appraisal and Market Attractiveness</w:t>
      </w:r>
      <w:r>
        <w:rPr>
          <w:noProof/>
          <w:webHidden/>
        </w:rPr>
        <w:tab/>
      </w:r>
      <w:r>
        <w:rPr>
          <w:noProof/>
          <w:webHidden/>
        </w:rPr>
        <w:fldChar w:fldCharType="begin"/>
      </w:r>
      <w:r>
        <w:rPr>
          <w:noProof/>
          <w:webHidden/>
        </w:rPr>
        <w:instrText xml:space="preserve"> PAGEREF _Toc237350569 \h </w:instrText>
      </w:r>
      <w:r>
        <w:rPr>
          <w:noProof/>
          <w:webHidden/>
        </w:rPr>
        <w:fldChar w:fldCharType="separate"/>
      </w:r>
      <w:r>
        <w:rPr>
          <w:noProof/>
          <w:webHidden/>
        </w:rPr>
        <w:t>8</w:t>
      </w:r>
      <w:r>
        <w:rPr>
          <w:noProof/>
          <w:webHidden/>
        </w:rPr>
        <w:fldChar w:fldCharType="end"/>
      </w:r>
      <w:r>
        <w:rPr/>
        <w:fldChar w:fldCharType="end"/>
      </w:r>
    </w:p>
    <w:p w14:paraId="09DB2F10">
      <w:pPr>
        <w:pStyle w:val="style20"/>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"_Toc237350570" </w:instrText>
      </w:r>
      <w:r>
        <w:rPr/>
        <w:fldChar w:fldCharType="separate"/>
      </w:r>
      <w:r>
        <w:rPr>
          <w:rStyle w:val="style85"/>
          <w:noProof/>
        </w:rPr>
        <w:t>3.1 Host Country Analysis</w:t>
      </w:r>
      <w:r>
        <w:rPr>
          <w:noProof/>
          <w:webHidden/>
        </w:rPr>
        <w:tab/>
      </w:r>
      <w:r>
        <w:rPr>
          <w:noProof/>
          <w:webHidden/>
        </w:rPr>
        <w:fldChar w:fldCharType="begin"/>
      </w:r>
      <w:r>
        <w:rPr>
          <w:noProof/>
          <w:webHidden/>
        </w:rPr>
        <w:instrText xml:space="preserve"> PAGEREF _Toc237350570 \h </w:instrText>
      </w:r>
      <w:r>
        <w:rPr>
          <w:noProof/>
          <w:webHidden/>
        </w:rPr>
        <w:fldChar w:fldCharType="separate"/>
      </w:r>
      <w:r>
        <w:rPr>
          <w:noProof/>
          <w:webHidden/>
        </w:rPr>
        <w:t>8</w:t>
      </w:r>
      <w:r>
        <w:rPr>
          <w:noProof/>
          <w:webHidden/>
        </w:rPr>
        <w:fldChar w:fldCharType="end"/>
      </w:r>
      <w:r>
        <w:rPr/>
        <w:fldChar w:fldCharType="end"/>
      </w:r>
    </w:p>
    <w:p w14:paraId="38A93B93">
      <w:pPr>
        <w:pStyle w:val="style20"/>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"_Toc237350571" </w:instrText>
      </w:r>
      <w:r>
        <w:rPr/>
        <w:fldChar w:fldCharType="separate"/>
      </w:r>
      <w:r>
        <w:rPr>
          <w:rStyle w:val="style85"/>
          <w:noProof/>
        </w:rPr>
        <w:t>3.2 Comprehensive Critical Evaluation of the External Environmental Factors</w:t>
      </w:r>
      <w:r>
        <w:rPr>
          <w:noProof/>
          <w:webHidden/>
        </w:rPr>
        <w:tab/>
      </w:r>
      <w:r>
        <w:rPr>
          <w:noProof/>
          <w:webHidden/>
        </w:rPr>
        <w:fldChar w:fldCharType="begin"/>
      </w:r>
      <w:r>
        <w:rPr>
          <w:noProof/>
          <w:webHidden/>
        </w:rPr>
        <w:instrText xml:space="preserve"> PAGEREF _Toc237350571 \h </w:instrText>
      </w:r>
      <w:r>
        <w:rPr>
          <w:noProof/>
          <w:webHidden/>
        </w:rPr>
        <w:fldChar w:fldCharType="separate"/>
      </w:r>
      <w:r>
        <w:rPr>
          <w:noProof/>
          <w:webHidden/>
        </w:rPr>
        <w:t>9</w:t>
      </w:r>
      <w:r>
        <w:rPr>
          <w:noProof/>
          <w:webHidden/>
        </w:rPr>
        <w:fldChar w:fldCharType="end"/>
      </w:r>
      <w:r>
        <w:rPr/>
        <w:fldChar w:fldCharType="end"/>
      </w:r>
    </w:p>
    <w:p w14:paraId="4F5F4A2C">
      <w:pPr>
        <w:pStyle w:val="style21"/>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"_Toc237350572" </w:instrText>
      </w:r>
      <w:r>
        <w:rPr/>
        <w:fldChar w:fldCharType="separate"/>
      </w:r>
      <w:r>
        <w:rPr>
          <w:rStyle w:val="style85"/>
          <w:noProof/>
        </w:rPr>
        <w:t>3.2.1 Political Environment</w:t>
      </w:r>
      <w:r>
        <w:rPr>
          <w:noProof/>
          <w:webHidden/>
        </w:rPr>
        <w:tab/>
      </w:r>
      <w:r>
        <w:rPr>
          <w:noProof/>
          <w:webHidden/>
        </w:rPr>
        <w:fldChar w:fldCharType="begin"/>
      </w:r>
      <w:r>
        <w:rPr>
          <w:noProof/>
          <w:webHidden/>
        </w:rPr>
        <w:instrText xml:space="preserve"> PAGEREF _Toc237350572 \h </w:instrText>
      </w:r>
      <w:r>
        <w:rPr>
          <w:noProof/>
          <w:webHidden/>
        </w:rPr>
        <w:fldChar w:fldCharType="separate"/>
      </w:r>
      <w:r>
        <w:rPr>
          <w:noProof/>
          <w:webHidden/>
        </w:rPr>
        <w:t>9</w:t>
      </w:r>
      <w:r>
        <w:rPr>
          <w:noProof/>
          <w:webHidden/>
        </w:rPr>
        <w:fldChar w:fldCharType="end"/>
      </w:r>
      <w:r>
        <w:rPr/>
        <w:fldChar w:fldCharType="end"/>
      </w:r>
    </w:p>
    <w:p w14:paraId="15AD56AC">
      <w:pPr>
        <w:pStyle w:val="style21"/>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"_Toc237350573" </w:instrText>
      </w:r>
      <w:r>
        <w:rPr/>
        <w:fldChar w:fldCharType="separate"/>
      </w:r>
      <w:r>
        <w:rPr>
          <w:rStyle w:val="style85"/>
          <w:noProof/>
        </w:rPr>
        <w:t>3.2.2 Economic Environment</w:t>
      </w:r>
      <w:r>
        <w:rPr>
          <w:noProof/>
          <w:webHidden/>
        </w:rPr>
        <w:tab/>
      </w:r>
      <w:r>
        <w:rPr>
          <w:noProof/>
          <w:webHidden/>
        </w:rPr>
        <w:fldChar w:fldCharType="begin"/>
      </w:r>
      <w:r>
        <w:rPr>
          <w:noProof/>
          <w:webHidden/>
        </w:rPr>
        <w:instrText xml:space="preserve"> PAGEREF _Toc237350573 \h </w:instrText>
      </w:r>
      <w:r>
        <w:rPr>
          <w:noProof/>
          <w:webHidden/>
        </w:rPr>
        <w:fldChar w:fldCharType="separate"/>
      </w:r>
      <w:r>
        <w:rPr>
          <w:noProof/>
          <w:webHidden/>
        </w:rPr>
        <w:t>11</w:t>
      </w:r>
      <w:r>
        <w:rPr>
          <w:noProof/>
          <w:webHidden/>
        </w:rPr>
        <w:fldChar w:fldCharType="end"/>
      </w:r>
      <w:r>
        <w:rPr/>
        <w:fldChar w:fldCharType="end"/>
      </w:r>
    </w:p>
    <w:p w14:paraId="35E2D269">
      <w:pPr>
        <w:pStyle w:val="style21"/>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"_Toc237350574" </w:instrText>
      </w:r>
      <w:r>
        <w:rPr/>
        <w:fldChar w:fldCharType="separate"/>
      </w:r>
      <w:r>
        <w:rPr>
          <w:rStyle w:val="style85"/>
          <w:noProof/>
        </w:rPr>
        <w:t>3.2.3 Legal Environment</w:t>
      </w:r>
      <w:r>
        <w:rPr>
          <w:noProof/>
          <w:webHidden/>
        </w:rPr>
        <w:tab/>
      </w:r>
      <w:r>
        <w:rPr>
          <w:noProof/>
          <w:webHidden/>
        </w:rPr>
        <w:fldChar w:fldCharType="begin"/>
      </w:r>
      <w:r>
        <w:rPr>
          <w:noProof/>
          <w:webHidden/>
        </w:rPr>
        <w:instrText xml:space="preserve"> PAGEREF _Toc237350574 \h </w:instrText>
      </w:r>
      <w:r>
        <w:rPr>
          <w:noProof/>
          <w:webHidden/>
        </w:rPr>
        <w:fldChar w:fldCharType="separate"/>
      </w:r>
      <w:r>
        <w:rPr>
          <w:noProof/>
          <w:webHidden/>
        </w:rPr>
        <w:t>12</w:t>
      </w:r>
      <w:r>
        <w:rPr>
          <w:noProof/>
          <w:webHidden/>
        </w:rPr>
        <w:fldChar w:fldCharType="end"/>
      </w:r>
      <w:r>
        <w:rPr/>
        <w:fldChar w:fldCharType="end"/>
      </w:r>
    </w:p>
    <w:p w14:paraId="59AEDC63">
      <w:pPr>
        <w:pStyle w:val="style21"/>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"_Toc237350575" </w:instrText>
      </w:r>
      <w:r>
        <w:rPr/>
        <w:fldChar w:fldCharType="separate"/>
      </w:r>
      <w:r>
        <w:rPr>
          <w:rStyle w:val="style85"/>
          <w:noProof/>
        </w:rPr>
        <w:t>3.2.4 Cultural Environment</w:t>
      </w:r>
      <w:r>
        <w:rPr>
          <w:noProof/>
          <w:webHidden/>
        </w:rPr>
        <w:tab/>
      </w:r>
      <w:r>
        <w:rPr>
          <w:noProof/>
          <w:webHidden/>
        </w:rPr>
        <w:fldChar w:fldCharType="begin"/>
      </w:r>
      <w:r>
        <w:rPr>
          <w:noProof/>
          <w:webHidden/>
        </w:rPr>
        <w:instrText xml:space="preserve"> PAGEREF _Toc237350575 \h </w:instrText>
      </w:r>
      <w:r>
        <w:rPr>
          <w:noProof/>
          <w:webHidden/>
        </w:rPr>
        <w:fldChar w:fldCharType="separate"/>
      </w:r>
      <w:r>
        <w:rPr>
          <w:noProof/>
          <w:webHidden/>
        </w:rPr>
        <w:t>14</w:t>
      </w:r>
      <w:r>
        <w:rPr>
          <w:noProof/>
          <w:webHidden/>
        </w:rPr>
        <w:fldChar w:fldCharType="end"/>
      </w:r>
      <w:r>
        <w:rPr/>
        <w:fldChar w:fldCharType="end"/>
      </w:r>
    </w:p>
    <w:p w14:paraId="24499E6E">
      <w:pPr>
        <w:pStyle w:val="style20"/>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"_Toc237350576" </w:instrText>
      </w:r>
      <w:r>
        <w:rPr/>
        <w:fldChar w:fldCharType="separate"/>
      </w:r>
      <w:r>
        <w:rPr>
          <w:rStyle w:val="style85"/>
          <w:noProof/>
        </w:rPr>
        <w:t>3.3 OLI Analysis: Dunning's Eclectic Paradigm</w:t>
      </w:r>
      <w:r>
        <w:rPr>
          <w:noProof/>
          <w:webHidden/>
        </w:rPr>
        <w:tab/>
      </w:r>
      <w:r>
        <w:rPr>
          <w:noProof/>
          <w:webHidden/>
        </w:rPr>
        <w:fldChar w:fldCharType="begin"/>
      </w:r>
      <w:r>
        <w:rPr>
          <w:noProof/>
          <w:webHidden/>
        </w:rPr>
        <w:instrText xml:space="preserve"> PAGEREF _Toc237350576 \h </w:instrText>
      </w:r>
      <w:r>
        <w:rPr>
          <w:noProof/>
          <w:webHidden/>
        </w:rPr>
        <w:fldChar w:fldCharType="separate"/>
      </w:r>
      <w:r>
        <w:rPr>
          <w:noProof/>
          <w:webHidden/>
        </w:rPr>
        <w:t>15</w:t>
      </w:r>
      <w:r>
        <w:rPr>
          <w:noProof/>
          <w:webHidden/>
        </w:rPr>
        <w:fldChar w:fldCharType="end"/>
      </w:r>
      <w:r>
        <w:rPr/>
        <w:fldChar w:fldCharType="end"/>
      </w:r>
    </w:p>
    <w:p w14:paraId="374F9AFB">
      <w:pPr>
        <w:pStyle w:val="style19"/>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"_Toc237350577" </w:instrText>
      </w:r>
      <w:r>
        <w:rPr/>
        <w:fldChar w:fldCharType="separate"/>
      </w:r>
      <w:r>
        <w:rPr>
          <w:rStyle w:val="style85"/>
          <w:noProof/>
        </w:rPr>
        <w:t>4. Entry Mode Strategy and Strategic Synthesis</w:t>
      </w:r>
      <w:r>
        <w:rPr>
          <w:noProof/>
          <w:webHidden/>
        </w:rPr>
        <w:tab/>
      </w:r>
      <w:r>
        <w:rPr>
          <w:noProof/>
          <w:webHidden/>
        </w:rPr>
        <w:fldChar w:fldCharType="begin"/>
      </w:r>
      <w:r>
        <w:rPr>
          <w:noProof/>
          <w:webHidden/>
        </w:rPr>
        <w:instrText xml:space="preserve"> PAGEREF _Toc237350577 \h </w:instrText>
      </w:r>
      <w:r>
        <w:rPr>
          <w:noProof/>
          <w:webHidden/>
        </w:rPr>
        <w:fldChar w:fldCharType="separate"/>
      </w:r>
      <w:r>
        <w:rPr>
          <w:noProof/>
          <w:webHidden/>
        </w:rPr>
        <w:t>17</w:t>
      </w:r>
      <w:r>
        <w:rPr>
          <w:noProof/>
          <w:webHidden/>
        </w:rPr>
        <w:fldChar w:fldCharType="end"/>
      </w:r>
      <w:r>
        <w:rPr/>
        <w:fldChar w:fldCharType="end"/>
      </w:r>
    </w:p>
    <w:p w14:paraId="03F971CB">
      <w:pPr>
        <w:pStyle w:val="style20"/>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"_Toc237350578" </w:instrText>
      </w:r>
      <w:r>
        <w:rPr/>
        <w:fldChar w:fldCharType="separate"/>
      </w:r>
      <w:r>
        <w:rPr>
          <w:rStyle w:val="style85"/>
          <w:noProof/>
        </w:rPr>
        <w:t>4.1 Historical Entry Pattern</w:t>
      </w:r>
      <w:r>
        <w:rPr>
          <w:noProof/>
          <w:webHidden/>
        </w:rPr>
        <w:tab/>
      </w:r>
      <w:r>
        <w:rPr>
          <w:noProof/>
          <w:webHidden/>
        </w:rPr>
        <w:fldChar w:fldCharType="begin"/>
      </w:r>
      <w:r>
        <w:rPr>
          <w:noProof/>
          <w:webHidden/>
        </w:rPr>
        <w:instrText xml:space="preserve"> PAGEREF _Toc237350578 \h </w:instrText>
      </w:r>
      <w:r>
        <w:rPr>
          <w:noProof/>
          <w:webHidden/>
        </w:rPr>
        <w:fldChar w:fldCharType="separate"/>
      </w:r>
      <w:r>
        <w:rPr>
          <w:noProof/>
          <w:webHidden/>
        </w:rPr>
        <w:t>17</w:t>
      </w:r>
      <w:r>
        <w:rPr>
          <w:noProof/>
          <w:webHidden/>
        </w:rPr>
        <w:fldChar w:fldCharType="end"/>
      </w:r>
      <w:r>
        <w:rPr/>
        <w:fldChar w:fldCharType="end"/>
      </w:r>
    </w:p>
    <w:p w14:paraId="138F2DB9">
      <w:pPr>
        <w:pStyle w:val="style20"/>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"_Toc237350579" </w:instrText>
      </w:r>
      <w:r>
        <w:rPr/>
        <w:fldChar w:fldCharType="separate"/>
      </w:r>
      <w:r>
        <w:rPr>
          <w:rStyle w:val="style85"/>
          <w:noProof/>
        </w:rPr>
        <w:t>4.2 Strategic Fit and Justification for the UAE</w:t>
      </w:r>
      <w:r>
        <w:rPr>
          <w:noProof/>
          <w:webHidden/>
        </w:rPr>
        <w:tab/>
      </w:r>
      <w:r>
        <w:rPr>
          <w:noProof/>
          <w:webHidden/>
        </w:rPr>
        <w:fldChar w:fldCharType="begin"/>
      </w:r>
      <w:r>
        <w:rPr>
          <w:noProof/>
          <w:webHidden/>
        </w:rPr>
        <w:instrText xml:space="preserve"> PAGEREF _Toc237350579 \h </w:instrText>
      </w:r>
      <w:r>
        <w:rPr>
          <w:noProof/>
          <w:webHidden/>
        </w:rPr>
        <w:fldChar w:fldCharType="separate"/>
      </w:r>
      <w:r>
        <w:rPr>
          <w:noProof/>
          <w:webHidden/>
        </w:rPr>
        <w:t>18</w:t>
      </w:r>
      <w:r>
        <w:rPr>
          <w:noProof/>
          <w:webHidden/>
        </w:rPr>
        <w:fldChar w:fldCharType="end"/>
      </w:r>
      <w:r>
        <w:rPr/>
        <w:fldChar w:fldCharType="end"/>
      </w:r>
    </w:p>
    <w:p w14:paraId="76D9D5CA">
      <w:pPr>
        <w:pStyle w:val="style20"/>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"_Toc237350580" </w:instrText>
      </w:r>
      <w:r>
        <w:rPr/>
        <w:fldChar w:fldCharType="separate"/>
      </w:r>
      <w:r>
        <w:rPr>
          <w:rStyle w:val="style85"/>
          <w:noProof/>
        </w:rPr>
        <w:t>4.3 Conclusion and Recommendation</w:t>
      </w:r>
      <w:r>
        <w:rPr>
          <w:noProof/>
          <w:webHidden/>
        </w:rPr>
        <w:tab/>
      </w:r>
      <w:r>
        <w:rPr>
          <w:noProof/>
          <w:webHidden/>
        </w:rPr>
        <w:fldChar w:fldCharType="begin"/>
      </w:r>
      <w:r>
        <w:rPr>
          <w:noProof/>
          <w:webHidden/>
        </w:rPr>
        <w:instrText xml:space="preserve"> PAGEREF _Toc237350580 \h </w:instrText>
      </w:r>
      <w:r>
        <w:rPr>
          <w:noProof/>
          <w:webHidden/>
        </w:rPr>
        <w:fldChar w:fldCharType="separate"/>
      </w:r>
      <w:r>
        <w:rPr>
          <w:noProof/>
          <w:webHidden/>
        </w:rPr>
        <w:t>20</w:t>
      </w:r>
      <w:r>
        <w:rPr>
          <w:noProof/>
          <w:webHidden/>
        </w:rPr>
        <w:fldChar w:fldCharType="end"/>
      </w:r>
      <w:r>
        <w:rPr/>
        <w:fldChar w:fldCharType="end"/>
      </w:r>
    </w:p>
    <w:p w14:paraId="1DEBA072">
      <w:pPr>
        <w:pStyle w:val="style21"/>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"_Toc237350581" </w:instrText>
      </w:r>
      <w:r>
        <w:rPr/>
        <w:fldChar w:fldCharType="separate"/>
      </w:r>
      <w:r>
        <w:rPr>
          <w:rStyle w:val="style85"/>
          <w:noProof/>
          <w:lang w:eastAsia="en-GB"/>
        </w:rPr>
        <w:t>4.3.1 Strategic Conclusion</w:t>
      </w:r>
      <w:r>
        <w:rPr>
          <w:noProof/>
          <w:webHidden/>
        </w:rPr>
        <w:tab/>
      </w:r>
      <w:r>
        <w:rPr>
          <w:noProof/>
          <w:webHidden/>
        </w:rPr>
        <w:fldChar w:fldCharType="begin"/>
      </w:r>
      <w:r>
        <w:rPr>
          <w:noProof/>
          <w:webHidden/>
        </w:rPr>
        <w:instrText xml:space="preserve"> PAGEREF _Toc237350581 \h </w:instrText>
      </w:r>
      <w:r>
        <w:rPr>
          <w:noProof/>
          <w:webHidden/>
        </w:rPr>
        <w:fldChar w:fldCharType="separate"/>
      </w:r>
      <w:r>
        <w:rPr>
          <w:noProof/>
          <w:webHidden/>
        </w:rPr>
        <w:t>20</w:t>
      </w:r>
      <w:r>
        <w:rPr>
          <w:noProof/>
          <w:webHidden/>
        </w:rPr>
        <w:fldChar w:fldCharType="end"/>
      </w:r>
      <w:r>
        <w:rPr/>
        <w:fldChar w:fldCharType="end"/>
      </w:r>
    </w:p>
    <w:p w14:paraId="7376E4D7">
      <w:pPr>
        <w:pStyle w:val="style21"/>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"_Toc237350582" </w:instrText>
      </w:r>
      <w:r>
        <w:rPr/>
        <w:fldChar w:fldCharType="separate"/>
      </w:r>
      <w:r>
        <w:rPr>
          <w:rStyle w:val="style85"/>
          <w:noProof/>
          <w:lang w:eastAsia="en-GB"/>
        </w:rPr>
        <w:t>4.3.2 Final Recommendations</w:t>
      </w:r>
      <w:r>
        <w:rPr>
          <w:noProof/>
          <w:webHidden/>
        </w:rPr>
        <w:tab/>
      </w:r>
      <w:r>
        <w:rPr>
          <w:noProof/>
          <w:webHidden/>
        </w:rPr>
        <w:fldChar w:fldCharType="begin"/>
      </w:r>
      <w:r>
        <w:rPr>
          <w:noProof/>
          <w:webHidden/>
        </w:rPr>
        <w:instrText xml:space="preserve"> PAGEREF _Toc237350582 \h </w:instrText>
      </w:r>
      <w:r>
        <w:rPr>
          <w:noProof/>
          <w:webHidden/>
        </w:rPr>
        <w:fldChar w:fldCharType="separate"/>
      </w:r>
      <w:r>
        <w:rPr>
          <w:noProof/>
          <w:webHidden/>
        </w:rPr>
        <w:t>20</w:t>
      </w:r>
      <w:r>
        <w:rPr>
          <w:noProof/>
          <w:webHidden/>
        </w:rPr>
        <w:fldChar w:fldCharType="end"/>
      </w:r>
      <w:r>
        <w:rPr/>
        <w:fldChar w:fldCharType="end"/>
      </w:r>
    </w:p>
    <w:p w14:paraId="33360B7C">
      <w:pPr>
        <w:pStyle w:val="style19"/>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"_Toc237350583" </w:instrText>
      </w:r>
      <w:r>
        <w:rPr/>
        <w:fldChar w:fldCharType="separate"/>
      </w:r>
      <w:r>
        <w:rPr>
          <w:rStyle w:val="style85"/>
          <w:noProof/>
        </w:rPr>
        <w:t>SECTION 2: REFLECTIVE ACCOUNT</w:t>
      </w:r>
      <w:r>
        <w:rPr>
          <w:noProof/>
          <w:webHidden/>
        </w:rPr>
        <w:tab/>
      </w:r>
      <w:r>
        <w:rPr>
          <w:noProof/>
          <w:webHidden/>
        </w:rPr>
        <w:fldChar w:fldCharType="begin"/>
      </w:r>
      <w:r>
        <w:rPr>
          <w:noProof/>
          <w:webHidden/>
        </w:rPr>
        <w:instrText xml:space="preserve"> PAGEREF _Toc237350583 \h </w:instrText>
      </w:r>
      <w:r>
        <w:rPr>
          <w:noProof/>
          <w:webHidden/>
        </w:rPr>
        <w:fldChar w:fldCharType="separate"/>
      </w:r>
      <w:r>
        <w:rPr>
          <w:noProof/>
          <w:webHidden/>
        </w:rPr>
        <w:t>21</w:t>
      </w:r>
      <w:r>
        <w:rPr>
          <w:noProof/>
          <w:webHidden/>
        </w:rPr>
        <w:fldChar w:fldCharType="end"/>
      </w:r>
      <w:r>
        <w:rPr/>
        <w:fldChar w:fldCharType="end"/>
      </w:r>
    </w:p>
    <w:p w14:paraId="3B6365CB">
      <w:pPr>
        <w:pStyle w:val="style20"/>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"_Toc237350584" </w:instrText>
      </w:r>
      <w:r>
        <w:rPr/>
        <w:fldChar w:fldCharType="separate"/>
      </w:r>
      <w:r>
        <w:rPr>
          <w:rStyle w:val="style85"/>
          <w:noProof/>
        </w:rPr>
        <w:t>Applying Gibbs' Reflective Cycle</w:t>
      </w:r>
      <w:r>
        <w:rPr>
          <w:noProof/>
          <w:webHidden/>
        </w:rPr>
        <w:tab/>
      </w:r>
      <w:r>
        <w:rPr>
          <w:noProof/>
          <w:webHidden/>
        </w:rPr>
        <w:fldChar w:fldCharType="begin"/>
      </w:r>
      <w:r>
        <w:rPr>
          <w:noProof/>
          <w:webHidden/>
        </w:rPr>
        <w:instrText xml:space="preserve"> PAGEREF _Toc237350584 \h </w:instrText>
      </w:r>
      <w:r>
        <w:rPr>
          <w:noProof/>
          <w:webHidden/>
        </w:rPr>
        <w:fldChar w:fldCharType="separate"/>
      </w:r>
      <w:r>
        <w:rPr>
          <w:noProof/>
          <w:webHidden/>
        </w:rPr>
        <w:t>21</w:t>
      </w:r>
      <w:r>
        <w:rPr>
          <w:noProof/>
          <w:webHidden/>
        </w:rPr>
        <w:fldChar w:fldCharType="end"/>
      </w:r>
      <w:r>
        <w:rPr/>
        <w:fldChar w:fldCharType="end"/>
      </w:r>
    </w:p>
    <w:p w14:paraId="6F44FD1A">
      <w:pPr>
        <w:pStyle w:val="style19"/>
        <w:tabs>
          <w:tab w:val="right" w:leader="dot" w:pos="9350"/>
        </w:tabs>
        <w:spacing w:lineRule="auto" w:line="276"/>
        <w:rPr>
          <w:rFonts w:ascii="Calibri" w:cs="宋体" w:eastAsia="宋体" w:hAnsi="Calibri"/>
          <w:noProof/>
          <w:kern w:val="2"/>
          <w:szCs w:val="24"/>
          <w:lang w:eastAsia="en-GB"/>
          <w14:ligatures xmlns:w14="http://schemas.microsoft.com/office/word/2010/wordml" w14:val="standardContextual"/>
        </w:rPr>
      </w:pPr>
      <w:r>
        <w:rPr/>
        <w:fldChar w:fldCharType="begin"/>
      </w:r>
      <w:r>
        <w:instrText xml:space="preserve"> HYPERLINK \l "_Toc237350585"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_Toc237350585 \h </w:instrText>
      </w:r>
      <w:r>
        <w:rPr>
          <w:noProof/>
          <w:webHidden/>
        </w:rPr>
        <w:fldChar w:fldCharType="separate"/>
      </w:r>
      <w:r>
        <w:rPr>
          <w:noProof/>
          <w:webHidden/>
        </w:rPr>
        <w:t>26</w:t>
      </w:r>
      <w:r>
        <w:rPr>
          <w:noProof/>
          <w:webHidden/>
        </w:rPr>
        <w:fldChar w:fldCharType="end"/>
      </w:r>
      <w:r>
        <w:rPr/>
        <w:fldChar w:fldCharType="end"/>
      </w:r>
    </w:p>
    <w:p w14:paraId="730C152C">
      <w:pPr>
        <w:pStyle w:val="style0"/>
        <w:spacing w:lineRule="auto" w:line="276"/>
        <w:rPr>
          <w:rFonts w:cs="Arial"/>
          <w:b/>
          <w:bCs/>
          <w:szCs w:val="24"/>
        </w:rPr>
      </w:pPr>
      <w:r>
        <w:rPr>
          <w:rFonts w:cs="Arial"/>
          <w:b/>
          <w:bCs/>
          <w:szCs w:val="24"/>
        </w:rPr>
        <w:fldChar w:fldCharType="end"/>
      </w:r>
    </w:p>
    <w:bookmarkStart w:id="1" w:name="_Toc237350563"/>
    <w:p w14:paraId="67D45172">
      <w:pPr>
        <w:pStyle w:val="style1"/>
        <w:rPr>
          <w:rFonts w:cs="Arial"/>
          <w:szCs w:val="24"/>
        </w:rPr>
      </w:pPr>
      <w:r>
        <w:t>Section 1</w:t>
      </w:r>
      <w:bookmarkEnd w:id="1"/>
    </w:p>
    <w:bookmarkStart w:id="2" w:name="_Toc237350564"/>
    <w:p w14:paraId="0298247E">
      <w:pPr>
        <w:pStyle w:val="style1"/>
        <w:rPr/>
      </w:pPr>
      <w:r>
        <w:t xml:space="preserve">1. </w:t>
      </w:r>
      <w:r>
        <w:t>Introduction</w:t>
      </w:r>
      <w:bookmarkEnd w:id="2"/>
      <w:r>
        <w:t xml:space="preserve"> </w:t>
      </w:r>
    </w:p>
    <w:p w14:paraId="7BA33462">
      <w:pPr>
        <w:pStyle w:val="style0"/>
        <w:rPr/>
      </w:pPr>
      <w:r>
        <w:t xml:space="preserve">International business concepts are theories, strategies and practices that allow organizations to venture into international activities and adjust to the varied political, economic, legal, cultural and competitive settings (Hill and Hult, 2020). The concepts are utilized by multinational corporations to </w:t>
      </w:r>
      <w:r>
        <w:t>analyze</w:t>
      </w:r>
      <w:r>
        <w:t xml:space="preserve"> the possibilities of entering the international market, choose in which way they want to enter and remain competitive in international dynamic environments (</w:t>
      </w:r>
      <w:r>
        <w:t>Ietto</w:t>
      </w:r>
      <w:r>
        <w:t>-Gillies, 2019). Organisations today are facing a rapidly globalizing world and the need to assessing foreign markets accurately is significant to reducing risk and achieving maximum long-term value creation.</w:t>
      </w:r>
    </w:p>
    <w:p w14:paraId="3F1DA064">
      <w:pPr>
        <w:pStyle w:val="style0"/>
        <w:rPr/>
      </w:pPr>
      <w:r>
        <w:t>Th</w:t>
      </w:r>
      <w:r>
        <w:t>e purpose of the</w:t>
      </w:r>
      <w:r>
        <w:t xml:space="preserve"> report </w:t>
      </w:r>
      <w:r>
        <w:t>i</w:t>
      </w:r>
      <w:r>
        <w:t xml:space="preserve">s to critically appraise Patagonia's international business strategy, and give </w:t>
      </w:r>
      <w:r>
        <w:t>evidence based</w:t>
      </w:r>
      <w:r>
        <w:t xml:space="preserve"> recommendations for sustainable IB growth and competitive advantage, focusing specifically on the Middle East country of the United Arab Emirates (UAE) as a potential host market.</w:t>
      </w:r>
    </w:p>
    <w:p w14:paraId="604C67B4">
      <w:pPr>
        <w:pStyle w:val="style0"/>
        <w:rPr/>
      </w:pPr>
      <w:r>
        <w:t>The report begins with an organisational classification of Patagonia using Bartlett and Ghoshal's (1989) strategic framework, followed by a comprehensive macro-environmental appraisal of the UAE incorporating political, economic, legal and cultural factors. This is followed by an application of Dunning's OLI Eclectic Paradigm, and culminating with entry mode recommendations and a strategic conclusion</w:t>
      </w:r>
      <w:r>
        <w:t>.</w:t>
      </w:r>
    </w:p>
    <w:p w14:paraId="004271B7">
      <w:pPr>
        <w:pStyle w:val="style0"/>
        <w:rPr/>
      </w:pPr>
    </w:p>
    <w:p w14:paraId="7AF9E713">
      <w:pPr>
        <w:pStyle w:val="style0"/>
        <w:rPr/>
      </w:pPr>
    </w:p>
    <w:p w14:paraId="604761A5">
      <w:pPr>
        <w:pStyle w:val="style0"/>
        <w:rPr/>
      </w:pPr>
    </w:p>
    <w:p w14:paraId="432D34FD">
      <w:pPr>
        <w:pStyle w:val="style0"/>
        <w:rPr/>
      </w:pPr>
    </w:p>
    <w:p w14:paraId="537332A5">
      <w:pPr>
        <w:pStyle w:val="style0"/>
        <w:rPr/>
      </w:pPr>
    </w:p>
    <w:bookmarkStart w:id="3" w:name="_Toc237350565"/>
    <w:p w14:paraId="001AF489">
      <w:pPr>
        <w:pStyle w:val="style1"/>
        <w:rPr/>
      </w:pPr>
      <w:r>
        <w:t xml:space="preserve">2. </w:t>
      </w:r>
      <w:r>
        <w:t>Organizational Classification and Global Strategy</w:t>
      </w:r>
      <w:bookmarkEnd w:id="3"/>
    </w:p>
    <w:bookmarkStart w:id="4" w:name="_Toc237350566"/>
    <w:p w14:paraId="5147CE7A">
      <w:pPr>
        <w:pStyle w:val="style2"/>
        <w:rPr/>
      </w:pPr>
      <w:r>
        <w:t>2.1 Patagonia: Company Overview</w:t>
      </w:r>
      <w:bookmarkEnd w:id="4"/>
    </w:p>
    <w:p w14:paraId="6B19824E">
      <w:pPr>
        <w:pStyle w:val="style0"/>
        <w:rPr/>
      </w:pPr>
      <w:r>
        <w:t>Patagonia was established in 1973 by founder Yvon Chouinard, and is one of the iconic outdoor apparel and equipment brands recognized around the world</w:t>
      </w:r>
      <w:r>
        <w:t xml:space="preserve"> (Patagonia, 2022a)</w:t>
      </w:r>
      <w:r>
        <w:t>.</w:t>
      </w:r>
    </w:p>
    <w:p w14:paraId="29BD6C3E">
      <w:pPr>
        <w:pStyle w:val="style0"/>
        <w:rPr/>
      </w:pPr>
      <w:r>
        <w:rPr>
          <w:noProof/>
        </w:rPr>
        <w:drawing>
          <wp:inline distL="0" distT="0" distB="0" distR="0">
            <wp:extent cx="5943600" cy="3218815"/>
            <wp:effectExtent l="0" t="0" r="0" b="635"/>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5943600" cy="3218815"/>
                    </a:xfrm>
                    <a:prstGeom prst="rect"/>
                  </pic:spPr>
                </pic:pic>
              </a:graphicData>
            </a:graphic>
          </wp:inline>
        </w:drawing>
      </w:r>
      <w:r>
        <w:t xml:space="preserve"> </w:t>
      </w:r>
    </w:p>
    <w:p w14:paraId="11098268">
      <w:pPr>
        <w:pStyle w:val="style0"/>
        <w:jc w:val="center"/>
        <w:rPr/>
      </w:pPr>
      <w:r>
        <w:t xml:space="preserve">Figure 1: </w:t>
      </w:r>
      <w:r>
        <w:t>Patagonia Company</w:t>
      </w:r>
      <w:r>
        <w:t xml:space="preserve"> Logo</w:t>
      </w:r>
    </w:p>
    <w:p w14:paraId="48EDCB84">
      <w:pPr>
        <w:pStyle w:val="style0"/>
        <w:jc w:val="center"/>
        <w:rPr/>
      </w:pPr>
      <w:r>
        <w:t>Source:</w:t>
      </w:r>
      <w:r>
        <w:t xml:space="preserve"> (Patagonia, 2022a)</w:t>
      </w:r>
    </w:p>
    <w:p w14:paraId="19A8DCCB">
      <w:pPr>
        <w:pStyle w:val="style0"/>
        <w:rPr/>
      </w:pPr>
      <w:r>
        <w:t>In contrast to classic brands for the consumers "We're in business to save our home planet" (Patagonia, 2022</w:t>
      </w:r>
      <w:r>
        <w:t>b</w:t>
      </w:r>
      <w:r>
        <w:t>) stands out as a mission statement. Patagonia has been a certified B Corp, a California Benefit Corporation and in September 2022, transferred 100 percent of voting stock to the Patagonia Purpose Trust, and 98 per cent of non-voting stock to the collective of environmentalists known as the Holdfast Collective (Patagonia, 202</w:t>
      </w:r>
      <w:r>
        <w:t>3</w:t>
      </w:r>
      <w:r>
        <w:t>). Patagonia had gross revenue of around USD 1.47 billion in fiscal year 2025, and operated stores in over 10 countries, such as the U.S., U.K., Germany, France, Japan, and Australia. The company has around 3,000 employees all over the world and production facilities in 16 countries.</w:t>
      </w:r>
    </w:p>
    <w:bookmarkStart w:id="5" w:name="_Toc237350567"/>
    <w:p w14:paraId="7E2B2A17">
      <w:pPr>
        <w:pStyle w:val="style2"/>
        <w:rPr/>
      </w:pPr>
      <w:r>
        <w:t xml:space="preserve">2.2 </w:t>
      </w:r>
      <w:r>
        <w:t xml:space="preserve">Strategic Categorization: </w:t>
      </w:r>
      <w:r>
        <w:t>Bartlett and Ghoshal</w:t>
      </w:r>
      <w:r>
        <w:t>'s</w:t>
      </w:r>
      <w:r>
        <w:t xml:space="preserve"> Strategic </w:t>
      </w:r>
      <w:r>
        <w:t>Framework</w:t>
      </w:r>
      <w:bookmarkEnd w:id="5"/>
    </w:p>
    <w:p w14:paraId="38CA51C3">
      <w:pPr>
        <w:pStyle w:val="style0"/>
        <w:rPr/>
      </w:pPr>
      <w:r>
        <w:t>Bartlett and Ghoshal (1989) developed a typology of MNCs to understand their position with regard to two competing pressures global integration and local responsiveness. Four archetypes emerge from this framework; namely, the international, global, multidomestic, and transnational corporation.</w:t>
      </w:r>
    </w:p>
    <w:p w14:paraId="028922E8">
      <w:pPr>
        <w:pStyle w:val="style0"/>
        <w:jc w:val="center"/>
        <w:rPr/>
      </w:pPr>
      <w:r>
        <w:rPr>
          <w:noProof/>
        </w:rPr>
        <w:drawing>
          <wp:inline distL="0" distT="0" distB="0" distR="0">
            <wp:extent cx="3934460" cy="3581400"/>
            <wp:effectExtent l="0" t="0" r="8890" b="0"/>
            <wp:docPr id="102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5" cstate="print"/>
                    <a:srcRect l="0" t="0" r="0" b="0"/>
                    <a:stretch/>
                  </pic:blipFill>
                  <pic:spPr>
                    <a:xfrm rot="0">
                      <a:off x="0" y="0"/>
                      <a:ext cx="3934460" cy="3581400"/>
                    </a:xfrm>
                    <a:prstGeom prst="rect"/>
                  </pic:spPr>
                </pic:pic>
              </a:graphicData>
            </a:graphic>
          </wp:inline>
        </w:drawing>
      </w:r>
    </w:p>
    <w:p w14:paraId="09593E54">
      <w:pPr>
        <w:pStyle w:val="style0"/>
        <w:jc w:val="center"/>
        <w:rPr/>
      </w:pPr>
      <w:r>
        <w:t xml:space="preserve">Figure </w:t>
      </w:r>
      <w:r>
        <w:t>2</w:t>
      </w:r>
      <w:r>
        <w:t>: Bartlett and Ghoshal's Strategy Framework</w:t>
      </w:r>
    </w:p>
    <w:p w14:paraId="061823F4">
      <w:pPr>
        <w:pStyle w:val="style0"/>
        <w:jc w:val="center"/>
        <w:rPr/>
      </w:pPr>
      <w:r>
        <w:t>Source: (</w:t>
      </w:r>
      <w:r>
        <w:t>Bartlett and Ghoshal</w:t>
      </w:r>
      <w:r>
        <w:t xml:space="preserve">, </w:t>
      </w:r>
      <w:r>
        <w:t>1989</w:t>
      </w:r>
      <w:r>
        <w:t>)</w:t>
      </w:r>
    </w:p>
    <w:p w14:paraId="58FAA618">
      <w:pPr>
        <w:pStyle w:val="style0"/>
        <w:rPr/>
      </w:pPr>
      <w:r>
        <w:t>This report contends that Patagonia most closely aligns with the International Strategy archetype, with emerging characteristics of a Transnational organisation.</w:t>
      </w:r>
    </w:p>
    <w:p w14:paraId="22C2DCBC">
      <w:pPr>
        <w:pStyle w:val="style0"/>
        <w:rPr/>
      </w:pPr>
      <w:r>
        <w:rPr>
          <w:b/>
          <w:bCs/>
        </w:rPr>
        <w:t>International Strategy:</w:t>
      </w:r>
      <w:r>
        <w:t xml:space="preserve"> Patagonia has a few characteristics of the international strategy model. Bartlett and Ghoshal (1989) argued that international companies sent their core competencies from the home firms, which might include technology, products, or brand, into the foreign subsidiaries, with limited adaptation occurring. Product lines, sustainability standards and ethical manufacturing codes are consistent, developed in the United States and applied globally throughout Patagonia's markets</w:t>
      </w:r>
      <w:r>
        <w:t xml:space="preserve"> (</w:t>
      </w:r>
      <w:r>
        <w:t xml:space="preserve">Shehata </w:t>
      </w:r>
      <w:r>
        <w:t>Nakhil</w:t>
      </w:r>
      <w:r>
        <w:t>, 2024</w:t>
      </w:r>
      <w:r>
        <w:t>)</w:t>
      </w:r>
      <w:r>
        <w:t xml:space="preserve">. The company does not, on a fundamental level, tailor its product lines to any geographic location; its Worn Wear repair programme, 1 percent for the Planet, and B </w:t>
      </w:r>
      <w:r>
        <w:t>Corp commitments are found everywhere (Patagonia, 202</w:t>
      </w:r>
      <w:r>
        <w:t>2b</w:t>
      </w:r>
      <w:r>
        <w:t>). Some inefficiency in the degree of local responsiveness to global consistency is evident.</w:t>
      </w:r>
    </w:p>
    <w:p w14:paraId="289ACEFF">
      <w:pPr>
        <w:pStyle w:val="style0"/>
        <w:rPr/>
      </w:pPr>
      <w:r>
        <w:rPr>
          <w:b/>
          <w:bCs/>
        </w:rPr>
        <w:t>Transnational Characteristics:</w:t>
      </w:r>
      <w:r>
        <w:t xml:space="preserve"> Nevertheless, Patagonia exhibits nascent transnational tendencies. As described by Hill and Hult (2020), transnational companies strive to be globally efficient while responding locally, and also learn in the process. Experiences in Patagonia have proven their ability to create knowledge flows for products between markets, environmental partnerships at the local level, and regional repair hubs. Furthermore, its 2022 purpose trust structure does not fit neatly into a centralised governance arrangement; it implies a transition towards a network-based, transnational governance arrangement, represented by (Verbeke, 2020).</w:t>
      </w:r>
    </w:p>
    <w:p w14:paraId="6C5D82A2">
      <w:pPr>
        <w:pStyle w:val="style0"/>
        <w:rPr/>
      </w:pPr>
      <w:r>
        <w:t>Overall, Patagonia is best classified as a firm operating an International Strategy with emergent Transnational tendencies. Its overall philosophical attitude of ‘mission consistency’ rather than local market adaptation situates it clearly in the international quadrant in which many firms do not become truly transnational but rather remain based in the home region</w:t>
      </w:r>
      <w:r>
        <w:t xml:space="preserve"> (</w:t>
      </w:r>
      <w:r>
        <w:t>Schillmann</w:t>
      </w:r>
      <w:r>
        <w:t xml:space="preserve">, </w:t>
      </w:r>
      <w:r>
        <w:t>2020</w:t>
      </w:r>
      <w:r>
        <w:t>)</w:t>
      </w:r>
      <w:r>
        <w:t>.</w:t>
      </w:r>
    </w:p>
    <w:bookmarkStart w:id="6" w:name="_Toc237350568"/>
    <w:p w14:paraId="5A695F2F">
      <w:pPr>
        <w:pStyle w:val="style2"/>
        <w:rPr/>
      </w:pPr>
      <w:r>
        <w:t>2.3 Global Configuration and Competitive Advantage</w:t>
      </w:r>
      <w:bookmarkEnd w:id="6"/>
    </w:p>
    <w:p w14:paraId="12142029">
      <w:pPr>
        <w:pStyle w:val="style0"/>
        <w:rPr/>
      </w:pPr>
      <w:r>
        <w:t>There are some reinforcing sources which give Patagonia an international competitive advantage. The factor conditions, demand conditions, related industries and firm strategy are a source of competitive advantage. Patagonia's strength lies in its innovative sustainability technologies, including its PFAS-free durable water-repellent treatments and 100 per cent recycled packaging (Patagonia, 2023) that are challenging to be seen by the competitors. It is B Certified with a score of 151.4, which is notably higher than the industry average of 50.9, meaning it has proven to have a higher level of operational and ethical excellence and earned an endowment of brand premium (B Lab, 2023).</w:t>
      </w:r>
    </w:p>
    <w:p w14:paraId="015DE7C0">
      <w:pPr>
        <w:pStyle w:val="style0"/>
        <w:rPr/>
      </w:pPr>
      <w:r>
        <w:t xml:space="preserve">Barriers to imitation include the company's vertical integration into the supply chain, retail, and circular economy efforts (Worn Wear, </w:t>
      </w:r>
      <w:r>
        <w:t>ReCrafted</w:t>
      </w:r>
      <w:r>
        <w:t>). Its unique ownership structure, whereby profits are returned to environmental causes rather than shareholders, functions as a powerful differentiator among increasingly ESG-conscious consumers</w:t>
      </w:r>
      <w:r>
        <w:t xml:space="preserve"> (Patagonia, 2026)</w:t>
      </w:r>
      <w:r>
        <w:t xml:space="preserve">. dynamic capabilities the ability to sense, seize, and </w:t>
      </w:r>
      <w:r>
        <w:t>reconfigure resources are the ultimate source of competitive advantage for internationalising firms; Patagonia exemplifies this through its continuous product innovation and its responsiveness to evolving environmental legislation</w:t>
      </w:r>
      <w:r>
        <w:t xml:space="preserve"> (</w:t>
      </w:r>
      <w:r>
        <w:t>Shourkaei</w:t>
      </w:r>
      <w:r>
        <w:t xml:space="preserve"> et al., 2024)</w:t>
      </w:r>
      <w:r>
        <w:t>.</w:t>
      </w:r>
    </w:p>
    <w:bookmarkStart w:id="7" w:name="_Toc237350569"/>
    <w:p w14:paraId="1F17AC96">
      <w:pPr>
        <w:pStyle w:val="style1"/>
        <w:rPr/>
      </w:pPr>
      <w:r>
        <w:t xml:space="preserve">3. </w:t>
      </w:r>
      <w:r>
        <w:t>Macro-Environmental Appraisal and Market Attractiveness</w:t>
      </w:r>
      <w:bookmarkEnd w:id="7"/>
    </w:p>
    <w:bookmarkStart w:id="8" w:name="_Toc237350570"/>
    <w:p w14:paraId="0123086D">
      <w:pPr>
        <w:pStyle w:val="style2"/>
        <w:rPr/>
      </w:pPr>
      <w:r>
        <w:t>3.1 Host Country Analysis</w:t>
      </w:r>
      <w:bookmarkEnd w:id="8"/>
    </w:p>
    <w:p w14:paraId="5E4599E7">
      <w:pPr>
        <w:pStyle w:val="style0"/>
        <w:rPr>
          <w:lang w:eastAsia="en-GB"/>
        </w:rPr>
      </w:pPr>
      <w:r>
        <w:rPr>
          <w:lang w:eastAsia="en-GB"/>
        </w:rPr>
        <w:t>The UAE is a complex, yet commercially attractive, target for Patagonia's expansion into foreign markets, a place where new environments in international business are becoming volatile, uncertain, complex and ambiguous. The VUCA approach is a key element of understanding the UAE and entails maintaining a mindset that is characterised by volatility, uncertainty, complexity, and ambivalence</w:t>
      </w:r>
      <w:r>
        <w:rPr>
          <w:lang w:eastAsia="en-GB"/>
        </w:rPr>
        <w:t>.</w:t>
      </w:r>
    </w:p>
    <w:p w14:paraId="19BF85B2">
      <w:pPr>
        <w:pStyle w:val="style0"/>
        <w:rPr>
          <w:lang w:eastAsia="en-GB"/>
        </w:rPr>
      </w:pPr>
      <w:r>
        <w:rPr>
          <w:noProof/>
          <w:lang w:eastAsia="en-GB"/>
        </w:rPr>
        <w:drawing>
          <wp:inline distL="0" distT="0" distB="0" distR="0">
            <wp:extent cx="5943600" cy="3542664"/>
            <wp:effectExtent l="0" t="0" r="0" b="635"/>
            <wp:docPr id="1030"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6" cstate="print"/>
                    <a:srcRect l="0" t="0" r="0" b="0"/>
                    <a:stretch/>
                  </pic:blipFill>
                  <pic:spPr>
                    <a:xfrm rot="0">
                      <a:off x="0" y="0"/>
                      <a:ext cx="5943600" cy="3542664"/>
                    </a:xfrm>
                    <a:prstGeom prst="rect"/>
                  </pic:spPr>
                </pic:pic>
              </a:graphicData>
            </a:graphic>
          </wp:inline>
        </w:drawing>
      </w:r>
    </w:p>
    <w:p w14:paraId="0166ABF4">
      <w:pPr>
        <w:pStyle w:val="style0"/>
        <w:jc w:val="center"/>
        <w:rPr>
          <w:lang w:eastAsia="en-GB"/>
        </w:rPr>
      </w:pPr>
      <w:r>
        <w:rPr>
          <w:lang w:eastAsia="en-GB"/>
        </w:rPr>
        <w:t>Figure</w:t>
      </w:r>
      <w:r>
        <w:rPr>
          <w:lang w:eastAsia="en-GB"/>
        </w:rPr>
        <w:t xml:space="preserve"> 3:</w:t>
      </w:r>
      <w:r>
        <w:rPr>
          <w:lang w:eastAsia="en-GB"/>
        </w:rPr>
        <w:t xml:space="preserve"> UAE </w:t>
      </w:r>
      <w:r>
        <w:rPr>
          <w:lang w:eastAsia="en-GB"/>
        </w:rPr>
        <w:t>sportswear market forecast</w:t>
      </w:r>
    </w:p>
    <w:p w14:paraId="5E6DEB62">
      <w:pPr>
        <w:pStyle w:val="style0"/>
        <w:jc w:val="center"/>
        <w:rPr>
          <w:lang w:eastAsia="en-GB"/>
        </w:rPr>
      </w:pPr>
      <w:r>
        <w:rPr>
          <w:lang w:eastAsia="en-GB"/>
        </w:rPr>
        <w:t xml:space="preserve">Source: </w:t>
      </w:r>
      <w:r>
        <w:rPr>
          <w:lang w:eastAsia="en-GB"/>
        </w:rPr>
        <w:t>(IMARC Group, 202</w:t>
      </w:r>
      <w:r>
        <w:rPr>
          <w:lang w:eastAsia="en-GB"/>
        </w:rPr>
        <w:t>4</w:t>
      </w:r>
      <w:r>
        <w:rPr>
          <w:lang w:eastAsia="en-GB"/>
        </w:rPr>
        <w:t>)</w:t>
      </w:r>
    </w:p>
    <w:p w14:paraId="70CCF6CF">
      <w:pPr>
        <w:pStyle w:val="style0"/>
        <w:rPr>
          <w:lang w:eastAsia="en-GB"/>
        </w:rPr>
      </w:pPr>
      <w:r>
        <w:rPr>
          <w:lang w:eastAsia="en-GB"/>
        </w:rPr>
        <w:t xml:space="preserve">The UAE sportswear market was valued at USD 991.5 million in 2025, and is projected to exceed USD 1,380 million by 2034, indicating that both the footwear and apparel </w:t>
      </w:r>
      <w:r>
        <w:rPr>
          <w:lang w:eastAsia="en-GB"/>
        </w:rPr>
        <w:t>lines are expected to grow steadily as fitness participation among the population is on the rise and the government is pushing for wellness campaigns (IMARC Group, 2024). However, this growth trajectory exists within a volatile macroeconomic context shaped by oil price fluctuations and shifting regional geopolitics, introducing layers of uncertainty that demand careful strategic consideration.</w:t>
      </w:r>
    </w:p>
    <w:p w14:paraId="18D9242A">
      <w:pPr>
        <w:pStyle w:val="style0"/>
        <w:rPr>
          <w:lang w:eastAsia="en-GB"/>
        </w:rPr>
      </w:pPr>
      <w:r>
        <w:rPr>
          <w:lang w:eastAsia="en-GB"/>
        </w:rPr>
        <w:t>Overall, a highly dynamic macroeconomic environment is supporting this path, as the UAE enjoyed a positive GDP growth of 6.2 per cent in the non-hydrocarbon sector in 2023 (IMF, 2024), and GDP grew by around USD 552 billion by 2023 (World Bank, 2024). There is a strategic challenge to dealing with the UAE's regulatory, cultural and environmental aspects. However, this cooperation between UAE and Patagonia environmental mission is valuable because of the Net Zero by 2050 Strategic Initiative and hosting of COP28 which has embedded sustainability into the UAE national agenda (Masdar 2021); 66% of UAE consumers actively seek brands with “trustworthy” environmental actions, for instance</w:t>
      </w:r>
      <w:r>
        <w:rPr>
          <w:lang w:eastAsia="en-GB"/>
        </w:rPr>
        <w:t>.</w:t>
      </w:r>
    </w:p>
    <w:bookmarkStart w:id="9" w:name="_Toc237350571"/>
    <w:p w14:paraId="1FEC5E50">
      <w:pPr>
        <w:pStyle w:val="style2"/>
        <w:rPr/>
      </w:pPr>
      <w:r>
        <w:t xml:space="preserve">3.2 </w:t>
      </w:r>
      <w:r>
        <w:t>Comprehensive Critical Evaluation of the External Environmental Factors</w:t>
      </w:r>
      <w:bookmarkEnd w:id="9"/>
    </w:p>
    <w:bookmarkStart w:id="10" w:name="_Toc237350572"/>
    <w:p w14:paraId="07BBBF66">
      <w:pPr>
        <w:pStyle w:val="style3"/>
        <w:rPr/>
      </w:pPr>
      <w:r>
        <w:t>3.</w:t>
      </w:r>
      <w:r>
        <w:t>2.</w:t>
      </w:r>
      <w:r>
        <w:t>1 Political Environment</w:t>
      </w:r>
      <w:bookmarkEnd w:id="10"/>
    </w:p>
    <w:p w14:paraId="48AA6004">
      <w:pPr>
        <w:pStyle w:val="style0"/>
        <w:rPr>
          <w:lang w:eastAsia="en-GB"/>
        </w:rPr>
      </w:pPr>
      <w:r>
        <w:rPr>
          <w:lang w:eastAsia="en-GB"/>
        </w:rPr>
        <w:t xml:space="preserve">The UAE is a federal constitutional monarchy that is politically stability under the leadership of a Federal Supreme Council which is formed by the rulers of the seven emirates of the UAE. The system offers, in total, a relatively stable and predictable setting for foreign investment, underpinned by the UAE Vision 2031 development plan, which presents a long-term strategy to diversify the economy. Political stability is one of the most important factors that influences FDI decisions, as noted by </w:t>
      </w:r>
      <w:r>
        <w:rPr>
          <w:lang w:eastAsia="en-GB"/>
        </w:rPr>
        <w:t>Cavusgil</w:t>
      </w:r>
      <w:r>
        <w:rPr>
          <w:lang w:eastAsia="en-GB"/>
        </w:rPr>
        <w:t xml:space="preserve"> et al., </w:t>
      </w:r>
      <w:r>
        <w:rPr>
          <w:lang w:eastAsia="en-GB"/>
        </w:rPr>
        <w:t xml:space="preserve">(2020). The UAE's track record of political stability places it in a position of favour play when it comes to planning years for </w:t>
      </w:r>
      <w:r>
        <w:rPr>
          <w:lang w:eastAsia="en-GB"/>
        </w:rPr>
        <w:t>patagonia</w:t>
      </w:r>
      <w:r>
        <w:rPr>
          <w:lang w:eastAsia="en-GB"/>
        </w:rPr>
        <w:t>. The political landscape is especially significant for a brand driven by a mission that has a long-term commercial future: long-term regulatory alignment with the environmental mission is crucial to this.</w:t>
      </w:r>
    </w:p>
    <w:p w14:paraId="69376F40">
      <w:pPr>
        <w:pStyle w:val="style0"/>
        <w:rPr>
          <w:lang w:eastAsia="en-GB"/>
        </w:rPr>
      </w:pPr>
      <w:r>
        <w:rPr>
          <w:b/>
          <w:bCs/>
          <w:lang w:eastAsia="en-GB"/>
        </w:rPr>
        <w:t>Supportive Policy Architecture</w:t>
      </w:r>
      <w:r>
        <w:rPr>
          <w:b/>
          <w:bCs/>
          <w:lang w:eastAsia="en-GB"/>
        </w:rPr>
        <w:t>:</w:t>
      </w:r>
      <w:r>
        <w:rPr>
          <w:b/>
          <w:bCs/>
          <w:lang w:eastAsia="en-GB"/>
        </w:rPr>
        <w:t xml:space="preserve"> </w:t>
      </w:r>
      <w:r>
        <w:rPr>
          <w:lang w:eastAsia="en-GB"/>
        </w:rPr>
        <w:t>The UAE government has made sustainability a clear and institutionalised goal. The UAE Net Zero by 2050 Strategic Initiative placed the UAE as the first Middle East &amp; North Africa (MENA) country to commit to becoming a net-</w:t>
      </w:r>
      <w:r>
        <w:rPr>
          <w:lang w:eastAsia="en-GB"/>
        </w:rPr>
        <w:t>zero based on the UAE Government's legislation (</w:t>
      </w:r>
      <w:r>
        <w:t>Ahmed</w:t>
      </w:r>
      <w:r>
        <w:rPr>
          <w:lang w:eastAsia="en-GB"/>
        </w:rPr>
        <w:t>, 2023), which aligns with Patagonia's environmental mission. But COP28's arrival in Dubai in November 2023 further catapulted sustainability as a key element of the UAE's national identity and political discussion, which has fostered more regulatory action and greater consumer trust in purpose-driven brands (</w:t>
      </w:r>
      <w:r>
        <w:t>Ministry of Foreign Affairs, UAE</w:t>
      </w:r>
      <w:r>
        <w:t xml:space="preserve">, </w:t>
      </w:r>
      <w:r>
        <w:t>2023</w:t>
      </w:r>
      <w:r>
        <w:rPr>
          <w:lang w:eastAsia="en-GB"/>
        </w:rPr>
        <w:t>).</w:t>
      </w:r>
    </w:p>
    <w:p w14:paraId="268C9D72">
      <w:pPr>
        <w:pStyle w:val="style0"/>
        <w:rPr>
          <w:lang w:eastAsia="en-GB"/>
        </w:rPr>
      </w:pPr>
      <w:r>
        <w:rPr>
          <w:noProof/>
          <w:lang w:eastAsia="en-GB"/>
        </w:rPr>
        <w:drawing>
          <wp:inline distL="0" distT="0" distB="0" distR="0">
            <wp:extent cx="5943600" cy="3316605"/>
            <wp:effectExtent l="0" t="0" r="0" b="0"/>
            <wp:docPr id="1031"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1"/>
                    <pic:cNvPicPr/>
                  </pic:nvPicPr>
                  <pic:blipFill>
                    <a:blip r:embed="rId7" cstate="print"/>
                    <a:srcRect l="0" t="0" r="0" b="0"/>
                    <a:stretch/>
                  </pic:blipFill>
                  <pic:spPr>
                    <a:xfrm rot="0">
                      <a:off x="0" y="0"/>
                      <a:ext cx="5943600" cy="3316605"/>
                    </a:xfrm>
                    <a:prstGeom prst="rect"/>
                  </pic:spPr>
                </pic:pic>
              </a:graphicData>
            </a:graphic>
          </wp:inline>
        </w:drawing>
      </w:r>
    </w:p>
    <w:p w14:paraId="7F8A8D8B">
      <w:pPr>
        <w:pStyle w:val="style0"/>
        <w:jc w:val="center"/>
        <w:rPr>
          <w:lang w:eastAsia="en-GB"/>
        </w:rPr>
      </w:pPr>
      <w:r>
        <w:rPr>
          <w:lang w:eastAsia="en-GB"/>
        </w:rPr>
        <w:t xml:space="preserve">Figure </w:t>
      </w:r>
      <w:r>
        <w:rPr>
          <w:lang w:eastAsia="en-GB"/>
        </w:rPr>
        <w:t>4</w:t>
      </w:r>
      <w:r>
        <w:rPr>
          <w:lang w:eastAsia="en-GB"/>
        </w:rPr>
        <w:t>: UAE Net Zero 2050 Strategy- Target by Sector</w:t>
      </w:r>
    </w:p>
    <w:p w14:paraId="4ECE622C">
      <w:pPr>
        <w:pStyle w:val="style0"/>
        <w:jc w:val="center"/>
        <w:rPr>
          <w:lang w:eastAsia="en-GB"/>
        </w:rPr>
      </w:pPr>
      <w:r>
        <w:rPr>
          <w:lang w:eastAsia="en-GB"/>
        </w:rPr>
        <w:t>Source:</w:t>
      </w:r>
      <w:r>
        <w:t xml:space="preserve"> </w:t>
      </w:r>
      <w:r>
        <w:rPr>
          <w:lang w:eastAsia="en-GB"/>
        </w:rPr>
        <w:t>(Ahmed, 2023)</w:t>
      </w:r>
    </w:p>
    <w:p w14:paraId="6762A6FB">
      <w:pPr>
        <w:pStyle w:val="style0"/>
        <w:rPr>
          <w:lang w:eastAsia="en-GB"/>
        </w:rPr>
      </w:pPr>
      <w:r>
        <w:rPr>
          <w:lang w:eastAsia="en-GB"/>
        </w:rPr>
        <w:t>The government stated that 2023 is the Year of Sustainability, leading to various opportunities to drive commercial transactions and offer preference to sustainable public procurement, recognition through the reputational visibility of climate-change proof brands, sustainability-related licencing opportunities, and much more (Ministry of Climate Change and Environment, UAE, 2023). This policy architecture is a location specific advantage for Patagonia, the institutional environment aligns with the brand.</w:t>
      </w:r>
    </w:p>
    <w:p w14:paraId="4FED20E7">
      <w:pPr>
        <w:pStyle w:val="style0"/>
        <w:rPr>
          <w:b/>
          <w:bCs/>
          <w:lang w:eastAsia="en-GB"/>
        </w:rPr>
      </w:pPr>
      <w:r>
        <w:rPr>
          <w:b/>
          <w:bCs/>
          <w:lang w:eastAsia="en-GB"/>
        </w:rPr>
        <w:t>Political Risks</w:t>
      </w:r>
      <w:r>
        <w:rPr>
          <w:b/>
          <w:bCs/>
          <w:lang w:eastAsia="en-GB"/>
        </w:rPr>
        <w:t>:</w:t>
      </w:r>
      <w:r>
        <w:rPr>
          <w:b/>
          <w:bCs/>
          <w:lang w:eastAsia="en-GB"/>
        </w:rPr>
        <w:t xml:space="preserve"> </w:t>
      </w:r>
      <w:r>
        <w:rPr>
          <w:lang w:eastAsia="en-GB"/>
        </w:rPr>
        <w:t xml:space="preserve">The UAE's geographical position also gives rise to country-risk factors that should be factored into Patagonia's long-term investment modelling, such as tensions in the Gulf and the conflict in Yemen. Practical scenarios of low probability risk are supply chain disruptions, volatility of tourist numbers and change in consumer sentiment in the region with regards the geopolitical escalation. Additionally, the lack of </w:t>
      </w:r>
      <w:r>
        <w:rPr>
          <w:lang w:eastAsia="en-GB"/>
        </w:rPr>
        <w:t>democratic accountability mechanisms particularly here, but also in many other respects also allows for quick policy changes, though these are unusual in democratic systems, without the transparency of procedure that parliamentary systems are known for. The assessment of political risks should not just consider the prevailing risks but should also consider realistic risk scenarios and, commercial consequences when weighed by the likelihood of the risk occurring, says Hill (2021). Patagonia cannot, therefore, rely on a staged entry plan that features political risk contingencies, setting such early investment commitment returns contingent on a range of policy outcomes.</w:t>
      </w:r>
    </w:p>
    <w:bookmarkStart w:id="11" w:name="_Toc237350573"/>
    <w:p w14:paraId="57142937">
      <w:pPr>
        <w:pStyle w:val="style3"/>
        <w:rPr/>
      </w:pPr>
      <w:r>
        <w:t>3.</w:t>
      </w:r>
      <w:r>
        <w:t>2.</w:t>
      </w:r>
      <w:r>
        <w:t>2 Economic Environment</w:t>
      </w:r>
      <w:bookmarkEnd w:id="11"/>
    </w:p>
    <w:p w14:paraId="3B7E0104">
      <w:pPr>
        <w:pStyle w:val="style0"/>
        <w:rPr>
          <w:lang w:eastAsia="en-GB"/>
        </w:rPr>
      </w:pPr>
      <w:r>
        <w:rPr>
          <w:lang w:eastAsia="en-GB"/>
        </w:rPr>
        <w:t>World Bank (2024) classifies UAE as a "high income" economy with gross domestic product (GDP) of around USD 498 billion and GDP per capita of USD 45,000, considered to be among the highest in the world. Dubai and Abu Dhabi are key international shopping hubs and the country's economy is supported by its importance as a global logistics and financial hub. The focus on Vision 2031 has helped economic diversification to gain momentum, as services, technology, and tourism branch out to become structural pillars.</w:t>
      </w:r>
    </w:p>
    <w:p w14:paraId="1FD4D767">
      <w:pPr>
        <w:pStyle w:val="style0"/>
        <w:rPr>
          <w:lang w:eastAsia="en-GB"/>
        </w:rPr>
      </w:pPr>
      <w:r>
        <w:rPr>
          <w:noProof/>
          <w:lang w:eastAsia="en-GB"/>
        </w:rPr>
        <w:drawing>
          <wp:inline distL="0" distT="0" distB="0" distR="0">
            <wp:extent cx="5943600" cy="2996565"/>
            <wp:effectExtent l="0" t="0" r="0" b="0"/>
            <wp:docPr id="1032"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1"/>
                    <pic:cNvPicPr/>
                  </pic:nvPicPr>
                  <pic:blipFill>
                    <a:blip r:embed="rId8" cstate="print"/>
                    <a:srcRect l="0" t="0" r="0" b="0"/>
                    <a:stretch/>
                  </pic:blipFill>
                  <pic:spPr>
                    <a:xfrm rot="0">
                      <a:off x="0" y="0"/>
                      <a:ext cx="5943600" cy="2996565"/>
                    </a:xfrm>
                    <a:prstGeom prst="rect"/>
                  </pic:spPr>
                </pic:pic>
              </a:graphicData>
            </a:graphic>
          </wp:inline>
        </w:drawing>
      </w:r>
    </w:p>
    <w:p w14:paraId="16323FAB">
      <w:pPr>
        <w:pStyle w:val="style0"/>
        <w:jc w:val="center"/>
        <w:rPr>
          <w:lang w:eastAsia="en-GB"/>
        </w:rPr>
      </w:pPr>
      <w:r>
        <w:rPr>
          <w:lang w:eastAsia="en-GB"/>
        </w:rPr>
        <w:t xml:space="preserve">Figure </w:t>
      </w:r>
      <w:r>
        <w:rPr>
          <w:lang w:eastAsia="en-GB"/>
        </w:rPr>
        <w:t>5</w:t>
      </w:r>
      <w:r>
        <w:rPr>
          <w:lang w:eastAsia="en-GB"/>
        </w:rPr>
        <w:t>:</w:t>
      </w:r>
      <w:r>
        <w:t xml:space="preserve"> </w:t>
      </w:r>
      <w:r>
        <w:rPr>
          <w:lang w:eastAsia="en-GB"/>
        </w:rPr>
        <w:t>Global Sustainable Outdoor Clothing Market size</w:t>
      </w:r>
    </w:p>
    <w:p w14:paraId="172615AA">
      <w:pPr>
        <w:pStyle w:val="style0"/>
        <w:jc w:val="center"/>
        <w:rPr>
          <w:lang w:eastAsia="en-GB"/>
        </w:rPr>
      </w:pPr>
      <w:r>
        <w:rPr>
          <w:lang w:eastAsia="en-GB"/>
        </w:rPr>
        <w:t>Source: (</w:t>
      </w:r>
      <w:r>
        <w:rPr>
          <w:lang w:eastAsia="en-GB"/>
        </w:rPr>
        <w:t xml:space="preserve">UNCTAD </w:t>
      </w:r>
      <w:r>
        <w:rPr>
          <w:lang w:eastAsia="en-GB"/>
        </w:rPr>
        <w:t>,</w:t>
      </w:r>
      <w:r>
        <w:rPr>
          <w:lang w:eastAsia="en-GB"/>
        </w:rPr>
        <w:t>2024)</w:t>
      </w:r>
    </w:p>
    <w:p w14:paraId="18353EFC">
      <w:pPr>
        <w:pStyle w:val="style0"/>
        <w:rPr>
          <w:lang w:eastAsia="en-GB"/>
        </w:rPr>
      </w:pPr>
      <w:r>
        <w:rPr>
          <w:b/>
          <w:bCs/>
          <w:lang w:eastAsia="en-GB"/>
        </w:rPr>
        <w:t>Market Size and Growth:</w:t>
      </w:r>
      <w:r>
        <w:t xml:space="preserve"> </w:t>
      </w:r>
      <w:r>
        <w:rPr>
          <w:lang w:eastAsia="en-GB"/>
        </w:rPr>
        <w:t>The Global Sustainable Outdoor Clothing Market size was valued at USD 6,587.5 million in 2018 to USD 9,045.0 million in 2024 and is anticipated to reach USD 14,274.1 million by 2032, at a CAGR of 5.89% during the forecast period.</w:t>
      </w:r>
    </w:p>
    <w:p w14:paraId="6BF9CEB7">
      <w:pPr>
        <w:pStyle w:val="style0"/>
        <w:rPr>
          <w:lang w:eastAsia="en-GB"/>
        </w:rPr>
      </w:pPr>
      <w:r>
        <w:rPr>
          <w:lang w:eastAsia="en-GB"/>
        </w:rPr>
        <w:t>The UAE sportswear market reached USD 955.38 million in 2024 and is projected to grow to USD 1.33 billion by 2033, at a compound annual growth rate (CAGR) of 3.78 percent (IMARC Group, 2024). According to</w:t>
      </w:r>
      <w:r>
        <w:rPr>
          <w:lang w:eastAsia="en-GB"/>
        </w:rPr>
        <w:t xml:space="preserve"> IMF 2024</w:t>
      </w:r>
      <w:r>
        <w:rPr>
          <w:lang w:eastAsia="en-GB"/>
        </w:rPr>
        <w:t xml:space="preserve">, the UAE sports apparel market is valued at USD 6.32 billion in 2024 and is projected to increase to USD 4.32 billion by 2032, growing at a compound annual growth rate of 7.17 percent. The variation in estimates of the market size </w:t>
      </w:r>
      <w:r>
        <w:rPr>
          <w:lang w:eastAsia="en-GB"/>
        </w:rPr>
        <w:t>are</w:t>
      </w:r>
      <w:r>
        <w:rPr>
          <w:lang w:eastAsia="en-GB"/>
        </w:rPr>
        <w:t xml:space="preserve"> caused by the different types of segmentation methods, but both agree that there is strong growth in the market. Patagonia's high ASPs and distinctiveness are typical of the premium sportswear segment, which is fit for the UAE's affluent consumers, who are known for their brand loyalty.</w:t>
      </w:r>
    </w:p>
    <w:p w14:paraId="697C41A2">
      <w:pPr>
        <w:pStyle w:val="style0"/>
        <w:rPr>
          <w:lang w:eastAsia="en-GB"/>
        </w:rPr>
      </w:pPr>
      <w:r>
        <w:rPr>
          <w:b/>
          <w:bCs/>
          <w:lang w:eastAsia="en-GB"/>
        </w:rPr>
        <w:t>Consumer Prosperity:</w:t>
      </w:r>
      <w:r>
        <w:rPr>
          <w:lang w:eastAsia="en-GB"/>
        </w:rPr>
        <w:t xml:space="preserve"> With the UAE's expatriates population, which amounts to around 88 percent of the country's total population of 9.9 million, being characterised by high disposable income, familiarity with international brands, as well as active outdoor lifestyles. As per Research and Markets (2025) data, 67 percent of the UAE population was doing regular exercise in 2023, and the government has been working on promoting physical activity with the Dubai fitness challenge hosting more than one million participants. This is the fitness trend that feeds into the continued demand for top-quality performance clothing.</w:t>
      </w:r>
    </w:p>
    <w:p w14:paraId="095A30AE">
      <w:pPr>
        <w:pStyle w:val="style0"/>
        <w:rPr>
          <w:lang w:eastAsia="en-GB"/>
        </w:rPr>
      </w:pPr>
      <w:r>
        <w:rPr>
          <w:b/>
          <w:bCs/>
          <w:lang w:eastAsia="en-GB"/>
        </w:rPr>
        <w:t>Economic Challenges:</w:t>
      </w:r>
      <w:r>
        <w:rPr>
          <w:lang w:eastAsia="en-GB"/>
        </w:rPr>
        <w:t xml:space="preserve"> Retails in premium Dubai locations burden market access with high property costs. </w:t>
      </w:r>
      <w:r>
        <w:rPr>
          <w:lang w:eastAsia="en-GB"/>
        </w:rPr>
        <w:t>Furthermore</w:t>
      </w:r>
      <w:r>
        <w:rPr>
          <w:lang w:eastAsia="en-GB"/>
        </w:rPr>
        <w:t xml:space="preserve"> VAT rates on textile products and clothing are comparatively low relative to the international standards, but import duties on these products do differ and have to be incorporated in pricing models. The IMF (2023) has pointed out that despite the UAE economy being resilient, it is not insulated from the volatility of commodity prices and from financial market disruptions, which may impact consumer discretionary spending on high quality items.</w:t>
      </w:r>
    </w:p>
    <w:bookmarkStart w:id="12" w:name="_Toc237350574"/>
    <w:p w14:paraId="640A4811">
      <w:pPr>
        <w:pStyle w:val="style3"/>
        <w:rPr/>
      </w:pPr>
      <w:r>
        <w:t>3.</w:t>
      </w:r>
      <w:r>
        <w:t>2.</w:t>
      </w:r>
      <w:r>
        <w:t>3 Legal Environment</w:t>
      </w:r>
      <w:bookmarkEnd w:id="12"/>
    </w:p>
    <w:p w14:paraId="797BB19A">
      <w:pPr>
        <w:pStyle w:val="style0"/>
        <w:rPr>
          <w:lang w:eastAsia="en-GB"/>
        </w:rPr>
      </w:pPr>
      <w:r>
        <w:rPr>
          <w:lang w:eastAsia="en-GB"/>
        </w:rPr>
        <w:t>In recent years, the UAE's law has been liberalized significantly, impacting on the overall framework for foreign investors setting up companies. Part of the regulatory dimensions most relevant to Patagonia's entry is reviewed in this section.</w:t>
      </w:r>
    </w:p>
    <w:p w14:paraId="3C2FB336">
      <w:pPr>
        <w:pStyle w:val="style0"/>
        <w:rPr>
          <w:lang w:eastAsia="en-GB"/>
        </w:rPr>
      </w:pPr>
      <w:r>
        <w:rPr>
          <w:b/>
          <w:bCs/>
          <w:lang w:eastAsia="en-GB"/>
        </w:rPr>
        <w:t>Foreign Ownership Reform:</w:t>
      </w:r>
      <w:r>
        <w:rPr>
          <w:lang w:eastAsia="en-GB"/>
        </w:rPr>
        <w:t xml:space="preserve"> The Emirati 51 percent ownership requirement for companies on the mainland was removed by Federal Decree-Law No. 32 of 2021 on Commercial Companies (which was formerly Federal Decree-Law No. 26 of 2020) allowing up to 100 percent foreign ownership in most commercial activities (UAE Government, 2021). </w:t>
      </w:r>
    </w:p>
    <w:p w14:paraId="10461E3C">
      <w:pPr>
        <w:pStyle w:val="style0"/>
        <w:rPr>
          <w:lang w:eastAsia="en-GB"/>
        </w:rPr>
      </w:pPr>
      <w:r>
        <w:rPr>
          <w:noProof/>
          <w:lang w:eastAsia="en-GB"/>
        </w:rPr>
        <w:drawing>
          <wp:inline distL="0" distT="0" distB="0" distR="0">
            <wp:extent cx="5943600" cy="3533140"/>
            <wp:effectExtent l="0" t="0" r="0" b="0"/>
            <wp:docPr id="1033"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1"/>
                    <pic:cNvPicPr/>
                  </pic:nvPicPr>
                  <pic:blipFill>
                    <a:blip r:embed="rId9" cstate="print"/>
                    <a:srcRect l="0" t="0" r="0" b="0"/>
                    <a:stretch/>
                  </pic:blipFill>
                  <pic:spPr>
                    <a:xfrm rot="0">
                      <a:off x="0" y="0"/>
                      <a:ext cx="5943600" cy="3533140"/>
                    </a:xfrm>
                    <a:prstGeom prst="rect"/>
                  </pic:spPr>
                </pic:pic>
              </a:graphicData>
            </a:graphic>
          </wp:inline>
        </w:drawing>
      </w:r>
    </w:p>
    <w:p w14:paraId="09207437">
      <w:pPr>
        <w:pStyle w:val="style0"/>
        <w:jc w:val="center"/>
        <w:rPr>
          <w:lang w:eastAsia="en-GB"/>
        </w:rPr>
      </w:pPr>
      <w:r>
        <w:rPr>
          <w:lang w:eastAsia="en-GB"/>
        </w:rPr>
        <w:t xml:space="preserve">Figure </w:t>
      </w:r>
      <w:r>
        <w:rPr>
          <w:lang w:eastAsia="en-GB"/>
        </w:rPr>
        <w:t>6</w:t>
      </w:r>
      <w:r>
        <w:rPr>
          <w:lang w:eastAsia="en-GB"/>
        </w:rPr>
        <w:t>:</w:t>
      </w:r>
      <w:r>
        <w:t xml:space="preserve"> </w:t>
      </w:r>
      <w:r>
        <w:rPr>
          <w:lang w:eastAsia="en-GB"/>
        </w:rPr>
        <w:t xml:space="preserve">UAE </w:t>
      </w:r>
      <w:r>
        <w:rPr>
          <w:lang w:eastAsia="en-GB"/>
        </w:rPr>
        <w:t xml:space="preserve">Foreign </w:t>
      </w:r>
      <w:r>
        <w:rPr>
          <w:lang w:eastAsia="en-GB"/>
        </w:rPr>
        <w:t xml:space="preserve">Business </w:t>
      </w:r>
      <w:r>
        <w:rPr>
          <w:lang w:eastAsia="en-GB"/>
        </w:rPr>
        <w:t>Ownership Reform</w:t>
      </w:r>
    </w:p>
    <w:p w14:paraId="398D9F2E">
      <w:pPr>
        <w:pStyle w:val="style0"/>
        <w:jc w:val="center"/>
        <w:rPr>
          <w:lang w:eastAsia="en-GB"/>
        </w:rPr>
      </w:pPr>
      <w:r>
        <w:rPr>
          <w:lang w:eastAsia="en-GB"/>
        </w:rPr>
        <w:t>Source: (</w:t>
      </w:r>
      <w:r>
        <w:t>UAE Government, 2021)</w:t>
      </w:r>
    </w:p>
    <w:p w14:paraId="195963B3">
      <w:pPr>
        <w:pStyle w:val="style0"/>
        <w:rPr>
          <w:lang w:eastAsia="en-GB"/>
        </w:rPr>
      </w:pPr>
      <w:r>
        <w:rPr>
          <w:lang w:eastAsia="en-GB"/>
        </w:rPr>
        <w:t>This new paradigm changes the entry mode calculation for MNCs as before the new laws, most industries were prohibited from having WOS on the UAE mainland</w:t>
      </w:r>
      <w:r>
        <w:rPr>
          <w:lang w:eastAsia="en-GB"/>
        </w:rPr>
        <w:t xml:space="preserve"> (</w:t>
      </w:r>
      <w:r>
        <w:t>Venkatesan,</w:t>
      </w:r>
      <w:r>
        <w:t xml:space="preserve"> </w:t>
      </w:r>
      <w:r>
        <w:t>2022</w:t>
      </w:r>
      <w:r>
        <w:t>)</w:t>
      </w:r>
      <w:r>
        <w:rPr>
          <w:lang w:eastAsia="en-GB"/>
        </w:rPr>
        <w:t>. Overall, Patagonia may create a wholly owned brand without the need of partnering with a domestic company, an historical constraint that would enable the brand a greater degree of control.</w:t>
      </w:r>
    </w:p>
    <w:p w14:paraId="767AC656">
      <w:pPr>
        <w:pStyle w:val="style0"/>
        <w:rPr>
          <w:lang w:eastAsia="en-GB"/>
        </w:rPr>
      </w:pPr>
      <w:r>
        <w:rPr>
          <w:b/>
          <w:bCs/>
          <w:lang w:eastAsia="en-GB"/>
        </w:rPr>
        <w:t>Intellectual Property Protection:</w:t>
      </w:r>
      <w:r>
        <w:rPr>
          <w:lang w:eastAsia="en-GB"/>
        </w:rPr>
        <w:t xml:space="preserve"> The UAE is a signatory to the Paris Convention and the TRIPS Agreement and has enacted Federal Law No. 38 of 2021 on Intellectual Property Rights. This is a crucial enabler for a brand like Patagonia, where the core to their competitive edge is their number one material technology and brand equity. The </w:t>
      </w:r>
      <w:r>
        <w:rPr>
          <w:lang w:eastAsia="en-GB"/>
        </w:rPr>
        <w:t xml:space="preserve">higher the strength of IP protection, the more likely it is that internalisation mode preference will </w:t>
      </w:r>
      <w:r>
        <w:rPr>
          <w:lang w:eastAsia="en-GB"/>
        </w:rPr>
        <w:t>favor</w:t>
      </w:r>
      <w:r>
        <w:rPr>
          <w:lang w:eastAsia="en-GB"/>
        </w:rPr>
        <w:t xml:space="preserve"> direct ownership over licensing</w:t>
      </w:r>
      <w:r>
        <w:rPr>
          <w:lang w:eastAsia="en-GB"/>
        </w:rPr>
        <w:t xml:space="preserve"> (World Bank, 2024)</w:t>
      </w:r>
      <w:r>
        <w:rPr>
          <w:lang w:eastAsia="en-GB"/>
        </w:rPr>
        <w:t>.</w:t>
      </w:r>
    </w:p>
    <w:p w14:paraId="660F64E2">
      <w:pPr>
        <w:pStyle w:val="style0"/>
        <w:rPr>
          <w:lang w:eastAsia="en-GB"/>
        </w:rPr>
      </w:pPr>
      <w:r>
        <w:rPr>
          <w:b/>
          <w:bCs/>
          <w:lang w:eastAsia="en-GB"/>
        </w:rPr>
        <w:t xml:space="preserve">Taxation: </w:t>
      </w:r>
      <w:r>
        <w:rPr>
          <w:lang w:eastAsia="en-GB"/>
        </w:rPr>
        <w:t>The UAE will implement a 9 percent corporate tax regime for taxable income in excess of AED 375,000, with no personal income tax or withholding tax on dividends, which remains a key issue</w:t>
      </w:r>
      <w:r>
        <w:rPr>
          <w:lang w:eastAsia="en-GB"/>
        </w:rPr>
        <w:t xml:space="preserve"> (IMF, 2024)</w:t>
      </w:r>
      <w:r>
        <w:rPr>
          <w:lang w:eastAsia="en-GB"/>
        </w:rPr>
        <w:t>. For Patagonia's initial structuring, being able to enjoy 100 percent foreign ownership and zero tax regimes in free trade zones such as Dubai Multi Commodities Centre (DMCC), Dubai International Financial Centre (DIFC) and Jebel Ali Free Zone (JAFZA), will remain an attraction.</w:t>
      </w:r>
    </w:p>
    <w:p w14:paraId="05C6E805">
      <w:pPr>
        <w:pStyle w:val="style0"/>
        <w:rPr>
          <w:lang w:eastAsia="en-GB"/>
        </w:rPr>
      </w:pPr>
      <w:r>
        <w:rPr>
          <w:b/>
          <w:bCs/>
          <w:lang w:eastAsia="en-GB"/>
        </w:rPr>
        <w:t>Regulatory Complexity:</w:t>
      </w:r>
      <w:r>
        <w:rPr>
          <w:lang w:eastAsia="en-GB"/>
        </w:rPr>
        <w:t xml:space="preserve"> Despite recent reforms, the UAE's dual federal-emirate regulatory structure creates complexity. Careful navigation of licensing requirements, state licenses from the respective Department of Economic Development (DED) and industry-specific regulatory authorities for "strategic impact" activities. Dunning and </w:t>
      </w:r>
      <w:r>
        <w:rPr>
          <w:lang w:eastAsia="en-GB"/>
        </w:rPr>
        <w:t>Lundan</w:t>
      </w:r>
      <w:r>
        <w:rPr>
          <w:lang w:eastAsia="en-GB"/>
        </w:rPr>
        <w:t xml:space="preserve"> (2008) caution that transaction costs may rise and time to market may be extended due to the institutional complexity found in host markets; Patagonia must trust UAE lawyers from the initial stage of the process.</w:t>
      </w:r>
    </w:p>
    <w:bookmarkStart w:id="13" w:name="_Toc237350575"/>
    <w:p w14:paraId="3ABFB500">
      <w:pPr>
        <w:pStyle w:val="style3"/>
        <w:rPr/>
      </w:pPr>
      <w:r>
        <w:t>3.</w:t>
      </w:r>
      <w:r>
        <w:t>2.</w:t>
      </w:r>
      <w:r>
        <w:t>4 Cultural Environment</w:t>
      </w:r>
      <w:bookmarkEnd w:id="13"/>
    </w:p>
    <w:p w14:paraId="678F88C7">
      <w:pPr>
        <w:pStyle w:val="style0"/>
        <w:rPr>
          <w:lang w:eastAsia="en-GB"/>
        </w:rPr>
      </w:pPr>
      <w:r>
        <w:rPr>
          <w:lang w:eastAsia="en-GB"/>
        </w:rPr>
        <w:t xml:space="preserve">To determine the compatibility of Patagonia's brand identity and UAE consumer values, cultural analysis is vital. The UAE is </w:t>
      </w:r>
      <w:r>
        <w:rPr>
          <w:lang w:eastAsia="en-GB"/>
        </w:rPr>
        <w:t>an</w:t>
      </w:r>
      <w:r>
        <w:rPr>
          <w:lang w:eastAsia="en-GB"/>
        </w:rPr>
        <w:t xml:space="preserve"> unique cultural environment influenced by Islamic tradition, Emirati heritage and cosmopolitanism in reaction to a population that is overwhelmingly expatriate.</w:t>
      </w:r>
    </w:p>
    <w:p w14:paraId="087F3AF3">
      <w:pPr>
        <w:pStyle w:val="style0"/>
        <w:rPr>
          <w:lang w:eastAsia="en-GB"/>
        </w:rPr>
      </w:pPr>
      <w:r>
        <w:rPr>
          <w:b/>
          <w:bCs/>
          <w:lang w:eastAsia="en-GB"/>
        </w:rPr>
        <w:t xml:space="preserve">Aspirational Consumption and Brand Culture: </w:t>
      </w:r>
      <w:r>
        <w:rPr>
          <w:lang w:eastAsia="en-GB"/>
        </w:rPr>
        <w:t xml:space="preserve">UAE consumers, particularly those in Dubai and Abu Dhabi, exhibit strongly aspirational consumption patterns. Possession of automobiles, fashion or </w:t>
      </w:r>
      <w:r>
        <w:rPr>
          <w:lang w:eastAsia="en-GB"/>
        </w:rPr>
        <w:t>high quality</w:t>
      </w:r>
      <w:r>
        <w:rPr>
          <w:lang w:eastAsia="en-GB"/>
        </w:rPr>
        <w:t xml:space="preserve"> lifestyle items have important social </w:t>
      </w:r>
      <w:r>
        <w:rPr>
          <w:lang w:eastAsia="en-GB"/>
        </w:rPr>
        <w:t>signaling</w:t>
      </w:r>
      <w:r>
        <w:rPr>
          <w:lang w:eastAsia="en-GB"/>
        </w:rPr>
        <w:t xml:space="preserve"> purposes. Patagonia's positioning as a high quality, ethically produced, premium outdoors brand is consistent with the idea of aspirational spending, where Patagonians are over familiarised with the brand via their own home market </w:t>
      </w:r>
      <w:r>
        <w:t>(</w:t>
      </w:r>
      <w:r>
        <w:t>Shourkaei</w:t>
      </w:r>
      <w:r>
        <w:t xml:space="preserve"> et al., 2024)</w:t>
      </w:r>
      <w:r>
        <w:rPr>
          <w:lang w:eastAsia="en-GB"/>
        </w:rPr>
        <w:t>.</w:t>
      </w:r>
    </w:p>
    <w:p w14:paraId="14052B09">
      <w:pPr>
        <w:pStyle w:val="style0"/>
        <w:rPr>
          <w:lang w:eastAsia="en-GB"/>
        </w:rPr>
      </w:pPr>
      <w:r>
        <w:rPr>
          <w:b/>
          <w:bCs/>
          <w:lang w:eastAsia="en-GB"/>
        </w:rPr>
        <w:t>Growing Sustainability Consciousness:</w:t>
      </w:r>
      <w:r>
        <w:rPr>
          <w:lang w:eastAsia="en-GB"/>
        </w:rPr>
        <w:t xml:space="preserve"> The hosting of COP28 in 2023 catalysed a notable shift in consumer discourse around environmental responsibility in the UAE. The Year of Sustainability branding by the government helped establish commercial environments and brands with credible sustainability practices. But the brand's existing B Corp brand and a profit-for-purpose legal construct (Patagonia, 2022</w:t>
      </w:r>
      <w:r>
        <w:rPr>
          <w:lang w:eastAsia="en-GB"/>
        </w:rPr>
        <w:t>a</w:t>
      </w:r>
      <w:r>
        <w:rPr>
          <w:lang w:eastAsia="en-GB"/>
        </w:rPr>
        <w:t xml:space="preserve">) are important </w:t>
      </w:r>
      <w:r>
        <w:rPr>
          <w:lang w:eastAsia="en-GB"/>
        </w:rPr>
        <w:t xml:space="preserve">points of difference in this new cultural landscape. </w:t>
      </w:r>
      <w:r>
        <w:rPr>
          <w:lang w:eastAsia="en-GB"/>
        </w:rPr>
        <w:t>C</w:t>
      </w:r>
      <w:r>
        <w:rPr>
          <w:lang w:eastAsia="en-GB"/>
        </w:rPr>
        <w:t>onvergence</w:t>
      </w:r>
      <w:r>
        <w:rPr>
          <w:lang w:eastAsia="en-GB"/>
        </w:rPr>
        <w:t xml:space="preserve"> </w:t>
      </w:r>
      <w:r>
        <w:rPr>
          <w:lang w:eastAsia="en-GB"/>
        </w:rPr>
        <w:t xml:space="preserve"> of</w:t>
      </w:r>
      <w:r>
        <w:rPr>
          <w:lang w:eastAsia="en-GB"/>
        </w:rPr>
        <w:t xml:space="preserve"> cultural attitudes towards sustainability norms is speeding up, especially in market segments with high incomes and urbanised consumers, which is exactly the profile of what Patagonia is going after for its UAE market.</w:t>
      </w:r>
    </w:p>
    <w:p w14:paraId="2550B8EF">
      <w:pPr>
        <w:pStyle w:val="style0"/>
        <w:rPr>
          <w:lang w:eastAsia="en-GB"/>
        </w:rPr>
      </w:pPr>
      <w:r>
        <w:rPr>
          <w:b/>
          <w:bCs/>
          <w:lang w:eastAsia="en-GB"/>
        </w:rPr>
        <w:t>Outdoor Lifestyle and Fitness Culture:</w:t>
      </w:r>
      <w:r>
        <w:rPr>
          <w:lang w:eastAsia="en-GB"/>
        </w:rPr>
        <w:t xml:space="preserve"> Contrary to perceptions of the UAE as purely a desert economy, the country has a growing outdoor adventure culture. Patagonia's technical outdoor apparel has a natural market in the region for a variety of activities such as desert hiking, mountain biking in Hatta, rock climbing in Ras al-Khaimah and water sports along the waterfront. The Government's drive in sports tourism and wellness is conducive to this lifestyle path.</w:t>
      </w:r>
    </w:p>
    <w:p w14:paraId="5FE13598">
      <w:pPr>
        <w:pStyle w:val="style0"/>
        <w:rPr>
          <w:lang w:eastAsia="en-GB"/>
        </w:rPr>
      </w:pPr>
      <w:r>
        <w:rPr>
          <w:b/>
          <w:bCs/>
          <w:lang w:eastAsia="en-GB"/>
        </w:rPr>
        <w:t>Cultural Sensitivities:</w:t>
      </w:r>
      <w:r>
        <w:rPr>
          <w:lang w:eastAsia="en-GB"/>
        </w:rPr>
        <w:t xml:space="preserve"> Islamic modesty and pro-social consumption could lead to the need to adjust product offerings through adjustments to the range, especially in marketing pictures and senses. Overall, as the main market in the UAE for Patagonia is expected to be the expatriate community and internationally-minded Emiratis, cultural adaptation requirements are less severe than in other markets with lower foreign influence</w:t>
      </w:r>
      <w:r>
        <w:rPr>
          <w:lang w:eastAsia="en-GB"/>
        </w:rPr>
        <w:t xml:space="preserve"> </w:t>
      </w:r>
      <w:r>
        <w:t>(</w:t>
      </w:r>
      <w:r>
        <w:t>Schillmann</w:t>
      </w:r>
      <w:r>
        <w:t xml:space="preserve">, </w:t>
      </w:r>
      <w:r>
        <w:t>2020</w:t>
      </w:r>
      <w:r>
        <w:t>)</w:t>
      </w:r>
      <w:r>
        <w:rPr>
          <w:lang w:eastAsia="en-GB"/>
        </w:rPr>
        <w:t xml:space="preserve">. If the expatriate population in the market is high and already conversant with the entering brand, the psychic distance (the sum of cultural, economic, and institutional discrepancies perceived by an internationalising firm) is significantly decreased in markets with high expatriate populations, </w:t>
      </w:r>
      <w:r>
        <w:rPr>
          <w:lang w:eastAsia="en-GB"/>
        </w:rPr>
        <w:t>anteating</w:t>
      </w:r>
      <w:r>
        <w:rPr>
          <w:lang w:eastAsia="en-GB"/>
        </w:rPr>
        <w:t xml:space="preserve"> the cultural, economic, and institutional differences.</w:t>
      </w:r>
    </w:p>
    <w:bookmarkStart w:id="14" w:name="_Toc237350576"/>
    <w:p w14:paraId="5DD1F204">
      <w:pPr>
        <w:pStyle w:val="style0"/>
        <w:rPr>
          <w:rStyle w:val="style4097"/>
        </w:rPr>
      </w:pPr>
      <w:r>
        <w:rPr>
          <w:rStyle w:val="style4097"/>
        </w:rPr>
        <w:t>3.</w:t>
      </w:r>
      <w:r>
        <w:rPr>
          <w:rStyle w:val="style4097"/>
        </w:rPr>
        <w:t>3</w:t>
      </w:r>
      <w:r>
        <w:rPr>
          <w:rStyle w:val="style4097"/>
        </w:rPr>
        <w:t xml:space="preserve"> OLI Analysis: Dunning's Eclectic Paradigm</w:t>
      </w:r>
      <w:bookmarkEnd w:id="14"/>
    </w:p>
    <w:p w14:paraId="5A3E6F93">
      <w:pPr>
        <w:pStyle w:val="style0"/>
        <w:rPr>
          <w:lang w:eastAsia="en-GB"/>
        </w:rPr>
      </w:pPr>
      <w:r>
        <w:rPr>
          <w:lang w:eastAsia="en-GB"/>
        </w:rPr>
        <w:t>Dunning's (2001) eclectic paradigm, also known as the OLI framework, provides a comprehensive theoretical lens for evaluating the rationale for international production. The framework assumes that firms make foreign direct investments if they simultaneously have an Ownership (O) advantage, a Location (L) advantage, and an Internalisation (I) advantage. This section applies each dimension to Patagonia's prospect for entering the UAE.</w:t>
      </w:r>
    </w:p>
    <w:p w14:paraId="249C6DA6">
      <w:pPr>
        <w:pStyle w:val="style0"/>
        <w:rPr>
          <w:lang w:eastAsia="en-GB"/>
        </w:rPr>
      </w:pPr>
      <w:r>
        <w:rPr>
          <w:noProof/>
          <w:lang w:eastAsia="en-GB"/>
        </w:rPr>
        <w:drawing>
          <wp:inline distL="0" distT="0" distB="0" distR="0">
            <wp:extent cx="5943600" cy="2804160"/>
            <wp:effectExtent l="0" t="0" r="0" b="0"/>
            <wp:docPr id="1034"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1"/>
                    <pic:cNvPicPr/>
                  </pic:nvPicPr>
                  <pic:blipFill>
                    <a:blip r:embed="rId10" cstate="print"/>
                    <a:srcRect l="0" t="0" r="0" b="0"/>
                    <a:stretch/>
                  </pic:blipFill>
                  <pic:spPr>
                    <a:xfrm rot="0">
                      <a:off x="0" y="0"/>
                      <a:ext cx="5943600" cy="2804160"/>
                    </a:xfrm>
                    <a:prstGeom prst="rect"/>
                  </pic:spPr>
                </pic:pic>
              </a:graphicData>
            </a:graphic>
          </wp:inline>
        </w:drawing>
      </w:r>
    </w:p>
    <w:p w14:paraId="6D827AB5">
      <w:pPr>
        <w:pStyle w:val="style0"/>
        <w:jc w:val="center"/>
        <w:rPr>
          <w:lang w:eastAsia="en-GB"/>
        </w:rPr>
      </w:pPr>
      <w:r>
        <w:rPr>
          <w:lang w:eastAsia="en-GB"/>
        </w:rPr>
        <w:t xml:space="preserve">Figure </w:t>
      </w:r>
      <w:r>
        <w:rPr>
          <w:lang w:eastAsia="en-GB"/>
        </w:rPr>
        <w:t>7</w:t>
      </w:r>
      <w:r>
        <w:rPr>
          <w:lang w:eastAsia="en-GB"/>
        </w:rPr>
        <w:t xml:space="preserve">: </w:t>
      </w:r>
      <w:r>
        <w:rPr>
          <w:lang w:eastAsia="en-GB"/>
        </w:rPr>
        <w:t>OLI Analysis: Dunning's Eclectic Paradigm</w:t>
      </w:r>
    </w:p>
    <w:p w14:paraId="11EA3FC6">
      <w:pPr>
        <w:pStyle w:val="style0"/>
        <w:jc w:val="center"/>
        <w:rPr>
          <w:lang w:eastAsia="en-GB"/>
        </w:rPr>
      </w:pPr>
      <w:r>
        <w:rPr>
          <w:lang w:eastAsia="en-GB"/>
        </w:rPr>
        <w:t>Source: (</w:t>
      </w:r>
      <w:r>
        <w:rPr>
          <w:lang w:eastAsia="en-GB"/>
        </w:rPr>
        <w:t>Dunning</w:t>
      </w:r>
      <w:r>
        <w:rPr>
          <w:lang w:eastAsia="en-GB"/>
        </w:rPr>
        <w:t xml:space="preserve">, </w:t>
      </w:r>
      <w:r>
        <w:rPr>
          <w:lang w:eastAsia="en-GB"/>
        </w:rPr>
        <w:t>2001)</w:t>
      </w:r>
    </w:p>
    <w:p w14:paraId="284B385D">
      <w:pPr>
        <w:pStyle w:val="style0"/>
        <w:rPr>
          <w:lang w:eastAsia="en-GB"/>
        </w:rPr>
      </w:pPr>
      <w:r>
        <w:rPr>
          <w:b/>
          <w:bCs/>
          <w:lang w:eastAsia="en-GB"/>
        </w:rPr>
        <w:t>Ownership Advantages (O):</w:t>
      </w:r>
      <w:r>
        <w:rPr>
          <w:lang w:eastAsia="en-GB"/>
        </w:rPr>
        <w:t xml:space="preserve"> Patagonia is fortunate to have some formidable ownership-specific advantages. Particularly its innovative sustainability technologies such as 100% recycled packaging, water-repellent treatments made with water that doesn't contain PFAS validated by the Science Based Targets initiative (Patagonia, 2023), and the circular economy programme Worn Wear, are assets that can't be easily imitated by its competitors. The brand's B Corp score of 151.4, as well as the unique intangible asset of intangible recognition thanks to the Patagonia Purpose Trust's governance model, based on profit for planet, and the mission-embedded identity are intangible assets for which extraordinary rarity underscores its value. Dunning (2001) notes that brands and proprietary knowledge represent the greatest ownership advantages for service-based MNCs and are present in Patagonia in both dimensions. Moreover, its strategic direction, its strategic action and redefinition of its ownership model, most notably, is a meta-competitive advantage.</w:t>
      </w:r>
    </w:p>
    <w:p w14:paraId="68BE1915">
      <w:pPr>
        <w:pStyle w:val="style0"/>
        <w:rPr>
          <w:lang w:eastAsia="en-GB"/>
        </w:rPr>
      </w:pPr>
      <w:r>
        <w:rPr>
          <w:b/>
          <w:bCs/>
          <w:lang w:eastAsia="en-GB"/>
        </w:rPr>
        <w:t>Location Advantages (L):</w:t>
      </w:r>
      <w:r>
        <w:rPr>
          <w:lang w:eastAsia="en-GB"/>
        </w:rPr>
        <w:t xml:space="preserve"> The UAE offers compelling location advantages for Patagonia. The market's size, growth trajectory (USD 955 million in 2024, growing at 3.78 percent CAGR), affluent consumer base with an average GDP per capita of USD 45,000, and strategic gateway position to the wider GCC market of over 55 million consumers collectively constitute a strong locational pull (IMARC Group, 2024; World </w:t>
      </w:r>
      <w:r>
        <w:rPr>
          <w:lang w:eastAsia="en-GB"/>
        </w:rPr>
        <w:t>Bank, 2024). Entry is made easy by the UAE’s infrastructure featuring world-class logistics, a 99 percent Internet penetration rate, Dubai as a global retail heart and major malls and premium retail environments</w:t>
      </w:r>
      <w:r>
        <w:rPr>
          <w:lang w:eastAsia="en-GB"/>
        </w:rPr>
        <w:t xml:space="preserve"> (IMF, 2024)</w:t>
      </w:r>
      <w:r>
        <w:rPr>
          <w:lang w:eastAsia="en-GB"/>
        </w:rPr>
        <w:t>. The institutional location advantage of the UAE due to its shift towards the Net Zero 2050 agenda (</w:t>
      </w:r>
      <w:r>
        <w:t>Ahmed</w:t>
      </w:r>
      <w:r>
        <w:rPr>
          <w:lang w:eastAsia="en-GB"/>
        </w:rPr>
        <w:t>, 202</w:t>
      </w:r>
      <w:r>
        <w:rPr>
          <w:lang w:eastAsia="en-GB"/>
        </w:rPr>
        <w:t>3</w:t>
      </w:r>
      <w:r>
        <w:rPr>
          <w:lang w:eastAsia="en-GB"/>
        </w:rPr>
        <w:t xml:space="preserve">) adds to the alignment </w:t>
      </w:r>
      <w:r>
        <w:rPr>
          <w:lang w:eastAsia="en-GB"/>
        </w:rPr>
        <w:t>withPatagonia</w:t>
      </w:r>
      <w:r>
        <w:rPr>
          <w:lang w:eastAsia="en-GB"/>
        </w:rPr>
        <w:t xml:space="preserve"> environmental mission, which helps mitigate the brand legitimacy gap that is common to foreign brands in unfamiliar markets as mentioned by UNCTAD (2024) in the context of purpose-driven enterprises in an ESG-aware economy.</w:t>
      </w:r>
    </w:p>
    <w:p w14:paraId="5FD5178A">
      <w:pPr>
        <w:pStyle w:val="style0"/>
        <w:rPr>
          <w:lang w:eastAsia="en-GB"/>
        </w:rPr>
      </w:pPr>
      <w:r>
        <w:rPr>
          <w:b/>
          <w:bCs/>
          <w:lang w:eastAsia="en-GB"/>
        </w:rPr>
        <w:t>Internalisation Advantages (I):</w:t>
      </w:r>
      <w:r>
        <w:rPr>
          <w:lang w:eastAsia="en-GB"/>
        </w:rPr>
        <w:t xml:space="preserve"> The commercial identity of Patagonia is grounded in non-observable values along its supply chain, within the retail experience and in customer relations. Placing the brand under Licensor of a UAE's franchisee would lead to the trademarking of their sustainability and lower the quality bar is a risk, which is not in alignment with Patagonia's legal mandate of a Benefit Corporation (Patagonia, 2022</w:t>
      </w:r>
      <w:r>
        <w:rPr>
          <w:lang w:eastAsia="en-GB"/>
        </w:rPr>
        <w:t>a</w:t>
      </w:r>
      <w:r>
        <w:rPr>
          <w:lang w:eastAsia="en-GB"/>
        </w:rPr>
        <w:t>). When the cost of arm's length market transactions, particularly in terms of knowledge transfer, quality assurance and brand integrity, of going out of the company exceed the cost of staying in the company, Dunning (2001) proposes that the activities are internalised. In a franchise business model, Patagonia has a very high reputational risk of brand dilution which clearly favours the use of an internal business entry mode. Historically, the preference was hindered by the legal barrier that 100 percent foreign ownership had not yet been introduced under business law in the UAE this is now removed (UAE Government, 2021).</w:t>
      </w:r>
    </w:p>
    <w:p w14:paraId="60EB3F96">
      <w:pPr>
        <w:pStyle w:val="style0"/>
        <w:rPr>
          <w:lang w:eastAsia="en-GB"/>
        </w:rPr>
      </w:pPr>
      <w:r>
        <w:rPr>
          <w:lang w:eastAsia="en-GB"/>
        </w:rPr>
        <w:t xml:space="preserve">In synthesis, the OLI framework provides robust support for Patagonia's entry into the UAE via a directly controlled channel. This combination of the ownership advantage, the location choice and the firm's internalisation considerations </w:t>
      </w:r>
      <w:r>
        <w:rPr>
          <w:lang w:eastAsia="en-GB"/>
        </w:rPr>
        <w:t>constitutes</w:t>
      </w:r>
      <w:r>
        <w:rPr>
          <w:lang w:eastAsia="en-GB"/>
        </w:rPr>
        <w:t xml:space="preserve"> what Dunning and </w:t>
      </w:r>
      <w:r>
        <w:rPr>
          <w:lang w:eastAsia="en-GB"/>
        </w:rPr>
        <w:t>Lundan</w:t>
      </w:r>
      <w:r>
        <w:rPr>
          <w:lang w:eastAsia="en-GB"/>
        </w:rPr>
        <w:t xml:space="preserve"> (2008) describe as the complete eclectic case for direct investment.</w:t>
      </w:r>
    </w:p>
    <w:bookmarkStart w:id="15" w:name="_Toc237350577"/>
    <w:p w14:paraId="789339A2">
      <w:pPr>
        <w:pStyle w:val="style1"/>
        <w:rPr/>
      </w:pPr>
      <w:r>
        <w:t xml:space="preserve">4. </w:t>
      </w:r>
      <w:r>
        <w:t>Entry Mode Strategy and Strategic Synthesis</w:t>
      </w:r>
      <w:bookmarkEnd w:id="15"/>
    </w:p>
    <w:bookmarkStart w:id="16" w:name="_Toc237350578"/>
    <w:p w14:paraId="272F9946">
      <w:pPr>
        <w:pStyle w:val="style2"/>
        <w:rPr/>
      </w:pPr>
      <w:r>
        <w:t>4.1 Historical Entry Pattern</w:t>
      </w:r>
      <w:bookmarkEnd w:id="16"/>
    </w:p>
    <w:p w14:paraId="6817CF32">
      <w:pPr>
        <w:pStyle w:val="style0"/>
        <w:rPr>
          <w:lang w:eastAsia="en-GB"/>
        </w:rPr>
      </w:pPr>
      <w:r>
        <w:rPr>
          <w:lang w:eastAsia="en-GB"/>
        </w:rPr>
        <w:t xml:space="preserve">The international expansion of Patagonia has been organic, careful, and conducted through its own wholly owned brands and direct-to-consumer brands. Its retail locations </w:t>
      </w:r>
      <w:r>
        <w:rPr>
          <w:lang w:eastAsia="en-GB"/>
        </w:rPr>
        <w:t>are in over 10 countries and are company-owned flagships, not franchises or licences. This preference is embedded in Patagonia's core values, one each store being not only a place of sale but an environmental education centre, a community hub and a repair shop. The Worn Wear programme is Patagonia's own offering which allows customers to pass makers on and to have them repaired</w:t>
      </w:r>
      <w:r>
        <w:rPr>
          <w:lang w:eastAsia="en-GB"/>
        </w:rPr>
        <w:t xml:space="preserve"> (</w:t>
      </w:r>
      <w:r>
        <w:t xml:space="preserve">Shehata </w:t>
      </w:r>
      <w:r>
        <w:t>Nakhil</w:t>
      </w:r>
      <w:r>
        <w:t>, 2024)</w:t>
      </w:r>
      <w:r>
        <w:rPr>
          <w:lang w:eastAsia="en-GB"/>
        </w:rPr>
        <w:t>.</w:t>
      </w:r>
    </w:p>
    <w:p w14:paraId="37CE8279">
      <w:pPr>
        <w:pStyle w:val="style0"/>
        <w:rPr>
          <w:lang w:eastAsia="en-GB"/>
        </w:rPr>
      </w:pPr>
      <w:r>
        <w:rPr>
          <w:lang w:eastAsia="en-GB"/>
        </w:rPr>
        <w:t>Also, Patagonia is aggressively growing in the direct-to-consumer (DTC) e-commerce space, boasting a projected revenue figure of USD 526 million for its digital platform in 2025. The company does not trade its brand through franchise material, and there are no reputed cases of the company getting involved in franchise agreements. Where physical entry was necessary in a relatively short time, Patagonia has sometimes sourced specialist distributors, such as in Japan, where cultural and linguistic factors called for local expertise, but have maintained full equity control. It is a consistent international relationships pattern where companies gradually build relationships as they gain market knowledge.</w:t>
      </w:r>
    </w:p>
    <w:bookmarkStart w:id="17" w:name="_Toc237350579"/>
    <w:p w14:paraId="53486ABB">
      <w:pPr>
        <w:pStyle w:val="style2"/>
        <w:rPr/>
      </w:pPr>
      <w:r>
        <w:t>4.2 Strategic Fit and Justification for the UAE</w:t>
      </w:r>
      <w:bookmarkEnd w:id="17"/>
    </w:p>
    <w:p w14:paraId="79D33F41">
      <w:pPr>
        <w:pStyle w:val="style0"/>
        <w:rPr>
          <w:lang w:eastAsia="en-GB"/>
        </w:rPr>
      </w:pPr>
      <w:r>
        <w:rPr>
          <w:lang w:eastAsia="en-GB"/>
        </w:rPr>
        <w:t>Determining the optimal model of entry into the UAE for Patagonia involves weighing the market structural risks, brand identity needs and the changing legal environment. As Hill and Hult (2020) assert, firms demonstrating flexibility in international expansion sustain competitive advantage more effectively. In a purpose-driven organisation like Patagonia, adaptive leadership is essential, as it allows leaders to navigate the complexities of operating consistently in a global mission while adapting to the unique cultural and regulatory landscape of the market</w:t>
      </w:r>
      <w:r>
        <w:rPr>
          <w:lang w:eastAsia="en-GB"/>
        </w:rPr>
        <w:t>.</w:t>
      </w:r>
    </w:p>
    <w:p w14:paraId="1B80D7EC">
      <w:pPr>
        <w:pStyle w:val="style0"/>
        <w:rPr>
          <w:lang w:eastAsia="en-GB"/>
        </w:rPr>
      </w:pPr>
      <w:r>
        <w:rPr>
          <w:b/>
          <w:bCs/>
          <w:lang w:eastAsia="en-GB"/>
        </w:rPr>
        <w:t>Case for a Wholly Owned Subsidiary</w:t>
      </w:r>
      <w:r>
        <w:rPr>
          <w:b/>
          <w:bCs/>
          <w:lang w:eastAsia="en-GB"/>
        </w:rPr>
        <w:t>:</w:t>
      </w:r>
      <w:r>
        <w:rPr>
          <w:lang w:eastAsia="en-GB"/>
        </w:rPr>
        <w:t xml:space="preserve"> The 2021 abolition of mandatory local partner requirements (UAE Government, 2021) makes a wholly owned UAE entity structurally feasible for the first time. This aligns directly with the OLI analysis identified benefits of internalisation and Patagonia's historical preference. High control entry modes are more suited to companies in which there is a lot of cultural distinctiveness and good proprietary advantage, like Patagonia. A 100 percent owned unit would allow Patagonia to deploy trained sustainability advocates, maintain its immersive Worn Wear repair </w:t>
      </w:r>
      <w:r>
        <w:rPr>
          <w:lang w:eastAsia="en-GB"/>
        </w:rPr>
        <w:t>programme, and preserve the brand experience that underpins its global commercial reputation.</w:t>
      </w:r>
    </w:p>
    <w:p w14:paraId="38E83B1F">
      <w:pPr>
        <w:pStyle w:val="style0"/>
        <w:rPr>
          <w:lang w:eastAsia="en-GB"/>
        </w:rPr>
      </w:pPr>
    </w:p>
    <w:p w14:paraId="2FC97184">
      <w:pPr>
        <w:pStyle w:val="style0"/>
        <w:rPr>
          <w:lang w:eastAsia="en-GB"/>
        </w:rPr>
      </w:pPr>
      <w:r>
        <w:rPr>
          <w:b/>
          <w:bCs/>
          <w:lang w:eastAsia="en-GB"/>
        </w:rPr>
        <w:t>Risk Assessment:</w:t>
      </w:r>
      <w:r>
        <w:rPr>
          <w:lang w:eastAsia="en-GB"/>
        </w:rPr>
        <w:t xml:space="preserve"> The primary risks of direct entry are capital intensity and regulatory learning costs. Expanding store locations to a high-end Dubai property like Dubai International Financial Centre (DIFC) or City Walk would be a huge amount of capital invested in the retail fit-out, staff, and local compliance work. The UAE's employment law, the visa process for foreign employees, and applications for licence renewals are sources of risk. For advanced markets like UAE's sportswear industry, the political and currency-related risks are comparatively low with tough competition from established players, according to </w:t>
      </w:r>
      <w:r>
        <w:rPr>
          <w:lang w:eastAsia="en-GB"/>
        </w:rPr>
        <w:t>Cavusgil</w:t>
      </w:r>
      <w:r>
        <w:rPr>
          <w:lang w:eastAsia="en-GB"/>
        </w:rPr>
        <w:t xml:space="preserve"> et al. (2020). Adaptive leadership plays an important role here because entering into new markets is an adaptive challenge rather than just a technical challenge, and leaders must experiment, observe, and adjust in an iterative way, rather than using a consistent set of strategies in new situations.</w:t>
      </w:r>
    </w:p>
    <w:p w14:paraId="58718B36">
      <w:pPr>
        <w:pStyle w:val="style0"/>
        <w:rPr>
          <w:lang w:eastAsia="en-GB"/>
        </w:rPr>
      </w:pPr>
      <w:r>
        <w:rPr>
          <w:b/>
          <w:bCs/>
          <w:lang w:eastAsia="en-GB"/>
        </w:rPr>
        <w:t>Alternative Authorised Retail Partnership:</w:t>
      </w:r>
      <w:r>
        <w:rPr>
          <w:lang w:eastAsia="en-GB"/>
        </w:rPr>
        <w:t xml:space="preserve"> These are exclusive partnerships with retailers such as </w:t>
      </w:r>
      <w:r>
        <w:rPr>
          <w:lang w:eastAsia="en-GB"/>
        </w:rPr>
        <w:t>Chalhoub</w:t>
      </w:r>
      <w:r>
        <w:rPr>
          <w:lang w:eastAsia="en-GB"/>
        </w:rPr>
        <w:t xml:space="preserve"> Group and </w:t>
      </w:r>
      <w:r>
        <w:rPr>
          <w:lang w:eastAsia="en-GB"/>
        </w:rPr>
        <w:t>Namshi</w:t>
      </w:r>
      <w:r>
        <w:rPr>
          <w:lang w:eastAsia="en-GB"/>
        </w:rPr>
        <w:t xml:space="preserve"> Group, who currently have established premium distribution systems in the GCC region. Such an agreement would provide instant market access, local regulatory expertise, and an existing customer base as the capital investment would be minimal (Shehata </w:t>
      </w:r>
      <w:r>
        <w:rPr>
          <w:lang w:eastAsia="en-GB"/>
        </w:rPr>
        <w:t>Nakhil</w:t>
      </w:r>
      <w:r>
        <w:rPr>
          <w:lang w:eastAsia="en-GB"/>
        </w:rPr>
        <w:t>, 2024). However, an adaptive leadership perspective cautions against over-reliance on intermediaries, as fragmented brand experiences risk diluting the purpose-driven identity that is Patagonia's principal competitive asset (</w:t>
      </w:r>
      <w:r>
        <w:rPr>
          <w:lang w:eastAsia="en-GB"/>
        </w:rPr>
        <w:t>Shourkaei</w:t>
      </w:r>
      <w:r>
        <w:rPr>
          <w:lang w:eastAsia="en-GB"/>
        </w:rPr>
        <w:t xml:space="preserve"> et al., 2024).</w:t>
      </w:r>
    </w:p>
    <w:p w14:paraId="03738145">
      <w:pPr>
        <w:pStyle w:val="style0"/>
        <w:rPr>
          <w:lang w:eastAsia="en-GB"/>
        </w:rPr>
      </w:pPr>
      <w:r>
        <w:rPr>
          <w:b/>
          <w:bCs/>
          <w:lang w:eastAsia="en-GB"/>
        </w:rPr>
        <w:t>Assessment:</w:t>
      </w:r>
      <w:r>
        <w:rPr>
          <w:lang w:eastAsia="en-GB"/>
        </w:rPr>
        <w:t xml:space="preserve"> Although this is an 100% owned entry, it is premature at such an early stage due to the relative lack of awareness and the need to learn from operating in the UAE. The downside for such a distribution-only approach, however, is that it runs the risk of a dilution of the immersive brand experience that is Patagonia's commercial appeal. An adaptive, phased approach that evolves with market intelligence is therefore most appropriate</w:t>
      </w:r>
      <w:r>
        <w:rPr>
          <w:lang w:eastAsia="en-GB"/>
        </w:rPr>
        <w:t xml:space="preserve">. </w:t>
      </w:r>
    </w:p>
    <w:bookmarkStart w:id="18" w:name="_Toc237350580"/>
    <w:p w14:paraId="0132E9A5">
      <w:pPr>
        <w:pStyle w:val="style2"/>
        <w:rPr/>
      </w:pPr>
      <w:r>
        <w:t>4.3 Conclusion and Recommendation</w:t>
      </w:r>
      <w:bookmarkEnd w:id="18"/>
    </w:p>
    <w:bookmarkStart w:id="19" w:name="_Toc237350581"/>
    <w:p w14:paraId="216F9A07">
      <w:pPr>
        <w:pStyle w:val="style3"/>
        <w:rPr>
          <w:lang w:eastAsia="en-GB"/>
        </w:rPr>
      </w:pPr>
      <w:r>
        <w:rPr>
          <w:lang w:eastAsia="en-GB"/>
        </w:rPr>
        <w:t xml:space="preserve">4.3.1 </w:t>
      </w:r>
      <w:r>
        <w:rPr>
          <w:lang w:eastAsia="en-GB"/>
        </w:rPr>
        <w:t xml:space="preserve">Strategic </w:t>
      </w:r>
      <w:r>
        <w:rPr>
          <w:lang w:eastAsia="en-GB"/>
        </w:rPr>
        <w:t>C</w:t>
      </w:r>
      <w:r>
        <w:rPr>
          <w:lang w:eastAsia="en-GB"/>
        </w:rPr>
        <w:t>onclusion</w:t>
      </w:r>
      <w:bookmarkEnd w:id="19"/>
    </w:p>
    <w:p w14:paraId="006FBAB1">
      <w:pPr>
        <w:pStyle w:val="style0"/>
        <w:rPr>
          <w:lang w:eastAsia="en-GB"/>
        </w:rPr>
      </w:pPr>
      <w:r>
        <w:rPr>
          <w:lang w:eastAsia="en-GB"/>
        </w:rPr>
        <w:t>Overall, the UAE offers a compelling growth market for Patagonia based on its strategic significance. Its high-income, sustainability-conscious, and growing outdoor consumer base aligns strongly with Patagonia's purpose-driven commercial model. A direct ownership model is crucial to Patagonia's brand integrity, and the record-keeping changes following 2021 make this much easier. The recommended phased entry approach balances market risk prudence with long-term strategic ambition, leveraging Patagonia's substantial ownership advantages within a location environment uniquely aligned with its mission.</w:t>
      </w:r>
    </w:p>
    <w:bookmarkStart w:id="20" w:name="_Toc237350582"/>
    <w:p w14:paraId="6635F417">
      <w:pPr>
        <w:pStyle w:val="style3"/>
        <w:rPr>
          <w:lang w:eastAsia="en-GB"/>
        </w:rPr>
      </w:pPr>
      <w:r>
        <w:rPr>
          <w:lang w:eastAsia="en-GB"/>
        </w:rPr>
        <w:t xml:space="preserve">4.3.2 </w:t>
      </w:r>
      <w:r>
        <w:rPr>
          <w:lang w:eastAsia="en-GB"/>
        </w:rPr>
        <w:t xml:space="preserve">Final </w:t>
      </w:r>
      <w:r>
        <w:rPr>
          <w:lang w:eastAsia="en-GB"/>
        </w:rPr>
        <w:t>R</w:t>
      </w:r>
      <w:r>
        <w:rPr>
          <w:lang w:eastAsia="en-GB"/>
        </w:rPr>
        <w:t>ecommendations</w:t>
      </w:r>
      <w:bookmarkEnd w:id="20"/>
    </w:p>
    <w:p w14:paraId="63268CF3">
      <w:pPr>
        <w:pStyle w:val="style0"/>
        <w:rPr>
          <w:lang w:eastAsia="en-GB"/>
        </w:rPr>
      </w:pPr>
      <w:r>
        <w:rPr>
          <w:lang w:eastAsia="en-GB"/>
        </w:rPr>
        <w:t>With reference to the UAE market, this report suggests a three-phase approach in Patagonia as it progressively increases commitment with gradual market learning, in line with the incremental approach of the Uppsala model.</w:t>
      </w:r>
    </w:p>
    <w:p w14:paraId="103D0EA0">
      <w:pPr>
        <w:pStyle w:val="style0"/>
        <w:rPr>
          <w:lang w:eastAsia="en-GB"/>
        </w:rPr>
      </w:pPr>
      <w:r>
        <w:rPr>
          <w:b/>
          <w:bCs/>
          <w:u w:val="single"/>
          <w:lang w:eastAsia="en-GB"/>
        </w:rPr>
        <w:t>Phase One: E-Commerce and Curated Partnership (Year One to Two):</w:t>
      </w:r>
      <w:r>
        <w:rPr>
          <w:lang w:eastAsia="en-GB"/>
        </w:rPr>
        <w:t xml:space="preserve"> Patagonia should introduce a UAE-specific iteration of </w:t>
      </w:r>
      <w:r>
        <w:rPr>
          <w:lang w:eastAsia="en-GB"/>
        </w:rPr>
        <w:t>it's</w:t>
      </w:r>
      <w:r>
        <w:rPr>
          <w:lang w:eastAsia="en-GB"/>
        </w:rPr>
        <w:t xml:space="preserve"> E-Commerce website, with a value-aligned brand-specific partnership with a premium UAE based distributor to provide physical presence, presence of mind and awareness. This way, they can reduce risk on investing capital and build brand awareness while also gaining market intelligence. Agreements between partners should be legally bound according to Patagonia's sustainable principles.</w:t>
      </w:r>
    </w:p>
    <w:p w14:paraId="2E877B53">
      <w:pPr>
        <w:pStyle w:val="style0"/>
        <w:rPr>
          <w:lang w:eastAsia="en-GB"/>
        </w:rPr>
      </w:pPr>
      <w:r>
        <w:rPr>
          <w:b/>
          <w:bCs/>
          <w:u w:val="single"/>
          <w:lang w:eastAsia="en-GB"/>
        </w:rPr>
        <w:t>Phase Two: Flagship store Launch (Year Two &amp; Three):</w:t>
      </w:r>
      <w:r>
        <w:rPr>
          <w:lang w:eastAsia="en-GB"/>
        </w:rPr>
        <w:t xml:space="preserve"> With brand awareness and consumer insights, Patagonia should consider opening a fully owned flagship store in Dubai preferably in the DIFC or City Walk, set up as a Limited Liability Company (LLC) under Federal Decree-Law No. 32 of 2021. The store should add the Worn Wear repair service and community events and environmental programming consistent with global Patagonia flagships. During this period, Patagonia is also inspired to implement its vision of sustainable storytelling in a market that is </w:t>
      </w:r>
      <w:r>
        <w:rPr>
          <w:lang w:eastAsia="en-GB"/>
        </w:rPr>
        <w:t>more keener</w:t>
      </w:r>
      <w:r>
        <w:rPr>
          <w:lang w:eastAsia="en-GB"/>
        </w:rPr>
        <w:t xml:space="preserve"> on ESG stories since COP28.</w:t>
      </w:r>
    </w:p>
    <w:p w14:paraId="2328328F">
      <w:pPr>
        <w:pStyle w:val="style0"/>
        <w:rPr>
          <w:lang w:eastAsia="en-GB"/>
        </w:rPr>
      </w:pPr>
      <w:r>
        <w:rPr>
          <w:b/>
          <w:bCs/>
          <w:u w:val="single"/>
          <w:lang w:eastAsia="en-GB"/>
        </w:rPr>
        <w:t>Phase Three: GCC Expansion (Year Three Onwards):</w:t>
      </w:r>
      <w:r>
        <w:rPr>
          <w:lang w:eastAsia="en-GB"/>
        </w:rPr>
        <w:t xml:space="preserve"> Once Patagonia is operational and has developed its brand equity in Dubai, it can consider spreading its operations </w:t>
      </w:r>
      <w:r>
        <w:rPr>
          <w:lang w:eastAsia="en-GB"/>
        </w:rPr>
        <w:t>out across the GCC, using the UAE entity as a base for regional expansion and possibly Saudi Arabia. UNCTAD (2024) emphasizes that the GCC markets are still significantly closer in terms of regulations and cultures, allowing for operational models tested in UAE to be rolled out following more manageable adaptation costs.</w:t>
      </w:r>
    </w:p>
    <w:bookmarkStart w:id="21" w:name="_Toc237350583"/>
    <w:p w14:paraId="38A2F224">
      <w:pPr>
        <w:pStyle w:val="style1"/>
        <w:rPr/>
      </w:pPr>
      <w:r>
        <w:t>SECTION 2: REFLECTIVE ACCOUNT</w:t>
      </w:r>
      <w:bookmarkEnd w:id="21"/>
      <w:r>
        <w:t xml:space="preserve"> </w:t>
      </w:r>
    </w:p>
    <w:bookmarkStart w:id="22" w:name="_Toc237350584"/>
    <w:p w14:paraId="5E301403">
      <w:pPr>
        <w:pStyle w:val="style2"/>
        <w:rPr/>
      </w:pPr>
      <w:r>
        <w:t>Applying Gibbs' Reflective Cycle</w:t>
      </w:r>
      <w:bookmarkEnd w:id="22"/>
      <w:r>
        <w:t xml:space="preserve"> </w:t>
      </w:r>
    </w:p>
    <w:p w14:paraId="71A3A94D">
      <w:pPr>
        <w:pStyle w:val="style0"/>
        <w:rPr>
          <w:lang w:eastAsia="en-GB"/>
        </w:rPr>
      </w:pPr>
      <w:r>
        <w:rPr>
          <w:lang w:eastAsia="en-GB"/>
        </w:rPr>
        <w:t>Reflection is an essential tool to reinforce experiences and enhance skills. The Gibbs (1988) reflective cycle is used as a six-stage process of learning outlined below, to explore the learning process that took place over the preparation of this assessment</w:t>
      </w:r>
      <w:r>
        <w:rPr>
          <w:lang w:eastAsia="en-GB"/>
        </w:rPr>
        <w:t xml:space="preserve">. </w:t>
      </w:r>
    </w:p>
    <w:p w14:paraId="01A63441">
      <w:pPr>
        <w:pStyle w:val="style0"/>
        <w:jc w:val="center"/>
        <w:rPr/>
      </w:pPr>
      <w:r>
        <w:rPr>
          <w:noProof/>
        </w:rPr>
        <w:drawing>
          <wp:inline distL="0" distT="0" distB="0" distR="0">
            <wp:extent cx="4184650" cy="3695699"/>
            <wp:effectExtent l="0" t="0" r="6350" b="0"/>
            <wp:docPr id="1035"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1"/>
                    <pic:cNvPicPr/>
                  </pic:nvPicPr>
                  <pic:blipFill>
                    <a:blip r:embed="rId11" cstate="print">
                      <a:duotone>
                        <a:srgbClr val="000000"/>
                        <a:srgbClr val="bfffa3"/>
                      </a:duotone>
                    </a:blip>
                    <a:srcRect l="0" t="0" r="0" b="0"/>
                    <a:stretch/>
                  </pic:blipFill>
                  <pic:spPr>
                    <a:xfrm rot="0">
                      <a:off x="0" y="0"/>
                      <a:ext cx="4184650" cy="3695699"/>
                    </a:xfrm>
                    <a:prstGeom prst="rect"/>
                  </pic:spPr>
                </pic:pic>
              </a:graphicData>
            </a:graphic>
          </wp:inline>
        </w:drawing>
      </w:r>
    </w:p>
    <w:p w14:paraId="2E367A9D">
      <w:pPr>
        <w:pStyle w:val="style0"/>
        <w:jc w:val="center"/>
        <w:rPr/>
      </w:pPr>
      <w:r>
        <w:t>Figure</w:t>
      </w:r>
      <w:r>
        <w:t xml:space="preserve"> </w:t>
      </w:r>
      <w:r>
        <w:t>8</w:t>
      </w:r>
      <w:r>
        <w:t>:</w:t>
      </w:r>
      <w:r>
        <w:t xml:space="preserve"> Gibbs' Reflective Cycle</w:t>
      </w:r>
    </w:p>
    <w:p w14:paraId="5FBDDE45">
      <w:pPr>
        <w:pStyle w:val="style0"/>
        <w:jc w:val="center"/>
        <w:rPr/>
      </w:pPr>
      <w:r>
        <w:t xml:space="preserve">Source: </w:t>
      </w:r>
      <w:r>
        <w:t>(</w:t>
      </w:r>
      <w:r>
        <w:rPr>
          <w:lang w:eastAsia="en-GB"/>
        </w:rPr>
        <w:t>Gibbs</w:t>
      </w:r>
      <w:r>
        <w:rPr>
          <w:lang w:eastAsia="en-GB"/>
        </w:rPr>
        <w:t xml:space="preserve">, </w:t>
      </w:r>
      <w:r>
        <w:rPr>
          <w:lang w:eastAsia="en-GB"/>
        </w:rPr>
        <w:t>1988)</w:t>
      </w:r>
    </w:p>
    <w:p w14:paraId="53937DA9">
      <w:pPr>
        <w:pStyle w:val="style0"/>
        <w:rPr>
          <w:b/>
          <w:bCs/>
        </w:rPr>
      </w:pPr>
      <w:r>
        <w:rPr>
          <w:b/>
          <w:bCs/>
        </w:rPr>
        <w:t>Description</w:t>
      </w:r>
    </w:p>
    <w:p w14:paraId="5C488F6A">
      <w:pPr>
        <w:pStyle w:val="style0"/>
        <w:rPr/>
      </w:pPr>
      <w:r>
        <w:t xml:space="preserve">This reflection serves to assess the research, analysis and writing process which has been followed in completing the macro-environmental appraisal and entry mode strategy sections of this assignment. I had to evaluate and analyse the UAE's political, </w:t>
      </w:r>
      <w:r>
        <w:t>economic, legal and cultural contexts using a structured PELC matrix, justify Patagonia's FDI prospects using OLI eclectic paradigm and suggest a number of phases for entering the market based on the Uppsala model theory. For this I engaged in systematic review of primary government sources, international economic data, academic textbooks and consumer research publications and then consolidated into a coherent analytical argument.</w:t>
      </w:r>
    </w:p>
    <w:p w14:paraId="66B2B93C">
      <w:pPr>
        <w:pStyle w:val="style0"/>
        <w:rPr>
          <w:b/>
          <w:bCs/>
        </w:rPr>
      </w:pPr>
      <w:r>
        <w:rPr>
          <w:b/>
          <w:bCs/>
        </w:rPr>
        <w:t>Feelings</w:t>
      </w:r>
    </w:p>
    <w:p w14:paraId="717929EE">
      <w:pPr>
        <w:pStyle w:val="style0"/>
        <w:rPr/>
      </w:pPr>
      <w:r>
        <w:t xml:space="preserve">The first time I approached this problem it created a mental curiosity as well as a feeling of methodological confusion. </w:t>
      </w:r>
      <w:r>
        <w:t>The interest arose from the richness of the Patagonia case: a company that has restructured its ownership model to legally subordinate profit to environmental mission offers a genuinely unusual lens through which to apply mainstream international business theory. The uncertainty arose from the challenge of applying frameworks developed predominantly for profit-maximising multinationals to an organisation that explicitly rejects that rationale</w:t>
      </w:r>
      <w:r>
        <w:t xml:space="preserve">. I also felt there was a risk of confirmation bias; the genuine acceptance of Patagonia's model has created an attractive possibility to draw evidence in </w:t>
      </w:r>
      <w:r>
        <w:t>favor</w:t>
      </w:r>
      <w:r>
        <w:t xml:space="preserve"> of UAE entry and minimise the actual cultural and commercial obstacles that emerged in the analysis. This awareness is an analytical discipline that has to be practiced.</w:t>
      </w:r>
    </w:p>
    <w:p w14:paraId="504A8852">
      <w:pPr>
        <w:pStyle w:val="style0"/>
        <w:rPr>
          <w:b/>
          <w:bCs/>
        </w:rPr>
      </w:pPr>
      <w:r>
        <w:rPr>
          <w:b/>
          <w:bCs/>
        </w:rPr>
        <w:t>Evaluation</w:t>
      </w:r>
    </w:p>
    <w:p w14:paraId="565C8B2D">
      <w:pPr>
        <w:pStyle w:val="style0"/>
        <w:rPr/>
      </w:pPr>
      <w:r>
        <w:t xml:space="preserve">The experience highlighted a number of strengths and weaknesses that were identifiable. There was a bright side to the approach taken to include the environmental analysis in primary government sources, such as the UAE's Net Zero 2050 policy documentation and its recordkeeping for the hosting of COP28, as this gave the political assessment a more authoritative and credible source than could secondary commentary only. The OLI framework has been a particularly fruitful approach as it allows to separate OLI based firm attributes from OLI based attractions, such that the brand appeal of Patagonia is separated from the attractiveness of the UAE as a travel destination. However, on the down side, the literature search was more geared towards sustainable data but on a global level than towards UAE-specific data for the consumer so that the cultural component was changed again when more geographical specific </w:t>
      </w:r>
      <w:r>
        <w:t>data was discovered. The use of generalised global datasets at this stage was a problem in the study design.</w:t>
      </w:r>
    </w:p>
    <w:p w14:paraId="375431F0">
      <w:pPr>
        <w:pStyle w:val="style0"/>
        <w:rPr>
          <w:b/>
          <w:bCs/>
        </w:rPr>
      </w:pPr>
      <w:r>
        <w:rPr>
          <w:b/>
          <w:bCs/>
        </w:rPr>
        <w:t>Analysis</w:t>
      </w:r>
    </w:p>
    <w:p w14:paraId="340C8FF1">
      <w:pPr>
        <w:pStyle w:val="style0"/>
        <w:rPr/>
      </w:pPr>
      <w:r>
        <w:t xml:space="preserve">Looking back on this limitation, I acknowledge that the process of research was not well documented in the order it transpired. To determine theoretical </w:t>
      </w:r>
      <w:r>
        <w:t>frameworks</w:t>
      </w:r>
      <w:r>
        <w:t xml:space="preserve"> I used the methods of determining first and then looking up evidence, opposed to an open exploration of UAE-specific literature before defining an analytical structure. This could lead to the evidence to be fitted into frameworks not selected. The theory lessons and reading, in particular on ‘psychic distance' and ‘liability of </w:t>
      </w:r>
      <w:r>
        <w:t>outsidership</w:t>
      </w:r>
      <w:r>
        <w:t>' gave me the means to critically question Patagonia's position. The theoretical inputs avoided the descriptive analysis and drove toward an effective evaluative approach to worthy consideration of whether the ownership advantage of Patagonia is transferable to the UAE market and its cultural environment.</w:t>
      </w:r>
    </w:p>
    <w:p w14:paraId="60FADC87">
      <w:pPr>
        <w:pStyle w:val="style0"/>
        <w:rPr>
          <w:b/>
          <w:bCs/>
        </w:rPr>
      </w:pPr>
      <w:r>
        <w:rPr>
          <w:b/>
          <w:bCs/>
        </w:rPr>
        <w:t>Conclusion</w:t>
      </w:r>
    </w:p>
    <w:p w14:paraId="753E73A7">
      <w:pPr>
        <w:pStyle w:val="style0"/>
        <w:rPr/>
      </w:pPr>
      <w:r>
        <w:t>Finally, the most important thing learned from this process is not what they learned about content, but how they learned about it. Better would have been to search the database for the UAE first and use this evidence base in the analytical phase and also in the revision stage itself. The experience also has underscored the need to make a conscious effort to question their own potential evaluations bias if the subject firm has attributes which elicit significant evaluations. Ethical differences in Patagonia made it easy to build an optimistic entry case; intellectual rigor necessary to balance a critical one was a more challenging but ultimately deeper learning project than I first thought.</w:t>
      </w:r>
    </w:p>
    <w:p w14:paraId="6D391594">
      <w:pPr>
        <w:pStyle w:val="style0"/>
        <w:rPr>
          <w:b/>
          <w:bCs/>
        </w:rPr>
      </w:pPr>
      <w:r>
        <w:rPr>
          <w:b/>
          <w:bCs/>
        </w:rPr>
        <w:t>Action Plan</w:t>
      </w:r>
    </w:p>
    <w:p w14:paraId="41FDD184">
      <w:pPr>
        <w:pStyle w:val="style0"/>
        <w:spacing w:after="160"/>
        <w:rPr/>
      </w:pPr>
      <w:r>
        <w:rPr>
          <w:rFonts w:cs="Arial"/>
          <w:szCs w:val="24"/>
        </w:rPr>
        <w:t>The following action plan identifies specific development areas and structured interventions to enhance the quality and analytical rigour of future academic performance:</w:t>
      </w:r>
    </w:p>
    <w:tbl>
      <w:tblPr>
        <w:tblStyle w:val="style4122"/>
        <w:tblW w:w="0" w:type="auto"/>
        <w:tblLook w:val="04A0" w:firstRow="1" w:lastRow="0" w:firstColumn="1" w:lastColumn="0" w:noHBand="0" w:noVBand="1"/>
      </w:tblPr>
      <w:tblGrid>
        <w:gridCol w:w="2394"/>
        <w:gridCol w:w="2394"/>
        <w:gridCol w:w="2394"/>
        <w:gridCol w:w="2394"/>
      </w:tblGrid>
      <w:tr w14:paraId="43A469D0">
        <w:trPr/>
        <w:tc>
          <w:tcPr>
            <w:tcW w:w="2394" w:type="dxa"/>
            <w:tcBorders/>
          </w:tcPr>
          <w:p w14:paraId="0DE67D91">
            <w:pPr>
              <w:pStyle w:val="style0"/>
              <w:spacing w:lineRule="auto" w:line="276"/>
              <w:jc w:val="center"/>
              <w:rPr/>
            </w:pPr>
            <w:r>
              <w:t>Development Area</w:t>
            </w:r>
          </w:p>
        </w:tc>
        <w:tc>
          <w:tcPr>
            <w:tcW w:w="2394" w:type="dxa"/>
            <w:tcBorders/>
          </w:tcPr>
          <w:p w14:paraId="5E6BDDF8">
            <w:pPr>
              <w:pStyle w:val="style0"/>
              <w:spacing w:lineRule="auto" w:line="276"/>
              <w:jc w:val="center"/>
              <w:rPr/>
            </w:pPr>
            <w:r>
              <w:t>Specific Action</w:t>
            </w:r>
          </w:p>
        </w:tc>
        <w:tc>
          <w:tcPr>
            <w:tcW w:w="2394" w:type="dxa"/>
            <w:tcBorders/>
          </w:tcPr>
          <w:p w14:paraId="6B2F5912">
            <w:pPr>
              <w:pStyle w:val="style0"/>
              <w:spacing w:lineRule="auto" w:line="276"/>
              <w:jc w:val="center"/>
              <w:rPr/>
            </w:pPr>
            <w:r>
              <w:t>Resources / Tools</w:t>
            </w:r>
          </w:p>
        </w:tc>
        <w:tc>
          <w:tcPr>
            <w:tcW w:w="2394" w:type="dxa"/>
            <w:tcBorders/>
          </w:tcPr>
          <w:p w14:paraId="1278E98C">
            <w:pPr>
              <w:pStyle w:val="style0"/>
              <w:spacing w:lineRule="auto" w:line="276"/>
              <w:jc w:val="center"/>
              <w:rPr/>
            </w:pPr>
            <w:r>
              <w:t>Target Timeline</w:t>
            </w:r>
          </w:p>
        </w:tc>
      </w:tr>
      <w:tr w14:paraId="7BFAAB8D">
        <w:tblPrEx/>
        <w:trPr/>
        <w:tc>
          <w:tcPr>
            <w:tcW w:w="2394" w:type="dxa"/>
            <w:tcBorders/>
          </w:tcPr>
          <w:p w14:paraId="157C351F">
            <w:pPr>
              <w:pStyle w:val="style0"/>
              <w:spacing w:lineRule="auto" w:line="276"/>
              <w:jc w:val="center"/>
              <w:rPr/>
            </w:pPr>
            <w:r>
              <w:t>Literature Review Strategy</w:t>
            </w:r>
          </w:p>
        </w:tc>
        <w:tc>
          <w:tcPr>
            <w:tcW w:w="2394" w:type="dxa"/>
            <w:tcBorders/>
          </w:tcPr>
          <w:p w14:paraId="590E9098">
            <w:pPr>
              <w:pStyle w:val="style0"/>
              <w:spacing w:lineRule="auto" w:line="276"/>
              <w:jc w:val="center"/>
              <w:rPr/>
            </w:pPr>
            <w:r>
              <w:t xml:space="preserve">Conduct targeted searches for UAE-specific retail and sustainability literature before the </w:t>
            </w:r>
            <w:r>
              <w:t>analysis phase, ensuring theoretical claims are grounded in geographically relevant empirical evidence rather than relying solely on global datasets.</w:t>
            </w:r>
          </w:p>
        </w:tc>
        <w:tc>
          <w:tcPr>
            <w:tcW w:w="2394" w:type="dxa"/>
            <w:tcBorders/>
          </w:tcPr>
          <w:p w14:paraId="1ECE091D">
            <w:pPr>
              <w:pStyle w:val="style0"/>
              <w:spacing w:lineRule="auto" w:line="276"/>
              <w:jc w:val="center"/>
              <w:rPr/>
            </w:pPr>
            <w:r>
              <w:t>Google Scholar; ProQuest; Business Source Complete; EBSCO Academic Search Premier</w:t>
            </w:r>
          </w:p>
        </w:tc>
        <w:tc>
          <w:tcPr>
            <w:tcW w:w="2394" w:type="dxa"/>
            <w:tcBorders/>
          </w:tcPr>
          <w:p w14:paraId="6140549B">
            <w:pPr>
              <w:pStyle w:val="style0"/>
              <w:spacing w:lineRule="auto" w:line="276"/>
              <w:jc w:val="center"/>
              <w:rPr/>
            </w:pPr>
            <w:r>
              <w:t>Week 1 of research phase</w:t>
            </w:r>
          </w:p>
        </w:tc>
      </w:tr>
      <w:tr w14:paraId="7EACB927">
        <w:tblPrEx/>
        <w:trPr/>
        <w:tc>
          <w:tcPr>
            <w:tcW w:w="2394" w:type="dxa"/>
            <w:tcBorders/>
          </w:tcPr>
          <w:p w14:paraId="5A9439FB">
            <w:pPr>
              <w:pStyle w:val="style0"/>
              <w:spacing w:lineRule="auto" w:line="276"/>
              <w:jc w:val="center"/>
              <w:rPr/>
            </w:pPr>
            <w:r>
              <w:t>Framework Integration</w:t>
            </w:r>
          </w:p>
        </w:tc>
        <w:tc>
          <w:tcPr>
            <w:tcW w:w="2394" w:type="dxa"/>
            <w:tcBorders/>
          </w:tcPr>
          <w:p w14:paraId="03813278">
            <w:pPr>
              <w:pStyle w:val="style0"/>
              <w:spacing w:lineRule="auto" w:line="276"/>
              <w:jc w:val="center"/>
              <w:rPr/>
            </w:pPr>
            <w:r>
              <w:t>Map explicit analytical connections between the PELC framework, OLI paradigm and Uppsala model at the outline stage to avoid compartmentalised section drafting and ensure conceptual coherence is maintained throughout.</w:t>
            </w:r>
          </w:p>
        </w:tc>
        <w:tc>
          <w:tcPr>
            <w:tcW w:w="2394" w:type="dxa"/>
            <w:tcBorders/>
          </w:tcPr>
          <w:p w14:paraId="0E79E8BC">
            <w:pPr>
              <w:pStyle w:val="style0"/>
              <w:spacing w:lineRule="auto" w:line="276"/>
              <w:jc w:val="center"/>
              <w:rPr/>
            </w:pPr>
            <w:r>
              <w:t xml:space="preserve">Concept mapping tools; Hill (2021); </w:t>
            </w:r>
            <w:r>
              <w:t>Ietto</w:t>
            </w:r>
            <w:r>
              <w:t xml:space="preserve">-Gillies (2019); </w:t>
            </w:r>
            <w:r>
              <w:t>Cavusgil</w:t>
            </w:r>
            <w:r>
              <w:t>, Knight and Riesenberger (2020)</w:t>
            </w:r>
          </w:p>
        </w:tc>
        <w:tc>
          <w:tcPr>
            <w:tcW w:w="2394" w:type="dxa"/>
            <w:tcBorders/>
          </w:tcPr>
          <w:p w14:paraId="75E21E2E">
            <w:pPr>
              <w:pStyle w:val="style0"/>
              <w:spacing w:lineRule="auto" w:line="276"/>
              <w:jc w:val="center"/>
              <w:rPr/>
            </w:pPr>
            <w:r>
              <w:t>Outline phase (Week 2)</w:t>
            </w:r>
          </w:p>
        </w:tc>
      </w:tr>
      <w:tr w14:paraId="6745B5C0">
        <w:tblPrEx/>
        <w:trPr/>
        <w:tc>
          <w:tcPr>
            <w:tcW w:w="2394" w:type="dxa"/>
            <w:tcBorders/>
          </w:tcPr>
          <w:p w14:paraId="4348037B">
            <w:pPr>
              <w:pStyle w:val="style0"/>
              <w:spacing w:lineRule="auto" w:line="276"/>
              <w:jc w:val="center"/>
              <w:rPr/>
            </w:pPr>
            <w:r>
              <w:t>Confirmation Bias Management</w:t>
            </w:r>
          </w:p>
        </w:tc>
        <w:tc>
          <w:tcPr>
            <w:tcW w:w="2394" w:type="dxa"/>
            <w:tcBorders/>
          </w:tcPr>
          <w:p w14:paraId="3CBA5854">
            <w:pPr>
              <w:pStyle w:val="style0"/>
              <w:spacing w:lineRule="auto" w:line="276"/>
              <w:jc w:val="center"/>
              <w:rPr/>
            </w:pPr>
            <w:r>
              <w:t>Apply a structured critical appraisal review at each analytical stage to detect and correct confirmation bias, particularly when evaluating the market readiness of a values-aligned subject firm such as Patagonia.</w:t>
            </w:r>
          </w:p>
        </w:tc>
        <w:tc>
          <w:tcPr>
            <w:tcW w:w="2394" w:type="dxa"/>
            <w:tcBorders/>
          </w:tcPr>
          <w:p w14:paraId="53DB75C4">
            <w:pPr>
              <w:pStyle w:val="style0"/>
              <w:spacing w:lineRule="auto" w:line="276"/>
              <w:jc w:val="center"/>
              <w:rPr/>
            </w:pPr>
            <w:r>
              <w:t>Study group peer review sessions; contrarian academic perspectives on sustainable brand limitations in premium emerging markets</w:t>
            </w:r>
          </w:p>
        </w:tc>
        <w:tc>
          <w:tcPr>
            <w:tcW w:w="2394" w:type="dxa"/>
            <w:tcBorders/>
          </w:tcPr>
          <w:p w14:paraId="2541C595">
            <w:pPr>
              <w:pStyle w:val="style0"/>
              <w:spacing w:lineRule="auto" w:line="276"/>
              <w:jc w:val="center"/>
              <w:rPr/>
            </w:pPr>
            <w:r>
              <w:t>Throughout drafting (Weeks 3 to 4)</w:t>
            </w:r>
          </w:p>
        </w:tc>
      </w:tr>
      <w:tr w14:paraId="09268EE4">
        <w:tblPrEx/>
        <w:trPr/>
        <w:tc>
          <w:tcPr>
            <w:tcW w:w="2394" w:type="dxa"/>
            <w:tcBorders/>
          </w:tcPr>
          <w:p w14:paraId="785A71AB">
            <w:pPr>
              <w:pStyle w:val="style0"/>
              <w:spacing w:lineRule="auto" w:line="276"/>
              <w:jc w:val="center"/>
              <w:rPr/>
            </w:pPr>
            <w:r>
              <w:t>Statistical Evidence Sourcing</w:t>
            </w:r>
          </w:p>
        </w:tc>
        <w:tc>
          <w:tcPr>
            <w:tcW w:w="2394" w:type="dxa"/>
            <w:tcBorders/>
          </w:tcPr>
          <w:p w14:paraId="40C7B50B">
            <w:pPr>
              <w:pStyle w:val="style0"/>
              <w:spacing w:lineRule="auto" w:line="276"/>
              <w:jc w:val="center"/>
              <w:rPr/>
            </w:pPr>
            <w:r>
              <w:t xml:space="preserve">Identify all required statistical data points and verify each against official primary databases </w:t>
            </w:r>
            <w:r>
              <w:t>before commencing section drafting to ensure accuracy and credibility of all quantitative claims.</w:t>
            </w:r>
          </w:p>
        </w:tc>
        <w:tc>
          <w:tcPr>
            <w:tcW w:w="2394" w:type="dxa"/>
            <w:tcBorders/>
          </w:tcPr>
          <w:p w14:paraId="48792DA7">
            <w:pPr>
              <w:pStyle w:val="style0"/>
              <w:spacing w:lineRule="auto" w:line="276"/>
              <w:jc w:val="center"/>
              <w:rPr/>
            </w:pPr>
            <w:r>
              <w:t xml:space="preserve">World Bank Open Data; IMF Article IV publications; UAE Ministry of Investment Annual </w:t>
            </w:r>
            <w:r>
              <w:t>Report; UNCTAD World Investment Report series</w:t>
            </w:r>
          </w:p>
        </w:tc>
        <w:tc>
          <w:tcPr>
            <w:tcW w:w="2394" w:type="dxa"/>
            <w:tcBorders/>
          </w:tcPr>
          <w:p w14:paraId="6BD94485">
            <w:pPr>
              <w:pStyle w:val="style0"/>
              <w:spacing w:lineRule="auto" w:line="276"/>
              <w:jc w:val="center"/>
              <w:rPr/>
            </w:pPr>
            <w:r>
              <w:t>Week 1, concurrent with literature review</w:t>
            </w:r>
          </w:p>
        </w:tc>
      </w:tr>
    </w:tbl>
    <w:p w14:paraId="1CBC87AE">
      <w:pPr>
        <w:pStyle w:val="style0"/>
        <w:rPr>
          <w:lang w:eastAsia="en-GB"/>
        </w:rPr>
      </w:pPr>
    </w:p>
    <w:p w14:paraId="0B739683">
      <w:pPr>
        <w:pStyle w:val="style0"/>
        <w:rPr>
          <w:lang w:eastAsia="en-GB"/>
        </w:rPr>
      </w:pPr>
    </w:p>
    <w:p w14:paraId="01A2D111">
      <w:pPr>
        <w:pStyle w:val="style0"/>
        <w:rPr>
          <w:lang w:eastAsia="en-GB"/>
        </w:rPr>
      </w:pPr>
    </w:p>
    <w:p w14:paraId="5ADBD743">
      <w:pPr>
        <w:pStyle w:val="style0"/>
        <w:rPr>
          <w:lang w:eastAsia="en-GB"/>
        </w:rPr>
      </w:pPr>
    </w:p>
    <w:p w14:paraId="5445DECB">
      <w:pPr>
        <w:pStyle w:val="style0"/>
        <w:rPr>
          <w:lang w:eastAsia="en-GB"/>
        </w:rPr>
      </w:pPr>
    </w:p>
    <w:p w14:paraId="765130FF">
      <w:pPr>
        <w:pStyle w:val="style0"/>
        <w:rPr>
          <w:lang w:eastAsia="en-GB"/>
        </w:rPr>
      </w:pPr>
    </w:p>
    <w:p w14:paraId="69EF512E">
      <w:pPr>
        <w:pStyle w:val="style0"/>
        <w:rPr>
          <w:lang w:eastAsia="en-GB"/>
        </w:rPr>
      </w:pPr>
    </w:p>
    <w:p w14:paraId="38D832D8">
      <w:pPr>
        <w:pStyle w:val="style0"/>
        <w:rPr>
          <w:lang w:eastAsia="en-GB"/>
        </w:rPr>
      </w:pPr>
    </w:p>
    <w:p w14:paraId="4C089F82">
      <w:pPr>
        <w:pStyle w:val="style0"/>
        <w:rPr>
          <w:lang w:eastAsia="en-GB"/>
        </w:rPr>
      </w:pPr>
    </w:p>
    <w:p w14:paraId="042683A5">
      <w:pPr>
        <w:pStyle w:val="style0"/>
        <w:rPr>
          <w:lang w:eastAsia="en-GB"/>
        </w:rPr>
      </w:pPr>
    </w:p>
    <w:p w14:paraId="4F455D5D">
      <w:pPr>
        <w:pStyle w:val="style0"/>
        <w:rPr>
          <w:lang w:eastAsia="en-GB"/>
        </w:rPr>
      </w:pPr>
    </w:p>
    <w:p w14:paraId="270A83B9">
      <w:pPr>
        <w:pStyle w:val="style0"/>
        <w:rPr>
          <w:lang w:eastAsia="en-GB"/>
        </w:rPr>
      </w:pPr>
    </w:p>
    <w:p w14:paraId="4004D504">
      <w:pPr>
        <w:pStyle w:val="style0"/>
        <w:rPr>
          <w:lang w:eastAsia="en-GB"/>
        </w:rPr>
      </w:pPr>
    </w:p>
    <w:p w14:paraId="7D272B3A">
      <w:pPr>
        <w:pStyle w:val="style0"/>
        <w:rPr>
          <w:lang w:eastAsia="en-GB"/>
        </w:rPr>
      </w:pPr>
    </w:p>
    <w:p w14:paraId="1D2E7A67">
      <w:pPr>
        <w:pStyle w:val="style0"/>
        <w:rPr>
          <w:lang w:eastAsia="en-GB"/>
        </w:rPr>
      </w:pPr>
    </w:p>
    <w:p w14:paraId="3D538500">
      <w:pPr>
        <w:pStyle w:val="style0"/>
        <w:rPr>
          <w:lang w:eastAsia="en-GB"/>
        </w:rPr>
      </w:pPr>
    </w:p>
    <w:p w14:paraId="072713BB">
      <w:pPr>
        <w:pStyle w:val="style0"/>
        <w:rPr>
          <w:lang w:eastAsia="en-GB"/>
        </w:rPr>
      </w:pPr>
    </w:p>
    <w:p w14:paraId="3A25AA5F">
      <w:pPr>
        <w:pStyle w:val="style0"/>
        <w:rPr>
          <w:lang w:eastAsia="en-GB"/>
        </w:rPr>
      </w:pPr>
    </w:p>
    <w:p w14:paraId="581556C6">
      <w:pPr>
        <w:pStyle w:val="style0"/>
        <w:rPr>
          <w:lang w:eastAsia="en-GB"/>
        </w:rPr>
      </w:pPr>
    </w:p>
    <w:p w14:paraId="17BF43E6">
      <w:pPr>
        <w:pStyle w:val="style0"/>
        <w:rPr>
          <w:lang w:eastAsia="en-GB"/>
        </w:rPr>
      </w:pPr>
    </w:p>
    <w:p w14:paraId="3CBC63D9">
      <w:pPr>
        <w:pStyle w:val="style0"/>
        <w:rPr>
          <w:lang w:eastAsia="en-GB"/>
        </w:rPr>
      </w:pPr>
    </w:p>
    <w:p w14:paraId="4E8A5845">
      <w:pPr>
        <w:pStyle w:val="style0"/>
        <w:rPr>
          <w:lang w:eastAsia="en-GB"/>
        </w:rPr>
      </w:pPr>
    </w:p>
    <w:p w14:paraId="65F8A912">
      <w:pPr>
        <w:pStyle w:val="style0"/>
        <w:rPr>
          <w:lang w:eastAsia="en-GB"/>
        </w:rPr>
      </w:pPr>
    </w:p>
    <w:p w14:paraId="7B489F5F">
      <w:pPr>
        <w:pStyle w:val="style0"/>
        <w:rPr>
          <w:lang w:eastAsia="en-GB"/>
        </w:rPr>
      </w:pPr>
    </w:p>
    <w:bookmarkStart w:id="23" w:name="_Toc237350585"/>
    <w:p w14:paraId="46C2FC37">
      <w:pPr>
        <w:pStyle w:val="style1"/>
        <w:rPr/>
      </w:pPr>
      <w:r>
        <w:t>References</w:t>
      </w:r>
      <w:bookmarkEnd w:id="23"/>
      <w:r>
        <w:t xml:space="preserve"> </w:t>
      </w:r>
    </w:p>
    <w:p w14:paraId="0C7961FA">
      <w:pPr>
        <w:pStyle w:val="style0"/>
        <w:spacing w:after="160"/>
        <w:ind w:left="720" w:hanging="720"/>
        <w:rPr/>
      </w:pPr>
      <w:r>
        <w:t xml:space="preserve">Ahmed, A., </w:t>
      </w:r>
      <w:r>
        <w:t>(</w:t>
      </w:r>
      <w:r>
        <w:t>2023</w:t>
      </w:r>
      <w:r>
        <w:t>)</w:t>
      </w:r>
      <w:r>
        <w:t>, March. Developing strategy for integrating sustainability in UAE higher education institutions towards UAE Strategic Initiative Net Zero 2050. In 2023 International Conference on Computational Intelligence and Knowledge Economy (ICCIKE) (pp. 370-375). IEEE.</w:t>
      </w:r>
    </w:p>
    <w:p w14:paraId="27B07190">
      <w:pPr>
        <w:pStyle w:val="style0"/>
        <w:spacing w:after="160"/>
        <w:ind w:left="720" w:hanging="720"/>
        <w:rPr/>
      </w:pPr>
      <w:r>
        <w:t xml:space="preserve">B Lab (2023) B Corp Certification. B Lab Global. Available at: </w:t>
      </w:r>
      <w:r>
        <w:rPr/>
        <w:fldChar w:fldCharType="begin"/>
      </w:r>
      <w:r>
        <w:instrText xml:space="preserve"> HYPERLINK "https://www.bcorporation.net/en-us/certification/" </w:instrText>
      </w:r>
      <w:r>
        <w:rPr/>
        <w:fldChar w:fldCharType="separate"/>
      </w:r>
      <w:r>
        <w:rPr>
          <w:rStyle w:val="style85"/>
        </w:rPr>
        <w:t>https://www.bcorporation.net/en-us/certification/</w:t>
      </w:r>
      <w:r>
        <w:rPr/>
        <w:fldChar w:fldCharType="end"/>
      </w:r>
      <w:r>
        <w:t xml:space="preserve">  (Accessed: 1</w:t>
      </w:r>
      <w:r>
        <w:t>5</w:t>
      </w:r>
      <w:r>
        <w:t xml:space="preserve"> July 2026).</w:t>
      </w:r>
    </w:p>
    <w:p w14:paraId="37016E90">
      <w:pPr>
        <w:pStyle w:val="style0"/>
        <w:spacing w:after="160"/>
        <w:ind w:left="720" w:hanging="720"/>
        <w:rPr/>
      </w:pPr>
      <w:r>
        <w:t>Bartlett, C.A. and Ghoshal, S. (1989) Managing Across Borders: The Transnational Solution. Boston: Harvard Business School Press.</w:t>
      </w:r>
    </w:p>
    <w:p w14:paraId="4CFB6E91">
      <w:pPr>
        <w:pStyle w:val="style0"/>
        <w:spacing w:after="160"/>
        <w:ind w:left="720" w:hanging="720"/>
        <w:rPr/>
      </w:pPr>
      <w:r>
        <w:t>Cavusgil</w:t>
      </w:r>
      <w:r>
        <w:t xml:space="preserve">, S.T., Knight, G. and Riesenberger, J.R. (2020) International Business: The New Realities. 5th </w:t>
      </w:r>
      <w:r>
        <w:t>edn</w:t>
      </w:r>
      <w:r>
        <w:t>. Harlow: Pearson.</w:t>
      </w:r>
    </w:p>
    <w:p w14:paraId="64CD8BDD">
      <w:pPr>
        <w:pStyle w:val="style0"/>
        <w:spacing w:after="160"/>
        <w:ind w:left="720" w:hanging="720"/>
        <w:rPr/>
      </w:pPr>
      <w:r>
        <w:t xml:space="preserve">Dunning, J.H. (2001) 'The eclectic (OLI) paradigm of international production: Past, present and future', International Journal of the Economics of Business, 8(2), pp. 173–190. Available at: </w:t>
      </w:r>
      <w:r>
        <w:rPr/>
        <w:fldChar w:fldCharType="begin"/>
      </w:r>
      <w:r>
        <w:instrText xml:space="preserve"> HYPERLINK "https://www.researchgate.net/publication/24081555" </w:instrText>
      </w:r>
      <w:r>
        <w:rPr/>
        <w:fldChar w:fldCharType="separate"/>
      </w:r>
      <w:r>
        <w:rPr>
          <w:rStyle w:val="style85"/>
        </w:rPr>
        <w:t>https://www.researchgate.net/publication/24081555</w:t>
      </w:r>
      <w:r>
        <w:rPr/>
        <w:fldChar w:fldCharType="end"/>
      </w:r>
      <w:r>
        <w:t xml:space="preserve">  (Accessed: 1</w:t>
      </w:r>
      <w:r>
        <w:t>2</w:t>
      </w:r>
      <w:r>
        <w:t xml:space="preserve"> July 2026).</w:t>
      </w:r>
    </w:p>
    <w:p w14:paraId="3C7B794C">
      <w:pPr>
        <w:pStyle w:val="style0"/>
        <w:spacing w:after="160"/>
        <w:ind w:left="720" w:hanging="720"/>
        <w:rPr/>
      </w:pPr>
      <w:r>
        <w:t xml:space="preserve">Dunning, J.H. and </w:t>
      </w:r>
      <w:r>
        <w:t>Lundan</w:t>
      </w:r>
      <w:r>
        <w:t xml:space="preserve">, S.M. (2008) Multinational Enterprises and the Global Economy. 2nd </w:t>
      </w:r>
      <w:r>
        <w:t>edn</w:t>
      </w:r>
      <w:r>
        <w:t>. Cheltenham: Edward Elgar.</w:t>
      </w:r>
    </w:p>
    <w:p w14:paraId="67E9348B">
      <w:pPr>
        <w:pStyle w:val="style0"/>
        <w:spacing w:after="160"/>
        <w:ind w:left="720" w:hanging="720"/>
        <w:rPr/>
      </w:pPr>
      <w:r>
        <w:t>Gibbs, G. (1988) Learning by Doing: A Guide to Teaching and Learning Methods. Oxford: Further Education Unit.</w:t>
      </w:r>
    </w:p>
    <w:p w14:paraId="7891B3D3">
      <w:pPr>
        <w:pStyle w:val="style0"/>
        <w:spacing w:after="160"/>
        <w:ind w:left="720" w:hanging="720"/>
        <w:rPr/>
      </w:pPr>
      <w:r>
        <w:t xml:space="preserve">Hill, C.W.L. and Hult, G.T.M. (2020) International Business: Competing in the Global Marketplace. 13th </w:t>
      </w:r>
      <w:r>
        <w:t>edn</w:t>
      </w:r>
      <w:r>
        <w:t>. New York: McGraw-Hill.</w:t>
      </w:r>
    </w:p>
    <w:p w14:paraId="08ACA51C">
      <w:pPr>
        <w:pStyle w:val="style0"/>
        <w:spacing w:after="160"/>
        <w:ind w:left="720" w:hanging="720"/>
        <w:rPr/>
      </w:pPr>
      <w:r>
        <w:t>Ietto</w:t>
      </w:r>
      <w:r>
        <w:t xml:space="preserve">-Gillies, G. (2019) Transnational Corporations and International Production: Concepts, Theories and Effects. 3rd </w:t>
      </w:r>
      <w:r>
        <w:t>edn</w:t>
      </w:r>
      <w:r>
        <w:t>. Cheltenham: Edward Elgar Publishing.</w:t>
      </w:r>
    </w:p>
    <w:p w14:paraId="6246D599">
      <w:pPr>
        <w:pStyle w:val="style0"/>
        <w:spacing w:after="160"/>
        <w:ind w:left="720" w:hanging="720"/>
        <w:rPr/>
      </w:pPr>
      <w:r>
        <w:t xml:space="preserve">IMARC Group (2024) UAE Sportswear Market: Industry Trends, Share, Size, Growth, Opportunity and Forecast 2025–2033. IMARC Group. Available at: </w:t>
      </w:r>
      <w:r>
        <w:rPr/>
        <w:fldChar w:fldCharType="begin"/>
      </w:r>
      <w:r>
        <w:instrText xml:space="preserve"> HYPERLINK "https://www.imarcgroup.com/uae-sportswear-market" </w:instrText>
      </w:r>
      <w:r>
        <w:rPr/>
        <w:fldChar w:fldCharType="separate"/>
      </w:r>
      <w:r>
        <w:rPr>
          <w:rStyle w:val="style85"/>
        </w:rPr>
        <w:t>https://www.imarcgroup.com/uae-sportswear-market</w:t>
      </w:r>
      <w:r>
        <w:rPr/>
        <w:fldChar w:fldCharType="end"/>
      </w:r>
      <w:r>
        <w:t xml:space="preserve">  (Accessed: 1</w:t>
      </w:r>
      <w:r>
        <w:t>9</w:t>
      </w:r>
      <w:r>
        <w:t xml:space="preserve"> July 2026).</w:t>
      </w:r>
    </w:p>
    <w:p w14:paraId="527D31C9">
      <w:pPr>
        <w:pStyle w:val="style0"/>
        <w:spacing w:after="160"/>
        <w:ind w:left="720" w:hanging="720"/>
        <w:rPr/>
      </w:pPr>
      <w:r>
        <w:t xml:space="preserve">IMF (2023) United Arab Emirates: 2023 Article IV Consultation. Washington DC: International Monetary Fund. Available at: </w:t>
      </w:r>
      <w:r>
        <w:rPr/>
        <w:fldChar w:fldCharType="begin"/>
      </w:r>
      <w:r>
        <w:instrText xml:space="preserve"> HYPERLINK "https://www.imf.org/en/Publications/CR" </w:instrText>
      </w:r>
      <w:r>
        <w:rPr/>
        <w:fldChar w:fldCharType="separate"/>
      </w:r>
      <w:r>
        <w:rPr>
          <w:rStyle w:val="style85"/>
        </w:rPr>
        <w:t>https://www.imf.org/en/Publications/CR</w:t>
      </w:r>
      <w:r>
        <w:rPr/>
        <w:fldChar w:fldCharType="end"/>
      </w:r>
      <w:r>
        <w:t xml:space="preserve">  (Accessed: 1</w:t>
      </w:r>
      <w:r>
        <w:t>6</w:t>
      </w:r>
      <w:r>
        <w:t xml:space="preserve"> July 2026).</w:t>
      </w:r>
    </w:p>
    <w:p w14:paraId="27EBD8BE">
      <w:pPr>
        <w:pStyle w:val="style0"/>
        <w:spacing w:after="160"/>
        <w:ind w:left="720" w:hanging="720"/>
        <w:rPr/>
      </w:pPr>
      <w:r>
        <w:t xml:space="preserve">International Monetary Fund (2024) United Arab Emirates: 2024 Article IV Consultation. IMF Country Report No. 24/325. Washington, DC: International Monetary Fund. Available at: </w:t>
      </w:r>
      <w:r>
        <w:rPr/>
        <w:fldChar w:fldCharType="begin"/>
      </w:r>
      <w:r>
        <w:instrText xml:space="preserve"> HYPERLINK "https://www.elibrary.imf.org/view/journals/002/2024/325/article-A001-en.xml" </w:instrText>
      </w:r>
      <w:r>
        <w:rPr/>
        <w:fldChar w:fldCharType="separate"/>
      </w:r>
      <w:r>
        <w:rPr>
          <w:rStyle w:val="style85"/>
        </w:rPr>
        <w:t>https://www.elibrary.imf.org/view/journals/002/2024/325/article-A001-en.xml</w:t>
      </w:r>
      <w:r>
        <w:rPr/>
        <w:fldChar w:fldCharType="end"/>
      </w:r>
      <w:r>
        <w:t xml:space="preserve"> </w:t>
      </w:r>
      <w:r>
        <w:t xml:space="preserve">  (</w:t>
      </w:r>
      <w:r>
        <w:t>Accessed: 1 July 2026).</w:t>
      </w:r>
    </w:p>
    <w:p w14:paraId="1DE6BA02">
      <w:pPr>
        <w:pStyle w:val="style0"/>
        <w:spacing w:after="160"/>
        <w:ind w:left="720" w:hanging="720"/>
        <w:rPr/>
      </w:pPr>
      <w:r>
        <w:t xml:space="preserve">Masdar (2021) UAE Announces Net Zero by 2050 Strategic Initiative. Abu Dhabi: Masdar. Available at: </w:t>
      </w:r>
      <w:r>
        <w:rPr/>
        <w:fldChar w:fldCharType="begin"/>
      </w:r>
      <w:r>
        <w:instrText xml:space="preserve"> HYPERLINK "https://masdar.ae/en/news/newsroom/uae-announces-net-zero-by-2050-strategic-initiative" </w:instrText>
      </w:r>
      <w:r>
        <w:rPr/>
        <w:fldChar w:fldCharType="separate"/>
      </w:r>
      <w:r>
        <w:rPr>
          <w:rStyle w:val="style85"/>
        </w:rPr>
        <w:t>https://masdar.ae/en/news/newsroom/uae-announces-net-zero-by-2050-strategic-initiative</w:t>
      </w:r>
      <w:r>
        <w:rPr/>
        <w:fldChar w:fldCharType="end"/>
      </w:r>
      <w:r>
        <w:t xml:space="preserve">  (Accessed: 1</w:t>
      </w:r>
      <w:r>
        <w:t>20</w:t>
      </w:r>
      <w:r>
        <w:t xml:space="preserve"> July 2026).</w:t>
      </w:r>
    </w:p>
    <w:p w14:paraId="377A8F0E">
      <w:pPr>
        <w:pStyle w:val="style0"/>
        <w:spacing w:after="160"/>
        <w:ind w:left="720" w:hanging="720"/>
        <w:rPr/>
      </w:pPr>
      <w:r>
        <w:t xml:space="preserve">Ministry of Foreign Affairs, UAE (2023) Year of Sustainability 2023. Available at: </w:t>
      </w:r>
      <w:r>
        <w:rPr/>
        <w:fldChar w:fldCharType="begin"/>
      </w:r>
      <w:r>
        <w:instrText xml:space="preserve"> HYPERLINK "https://www.mofa.gov.ae/en/mediahub/news/2023/1/21/21-01-2023-uae" </w:instrText>
      </w:r>
      <w:r>
        <w:rPr/>
        <w:fldChar w:fldCharType="separate"/>
      </w:r>
      <w:r>
        <w:rPr>
          <w:rStyle w:val="style85"/>
        </w:rPr>
        <w:t>https://www.mofa.gov.ae/en/mediahub/news/2023/1/21/21-01-2023-uae</w:t>
      </w:r>
      <w:r>
        <w:rPr/>
        <w:fldChar w:fldCharType="end"/>
      </w:r>
      <w:r>
        <w:t xml:space="preserve"> </w:t>
      </w:r>
      <w:r>
        <w:t xml:space="preserve">  (</w:t>
      </w:r>
      <w:r>
        <w:t>Accessed: 30 June 2026).</w:t>
      </w:r>
    </w:p>
    <w:p w14:paraId="73CEEBFE">
      <w:pPr>
        <w:pStyle w:val="style0"/>
        <w:spacing w:after="160"/>
        <w:ind w:left="720" w:hanging="720"/>
        <w:rPr/>
      </w:pPr>
      <w:r>
        <w:t xml:space="preserve">Patagonia (2022a) Earth is Now Our Only Shareholder. Ventura: Patagonia. Available at: </w:t>
      </w:r>
      <w:r>
        <w:rPr/>
        <w:fldChar w:fldCharType="begin"/>
      </w:r>
      <w:r>
        <w:instrText xml:space="preserve"> HYPERLINK "https://www.patagonia.com/ownership/" </w:instrText>
      </w:r>
      <w:r>
        <w:rPr/>
        <w:fldChar w:fldCharType="separate"/>
      </w:r>
      <w:r>
        <w:rPr>
          <w:rStyle w:val="style85"/>
        </w:rPr>
        <w:t>https://www.patagonia.com/ownership/</w:t>
      </w:r>
      <w:r>
        <w:rPr/>
        <w:fldChar w:fldCharType="end"/>
      </w:r>
      <w:r>
        <w:t xml:space="preserve">  (Accessed: 11 July 2026).</w:t>
      </w:r>
    </w:p>
    <w:p w14:paraId="64405C4B">
      <w:pPr>
        <w:pStyle w:val="style0"/>
        <w:spacing w:after="160"/>
        <w:ind w:left="720" w:hanging="720"/>
        <w:rPr/>
      </w:pPr>
      <w:r>
        <w:t>Patagonia (2022</w:t>
      </w:r>
      <w:r>
        <w:t>b</w:t>
      </w:r>
      <w:r>
        <w:t xml:space="preserve">) A Letter from Yvon Chouinard: Patagonia's Next Chapter. Available at: </w:t>
      </w:r>
      <w:r>
        <w:rPr/>
        <w:fldChar w:fldCharType="begin"/>
      </w:r>
      <w:r>
        <w:instrText xml:space="preserve"> HYPERLINK "https://www.patagonia.com/ownership/" </w:instrText>
      </w:r>
      <w:r>
        <w:rPr/>
        <w:fldChar w:fldCharType="separate"/>
      </w:r>
      <w:r>
        <w:rPr>
          <w:rStyle w:val="style85"/>
        </w:rPr>
        <w:t>https://www.patagonia.com/ownership/</w:t>
      </w:r>
      <w:r>
        <w:rPr/>
        <w:fldChar w:fldCharType="end"/>
      </w:r>
      <w:r>
        <w:t xml:space="preserve"> </w:t>
      </w:r>
      <w:r>
        <w:t xml:space="preserve">  (</w:t>
      </w:r>
      <w:r>
        <w:t>Accessed: 25 June 2026).</w:t>
      </w:r>
    </w:p>
    <w:p w14:paraId="14218E2D">
      <w:pPr>
        <w:pStyle w:val="style0"/>
        <w:spacing w:after="160"/>
        <w:ind w:left="720" w:hanging="720"/>
        <w:rPr/>
      </w:pPr>
      <w:r>
        <w:t xml:space="preserve">Patagonia (2023) Our Environmental Responsibility Programs. Ventura: Patagonia. Available at: </w:t>
      </w:r>
      <w:r>
        <w:rPr/>
        <w:fldChar w:fldCharType="begin"/>
      </w:r>
      <w:r>
        <w:instrText xml:space="preserve"> HYPERLINK "https://www.patagonia.com/our-responsibility-programs.html" </w:instrText>
      </w:r>
      <w:r>
        <w:rPr/>
        <w:fldChar w:fldCharType="separate"/>
      </w:r>
      <w:r>
        <w:rPr>
          <w:rStyle w:val="style85"/>
        </w:rPr>
        <w:t>https://www.patagonia.com/our-responsibility-programs.html</w:t>
      </w:r>
      <w:r>
        <w:rPr/>
        <w:fldChar w:fldCharType="end"/>
      </w:r>
      <w:r>
        <w:t xml:space="preserve">  (Accessed: </w:t>
      </w:r>
      <w:r>
        <w:t>28</w:t>
      </w:r>
      <w:r>
        <w:t xml:space="preserve"> July 2026).</w:t>
      </w:r>
    </w:p>
    <w:p w14:paraId="66582186">
      <w:pPr>
        <w:pStyle w:val="style0"/>
        <w:spacing w:after="160"/>
        <w:ind w:left="720" w:hanging="720"/>
        <w:rPr/>
      </w:pPr>
      <w:r>
        <w:t xml:space="preserve">Schillmann, C., </w:t>
      </w:r>
      <w:r>
        <w:t>(</w:t>
      </w:r>
      <w:r>
        <w:t>2020</w:t>
      </w:r>
      <w:r>
        <w:t>)</w:t>
      </w:r>
      <w:r>
        <w:t>. Patagonia Inc. under a sustainability perspective. Nottingham University Business School China, pp.4-6.</w:t>
      </w:r>
    </w:p>
    <w:p w14:paraId="5E0AEEF7">
      <w:pPr>
        <w:pStyle w:val="style0"/>
        <w:spacing w:after="160"/>
        <w:ind w:left="720" w:hanging="720"/>
        <w:rPr/>
      </w:pPr>
      <w:r>
        <w:t xml:space="preserve">Shehata Nakhil, S., </w:t>
      </w:r>
      <w:r>
        <w:t>(</w:t>
      </w:r>
      <w:r>
        <w:t>2024</w:t>
      </w:r>
      <w:r>
        <w:t>)</w:t>
      </w:r>
      <w:r>
        <w:t>. Modern urgencies creating a market advantage: Sustainable business models in the fashion industry-a Patagonia Case Study.</w:t>
      </w:r>
    </w:p>
    <w:p w14:paraId="647E590A">
      <w:pPr>
        <w:pStyle w:val="style0"/>
        <w:spacing w:after="160"/>
        <w:ind w:left="720" w:hanging="720"/>
        <w:rPr/>
      </w:pPr>
      <w:r>
        <w:t>Shourkaei</w:t>
      </w:r>
      <w:r>
        <w:t xml:space="preserve">, M.M., Taylor, K.M. and Dyck, B., </w:t>
      </w:r>
      <w:r>
        <w:t>(</w:t>
      </w:r>
      <w:r>
        <w:t>2024</w:t>
      </w:r>
      <w:r>
        <w:t>)</w:t>
      </w:r>
      <w:r>
        <w:t>. Examining sustainable supply chain management via a social</w:t>
      </w:r>
      <w:r>
        <w:rPr>
          <w:rFonts w:ascii="Cambria Math" w:cs="Cambria Math" w:hAnsi="Cambria Math"/>
        </w:rPr>
        <w:t>‐</w:t>
      </w:r>
      <w:r>
        <w:t>symbolic work lens: Lessons from Patagonia. Business strategy and the environment, 33(2), pp.1477-1496.</w:t>
      </w:r>
    </w:p>
    <w:p w14:paraId="5E2AB045">
      <w:pPr>
        <w:pStyle w:val="style0"/>
        <w:spacing w:after="160"/>
        <w:ind w:left="720" w:hanging="720"/>
        <w:rPr/>
      </w:pPr>
      <w:r>
        <w:t xml:space="preserve">UAE Government (2021) Full Foreign Ownership of Commercial Companies: Federal Decree-Law No. 32 of 2021. Government of the UAE. Available at: </w:t>
      </w:r>
      <w:r>
        <w:rPr/>
        <w:fldChar w:fldCharType="begin"/>
      </w:r>
      <w:r>
        <w:instrText xml:space="preserve"> HYPERLINK "https://u.ae/en/information-and-services/business/doing-business-on-the-mainland/full-foreign-ownership-of-commercial-companies" </w:instrText>
      </w:r>
      <w:r>
        <w:rPr/>
        <w:fldChar w:fldCharType="separate"/>
      </w:r>
      <w:r>
        <w:rPr>
          <w:rStyle w:val="style85"/>
        </w:rPr>
        <w:t>https://u.ae/en/information-and-services/business/doing-business-on-the-mainland/full-foreign-ownership-of-commercial-companies</w:t>
      </w:r>
      <w:r>
        <w:rPr/>
        <w:fldChar w:fldCharType="end"/>
      </w:r>
      <w:r>
        <w:t xml:space="preserve">  (Accessed: 1</w:t>
      </w:r>
      <w:r>
        <w:t>17</w:t>
      </w:r>
      <w:r>
        <w:t xml:space="preserve"> July 2026).</w:t>
      </w:r>
    </w:p>
    <w:p w14:paraId="26B92687">
      <w:pPr>
        <w:pStyle w:val="style0"/>
        <w:spacing w:after="160"/>
        <w:ind w:left="720" w:hanging="720"/>
        <w:rPr/>
      </w:pPr>
      <w:r>
        <w:t xml:space="preserve">UNCTAD (2024) World Investment Report 2024. Geneva: United Nations. Available at: </w:t>
      </w:r>
      <w:r>
        <w:rPr/>
        <w:fldChar w:fldCharType="begin"/>
      </w:r>
      <w:r>
        <w:instrText xml:space="preserve"> HYPERLINK "https://unctad.org/wir2024" </w:instrText>
      </w:r>
      <w:r>
        <w:rPr/>
        <w:fldChar w:fldCharType="separate"/>
      </w:r>
      <w:r>
        <w:rPr>
          <w:rStyle w:val="style85"/>
        </w:rPr>
        <w:t>https://unctad.org/wir2024</w:t>
      </w:r>
      <w:r>
        <w:rPr/>
        <w:fldChar w:fldCharType="end"/>
      </w:r>
      <w:r>
        <w:t xml:space="preserve">  (Accessed: 11 July 2026).</w:t>
      </w:r>
    </w:p>
    <w:p w14:paraId="2807CC41">
      <w:pPr>
        <w:pStyle w:val="style0"/>
        <w:spacing w:after="160"/>
        <w:ind w:left="720" w:hanging="720"/>
        <w:rPr/>
      </w:pPr>
      <w:r>
        <w:t xml:space="preserve">Venkatesan, M., </w:t>
      </w:r>
      <w:r>
        <w:t>(</w:t>
      </w:r>
      <w:r>
        <w:t>2022</w:t>
      </w:r>
      <w:r>
        <w:t>)</w:t>
      </w:r>
      <w:r>
        <w:t>. Marketing sustainability: A critical consideration of environmental marketing strategies.</w:t>
      </w:r>
    </w:p>
    <w:p w14:paraId="4E33B0D4">
      <w:pPr>
        <w:pStyle w:val="style0"/>
        <w:spacing w:after="160"/>
        <w:ind w:left="720" w:hanging="720"/>
        <w:rPr/>
      </w:pPr>
      <w:r>
        <w:t xml:space="preserve">Verbeke, A. (2020) International Business Strategy: Rethinking the Foundations of Global Corporate Success. 3rd </w:t>
      </w:r>
      <w:r>
        <w:t>edn</w:t>
      </w:r>
      <w:r>
        <w:t>. Cambridge: Cambridge University Press.</w:t>
      </w:r>
    </w:p>
    <w:p w14:paraId="30139F57">
      <w:pPr>
        <w:pStyle w:val="style0"/>
        <w:spacing w:after="160"/>
        <w:ind w:left="720" w:hanging="720"/>
        <w:rPr/>
      </w:pPr>
      <w:r>
        <w:t xml:space="preserve">World </w:t>
      </w:r>
      <w:r>
        <w:t xml:space="preserve">Bank, (2024). FY 2024 The United Arab Emirates Country Opinion Survey Report - Appendices with Data Breakdowns. [online] World Bank. Available at: </w:t>
      </w:r>
      <w:r>
        <w:rPr/>
        <w:fldChar w:fldCharType="begin"/>
      </w:r>
      <w:r>
        <w:instrText xml:space="preserve"> HYPERLINK "https://documents.worldbank.org/en/publication/documents-reports/documentdetail/099848405272515472" </w:instrText>
      </w:r>
      <w:r>
        <w:rPr/>
        <w:fldChar w:fldCharType="separate"/>
      </w:r>
      <w:r>
        <w:rPr>
          <w:rStyle w:val="style85"/>
        </w:rPr>
        <w:t>https://documents.worldbank.org/en/publication/documents-reports/documentdetail/099848405272515472</w:t>
      </w:r>
      <w:r>
        <w:rPr/>
        <w:fldChar w:fldCharType="end"/>
      </w:r>
      <w:r>
        <w:t xml:space="preserve"> </w:t>
      </w:r>
      <w:r>
        <w:t xml:space="preserve"> [Accessed 1</w:t>
      </w:r>
      <w:r>
        <w:t>3</w:t>
      </w:r>
      <w:r>
        <w:t xml:space="preserve"> July 2026].</w:t>
      </w:r>
    </w:p>
    <w:p w14:paraId="71C4F1A1">
      <w:pPr>
        <w:pStyle w:val="style0"/>
        <w:spacing w:after="160"/>
        <w:ind w:left="720" w:hanging="720"/>
        <w:rPr/>
      </w:pPr>
      <w:r>
        <w:t xml:space="preserve">Patagonia (2026) TCFD and SB 261 Disclosure: FY2025 Climate Risk Report. Ventura, CA: Patagonia Works. Available at: </w:t>
      </w:r>
      <w:r>
        <w:rPr/>
        <w:fldChar w:fldCharType="begin"/>
      </w:r>
      <w:r>
        <w:instrText xml:space="preserve"> HYPERLINK "https://www.patagonia.com/on/demandware.static/-/Library-Sites-PatagoniaShared/default/dwc1135e01/slots/RMA/PAT_FY25_ClimateRiskReport-122225-v2.pdf" </w:instrText>
      </w:r>
      <w:r>
        <w:rPr/>
        <w:fldChar w:fldCharType="separate"/>
      </w:r>
      <w:r>
        <w:rPr>
          <w:rStyle w:val="style85"/>
        </w:rPr>
        <w:t>https://www.patagonia.com/on/demandware.static/-/Library-Sites-PatagoniaShared/default/dwc1135e01/slots/RMA/PAT_FY25_ClimateRiskReport-122225-v2.pdf</w:t>
      </w:r>
      <w:r>
        <w:rPr/>
        <w:fldChar w:fldCharType="end"/>
      </w:r>
      <w:r>
        <w:t xml:space="preserve">  (Accessed: 1</w:t>
      </w:r>
      <w:r>
        <w:t>1</w:t>
      </w:r>
      <w:r>
        <w:t xml:space="preserve"> July 2026).</w:t>
      </w:r>
    </w:p>
    <w:p w14:paraId="6FC2E154">
      <w:pPr>
        <w:pStyle w:val="style0"/>
        <w:spacing w:before="100" w:beforeAutospacing="true" w:after="100" w:afterAutospacing="true"/>
        <w:jc w:val="left"/>
        <w:rPr>
          <w:rFonts w:cs="Arial" w:eastAsia="Times New Roman"/>
          <w:szCs w:val="24"/>
        </w:rPr>
      </w:pPr>
    </w:p>
    <w:p w14:paraId="2D8A8B41">
      <w:pPr>
        <w:pStyle w:val="style0"/>
        <w:spacing w:before="100" w:beforeAutospacing="true" w:after="100" w:afterAutospacing="true"/>
        <w:jc w:val="left"/>
        <w:rPr>
          <w:rFonts w:cs="Arial" w:eastAsia="Times New Roman"/>
          <w:szCs w:val="24"/>
          <w:lang w:val="en-US"/>
        </w:rPr>
      </w:pPr>
    </w:p>
    <w:sectPr>
      <w:footerReference w:type="default" r:id="rId12"/>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 w:name="Calibri">
    <w:altName w:val="Calibri"/>
    <w:panose1 w:val="020f0502020002030204"/>
    <w:charset w:val="00"/>
    <w:family w:val="swiss"/>
    <w:pitch w:val="variable"/>
    <w:sig w:usb0="E4002EFF" w:usb1="C000247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Georgia">
    <w:altName w:val="Georgia"/>
    <w:panose1 w:val="02040502050004020303"/>
    <w:charset w:val="00"/>
    <w:family w:val="roman"/>
    <w:pitch w:val="variable"/>
    <w:sig w:usb0="00000287" w:usb1="00000000" w:usb2="00000000" w:usb3="00000000" w:csb0="0000009F" w:csb1="00000000"/>
  </w:font>
  <w:font w:name="Cambria Math">
    <w:altName w:val="Cambria Math"/>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172CE70A">
    <w:pPr>
      <w:pStyle w:val="style0"/>
      <w:pBdr>
        <w:left w:val="nil"/>
        <w:right w:val="nil"/>
        <w:top w:val="nil"/>
        <w:bottom w:val="nil"/>
        <w:between w:val="nil"/>
      </w:pBdr>
      <w:tabs>
        <w:tab w:val="center" w:leader="none" w:pos="4680"/>
        <w:tab w:val="right" w:leader="none" w:pos="9360"/>
      </w:tabs>
      <w:spacing w:lineRule="auto" w:line="240"/>
      <w:jc w:val="center"/>
      <w:rPr>
        <w:rFonts w:cs="Arial"/>
        <w:color w:val="000000"/>
        <w:szCs w:val="24"/>
      </w:rPr>
    </w:pPr>
    <w:r>
      <w:rPr>
        <w:rFonts w:cs="Arial"/>
        <w:color w:val="000000"/>
        <w:szCs w:val="24"/>
      </w:rPr>
      <w:fldChar w:fldCharType="begin"/>
    </w:r>
    <w:r>
      <w:rPr>
        <w:rFonts w:cs="Arial"/>
        <w:color w:val="000000"/>
        <w:szCs w:val="24"/>
      </w:rPr>
      <w:instrText>PAGE</w:instrText>
    </w:r>
    <w:r>
      <w:rPr>
        <w:rFonts w:cs="Arial"/>
        <w:color w:val="000000"/>
        <w:szCs w:val="24"/>
      </w:rPr>
      <w:fldChar w:fldCharType="separate"/>
    </w:r>
    <w:r>
      <w:rPr>
        <w:rFonts w:cs="Arial"/>
        <w:color w:val="000000"/>
        <w:szCs w:val="24"/>
      </w:rPr>
      <w:t>1</w:t>
    </w:r>
    <w:r>
      <w:rPr>
        <w:rFonts w:cs="Arial"/>
        <w:color w:val="000000"/>
        <w:szCs w:val="24"/>
      </w:rPr>
      <w:fldChar w:fldCharType="end"/>
    </w:r>
  </w:p>
  <w:p w14:paraId="30A82873">
    <w:pPr>
      <w:pStyle w:val="style0"/>
      <w:pBdr>
        <w:left w:val="nil"/>
        <w:right w:val="nil"/>
        <w:top w:val="nil"/>
        <w:bottom w:val="nil"/>
        <w:between w:val="nil"/>
      </w:pBdr>
      <w:tabs>
        <w:tab w:val="center" w:leader="none" w:pos="4680"/>
        <w:tab w:val="right" w:leader="none" w:pos="9360"/>
      </w:tabs>
      <w:spacing w:lineRule="auto" w:line="240"/>
      <w:rPr>
        <w:rFonts w:cs="Arial"/>
        <w:color w:val="000000"/>
        <w:szCs w:val="24"/>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47247EC0"/>
    <w:lvl w:ilvl="0" w:tplc="08090001">
      <w:start w:val="1"/>
      <w:numFmt w:val="bullet"/>
      <w:lvlText w:val=""/>
      <w:lvlJc w:val="left"/>
      <w:pPr>
        <w:ind w:left="720" w:hanging="360"/>
      </w:pPr>
      <w:rPr>
        <w:rFonts w:ascii="Symbol" w:cs="Times New Roman" w:eastAsia="Times New Roman"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000001"/>
    <w:multiLevelType w:val="multilevel"/>
    <w:tmpl w:val="190A0F4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hybridMultilevel"/>
    <w:tmpl w:val="56740710"/>
    <w:lvl w:ilvl="0" w:tplc="08090001">
      <w:start w:val="1"/>
      <w:numFmt w:val="bullet"/>
      <w:lvlText w:val=""/>
      <w:lvlJc w:val="left"/>
      <w:pPr>
        <w:ind w:left="720" w:hanging="360"/>
      </w:pPr>
      <w:rPr>
        <w:rFonts w:ascii="Symbol" w:cs="Times New Roman" w:eastAsia="Times New Roman"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3"/>
    <w:multiLevelType w:val="hybridMultilevel"/>
    <w:tmpl w:val="EFAAF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4"/>
    <w:multiLevelType w:val="multilevel"/>
    <w:tmpl w:val="8FD8E016"/>
    <w:lvl w:ilvl="0">
      <w:start w:val="2"/>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abstractNum w:abstractNumId="5">
    <w:nsid w:val="00000005"/>
    <w:multiLevelType w:val="hybridMultilevel"/>
    <w:tmpl w:val="B0F07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51267484"/>
    <w:lvl w:ilvl="0" w:tplc="9ABA3E16">
      <w:start w:val="1"/>
      <w:numFmt w:val="bullet"/>
      <w:lvlText w:val=""/>
      <w:lvlJc w:val="left"/>
      <w:pPr>
        <w:ind w:left="720" w:hanging="360"/>
      </w:pPr>
      <w:rPr>
        <w:rFonts w:ascii="Arial" w:cs="Arial" w:eastAsia="Arial" w:hAnsi="Aria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0000007"/>
    <w:multiLevelType w:val="hybridMultilevel"/>
    <w:tmpl w:val="7F80E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BC0E1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00000009"/>
    <w:multiLevelType w:val="hybridMultilevel"/>
    <w:tmpl w:val="91EC8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0000000A"/>
    <w:multiLevelType w:val="hybridMultilevel"/>
    <w:tmpl w:val="8E584C8A"/>
    <w:lvl w:ilvl="0" w:tplc="08090001">
      <w:start w:val="1"/>
      <w:numFmt w:val="bullet"/>
      <w:lvlText w:val=""/>
      <w:lvlJc w:val="left"/>
      <w:pPr>
        <w:ind w:left="720" w:hanging="360"/>
      </w:pPr>
      <w:rPr>
        <w:rFonts w:ascii="Symbol" w:cs="Times New Roman" w:eastAsia="Times New Roman"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000000B"/>
    <w:multiLevelType w:val="hybridMultilevel"/>
    <w:tmpl w:val="9E06B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0000000C"/>
    <w:multiLevelType w:val="hybridMultilevel"/>
    <w:tmpl w:val="58D41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38F0BC9C"/>
    <w:lvl w:ilvl="0" w:tplc="08090001">
      <w:start w:val="1"/>
      <w:numFmt w:val="bullet"/>
      <w:lvlText w:val=""/>
      <w:lvlJc w:val="left"/>
      <w:pPr>
        <w:ind w:left="720" w:hanging="360"/>
      </w:pPr>
      <w:rPr>
        <w:rFonts w:ascii="Symbol" w:cs="Times New Roman" w:eastAsia="Times New Roman"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0000000E"/>
    <w:multiLevelType w:val="hybridMultilevel"/>
    <w:tmpl w:val="E2C89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0000000F"/>
    <w:multiLevelType w:val="hybridMultilevel"/>
    <w:tmpl w:val="7FDEF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00000010"/>
    <w:multiLevelType w:val="hybridMultilevel"/>
    <w:tmpl w:val="583E9FF4"/>
    <w:lvl w:ilvl="0" w:tplc="08090001">
      <w:start w:val="1"/>
      <w:numFmt w:val="bullet"/>
      <w:lvlText w:val=""/>
      <w:lvlJc w:val="left"/>
      <w:pPr>
        <w:ind w:left="720" w:hanging="360"/>
      </w:pPr>
      <w:rPr>
        <w:rFonts w:ascii="Symbol" w:cs="Times New Roman" w:eastAsia="Times New Roman"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6"/>
  </w:num>
  <w:num w:numId="3">
    <w:abstractNumId w:val="9"/>
  </w:num>
  <w:num w:numId="4">
    <w:abstractNumId w:val="1"/>
  </w:num>
  <w:num w:numId="5">
    <w:abstractNumId w:val="11"/>
  </w:num>
  <w:num w:numId="6">
    <w:abstractNumId w:val="16"/>
  </w:num>
  <w:num w:numId="7">
    <w:abstractNumId w:val="12"/>
  </w:num>
  <w:num w:numId="8">
    <w:abstractNumId w:val="0"/>
  </w:num>
  <w:num w:numId="9">
    <w:abstractNumId w:val="5"/>
  </w:num>
  <w:num w:numId="10">
    <w:abstractNumId w:val="2"/>
  </w:num>
  <w:num w:numId="11">
    <w:abstractNumId w:val="3"/>
  </w:num>
  <w:num w:numId="12">
    <w:abstractNumId w:val="13"/>
  </w:num>
  <w:num w:numId="13">
    <w:abstractNumId w:val="8"/>
  </w:num>
  <w:num w:numId="14">
    <w:abstractNumId w:val="10"/>
  </w:num>
  <w:num w:numId="15">
    <w:abstractNumId w:val="7"/>
  </w:num>
  <w:num w:numId="16">
    <w:abstractNumId w:val="15"/>
  </w:num>
  <w:num w:numId="17">
    <w:abstractNumId w:val="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hideSpellingErrors/>
  <w:hideGrammaticalError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4"/>
        <w:szCs w:val="24"/>
        <w:lang w:val="en-US" w:bidi="ar-SA" w:eastAsia="en-US"/>
      </w:rPr>
    </w:rPrDefault>
    <w:pPrDefault>
      <w:pPr>
        <w:spacing w:lineRule="auto" w:line="360"/>
        <w:jc w:val="both"/>
      </w:pPr>
    </w:pPrDefault>
  </w:docDefaults>
  <w:style w:type="paragraph" w:default="1" w:styleId="style0">
    <w:name w:val="Normal"/>
    <w:next w:val="style0"/>
    <w:qFormat/>
    <w:pPr/>
    <w:rPr>
      <w:rFonts w:cs="Times New Roman"/>
      <w:szCs w:val="20"/>
      <w:lang w:val="en-GB"/>
    </w:rPr>
  </w:style>
  <w:style w:type="paragraph" w:styleId="style1">
    <w:name w:val="heading 1"/>
    <w:basedOn w:val="style0"/>
    <w:next w:val="style0"/>
    <w:link w:val="style4098"/>
    <w:qFormat/>
    <w:uiPriority w:val="9"/>
    <w:pPr>
      <w:keepNext/>
      <w:keepLines/>
      <w:spacing w:before="240"/>
      <w:outlineLvl w:val="0"/>
    </w:pPr>
    <w:rPr>
      <w:b/>
      <w:color w:val="0070c0"/>
      <w:sz w:val="32"/>
      <w:szCs w:val="32"/>
      <w:lang w:eastAsia="en-GB"/>
    </w:rPr>
  </w:style>
  <w:style w:type="paragraph" w:styleId="style2">
    <w:name w:val="heading 2"/>
    <w:basedOn w:val="style0"/>
    <w:next w:val="style0"/>
    <w:link w:val="style4097"/>
    <w:qFormat/>
    <w:uiPriority w:val="9"/>
    <w:pPr>
      <w:keepNext/>
      <w:keepLines/>
      <w:spacing w:before="280" w:after="160"/>
      <w:outlineLvl w:val="1"/>
    </w:pPr>
    <w:rPr>
      <w:rFonts w:cs="Arial"/>
      <w:b/>
      <w:bCs/>
      <w:color w:val="2f5496"/>
      <w:sz w:val="26"/>
      <w:szCs w:val="26"/>
      <w:lang w:eastAsia="en-GB"/>
    </w:rPr>
  </w:style>
  <w:style w:type="paragraph" w:styleId="style3">
    <w:name w:val="heading 3"/>
    <w:basedOn w:val="style0"/>
    <w:next w:val="style0"/>
    <w:link w:val="style4100"/>
    <w:qFormat/>
    <w:uiPriority w:val="9"/>
    <w:pPr>
      <w:keepNext/>
      <w:keepLines/>
      <w:spacing w:before="40"/>
      <w:outlineLvl w:val="2"/>
    </w:pPr>
    <w:rPr>
      <w:rFonts w:cs="宋体" w:eastAsia="宋体"/>
      <w:b/>
      <w:color w:val="002060"/>
      <w:szCs w:val="24"/>
    </w:rPr>
  </w:style>
  <w:style w:type="paragraph" w:styleId="style4">
    <w:name w:val="heading 4"/>
    <w:basedOn w:val="style0"/>
    <w:next w:val="style0"/>
    <w:link w:val="style4105"/>
    <w:qFormat/>
    <w:uiPriority w:val="9"/>
    <w:pPr>
      <w:keepNext/>
      <w:keepLines/>
      <w:spacing w:before="200"/>
      <w:outlineLvl w:val="3"/>
    </w:pPr>
    <w:rPr>
      <w:rFonts w:ascii="Calibri Light" w:cs="宋体" w:eastAsia="宋体" w:hAnsi="Calibri Light"/>
      <w:b/>
      <w:bCs/>
      <w:i/>
      <w:iCs/>
      <w:color w:val="4472c4"/>
    </w:rPr>
  </w:style>
  <w:style w:type="paragraph" w:styleId="style5">
    <w:name w:val="heading 5"/>
    <w:basedOn w:val="style0"/>
    <w:next w:val="style0"/>
    <w:pPr>
      <w:keepNext/>
      <w:keepLines/>
      <w:spacing w:before="220" w:after="40"/>
      <w:outlineLvl w:val="4"/>
    </w:pPr>
    <w:rPr>
      <w:b/>
      <w:sz w:val="22"/>
      <w:szCs w:val="22"/>
    </w:rPr>
  </w:style>
  <w:style w:type="paragraph" w:styleId="style6">
    <w:name w:val="heading 6"/>
    <w:basedOn w:val="style0"/>
    <w:next w:val="style0"/>
    <w:pPr>
      <w:keepNext/>
      <w:keepLines/>
      <w:spacing w:before="200" w:after="40"/>
      <w:outlineLvl w:val="5"/>
    </w:pPr>
    <w:rPr>
      <w:b/>
      <w:sz w:val="20"/>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0"/>
    <w:next w:val="style0"/>
    <w:pPr>
      <w:keepNext/>
      <w:keepLines/>
      <w:spacing w:before="480" w:after="120"/>
    </w:pPr>
    <w:rPr>
      <w:b/>
      <w:sz w:val="72"/>
      <w:szCs w:val="72"/>
    </w:rPr>
  </w:style>
  <w:style w:type="character" w:customStyle="1" w:styleId="style4097">
    <w:name w:val="Heading 2 Char_30929af4-ab13-4bcb-8c2d-b3f0cc9b5a4f"/>
    <w:basedOn w:val="style65"/>
    <w:next w:val="style4097"/>
    <w:link w:val="style2"/>
    <w:uiPriority w:val="9"/>
    <w:rPr>
      <w:b/>
      <w:bCs/>
      <w:color w:val="2f5496"/>
      <w:sz w:val="26"/>
      <w:szCs w:val="26"/>
      <w:lang w:val="en-GB" w:eastAsia="en-GB"/>
    </w:rPr>
  </w:style>
  <w:style w:type="paragraph" w:styleId="style34">
    <w:name w:val="caption"/>
    <w:basedOn w:val="style0"/>
    <w:next w:val="style0"/>
    <w:qFormat/>
    <w:uiPriority w:val="35"/>
    <w:pPr>
      <w:spacing w:after="200"/>
      <w:jc w:val="center"/>
    </w:pPr>
    <w:rPr>
      <w:rFonts w:cs="宋体" w:eastAsia="Calibri"/>
      <w:b/>
      <w:iCs/>
      <w:sz w:val="18"/>
      <w:szCs w:val="18"/>
      <w:lang w:val="en-US"/>
    </w:rPr>
  </w:style>
  <w:style w:type="character" w:customStyle="1" w:styleId="style4098">
    <w:name w:val="Heading 1 Char_197dfef1-5b6c-4c5a-b2fd-7e6512331756"/>
    <w:basedOn w:val="style65"/>
    <w:next w:val="style4098"/>
    <w:link w:val="style1"/>
    <w:uiPriority w:val="9"/>
    <w:rPr>
      <w:rFonts w:cs="Times New Roman"/>
      <w:b/>
      <w:noProof/>
      <w:color w:val="0070c0"/>
      <w:sz w:val="32"/>
      <w:szCs w:val="32"/>
      <w:lang w:val="en-GB" w:eastAsia="en-GB"/>
    </w:rPr>
  </w:style>
  <w:style w:type="table" w:styleId="style154">
    <w:name w:val="Table Grid"/>
    <w:basedOn w:val="style105"/>
    <w:next w:val="style154"/>
    <w:qFormat/>
    <w:uiPriority w:val="59"/>
    <w:pPr>
      <w:spacing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table" w:customStyle="1" w:styleId="style4099">
    <w:name w:val="Plain Table 11"/>
    <w:basedOn w:val="style105"/>
    <w:next w:val="style4099"/>
    <w:uiPriority w:val="41"/>
    <w:pPr>
      <w:spacing w:lineRule="auto" w:line="240"/>
    </w:pPr>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pPr/>
      <w:rPr>
        <w:b/>
        <w:bCs/>
      </w:rPr>
      <w:tcPr>
        <w:tcBorders/>
      </w:tcPr>
    </w:tblStylePr>
    <w:tblStylePr w:type="lastRow">
      <w:pPr/>
      <w:rPr>
        <w:b/>
        <w:bCs/>
      </w:rPr>
      <w:tblPr/>
      <w:tcPr>
        <w:tcBorders>
          <w:top w:val="double" w:sz="4" w:space="0" w:color="bfbfbf"/>
        </w:tcBorders>
      </w:tcPr>
    </w:tblStylePr>
    <w:tblStylePr w:type="band1Horz">
      <w:pPr/>
      <w:tblPr/>
      <w:tcPr>
        <w:tcBorders/>
        <w:shd w:val="clear" w:color="auto" w:fill="f2f2f2"/>
      </w:tcPr>
    </w:tblStylePr>
    <w:tblStylePr w:type="firstCol">
      <w:pPr/>
      <w:rPr>
        <w:b/>
        <w:bCs/>
      </w:rPr>
      <w:tcPr>
        <w:tcBorders/>
      </w:tcPr>
    </w:tblStylePr>
    <w:tblStylePr w:type="lastCol">
      <w:pPr/>
      <w:rPr>
        <w:b/>
        <w:bCs/>
      </w:rPr>
      <w:tcPr>
        <w:tcBorders/>
      </w:tcPr>
    </w:tblStylePr>
    <w:tblStylePr w:type="band1Vert">
      <w:pPr/>
      <w:tblPr/>
      <w:tcPr>
        <w:tcBorders/>
        <w:shd w:val="clear" w:color="auto" w:fill="f2f2f2"/>
      </w:tcPr>
    </w:tblStylePr>
    <w:tcPr>
      <w:tcBorders/>
    </w:tcPr>
  </w:style>
  <w:style w:type="character" w:customStyle="1" w:styleId="style4100">
    <w:name w:val="Heading 3 Char_6b630d8c-6df4-469c-a6f7-cc523c800388"/>
    <w:basedOn w:val="style65"/>
    <w:next w:val="style4100"/>
    <w:link w:val="style3"/>
    <w:uiPriority w:val="9"/>
    <w:rPr>
      <w:rFonts w:cs="宋体" w:eastAsia="宋体"/>
      <w:b/>
      <w:noProof/>
      <w:color w:val="002060"/>
      <w:lang w:val="en-GB"/>
    </w:rPr>
  </w:style>
  <w:style w:type="paragraph" w:styleId="style31">
    <w:name w:val="header"/>
    <w:basedOn w:val="style0"/>
    <w:next w:val="style31"/>
    <w:link w:val="style4101"/>
    <w:qFormat/>
    <w:uiPriority w:val="99"/>
    <w:pPr>
      <w:tabs>
        <w:tab w:val="center" w:leader="none" w:pos="4680"/>
        <w:tab w:val="right" w:leader="none" w:pos="9360"/>
      </w:tabs>
      <w:spacing w:lineRule="auto" w:line="240"/>
    </w:pPr>
    <w:rPr/>
  </w:style>
  <w:style w:type="character" w:customStyle="1" w:styleId="style4101">
    <w:name w:val="Header Char_71da0f3e-a1d3-4604-bdbf-20c1c7572dde"/>
    <w:basedOn w:val="style65"/>
    <w:next w:val="style4101"/>
    <w:link w:val="style31"/>
    <w:qFormat/>
    <w:uiPriority w:val="99"/>
    <w:rPr>
      <w:rFonts w:ascii="Times New Roman" w:cs="Times New Roman" w:hAnsi="Times New Roman"/>
      <w:noProof/>
      <w:sz w:val="24"/>
      <w:szCs w:val="20"/>
      <w:lang w:val="en-GB"/>
    </w:rPr>
  </w:style>
  <w:style w:type="paragraph" w:styleId="style32">
    <w:name w:val="footer"/>
    <w:basedOn w:val="style0"/>
    <w:next w:val="style32"/>
    <w:link w:val="style4102"/>
    <w:uiPriority w:val="99"/>
    <w:pPr>
      <w:tabs>
        <w:tab w:val="center" w:leader="none" w:pos="4680"/>
        <w:tab w:val="right" w:leader="none" w:pos="9360"/>
      </w:tabs>
      <w:spacing w:lineRule="auto" w:line="240"/>
    </w:pPr>
    <w:rPr/>
  </w:style>
  <w:style w:type="character" w:customStyle="1" w:styleId="style4102">
    <w:name w:val="Footer Char_423a7469-fcc6-40b5-aa11-8324ddc75e3b"/>
    <w:basedOn w:val="style65"/>
    <w:next w:val="style4102"/>
    <w:link w:val="style32"/>
    <w:uiPriority w:val="99"/>
    <w:rPr>
      <w:rFonts w:ascii="Times New Roman" w:cs="Times New Roman" w:hAnsi="Times New Roman"/>
      <w:noProof/>
      <w:sz w:val="24"/>
      <w:szCs w:val="20"/>
      <w:lang w:val="en-GB"/>
    </w:rPr>
  </w:style>
  <w:style w:type="paragraph" w:styleId="style266">
    <w:name w:val="TOC Heading"/>
    <w:basedOn w:val="style1"/>
    <w:next w:val="style0"/>
    <w:qFormat/>
    <w:uiPriority w:val="39"/>
    <w:pPr>
      <w:spacing w:lineRule="auto" w:line="259"/>
      <w:jc w:val="left"/>
      <w:outlineLvl w:val="9"/>
    </w:pPr>
    <w:rPr>
      <w:rFonts w:ascii="Calibri Light" w:cs="宋体" w:eastAsia="宋体" w:hAnsi="Calibri Light"/>
      <w:b w:val="false"/>
      <w:color w:val="2f5496"/>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table" w:customStyle="1" w:styleId="style4103">
    <w:name w:val="Grid Table 1 Light - Accent 31"/>
    <w:basedOn w:val="style105"/>
    <w:next w:val="style4103"/>
    <w:uiPriority w:val="46"/>
    <w:pPr>
      <w:spacing w:lineRule="auto" w:line="240"/>
    </w:pPr>
    <w:rPr/>
    <w:tblPr>
      <w:tblStyleRowBandSize w:val="1"/>
      <w:tblStyleColBandSize w:val="1"/>
      <w:tblBorders>
        <w:top w:val="single" w:sz="4" w:space="0" w:color="dbdbdb"/>
        <w:left w:val="single" w:sz="4" w:space="0" w:color="dbdbdb"/>
        <w:bottom w:val="single" w:sz="4" w:space="0" w:color="dbdbdb"/>
        <w:right w:val="single" w:sz="4" w:space="0" w:color="dbdbdb"/>
        <w:insideH w:val="single" w:sz="4" w:space="0" w:color="dbdbdb"/>
        <w:insideV w:val="single" w:sz="4" w:space="0" w:color="dbdbdb"/>
      </w:tblBorders>
    </w:tblPr>
    <w:tblStylePr w:type="firstRow">
      <w:pPr/>
      <w:rPr>
        <w:b/>
        <w:bCs/>
      </w:rPr>
      <w:tblPr/>
      <w:tcPr>
        <w:tcBorders>
          <w:bottom w:val="single" w:sz="12" w:space="0" w:color="c9c9c9"/>
        </w:tcBorders>
      </w:tcPr>
    </w:tblStylePr>
    <w:tblStylePr w:type="lastRow">
      <w:pPr/>
      <w:rPr>
        <w:b/>
        <w:bCs/>
      </w:rPr>
      <w:tblPr/>
      <w:tcPr>
        <w:tcBorders>
          <w:top w:val="double" w:sz="2" w:space="0" w:color="c9c9c9"/>
        </w:tcBorders>
      </w:tcPr>
    </w:tblStylePr>
    <w:tblStylePr w:type="firstCol">
      <w:pPr/>
      <w:rPr>
        <w:b/>
        <w:bCs/>
      </w:rPr>
      <w:tcPr>
        <w:tcBorders/>
      </w:tcPr>
    </w:tblStylePr>
    <w:tblStylePr w:type="lastCol">
      <w:pPr/>
      <w:rPr>
        <w:b/>
        <w:bCs/>
      </w:rPr>
      <w:tcPr>
        <w:tcBorders/>
      </w:tcPr>
    </w:tblStylePr>
    <w:tcPr>
      <w:tcBorders/>
    </w:tcPr>
  </w:style>
  <w:style w:type="paragraph" w:styleId="style94">
    <w:name w:val="Normal (Web)"/>
    <w:basedOn w:val="style0"/>
    <w:next w:val="style94"/>
    <w:uiPriority w:val="99"/>
    <w:pPr>
      <w:spacing w:before="100" w:beforeAutospacing="true" w:after="100" w:afterAutospacing="true" w:lineRule="auto" w:line="240"/>
      <w:jc w:val="left"/>
    </w:pPr>
    <w:rPr>
      <w:szCs w:val="24"/>
      <w:lang w:val="en-US"/>
    </w:rPr>
  </w:style>
  <w:style w:type="character" w:styleId="style87">
    <w:name w:val="Strong"/>
    <w:basedOn w:val="style65"/>
    <w:next w:val="style87"/>
    <w:qFormat/>
    <w:uiPriority w:val="22"/>
    <w:rPr>
      <w:b/>
      <w:bCs/>
    </w:rPr>
  </w:style>
  <w:style w:type="paragraph" w:styleId="style179">
    <w:name w:val="List Paragraph"/>
    <w:basedOn w:val="style0"/>
    <w:next w:val="style179"/>
    <w:qFormat/>
    <w:uiPriority w:val="34"/>
    <w:pPr>
      <w:ind w:left="720"/>
      <w:contextualSpacing/>
    </w:pPr>
    <w:rPr/>
  </w:style>
  <w:style w:type="paragraph" w:styleId="style21">
    <w:name w:val="toc 3"/>
    <w:basedOn w:val="style0"/>
    <w:next w:val="style0"/>
    <w:uiPriority w:val="39"/>
    <w:pPr>
      <w:spacing w:after="100"/>
      <w:ind w:left="480"/>
    </w:pPr>
    <w:rPr/>
  </w:style>
  <w:style w:type="paragraph" w:styleId="style153">
    <w:name w:val="Balloon Text"/>
    <w:basedOn w:val="style0"/>
    <w:next w:val="style153"/>
    <w:link w:val="style4104"/>
    <w:uiPriority w:val="99"/>
    <w:pPr>
      <w:spacing w:lineRule="auto" w:line="240"/>
    </w:pPr>
    <w:rPr>
      <w:rFonts w:ascii="Tahoma" w:cs="Tahoma" w:hAnsi="Tahoma"/>
      <w:sz w:val="16"/>
      <w:szCs w:val="16"/>
    </w:rPr>
  </w:style>
  <w:style w:type="character" w:customStyle="1" w:styleId="style4104">
    <w:name w:val="Balloon Text Char"/>
    <w:basedOn w:val="style65"/>
    <w:next w:val="style4104"/>
    <w:link w:val="style153"/>
    <w:uiPriority w:val="99"/>
    <w:rPr>
      <w:rFonts w:ascii="Tahoma" w:cs="Tahoma" w:hAnsi="Tahoma"/>
      <w:noProof/>
      <w:sz w:val="16"/>
      <w:szCs w:val="16"/>
      <w:lang w:val="en-GB"/>
    </w:rPr>
  </w:style>
  <w:style w:type="table" w:styleId="style172">
    <w:name w:val="Light Shading Accent 1"/>
    <w:basedOn w:val="style105"/>
    <w:next w:val="style172"/>
    <w:uiPriority w:val="60"/>
    <w:pPr>
      <w:spacing w:lineRule="auto" w:line="240"/>
    </w:pPr>
    <w:rPr>
      <w:color w:val="2f5496"/>
    </w:rPr>
    <w:tblPr>
      <w:tblStyleRowBandSize w:val="1"/>
      <w:tblStyleColBandSize w:val="1"/>
      <w:tblBorders>
        <w:top w:val="single" w:sz="8" w:space="0" w:color="4472c4"/>
        <w:bottom w:val="single" w:sz="8" w:space="0" w:color="4472c4"/>
      </w:tblBorders>
    </w:tblPr>
    <w:tblStylePr w:type="firstRow">
      <w:pPr>
        <w:spacing w:before="0" w:after="0" w:lineRule="auto" w:line="240"/>
      </w:pPr>
      <w:rPr>
        <w:b/>
        <w:bCs/>
      </w:rPr>
      <w:tblPr/>
      <w:tcPr>
        <w:tcBorders>
          <w:top w:val="single" w:sz="8" w:space="0" w:color="4472c4"/>
          <w:left w:val="nil"/>
          <w:bottom w:val="single" w:sz="8" w:space="0" w:color="4472c4"/>
          <w:right w:val="nil"/>
          <w:insideH w:val="nil"/>
          <w:insideV w:val="nil"/>
        </w:tcBorders>
      </w:tcPr>
    </w:tblStylePr>
    <w:tblStylePr w:type="lastRow">
      <w:pPr>
        <w:spacing w:before="0" w:after="0" w:lineRule="auto" w:line="240"/>
      </w:pPr>
      <w:rPr>
        <w:b/>
        <w:bCs/>
      </w:rPr>
      <w:tblPr/>
      <w:tcPr>
        <w:tcBorders>
          <w:top w:val="single" w:sz="8" w:space="0" w:color="4472c4"/>
          <w:left w:val="nil"/>
          <w:bottom w:val="single" w:sz="8" w:space="0" w:color="4472c4"/>
          <w:right w:val="nil"/>
          <w:insideH w:val="nil"/>
          <w:insideV w:val="nil"/>
        </w:tcBorders>
      </w:tcPr>
    </w:tblStylePr>
    <w:tblStylePr w:type="band1Horz">
      <w:pPr/>
      <w:tblPr/>
      <w:tcPr>
        <w:tcBorders>
          <w:left w:val="nil"/>
          <w:right w:val="nil"/>
          <w:insideH w:val="nil"/>
          <w:insideV w:val="nil"/>
        </w:tcBorders>
        <w:shd w:val="clear" w:color="auto" w:fill="d0dbf0"/>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d0dbf0"/>
      </w:tcPr>
    </w:tblStylePr>
    <w:tcPr>
      <w:tcBorders/>
    </w:tcPr>
  </w:style>
  <w:style w:type="table" w:styleId="style190">
    <w:name w:val="Light Shading Accent 2"/>
    <w:basedOn w:val="style105"/>
    <w:next w:val="style190"/>
    <w:uiPriority w:val="60"/>
    <w:pPr>
      <w:spacing w:lineRule="auto" w:line="240"/>
    </w:pPr>
    <w:rPr>
      <w:color w:val="c45911"/>
    </w:rPr>
    <w:tblPr>
      <w:tblStyleRowBandSize w:val="1"/>
      <w:tblStyleColBandSize w:val="1"/>
      <w:tblBorders>
        <w:top w:val="single" w:sz="8" w:space="0" w:color="ed7d31"/>
        <w:bottom w:val="single" w:sz="8" w:space="0" w:color="ed7d31"/>
      </w:tblBorders>
    </w:tblPr>
    <w:tblStylePr w:type="firstRow">
      <w:pPr>
        <w:spacing w:before="0" w:after="0" w:lineRule="auto" w:line="240"/>
      </w:pPr>
      <w:rPr>
        <w:b/>
        <w:bCs/>
      </w:rPr>
      <w:tblPr/>
      <w:tcPr>
        <w:tcBorders>
          <w:top w:val="single" w:sz="8" w:space="0" w:color="ed7d31"/>
          <w:left w:val="nil"/>
          <w:bottom w:val="single" w:sz="8" w:space="0" w:color="ed7d31"/>
          <w:right w:val="nil"/>
          <w:insideH w:val="nil"/>
          <w:insideV w:val="nil"/>
        </w:tcBorders>
      </w:tcPr>
    </w:tblStylePr>
    <w:tblStylePr w:type="lastRow">
      <w:pPr>
        <w:spacing w:before="0" w:after="0" w:lineRule="auto" w:line="240"/>
      </w:pPr>
      <w:rPr>
        <w:b/>
        <w:bCs/>
      </w:rPr>
      <w:tblPr/>
      <w:tcPr>
        <w:tcBorders>
          <w:top w:val="single" w:sz="8" w:space="0" w:color="ed7d31"/>
          <w:left w:val="nil"/>
          <w:bottom w:val="single" w:sz="8" w:space="0" w:color="ed7d31"/>
          <w:right w:val="nil"/>
          <w:insideH w:val="nil"/>
          <w:insideV w:val="nil"/>
        </w:tcBorders>
      </w:tcPr>
    </w:tblStylePr>
    <w:tblStylePr w:type="band1Horz">
      <w:pPr/>
      <w:tblPr/>
      <w:tcPr>
        <w:tcBorders>
          <w:left w:val="nil"/>
          <w:right w:val="nil"/>
          <w:insideH w:val="nil"/>
          <w:insideV w:val="nil"/>
        </w:tcBorders>
        <w:shd w:val="clear" w:color="auto" w:fill="fadecb"/>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fadecb"/>
      </w:tcPr>
    </w:tblStylePr>
    <w:tcPr>
      <w:tcBorders/>
    </w:tcPr>
  </w:style>
  <w:style w:type="table" w:styleId="style204">
    <w:name w:val="Light Shading Accent 3"/>
    <w:basedOn w:val="style105"/>
    <w:next w:val="style204"/>
    <w:uiPriority w:val="60"/>
    <w:pPr>
      <w:spacing w:lineRule="auto" w:line="240"/>
    </w:pPr>
    <w:rPr>
      <w:color w:val="7b7b7b"/>
    </w:rPr>
    <w:tblPr>
      <w:tblStyleRowBandSize w:val="1"/>
      <w:tblStyleColBandSize w:val="1"/>
      <w:tblBorders>
        <w:top w:val="single" w:sz="8" w:space="0" w:color="a5a5a5"/>
        <w:bottom w:val="single" w:sz="8" w:space="0" w:color="a5a5a5"/>
      </w:tblBorders>
    </w:tblPr>
    <w:tblStylePr w:type="firstRow">
      <w:pPr>
        <w:spacing w:before="0" w:after="0" w:lineRule="auto" w:line="240"/>
      </w:pPr>
      <w:rPr>
        <w:b/>
        <w:bCs/>
      </w:rPr>
      <w:tblPr/>
      <w:tcPr>
        <w:tcBorders>
          <w:top w:val="single" w:sz="8" w:space="0" w:color="a5a5a5"/>
          <w:left w:val="nil"/>
          <w:bottom w:val="single" w:sz="8" w:space="0" w:color="a5a5a5"/>
          <w:right w:val="nil"/>
          <w:insideH w:val="nil"/>
          <w:insideV w:val="nil"/>
        </w:tcBorders>
      </w:tcPr>
    </w:tblStylePr>
    <w:tblStylePr w:type="lastRow">
      <w:pPr>
        <w:spacing w:before="0" w:after="0" w:lineRule="auto" w:line="240"/>
      </w:pPr>
      <w:rPr>
        <w:b/>
        <w:bCs/>
      </w:rPr>
      <w:tblPr/>
      <w:tcPr>
        <w:tcBorders>
          <w:top w:val="single" w:sz="8" w:space="0" w:color="a5a5a5"/>
          <w:left w:val="nil"/>
          <w:bottom w:val="single" w:sz="8" w:space="0" w:color="a5a5a5"/>
          <w:right w:val="nil"/>
          <w:insideH w:val="nil"/>
          <w:insideV w:val="nil"/>
        </w:tcBorders>
      </w:tcPr>
    </w:tblStylePr>
    <w:tblStylePr w:type="band1Horz">
      <w:pPr/>
      <w:tblPr/>
      <w:tcPr>
        <w:tcBorders>
          <w:left w:val="nil"/>
          <w:right w:val="nil"/>
          <w:insideH w:val="nil"/>
          <w:insideV w:val="nil"/>
        </w:tcBorders>
        <w:shd w:val="clear" w:color="auto" w:fill="e8e8e8"/>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e8e8e8"/>
      </w:tcPr>
    </w:tblStylePr>
    <w:tcPr>
      <w:tcBorders/>
    </w:tcPr>
  </w:style>
  <w:style w:type="table" w:styleId="style158">
    <w:name w:val="Light Shading"/>
    <w:basedOn w:val="style105"/>
    <w:next w:val="style158"/>
    <w:uiPriority w:val="60"/>
    <w:pPr>
      <w:spacing w:lineRule="auto" w:line="240"/>
    </w:pPr>
    <w:rPr>
      <w:color w:val="000000"/>
    </w:rPr>
    <w:tblPr>
      <w:tblStyleRowBandSize w:val="1"/>
      <w:tblStyleColBandSize w:val="1"/>
      <w:tblBorders>
        <w:top w:val="single" w:sz="8" w:space="0" w:color="000000"/>
        <w:bottom w:val="single" w:sz="8" w:space="0" w:color="000000"/>
      </w:tblBorders>
    </w:tblPr>
    <w:tblStylePr w:type="firstRow">
      <w:pPr>
        <w:spacing w:before="0" w:after="0" w:lineRule="auto" w:line="240"/>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Rule="auto" w:line="240"/>
      </w:pPr>
      <w:rPr>
        <w:b/>
        <w:bCs/>
      </w:rPr>
      <w:tblPr/>
      <w:tcPr>
        <w:tcBorders>
          <w:top w:val="single" w:sz="8" w:space="0" w:color="000000"/>
          <w:left w:val="nil"/>
          <w:bottom w:val="single" w:sz="8" w:space="0" w:color="000000"/>
          <w:right w:val="nil"/>
          <w:insideH w:val="nil"/>
          <w:insideV w:val="nil"/>
        </w:tcBorders>
      </w:tcPr>
    </w:tblStylePr>
    <w:tblStylePr w:type="band1Horz">
      <w:pPr/>
      <w:tblPr/>
      <w:tcPr>
        <w:tcBorders>
          <w:left w:val="nil"/>
          <w:right w:val="nil"/>
          <w:insideH w:val="nil"/>
          <w:insideV w:val="nil"/>
        </w:tcBorders>
        <w:shd w:val="clear" w:color="auto" w:fill="c0c0c0"/>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c0c0c0"/>
      </w:tcPr>
    </w:tblStylePr>
    <w:tcPr>
      <w:tcBorders/>
    </w:tcPr>
  </w:style>
  <w:style w:type="character" w:customStyle="1" w:styleId="style4105">
    <w:name w:val="Heading 4 Char_32b87636-ff0b-482c-a144-f9c3e5c0ecb8"/>
    <w:basedOn w:val="style65"/>
    <w:next w:val="style4105"/>
    <w:link w:val="style4"/>
    <w:uiPriority w:val="9"/>
    <w:rPr>
      <w:rFonts w:ascii="Calibri Light" w:cs="宋体" w:eastAsia="宋体" w:hAnsi="Calibri Light"/>
      <w:b/>
      <w:bCs/>
      <w:i/>
      <w:iCs/>
      <w:noProof/>
      <w:color w:val="4472c4"/>
      <w:sz w:val="24"/>
      <w:szCs w:val="20"/>
      <w:lang w:val="en-GB"/>
    </w:rPr>
  </w:style>
  <w:style w:type="paragraph" w:customStyle="1" w:styleId="style4106">
    <w:name w:val="Table Paragraph"/>
    <w:basedOn w:val="style0"/>
    <w:next w:val="style4106"/>
    <w:uiPriority w:val="1"/>
    <w:pPr>
      <w:widowControl w:val="false"/>
      <w:autoSpaceDE w:val="false"/>
      <w:autoSpaceDN w:val="false"/>
      <w:spacing w:lineRule="auto" w:line="240"/>
      <w:ind w:left="102"/>
      <w:jc w:val="left"/>
    </w:pPr>
    <w:rPr>
      <w:rFonts w:cs="Arial"/>
      <w:sz w:val="22"/>
      <w:szCs w:val="22"/>
      <w:lang w:val="en-US"/>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07"/>
    <w:uiPriority w:val="99"/>
    <w:pPr>
      <w:spacing w:lineRule="auto" w:line="240"/>
    </w:pPr>
    <w:rPr>
      <w:sz w:val="20"/>
    </w:rPr>
  </w:style>
  <w:style w:type="character" w:customStyle="1" w:styleId="style4107">
    <w:name w:val="Comment Text Char"/>
    <w:basedOn w:val="style65"/>
    <w:next w:val="style4107"/>
    <w:link w:val="style30"/>
    <w:uiPriority w:val="99"/>
    <w:rPr>
      <w:rFonts w:ascii="Arial" w:cs="Times New Roman" w:hAnsi="Arial"/>
      <w:noProof/>
      <w:sz w:val="20"/>
      <w:szCs w:val="20"/>
      <w:lang w:val="en-GB"/>
    </w:rPr>
  </w:style>
  <w:style w:type="paragraph" w:styleId="style106">
    <w:name w:val="annotation subject"/>
    <w:basedOn w:val="style30"/>
    <w:next w:val="style30"/>
    <w:link w:val="style4108"/>
    <w:uiPriority w:val="99"/>
    <w:pPr/>
    <w:rPr>
      <w:b/>
      <w:bCs/>
    </w:rPr>
  </w:style>
  <w:style w:type="character" w:customStyle="1" w:styleId="style4108">
    <w:name w:val="Comment Subject Char"/>
    <w:basedOn w:val="style4107"/>
    <w:next w:val="style4108"/>
    <w:link w:val="style106"/>
    <w:uiPriority w:val="99"/>
    <w:rPr>
      <w:rFonts w:ascii="Arial" w:cs="Times New Roman" w:hAnsi="Arial"/>
      <w:b/>
      <w:bCs/>
      <w:noProof/>
      <w:sz w:val="20"/>
      <w:szCs w:val="20"/>
      <w:lang w:val="en-GB"/>
    </w:rPr>
  </w:style>
  <w:style w:type="character" w:styleId="style88">
    <w:name w:val="Emphasis"/>
    <w:basedOn w:val="style65"/>
    <w:next w:val="style88"/>
    <w:qFormat/>
    <w:uiPriority w:val="20"/>
    <w:rPr>
      <w:i/>
      <w:iCs/>
    </w:rPr>
  </w:style>
  <w:style w:type="paragraph" w:styleId="style74">
    <w:name w:val="Subtitle"/>
    <w:basedOn w:val="style0"/>
    <w:next w:val="style0"/>
    <w:pPr>
      <w:keepNext/>
      <w:keepLines/>
      <w:spacing w:before="360" w:after="80"/>
    </w:pPr>
    <w:rPr>
      <w:rFonts w:ascii="Georgia" w:cs="Georgia" w:eastAsia="Georgia" w:hAnsi="Georgia"/>
      <w:i/>
      <w:color w:val="666666"/>
      <w:sz w:val="48"/>
      <w:szCs w:val="48"/>
    </w:rPr>
  </w:style>
  <w:style w:type="table" w:customStyle="1" w:styleId="style4109">
    <w:basedOn w:val="style105"/>
    <w:next w:val="style4109"/>
    <w:pPr>
      <w:spacing w:lineRule="auto" w:line="240"/>
    </w:pPr>
    <w:rPr>
      <w:color w:val="000000"/>
    </w:rPr>
    <w:tblPr>
      <w:tblStyleRowBandSize w:val="1"/>
      <w:tblStyleColBandSize w:val="1"/>
    </w:tblPr>
    <w:tcPr>
      <w:tcBorders/>
    </w:tcPr>
  </w:style>
  <w:style w:type="table" w:customStyle="1" w:styleId="style4110">
    <w:basedOn w:val="style105"/>
    <w:next w:val="style4110"/>
    <w:pPr>
      <w:spacing w:lineRule="auto" w:line="240"/>
    </w:pPr>
    <w:rPr>
      <w:color w:val="000000"/>
    </w:rPr>
    <w:tblPr>
      <w:tblStyleRowBandSize w:val="1"/>
      <w:tblStyleColBandSize w:val="1"/>
    </w:tblPr>
    <w:tcPr>
      <w:tcBorders/>
    </w:tcPr>
  </w:style>
  <w:style w:type="paragraph" w:styleId="style35">
    <w:name w:val="table of figures"/>
    <w:basedOn w:val="style0"/>
    <w:next w:val="style0"/>
    <w:uiPriority w:val="99"/>
    <w:pPr/>
  </w:style>
  <w:style w:type="paragraph" w:styleId="style157">
    <w:name w:val="No Spacing"/>
    <w:next w:val="style157"/>
    <w:qFormat/>
    <w:uiPriority w:val="1"/>
    <w:pPr>
      <w:spacing w:lineRule="auto" w:line="240"/>
    </w:pPr>
    <w:rPr>
      <w:rFonts w:cs="Times New Roman"/>
      <w:noProof/>
      <w:szCs w:val="20"/>
      <w:lang w:val="en-GB"/>
    </w:rPr>
  </w:style>
  <w:style w:type="paragraph" w:styleId="style66">
    <w:name w:val="Body Text"/>
    <w:basedOn w:val="style0"/>
    <w:next w:val="style66"/>
    <w:link w:val="style4111"/>
    <w:uiPriority w:val="99"/>
    <w:pPr>
      <w:widowControl w:val="false"/>
      <w:spacing w:lineRule="auto" w:line="240"/>
    </w:pPr>
    <w:rPr>
      <w:rFonts w:ascii="Calibri Light" w:eastAsia="Times New Roman" w:hAnsi="Calibri Light"/>
      <w:color w:val="ff0000"/>
      <w:szCs w:val="22"/>
      <w:lang w:eastAsia="en-GB"/>
    </w:rPr>
  </w:style>
  <w:style w:type="character" w:customStyle="1" w:styleId="style4111">
    <w:name w:val="Body Text Char"/>
    <w:basedOn w:val="style65"/>
    <w:next w:val="style4111"/>
    <w:link w:val="style66"/>
    <w:uiPriority w:val="99"/>
    <w:rPr>
      <w:rFonts w:ascii="Calibri Light" w:cs="Times New Roman" w:eastAsia="Times New Roman" w:hAnsi="Calibri Light"/>
      <w:color w:val="ff0000"/>
      <w:szCs w:val="22"/>
      <w:lang w:val="en-GB" w:eastAsia="en-GB"/>
    </w:rPr>
  </w:style>
  <w:style w:type="character" w:customStyle="1" w:styleId="style4112">
    <w:name w:val="ms-1"/>
    <w:basedOn w:val="style65"/>
    <w:next w:val="style4112"/>
  </w:style>
  <w:style w:type="character" w:customStyle="1" w:styleId="style4113">
    <w:name w:val="max-w-[15ch]"/>
    <w:basedOn w:val="style65"/>
    <w:next w:val="style4113"/>
  </w:style>
  <w:style w:type="character" w:customStyle="1" w:styleId="style4114">
    <w:name w:val="-me-1"/>
    <w:basedOn w:val="style65"/>
    <w:next w:val="style4114"/>
  </w:style>
  <w:style w:type="table" w:customStyle="1" w:styleId="style4115">
    <w:name w:val="_Style 52"/>
    <w:basedOn w:val="style105"/>
    <w:next w:val="style4115"/>
    <w:pPr>
      <w:spacing w:after="200" w:lineRule="auto" w:line="276"/>
      <w:jc w:val="left"/>
    </w:pPr>
    <w:rPr>
      <w:rFonts w:ascii="Tahoma" w:cs="Tahoma" w:eastAsia="Tahoma" w:hAnsi="Tahoma"/>
      <w:sz w:val="20"/>
      <w:szCs w:val="20"/>
    </w:rPr>
    <w:tblPr>
      <w:tblCellMar>
        <w:left w:w="0" w:type="dxa"/>
        <w:right w:w="0" w:type="dxa"/>
      </w:tblCellMar>
    </w:tblPr>
    <w:tcPr>
      <w:tcBorders/>
    </w:tcPr>
  </w:style>
  <w:style w:type="table" w:customStyle="1" w:styleId="style4116">
    <w:name w:val="_Style 53"/>
    <w:basedOn w:val="style105"/>
    <w:next w:val="style4116"/>
    <w:pPr>
      <w:spacing w:after="200" w:lineRule="auto" w:line="276"/>
      <w:jc w:val="left"/>
    </w:pPr>
    <w:rPr>
      <w:rFonts w:ascii="Tahoma" w:cs="Tahoma" w:eastAsia="Tahoma" w:hAnsi="Tahoma"/>
      <w:sz w:val="20"/>
      <w:szCs w:val="20"/>
    </w:rPr>
    <w:tblPr>
      <w:tblCellMar>
        <w:left w:w="113" w:type="dxa"/>
        <w:right w:w="113" w:type="dxa"/>
      </w:tblCellMar>
    </w:tblPr>
    <w:tcPr>
      <w:tcBorders/>
    </w:tcPr>
  </w:style>
  <w:style w:type="paragraph" w:styleId="style80">
    <w:name w:val="Body Text 2"/>
    <w:basedOn w:val="style0"/>
    <w:next w:val="style80"/>
    <w:link w:val="style4117"/>
    <w:uiPriority w:val="99"/>
    <w:pPr>
      <w:spacing w:after="120" w:lineRule="auto" w:line="480"/>
    </w:pPr>
    <w:rPr/>
  </w:style>
  <w:style w:type="character" w:customStyle="1" w:styleId="style4117">
    <w:name w:val="Body Text 2 Char"/>
    <w:basedOn w:val="style65"/>
    <w:next w:val="style4117"/>
    <w:link w:val="style80"/>
    <w:uiPriority w:val="99"/>
    <w:rPr>
      <w:rFonts w:cs="Times New Roman"/>
      <w:noProof/>
      <w:szCs w:val="20"/>
      <w:lang w:val="en-GB"/>
    </w:rPr>
  </w:style>
  <w:style w:type="character" w:customStyle="1" w:styleId="style4118">
    <w:name w:val="cursor-pointer"/>
    <w:basedOn w:val="style65"/>
    <w:next w:val="style4118"/>
  </w:style>
  <w:style w:type="character" w:customStyle="1" w:styleId="style4119">
    <w:name w:val="whitespace-normal"/>
    <w:basedOn w:val="style65"/>
    <w:next w:val="style4119"/>
  </w:style>
  <w:style w:type="character" w:styleId="style86">
    <w:name w:val="FollowedHyperlink"/>
    <w:basedOn w:val="style65"/>
    <w:next w:val="style86"/>
    <w:uiPriority w:val="99"/>
    <w:rPr>
      <w:color w:val="954f72"/>
      <w:u w:val="single"/>
    </w:rPr>
  </w:style>
  <w:style w:type="character" w:customStyle="1" w:styleId="style4120">
    <w:name w:val="Unresolved Mention"/>
    <w:basedOn w:val="style65"/>
    <w:next w:val="style4120"/>
    <w:uiPriority w:val="99"/>
    <w:rPr>
      <w:color w:val="605e5c"/>
      <w:shd w:val="clear" w:color="auto" w:fill="e1dfdd"/>
    </w:rPr>
  </w:style>
  <w:style w:type="table" w:customStyle="1" w:styleId="style4121">
    <w:name w:val="Grid Table 4 Accent 5"/>
    <w:basedOn w:val="style105"/>
    <w:next w:val="style4121"/>
    <w:uiPriority w:val="49"/>
    <w:pPr>
      <w:spacing w:lineRule="auto" w:line="240"/>
    </w:pPr>
    <w:r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pPr/>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pPr/>
      <w:rPr>
        <w:b/>
        <w:bCs/>
      </w:rPr>
      <w:tblPr/>
      <w:tcPr>
        <w:tcBorders>
          <w:top w:val="double" w:sz="4" w:space="0" w:color="5b9bd5"/>
        </w:tcBorders>
      </w:tcPr>
    </w:tblStylePr>
    <w:tblStylePr w:type="band1Horz">
      <w:pPr/>
      <w:tblPr/>
      <w:tcPr>
        <w:tcBorders/>
        <w:shd w:val="clear" w:color="auto" w:fill="deeaf6"/>
      </w:tcPr>
    </w:tblStylePr>
    <w:tblStylePr w:type="firstCol">
      <w:pPr/>
      <w:rPr>
        <w:b/>
        <w:bCs/>
      </w:rPr>
      <w:tcPr>
        <w:tcBorders/>
      </w:tcPr>
    </w:tblStylePr>
    <w:tblStylePr w:type="lastCol">
      <w:pPr/>
      <w:rPr>
        <w:b/>
        <w:bCs/>
      </w:rPr>
      <w:tcPr>
        <w:tcBorders/>
      </w:tcPr>
    </w:tblStylePr>
    <w:tblStylePr w:type="band1Vert">
      <w:pPr/>
      <w:tblPr/>
      <w:tcPr>
        <w:tcBorders/>
        <w:shd w:val="clear" w:color="auto" w:fill="deeaf6"/>
      </w:tcPr>
    </w:tblStylePr>
    <w:tcPr>
      <w:tcBorders/>
    </w:tcPr>
  </w:style>
  <w:style w:type="table" w:customStyle="1" w:styleId="style4122">
    <w:name w:val="Grid Table 4 Accent 1"/>
    <w:basedOn w:val="style105"/>
    <w:next w:val="style4122"/>
    <w:uiPriority w:val="49"/>
    <w:pPr>
      <w:spacing w:lineRule="auto" w:line="240"/>
    </w:pPr>
    <w:r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pPr/>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pPr/>
      <w:rPr>
        <w:b/>
        <w:bCs/>
      </w:rPr>
      <w:tblPr/>
      <w:tcPr>
        <w:tcBorders>
          <w:top w:val="double" w:sz="4" w:space="0" w:color="4472c4"/>
        </w:tcBorders>
      </w:tcPr>
    </w:tblStylePr>
    <w:tblStylePr w:type="band1Horz">
      <w:pPr/>
      <w:tblPr/>
      <w:tcPr>
        <w:tcBorders/>
        <w:shd w:val="clear" w:color="auto" w:fill="d9e2f3"/>
      </w:tcPr>
    </w:tblStylePr>
    <w:tblStylePr w:type="firstCol">
      <w:pPr/>
      <w:rPr>
        <w:b/>
        <w:bCs/>
      </w:rPr>
      <w:tcPr>
        <w:tcBorders/>
      </w:tcPr>
    </w:tblStylePr>
    <w:tblStylePr w:type="lastCol">
      <w:pPr/>
      <w:rPr>
        <w:b/>
        <w:bCs/>
      </w:rPr>
      <w:tcPr>
        <w:tcBorders/>
      </w:tcPr>
    </w:tblStylePr>
    <w:tblStylePr w:type="band1Vert">
      <w:pPr/>
      <w:tblPr/>
      <w:tcPr>
        <w:tcBorders/>
        <w:shd w:val="clear" w:color="auto" w:fill="d9e2f3"/>
      </w:tcPr>
    </w:tblStylePr>
    <w:tcPr>
      <w:tcBorders/>
    </w:tcPr>
  </w:style>
  <w:style w:type="table" w:customStyle="1" w:styleId="style4123">
    <w:name w:val="Grid Table 4 Accent 3"/>
    <w:basedOn w:val="style105"/>
    <w:next w:val="style4123"/>
    <w:uiPriority w:val="49"/>
    <w:pPr>
      <w:spacing w:lineRule="auto" w:line="240"/>
    </w:pPr>
    <w:rPr/>
    <w:tblPr>
      <w:tblStyleRowBandSize w:val="1"/>
      <w:tblStyleColBandSize w:val="1"/>
      <w:tblBorders>
        <w:top w:val="single" w:sz="4" w:space="0" w:color="c9c9c9"/>
        <w:left w:val="single" w:sz="4" w:space="0" w:color="c9c9c9"/>
        <w:bottom w:val="single" w:sz="4" w:space="0" w:color="c9c9c9"/>
        <w:right w:val="single" w:sz="4" w:space="0" w:color="c9c9c9"/>
        <w:insideH w:val="single" w:sz="4" w:space="0" w:color="c9c9c9"/>
        <w:insideV w:val="single" w:sz="4" w:space="0" w:color="c9c9c9"/>
      </w:tblBorders>
    </w:tblPr>
    <w:tblStylePr w:type="firstRow">
      <w:pPr/>
      <w:rPr>
        <w:b/>
        <w:bCs/>
        <w:color w:val="ffffff"/>
      </w:rPr>
      <w:tblPr/>
      <w:tcPr>
        <w:tcBorders>
          <w:top w:val="single" w:sz="4" w:space="0" w:color="a5a5a5"/>
          <w:left w:val="single" w:sz="4" w:space="0" w:color="a5a5a5"/>
          <w:bottom w:val="single" w:sz="4" w:space="0" w:color="a5a5a5"/>
          <w:right w:val="single" w:sz="4" w:space="0" w:color="a5a5a5"/>
          <w:insideH w:val="nil"/>
          <w:insideV w:val="nil"/>
        </w:tcBorders>
        <w:shd w:val="clear" w:color="auto" w:fill="a5a5a5"/>
      </w:tcPr>
    </w:tblStylePr>
    <w:tblStylePr w:type="lastRow">
      <w:pPr/>
      <w:rPr>
        <w:b/>
        <w:bCs/>
      </w:rPr>
      <w:tblPr/>
      <w:tcPr>
        <w:tcBorders>
          <w:top w:val="double" w:sz="4" w:space="0" w:color="a5a5a5"/>
        </w:tcBorders>
      </w:tcPr>
    </w:tblStylePr>
    <w:tblStylePr w:type="band1Horz">
      <w:pPr/>
      <w:tblPr/>
      <w:tcPr>
        <w:tcBorders/>
        <w:shd w:val="clear" w:color="auto" w:fill="ededed"/>
      </w:tcPr>
    </w:tblStylePr>
    <w:tblStylePr w:type="firstCol">
      <w:pPr/>
      <w:rPr>
        <w:b/>
        <w:bCs/>
      </w:rPr>
      <w:tcPr>
        <w:tcBorders/>
      </w:tcPr>
    </w:tblStylePr>
    <w:tblStylePr w:type="lastCol">
      <w:pPr/>
      <w:rPr>
        <w:b/>
        <w:bCs/>
      </w:rPr>
      <w:tcPr>
        <w:tcBorders/>
      </w:tcPr>
    </w:tblStylePr>
    <w:tblStylePr w:type="band1Vert">
      <w:pPr/>
      <w:tblPr/>
      <w:tcPr>
        <w:tcBorders/>
        <w:shd w:val="clear" w:color="auto" w:fill="ededed"/>
      </w:tcPr>
    </w:tblStylePr>
    <w:tcPr>
      <w:tcBorders/>
    </w:tcPr>
  </w:style>
  <w:style w:type="table" w:customStyle="1" w:styleId="style4124">
    <w:name w:val="Grid Table 3 Accent 6"/>
    <w:basedOn w:val="style105"/>
    <w:next w:val="style4124"/>
    <w:uiPriority w:val="48"/>
    <w:pPr>
      <w:spacing w:lineRule="auto" w:line="240"/>
    </w:pPr>
    <w:r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pPr/>
      <w:rPr>
        <w:b/>
        <w:bCs/>
      </w:rPr>
      <w:tblPr/>
      <w:tcPr>
        <w:tcBorders>
          <w:top w:val="nil"/>
          <w:left w:val="nil"/>
          <w:right w:val="nil"/>
          <w:insideH w:val="nil"/>
          <w:insideV w:val="nil"/>
        </w:tcBorders>
        <w:shd w:val="clear" w:color="auto" w:fill="ffffff"/>
      </w:tcPr>
    </w:tblStylePr>
    <w:tblStylePr w:type="lastRow">
      <w:pPr/>
      <w:rPr>
        <w:b/>
        <w:bCs/>
      </w:rPr>
      <w:tblPr/>
      <w:tcPr>
        <w:tcBorders>
          <w:left w:val="nil"/>
          <w:bottom w:val="nil"/>
          <w:right w:val="nil"/>
          <w:insideH w:val="nil"/>
          <w:insideV w:val="nil"/>
        </w:tcBorders>
        <w:shd w:val="clear" w:color="auto" w:fill="ffffff"/>
      </w:tcPr>
    </w:tblStylePr>
    <w:tblStylePr w:type="band1Horz">
      <w:pPr/>
      <w:tblPr/>
      <w:tcPr>
        <w:tcBorders/>
        <w:shd w:val="clear" w:color="auto" w:fill="e2efd9"/>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pPr/>
      <w:rPr>
        <w:i/>
        <w:iCs/>
      </w:rPr>
      <w:tblPr/>
      <w:tcPr>
        <w:tcBorders>
          <w:top w:val="nil"/>
          <w:bottom w:val="nil"/>
          <w:right w:val="nil"/>
          <w:insideH w:val="nil"/>
          <w:insideV w:val="nil"/>
        </w:tcBorders>
        <w:shd w:val="clear" w:color="auto" w:fill="ffffff"/>
      </w:tcPr>
    </w:tblStylePr>
    <w:tblStylePr w:type="band1Vert">
      <w:pPr/>
      <w:tblPr/>
      <w:tcPr>
        <w:tcBorders/>
        <w:shd w:val="clear" w:color="auto" w:fill="e2efd9"/>
      </w:tcPr>
    </w:tblStylePr>
    <w:tblStylePr w:type="neCell">
      <w:pPr/>
      <w:tblPr/>
      <w:tcPr>
        <w:tcBorders>
          <w:bottom w:val="single" w:sz="4" w:space="0" w:color="a8d08d"/>
        </w:tcBorders>
      </w:tcPr>
    </w:tblStylePr>
    <w:tblStylePr w:type="nwCell">
      <w:pPr/>
      <w:tblPr/>
      <w:tcPr>
        <w:tcBorders>
          <w:bottom w:val="single" w:sz="4" w:space="0" w:color="a8d08d"/>
        </w:tcBorders>
      </w:tcPr>
    </w:tblStylePr>
    <w:tblStylePr w:type="seCell">
      <w:pPr/>
      <w:tblPr/>
      <w:tcPr>
        <w:tcBorders>
          <w:top w:val="single" w:sz="4" w:space="0" w:color="a8d08d"/>
        </w:tcBorders>
      </w:tcPr>
    </w:tblStylePr>
    <w:tblStylePr w:type="swCell">
      <w:pPr/>
      <w:tblPr/>
      <w:tcPr>
        <w:tcBorders>
          <w:top w:val="single" w:sz="4" w:space="0" w:color="a8d08d"/>
        </w:tcBorders>
      </w:tcPr>
    </w:tblStylePr>
    <w:tcPr>
      <w:tcBorders/>
    </w:tcPr>
  </w:style>
  <w:style w:type="table" w:customStyle="1" w:styleId="style4125">
    <w:name w:val="Style1"/>
    <w:basedOn w:val="style105"/>
    <w:next w:val="style4125"/>
    <w:uiPriority w:val="99"/>
    <w:pPr>
      <w:spacing w:lineRule="auto" w:line="240"/>
      <w:jc w:val="left"/>
    </w:pPr>
    <w:rPr/>
    <w:tblPr>
      <w:shd w:val="clear" w:color="auto" w:fill="000000"/>
    </w:tblPr>
    <w:tcPr>
      <w:tcBorders/>
      <w:shd w:val="clear" w:color="auto" w:fill="000000"/>
    </w:tcPr>
  </w:style>
  <w:style w:type="table" w:customStyle="1" w:styleId="style4126">
    <w:name w:val="Plain Table 3"/>
    <w:basedOn w:val="style105"/>
    <w:next w:val="style4126"/>
    <w:uiPriority w:val="43"/>
    <w:pPr>
      <w:spacing w:lineRule="auto" w:line="240"/>
    </w:pPr>
    <w:rPr/>
    <w:tblPr>
      <w:tblStyleRowBandSize w:val="1"/>
      <w:tblStyleColBandSize w:val="1"/>
    </w:tblPr>
    <w:tblStylePr w:type="firstRow">
      <w:pPr/>
      <w:rPr>
        <w:b/>
        <w:bCs/>
        <w:caps/>
      </w:rPr>
      <w:tblPr/>
      <w:tcPr>
        <w:tcBorders>
          <w:bottom w:val="single" w:sz="4" w:space="0" w:color="7f7f7f"/>
        </w:tcBorders>
      </w:tcPr>
    </w:tblStylePr>
    <w:tblStylePr w:type="lastRow">
      <w:pPr/>
      <w:rPr>
        <w:b/>
        <w:bCs/>
        <w:caps/>
      </w:rPr>
      <w:tblPr/>
      <w:tcPr>
        <w:tcBorders>
          <w:top w:val="nil"/>
        </w:tcBorders>
      </w:tcPr>
    </w:tblStylePr>
    <w:tblStylePr w:type="band1Horz">
      <w:pPr/>
      <w:tblPr/>
      <w:tcPr>
        <w:tcBorders/>
        <w:shd w:val="clear" w:color="auto" w:fill="f2f2f2"/>
      </w:tcPr>
    </w:tblStylePr>
    <w:tblStylePr w:type="firstCol">
      <w:pPr/>
      <w:rPr>
        <w:b/>
        <w:bCs/>
        <w:caps/>
      </w:rPr>
      <w:tblPr/>
      <w:tcPr>
        <w:tcBorders>
          <w:right w:val="single" w:sz="4" w:space="0" w:color="7f7f7f"/>
        </w:tcBorders>
      </w:tcPr>
    </w:tblStylePr>
    <w:tblStylePr w:type="lastCol">
      <w:pPr/>
      <w:rPr>
        <w:b/>
        <w:bCs/>
        <w:caps/>
      </w:rPr>
      <w:tblPr/>
      <w:tcPr>
        <w:tcBorders>
          <w:left w:val="nil"/>
        </w:tcBorders>
      </w:tcPr>
    </w:tblStylePr>
    <w:tblStylePr w:type="band1Vert">
      <w:pPr/>
      <w:tblPr/>
      <w:tcPr>
        <w:tcBorders/>
        <w:shd w:val="clear" w:color="auto" w:fill="f2f2f2"/>
      </w:tcPr>
    </w:tblStylePr>
    <w:tblStylePr w:type="neCell">
      <w:pPr/>
      <w:tblPr/>
      <w:tcPr>
        <w:tcBorders>
          <w:left w:val="nil"/>
        </w:tcBorders>
      </w:tcPr>
    </w:tblStylePr>
    <w:tblStylePr w:type="nwCell">
      <w:pPr/>
      <w:tblPr/>
      <w:tcPr>
        <w:tcBorders>
          <w:right w:val="nil"/>
        </w:tcBorders>
      </w:tcPr>
    </w:tblStylePr>
    <w:tcPr>
      <w:tcBorders/>
    </w:tcPr>
  </w:style>
</w:styles>
</file>

<file path=word/_rels/document.xml.rels><?xml version="1.0" encoding="UTF-8"?>
<Relationships xmlns="http://schemas.openxmlformats.org/package/2006/relationships"><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styles" Target="styles.xml"/><Relationship Id="rId12"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settings" Target="settings.xml"/><Relationship Id="rId14" Type="http://schemas.openxmlformats.org/officeDocument/2006/relationships/fontTable" Target="fontTable.xml"/><Relationship Id="rId17" Type="http://schemas.openxmlformats.org/officeDocument/2006/relationships/customXml" Target="../customXml/item1.xml"/><Relationship Id="rId16" Type="http://schemas.openxmlformats.org/officeDocument/2006/relationships/theme" Target="theme/theme1.xml"/><Relationship Id="rId5" Type="http://schemas.openxmlformats.org/officeDocument/2006/relationships/image" Target="media/image4.png"/><Relationship Id="rId6" Type="http://schemas.openxmlformats.org/officeDocument/2006/relationships/image" Target="media/image5.png"/><Relationship Id="rId18" Type="http://schemas.openxmlformats.org/officeDocument/2006/relationships/customXml" Target="../customXml/item2.xml"/><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yuCQiOaoh8kZBafzQQmA2UpsAQ==">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</go:docsCustomData>
</go:gDocsCustomXmlDataStorage>
</file>

<file path=customXml/itemProps1.xml><?xml version="1.0" encoding="utf-8"?>
<ds:datastoreItem xmlns:ds="http://schemas.openxmlformats.org/officeDocument/2006/customXml" ds:itemID="{EEEF0D61-D66B-46CB-AF0B-082EE1E0658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2416</TotalTime>
  <Words>6117</Words>
  <Pages>28</Pages>
  <Characters>37225</Characters>
  <Application>WPS Office</Application>
  <DocSecurity>0</DocSecurity>
  <Paragraphs>268</Paragraphs>
  <ScaleCrop>false</ScaleCrop>
  <LinksUpToDate>false</LinksUpToDate>
  <CharactersWithSpaces>43180</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2026-04-04T10:36:00Z</dcterms:created>
  <dc:creator>WPS Office</dc:creator>
  <lastModifiedBy>CPH2605</lastModifiedBy>
  <dcterms:modified xsi:type="dcterms:W3CDTF">2026-08-14T01:03:07Z</dcterms:modified>
  <revision>9</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b3bad163-4920-40d1-8625-9ac7bb1c796d</vt:lpwstr>
  </property>
  <property fmtid="{D5CDD505-2E9C-101B-9397-08002B2CF9AE}" pid="3" name="ICV">
    <vt:lpwstr>b90f14eaceef420787d4e28365be542c_23</vt:lpwstr>
  </property>
</Properties>
</file>