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Bidi" w:hAnsiTheme="majorBidi" w:cstheme="majorBidi"/>
          <w:color w:val="000000" w:themeColor="text1"/>
          <w:sz w:val="24"/>
          <w:szCs w:val="24"/>
        </w:rPr>
        <w:id w:val="-1382542774"/>
        <w:docPartObj>
          <w:docPartGallery w:val="Cover Pages"/>
          <w:docPartUnique/>
        </w:docPartObj>
      </w:sdtPr>
      <w:sdtContent>
        <w:p w14:paraId="2E817064" w14:textId="50D3CE39" w:rsidR="00654523" w:rsidRPr="00566F3E" w:rsidRDefault="00654523" w:rsidP="00566F3E">
          <w:pPr>
            <w:pStyle w:val="NoSpacing"/>
            <w:spacing w:before="1540" w:after="240" w:line="360" w:lineRule="auto"/>
            <w:jc w:val="center"/>
            <w:rPr>
              <w:rFonts w:asciiTheme="majorBidi" w:hAnsiTheme="majorBidi" w:cstheme="majorBidi"/>
              <w:b/>
              <w:bCs/>
              <w:color w:val="000000" w:themeColor="text1"/>
              <w:sz w:val="32"/>
              <w:szCs w:val="32"/>
            </w:rPr>
          </w:pPr>
          <w:r w:rsidRPr="00566F3E">
            <w:rPr>
              <w:rFonts w:asciiTheme="majorBidi" w:hAnsiTheme="majorBidi" w:cstheme="majorBidi"/>
              <w:b/>
              <w:bCs/>
              <w:noProof/>
              <w:color w:val="000000" w:themeColor="text1"/>
              <w:sz w:val="32"/>
              <w:szCs w:val="32"/>
            </w:rPr>
            <w:drawing>
              <wp:inline distT="0" distB="0" distL="0" distR="0" wp14:anchorId="689B3A2B" wp14:editId="7041B786">
                <wp:extent cx="1981200" cy="798491"/>
                <wp:effectExtent l="0" t="0" r="0" b="1905"/>
                <wp:docPr id="1233659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659677" name=""/>
                        <pic:cNvPicPr/>
                      </pic:nvPicPr>
                      <pic:blipFill>
                        <a:blip r:embed="rId6"/>
                        <a:stretch>
                          <a:fillRect/>
                        </a:stretch>
                      </pic:blipFill>
                      <pic:spPr>
                        <a:xfrm>
                          <a:off x="0" y="0"/>
                          <a:ext cx="1992156" cy="802907"/>
                        </a:xfrm>
                        <a:prstGeom prst="rect">
                          <a:avLst/>
                        </a:prstGeom>
                      </pic:spPr>
                    </pic:pic>
                  </a:graphicData>
                </a:graphic>
              </wp:inline>
            </w:drawing>
          </w:r>
        </w:p>
        <w:p w14:paraId="77FD8D3A" w14:textId="77777777" w:rsidR="00566F3E" w:rsidRPr="00566F3E" w:rsidRDefault="00566F3E" w:rsidP="00566F3E">
          <w:pPr>
            <w:pStyle w:val="Title"/>
            <w:spacing w:line="360" w:lineRule="auto"/>
            <w:rPr>
              <w:rFonts w:asciiTheme="majorBidi" w:eastAsia="Times New Roman" w:hAnsiTheme="majorBidi"/>
              <w:b/>
              <w:bCs/>
              <w:color w:val="000000" w:themeColor="text1"/>
              <w:sz w:val="32"/>
              <w:szCs w:val="32"/>
              <w:lang w:eastAsia="en-GB"/>
            </w:rPr>
          </w:pPr>
          <w:r w:rsidRPr="00566F3E">
            <w:rPr>
              <w:rFonts w:asciiTheme="majorBidi" w:eastAsia="Times New Roman" w:hAnsiTheme="majorBidi"/>
              <w:b/>
              <w:bCs/>
              <w:color w:val="000000" w:themeColor="text1"/>
              <w:sz w:val="32"/>
              <w:szCs w:val="32"/>
              <w:lang w:eastAsia="en-GB"/>
            </w:rPr>
            <w:t>Assessment Component 1: Individual Report</w:t>
          </w:r>
          <w:r w:rsidRPr="00566F3E">
            <w:rPr>
              <w:rFonts w:asciiTheme="majorBidi" w:eastAsia="Times New Roman" w:hAnsiTheme="majorBidi"/>
              <w:b/>
              <w:bCs/>
              <w:color w:val="000000" w:themeColor="text1"/>
              <w:sz w:val="32"/>
              <w:szCs w:val="32"/>
              <w:lang w:eastAsia="en-GB"/>
            </w:rPr>
            <w:br/>
            <w:t>Designing a Human Capital Architecture for Strategic Renewal</w:t>
          </w:r>
        </w:p>
        <w:p w14:paraId="551FF117" w14:textId="77777777" w:rsidR="00566F3E" w:rsidRPr="00566F3E" w:rsidRDefault="00566F3E" w:rsidP="00566F3E">
          <w:pPr>
            <w:pStyle w:val="Title"/>
            <w:spacing w:line="360" w:lineRule="auto"/>
            <w:rPr>
              <w:rFonts w:asciiTheme="majorBidi" w:eastAsia="Times New Roman" w:hAnsiTheme="majorBidi"/>
              <w:b/>
              <w:bCs/>
              <w:color w:val="000000" w:themeColor="text1"/>
              <w:sz w:val="32"/>
              <w:szCs w:val="32"/>
              <w:lang w:eastAsia="en-GB"/>
            </w:rPr>
          </w:pPr>
          <w:r w:rsidRPr="00566F3E">
            <w:rPr>
              <w:rFonts w:asciiTheme="majorBidi" w:eastAsia="Times New Roman" w:hAnsiTheme="majorBidi"/>
              <w:b/>
              <w:bCs/>
              <w:color w:val="000000" w:themeColor="text1"/>
              <w:sz w:val="32"/>
              <w:szCs w:val="32"/>
              <w:lang w:eastAsia="en-GB"/>
            </w:rPr>
            <w:t>Scenario Organisation: Helios Urban Mobility</w:t>
          </w:r>
        </w:p>
        <w:p w14:paraId="171ACFE3" w14:textId="77777777" w:rsidR="00566F3E" w:rsidRPr="00566F3E" w:rsidRDefault="00566F3E" w:rsidP="00566F3E">
          <w:pPr>
            <w:pStyle w:val="Title"/>
            <w:spacing w:line="360" w:lineRule="auto"/>
            <w:rPr>
              <w:rFonts w:asciiTheme="majorBidi" w:eastAsia="Times New Roman" w:hAnsiTheme="majorBidi"/>
              <w:b/>
              <w:bCs/>
              <w:color w:val="000000" w:themeColor="text1"/>
              <w:sz w:val="32"/>
              <w:szCs w:val="32"/>
              <w:lang w:eastAsia="en-GB"/>
            </w:rPr>
          </w:pPr>
          <w:r w:rsidRPr="00566F3E">
            <w:rPr>
              <w:rFonts w:asciiTheme="majorBidi" w:eastAsia="Times New Roman" w:hAnsiTheme="majorBidi"/>
              <w:b/>
              <w:bCs/>
              <w:color w:val="000000" w:themeColor="text1"/>
              <w:sz w:val="32"/>
              <w:szCs w:val="32"/>
              <w:lang w:eastAsia="en-GB"/>
            </w:rPr>
            <w:t>Student Name: Rahul Jaymalbhai Modhwadiya</w:t>
          </w:r>
          <w:r w:rsidRPr="00566F3E">
            <w:rPr>
              <w:rFonts w:asciiTheme="majorBidi" w:eastAsia="Times New Roman" w:hAnsiTheme="majorBidi"/>
              <w:b/>
              <w:bCs/>
              <w:color w:val="000000" w:themeColor="text1"/>
              <w:sz w:val="32"/>
              <w:szCs w:val="32"/>
              <w:lang w:eastAsia="en-GB"/>
            </w:rPr>
            <w:br/>
            <w:t>Student ID Number: 2539629</w:t>
          </w:r>
        </w:p>
        <w:p w14:paraId="7AA6016A" w14:textId="19FC5EB2" w:rsidR="00566F3E" w:rsidRDefault="00566F3E" w:rsidP="00566F3E">
          <w:pPr>
            <w:pStyle w:val="Title"/>
            <w:spacing w:line="360" w:lineRule="auto"/>
            <w:rPr>
              <w:rFonts w:asciiTheme="majorBidi" w:eastAsia="Times New Roman" w:hAnsiTheme="majorBidi"/>
              <w:b/>
              <w:bCs/>
              <w:color w:val="000000" w:themeColor="text1"/>
              <w:sz w:val="32"/>
              <w:szCs w:val="32"/>
              <w:lang w:eastAsia="en-GB"/>
            </w:rPr>
          </w:pPr>
          <w:r w:rsidRPr="00566F3E">
            <w:rPr>
              <w:rFonts w:asciiTheme="majorBidi" w:eastAsia="Times New Roman" w:hAnsiTheme="majorBidi"/>
              <w:b/>
              <w:bCs/>
              <w:color w:val="000000" w:themeColor="text1"/>
              <w:sz w:val="32"/>
              <w:szCs w:val="32"/>
              <w:lang w:eastAsia="en-GB"/>
            </w:rPr>
            <w:t>Word Count: 2640 words</w:t>
          </w:r>
          <w:r w:rsidRPr="00566F3E">
            <w:rPr>
              <w:rFonts w:asciiTheme="majorBidi" w:eastAsia="Times New Roman" w:hAnsiTheme="majorBidi"/>
              <w:b/>
              <w:bCs/>
              <w:color w:val="000000" w:themeColor="text1"/>
              <w:sz w:val="32"/>
              <w:szCs w:val="32"/>
              <w:lang w:eastAsia="en-GB"/>
            </w:rPr>
            <w:br/>
            <w:t>Submission Deadline: Friday 19th June 2026, 2:00 pm</w:t>
          </w:r>
        </w:p>
        <w:p w14:paraId="7106B466" w14:textId="7DA96759" w:rsidR="009B2457" w:rsidRPr="009B2457" w:rsidRDefault="009B2457" w:rsidP="009B2457">
          <w:pPr>
            <w:jc w:val="center"/>
            <w:rPr>
              <w:lang w:eastAsia="en-GB"/>
            </w:rPr>
          </w:pPr>
          <w:r>
            <w:rPr>
              <w:noProof/>
            </w:rPr>
            <w:drawing>
              <wp:inline distT="0" distB="0" distL="0" distR="0" wp14:anchorId="336694F2" wp14:editId="728F4726">
                <wp:extent cx="1828800" cy="1114425"/>
                <wp:effectExtent l="0" t="0" r="0" b="3175"/>
                <wp:docPr id="1691856974" name="Picture 1" descr="electric battery pack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ectric battery pack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28800" cy="1114425"/>
                        </a:xfrm>
                        <a:prstGeom prst="rect">
                          <a:avLst/>
                        </a:prstGeom>
                        <a:noFill/>
                        <a:ln>
                          <a:noFill/>
                        </a:ln>
                      </pic:spPr>
                    </pic:pic>
                  </a:graphicData>
                </a:graphic>
              </wp:inline>
            </w:drawing>
          </w:r>
        </w:p>
        <w:p w14:paraId="100F8094" w14:textId="77777777" w:rsidR="00654523" w:rsidRPr="00566F3E" w:rsidRDefault="00654523" w:rsidP="00566F3E">
          <w:pPr>
            <w:pStyle w:val="NoSpacing"/>
            <w:spacing w:before="1540" w:after="240" w:line="360" w:lineRule="auto"/>
            <w:jc w:val="both"/>
            <w:rPr>
              <w:rFonts w:asciiTheme="majorBidi" w:hAnsiTheme="majorBidi" w:cstheme="majorBidi"/>
              <w:color w:val="000000" w:themeColor="text1"/>
              <w:sz w:val="24"/>
              <w:szCs w:val="24"/>
            </w:rPr>
          </w:pPr>
        </w:p>
        <w:p w14:paraId="67D92F52" w14:textId="77777777" w:rsidR="00654523" w:rsidRPr="00566F3E" w:rsidRDefault="00654523" w:rsidP="00566F3E">
          <w:pPr>
            <w:pStyle w:val="NoSpacing"/>
            <w:spacing w:before="1540" w:after="240" w:line="360" w:lineRule="auto"/>
            <w:jc w:val="both"/>
            <w:rPr>
              <w:rFonts w:asciiTheme="majorBidi" w:hAnsiTheme="majorBidi" w:cstheme="majorBidi"/>
              <w:color w:val="000000" w:themeColor="text1"/>
              <w:sz w:val="24"/>
              <w:szCs w:val="24"/>
            </w:rPr>
          </w:pPr>
        </w:p>
        <w:p w14:paraId="2A62ADCE" w14:textId="77777777" w:rsidR="00566F3E" w:rsidRPr="00566F3E" w:rsidRDefault="00566F3E" w:rsidP="00566F3E">
          <w:pPr>
            <w:spacing w:line="360" w:lineRule="auto"/>
            <w:jc w:val="both"/>
            <w:rPr>
              <w:rFonts w:asciiTheme="majorBidi" w:hAnsiTheme="majorBidi" w:cstheme="majorBidi"/>
              <w:color w:val="000000" w:themeColor="text1"/>
              <w:sz w:val="24"/>
              <w:szCs w:val="24"/>
            </w:rPr>
          </w:pPr>
        </w:p>
        <w:p w14:paraId="0E077A48" w14:textId="77777777" w:rsidR="00566F3E" w:rsidRPr="00566F3E" w:rsidRDefault="00566F3E" w:rsidP="009B2457">
          <w:pPr>
            <w:spacing w:line="360" w:lineRule="auto"/>
            <w:ind w:firstLine="0"/>
            <w:jc w:val="both"/>
            <w:rPr>
              <w:rFonts w:asciiTheme="majorBidi" w:hAnsiTheme="majorBidi" w:cstheme="majorBidi"/>
              <w:color w:val="000000" w:themeColor="text1"/>
              <w:sz w:val="24"/>
              <w:szCs w:val="24"/>
            </w:rPr>
          </w:pPr>
        </w:p>
        <w:sdt>
          <w:sdtPr>
            <w:rPr>
              <w:rFonts w:asciiTheme="minorHAnsi" w:eastAsiaTheme="minorEastAsia" w:hAnsiTheme="minorHAnsi" w:cstheme="minorBidi"/>
              <w:b w:val="0"/>
              <w:bCs w:val="0"/>
              <w:color w:val="auto"/>
              <w:sz w:val="24"/>
              <w:szCs w:val="24"/>
            </w:rPr>
            <w:id w:val="1848672598"/>
            <w:docPartObj>
              <w:docPartGallery w:val="Table of Contents"/>
              <w:docPartUnique/>
            </w:docPartObj>
          </w:sdtPr>
          <w:sdtEndPr>
            <w:rPr>
              <w:noProof/>
            </w:rPr>
          </w:sdtEndPr>
          <w:sdtContent>
            <w:p w14:paraId="684AF849" w14:textId="5C11EF5C" w:rsidR="00566F3E" w:rsidRPr="00566F3E" w:rsidRDefault="00566F3E" w:rsidP="00566F3E">
              <w:pPr>
                <w:pStyle w:val="TOCHeading"/>
                <w:numPr>
                  <w:ilvl w:val="0"/>
                  <w:numId w:val="0"/>
                </w:numPr>
                <w:ind w:left="432" w:hanging="432"/>
                <w:rPr>
                  <w:sz w:val="24"/>
                  <w:szCs w:val="24"/>
                </w:rPr>
              </w:pPr>
              <w:r w:rsidRPr="00566F3E">
                <w:rPr>
                  <w:sz w:val="24"/>
                  <w:szCs w:val="24"/>
                </w:rPr>
                <w:t>Table of Contents</w:t>
              </w:r>
            </w:p>
            <w:p w14:paraId="4B54B7CE" w14:textId="5FED920E" w:rsidR="00566F3E" w:rsidRPr="00566F3E" w:rsidRDefault="00566F3E" w:rsidP="00566F3E">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r w:rsidRPr="00566F3E">
                <w:rPr>
                  <w:rFonts w:asciiTheme="majorBidi" w:hAnsiTheme="majorBidi" w:cstheme="majorBidi"/>
                  <w:b w:val="0"/>
                  <w:bCs w:val="0"/>
                  <w:color w:val="000000" w:themeColor="text1"/>
                  <w:szCs w:val="24"/>
                </w:rPr>
                <w:fldChar w:fldCharType="begin"/>
              </w:r>
              <w:r w:rsidRPr="00566F3E">
                <w:rPr>
                  <w:rFonts w:asciiTheme="majorBidi" w:hAnsiTheme="majorBidi" w:cstheme="majorBidi"/>
                  <w:color w:val="000000" w:themeColor="text1"/>
                  <w:szCs w:val="24"/>
                </w:rPr>
                <w:instrText xml:space="preserve"> TOC \o "1-3" \h \z \u </w:instrText>
              </w:r>
              <w:r w:rsidRPr="00566F3E">
                <w:rPr>
                  <w:rFonts w:asciiTheme="majorBidi" w:hAnsiTheme="majorBidi" w:cstheme="majorBidi"/>
                  <w:b w:val="0"/>
                  <w:bCs w:val="0"/>
                  <w:color w:val="000000" w:themeColor="text1"/>
                  <w:szCs w:val="24"/>
                </w:rPr>
                <w:fldChar w:fldCharType="separate"/>
              </w:r>
              <w:hyperlink w:anchor="_Toc232449753" w:history="1">
                <w:r w:rsidRPr="00566F3E">
                  <w:rPr>
                    <w:rStyle w:val="Hyperlink"/>
                    <w:rFonts w:asciiTheme="majorBidi" w:hAnsiTheme="majorBidi" w:cstheme="majorBidi"/>
                    <w:noProof/>
                    <w:color w:val="000000" w:themeColor="text1"/>
                    <w:szCs w:val="24"/>
                  </w:rPr>
                  <w:t>1</w:t>
                </w:r>
                <w:r w:rsidRPr="00566F3E">
                  <w:rPr>
                    <w:rFonts w:asciiTheme="majorBidi" w:hAnsiTheme="majorBidi" w:cstheme="majorBidi"/>
                    <w:b w:val="0"/>
                    <w:bCs w:val="0"/>
                    <w:i w:val="0"/>
                    <w:iCs w:val="0"/>
                    <w:noProof/>
                    <w:color w:val="000000" w:themeColor="text1"/>
                    <w:kern w:val="2"/>
                    <w:szCs w:val="24"/>
                    <w:lang w:eastAsia="en-GB"/>
                    <w14:ligatures w14:val="standardContextual"/>
                  </w:rPr>
                  <w:tab/>
                </w:r>
                <w:r w:rsidRPr="00566F3E">
                  <w:rPr>
                    <w:rStyle w:val="Hyperlink"/>
                    <w:rFonts w:asciiTheme="majorBidi" w:hAnsiTheme="majorBidi" w:cstheme="majorBidi"/>
                    <w:noProof/>
                    <w:color w:val="000000" w:themeColor="text1"/>
                    <w:szCs w:val="24"/>
                  </w:rPr>
                  <w:t>Introduction</w:t>
                </w:r>
                <w:r w:rsidRPr="00566F3E">
                  <w:rPr>
                    <w:rFonts w:asciiTheme="majorBidi" w:hAnsiTheme="majorBidi" w:cstheme="majorBidi"/>
                    <w:noProof/>
                    <w:webHidden/>
                    <w:color w:val="000000" w:themeColor="text1"/>
                    <w:szCs w:val="24"/>
                  </w:rPr>
                  <w:tab/>
                </w:r>
                <w:r w:rsidRPr="00566F3E">
                  <w:rPr>
                    <w:rFonts w:asciiTheme="majorBidi" w:hAnsiTheme="majorBidi" w:cstheme="majorBidi"/>
                    <w:noProof/>
                    <w:webHidden/>
                    <w:color w:val="000000" w:themeColor="text1"/>
                    <w:szCs w:val="24"/>
                  </w:rPr>
                  <w:fldChar w:fldCharType="begin"/>
                </w:r>
                <w:r w:rsidRPr="00566F3E">
                  <w:rPr>
                    <w:rFonts w:asciiTheme="majorBidi" w:hAnsiTheme="majorBidi" w:cstheme="majorBidi"/>
                    <w:noProof/>
                    <w:webHidden/>
                    <w:color w:val="000000" w:themeColor="text1"/>
                    <w:szCs w:val="24"/>
                  </w:rPr>
                  <w:instrText xml:space="preserve"> PAGEREF _Toc232449753 \h </w:instrText>
                </w:r>
                <w:r w:rsidRPr="00566F3E">
                  <w:rPr>
                    <w:rFonts w:asciiTheme="majorBidi" w:hAnsiTheme="majorBidi" w:cstheme="majorBidi"/>
                    <w:noProof/>
                    <w:webHidden/>
                    <w:color w:val="000000" w:themeColor="text1"/>
                    <w:szCs w:val="24"/>
                  </w:rPr>
                </w:r>
                <w:r w:rsidRPr="00566F3E">
                  <w:rPr>
                    <w:rFonts w:asciiTheme="majorBidi" w:hAnsiTheme="majorBidi" w:cstheme="majorBidi"/>
                    <w:noProof/>
                    <w:webHidden/>
                    <w:color w:val="000000" w:themeColor="text1"/>
                    <w:szCs w:val="24"/>
                  </w:rPr>
                  <w:fldChar w:fldCharType="separate"/>
                </w:r>
                <w:r w:rsidRPr="00566F3E">
                  <w:rPr>
                    <w:rFonts w:asciiTheme="majorBidi" w:hAnsiTheme="majorBidi" w:cstheme="majorBidi"/>
                    <w:noProof/>
                    <w:webHidden/>
                    <w:color w:val="000000" w:themeColor="text1"/>
                    <w:szCs w:val="24"/>
                  </w:rPr>
                  <w:t>2</w:t>
                </w:r>
                <w:r w:rsidRPr="00566F3E">
                  <w:rPr>
                    <w:rFonts w:asciiTheme="majorBidi" w:hAnsiTheme="majorBidi" w:cstheme="majorBidi"/>
                    <w:noProof/>
                    <w:webHidden/>
                    <w:color w:val="000000" w:themeColor="text1"/>
                    <w:szCs w:val="24"/>
                  </w:rPr>
                  <w:fldChar w:fldCharType="end"/>
                </w:r>
              </w:hyperlink>
            </w:p>
            <w:p w14:paraId="0C1C339B" w14:textId="4F347B3B" w:rsidR="00566F3E" w:rsidRPr="00566F3E" w:rsidRDefault="00566F3E" w:rsidP="00566F3E">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2449754" w:history="1">
                <w:r w:rsidRPr="00566F3E">
                  <w:rPr>
                    <w:rStyle w:val="Hyperlink"/>
                    <w:rFonts w:asciiTheme="majorBidi" w:hAnsiTheme="majorBidi" w:cstheme="majorBidi"/>
                    <w:noProof/>
                    <w:color w:val="000000" w:themeColor="text1"/>
                    <w:szCs w:val="24"/>
                  </w:rPr>
                  <w:t>2</w:t>
                </w:r>
                <w:r w:rsidRPr="00566F3E">
                  <w:rPr>
                    <w:rFonts w:asciiTheme="majorBidi" w:hAnsiTheme="majorBidi" w:cstheme="majorBidi"/>
                    <w:b w:val="0"/>
                    <w:bCs w:val="0"/>
                    <w:i w:val="0"/>
                    <w:iCs w:val="0"/>
                    <w:noProof/>
                    <w:color w:val="000000" w:themeColor="text1"/>
                    <w:kern w:val="2"/>
                    <w:szCs w:val="24"/>
                    <w:lang w:eastAsia="en-GB"/>
                    <w14:ligatures w14:val="standardContextual"/>
                  </w:rPr>
                  <w:tab/>
                </w:r>
                <w:r w:rsidRPr="00566F3E">
                  <w:rPr>
                    <w:rStyle w:val="Hyperlink"/>
                    <w:rFonts w:asciiTheme="majorBidi" w:hAnsiTheme="majorBidi" w:cstheme="majorBidi"/>
                    <w:noProof/>
                    <w:color w:val="000000" w:themeColor="text1"/>
                    <w:szCs w:val="24"/>
                  </w:rPr>
                  <w:t>Task A: Socialisation, Identity and Business Activism</w:t>
                </w:r>
                <w:r w:rsidRPr="00566F3E">
                  <w:rPr>
                    <w:rFonts w:asciiTheme="majorBidi" w:hAnsiTheme="majorBidi" w:cstheme="majorBidi"/>
                    <w:noProof/>
                    <w:webHidden/>
                    <w:color w:val="000000" w:themeColor="text1"/>
                    <w:szCs w:val="24"/>
                  </w:rPr>
                  <w:tab/>
                </w:r>
                <w:r w:rsidRPr="00566F3E">
                  <w:rPr>
                    <w:rFonts w:asciiTheme="majorBidi" w:hAnsiTheme="majorBidi" w:cstheme="majorBidi"/>
                    <w:noProof/>
                    <w:webHidden/>
                    <w:color w:val="000000" w:themeColor="text1"/>
                    <w:szCs w:val="24"/>
                  </w:rPr>
                  <w:fldChar w:fldCharType="begin"/>
                </w:r>
                <w:r w:rsidRPr="00566F3E">
                  <w:rPr>
                    <w:rFonts w:asciiTheme="majorBidi" w:hAnsiTheme="majorBidi" w:cstheme="majorBidi"/>
                    <w:noProof/>
                    <w:webHidden/>
                    <w:color w:val="000000" w:themeColor="text1"/>
                    <w:szCs w:val="24"/>
                  </w:rPr>
                  <w:instrText xml:space="preserve"> PAGEREF _Toc232449754 \h </w:instrText>
                </w:r>
                <w:r w:rsidRPr="00566F3E">
                  <w:rPr>
                    <w:rFonts w:asciiTheme="majorBidi" w:hAnsiTheme="majorBidi" w:cstheme="majorBidi"/>
                    <w:noProof/>
                    <w:webHidden/>
                    <w:color w:val="000000" w:themeColor="text1"/>
                    <w:szCs w:val="24"/>
                  </w:rPr>
                </w:r>
                <w:r w:rsidRPr="00566F3E">
                  <w:rPr>
                    <w:rFonts w:asciiTheme="majorBidi" w:hAnsiTheme="majorBidi" w:cstheme="majorBidi"/>
                    <w:noProof/>
                    <w:webHidden/>
                    <w:color w:val="000000" w:themeColor="text1"/>
                    <w:szCs w:val="24"/>
                  </w:rPr>
                  <w:fldChar w:fldCharType="separate"/>
                </w:r>
                <w:r w:rsidRPr="00566F3E">
                  <w:rPr>
                    <w:rFonts w:asciiTheme="majorBidi" w:hAnsiTheme="majorBidi" w:cstheme="majorBidi"/>
                    <w:noProof/>
                    <w:webHidden/>
                    <w:color w:val="000000" w:themeColor="text1"/>
                    <w:szCs w:val="24"/>
                  </w:rPr>
                  <w:t>2</w:t>
                </w:r>
                <w:r w:rsidRPr="00566F3E">
                  <w:rPr>
                    <w:rFonts w:asciiTheme="majorBidi" w:hAnsiTheme="majorBidi" w:cstheme="majorBidi"/>
                    <w:noProof/>
                    <w:webHidden/>
                    <w:color w:val="000000" w:themeColor="text1"/>
                    <w:szCs w:val="24"/>
                  </w:rPr>
                  <w:fldChar w:fldCharType="end"/>
                </w:r>
              </w:hyperlink>
            </w:p>
            <w:p w14:paraId="30F465A6" w14:textId="5E1FB0A7"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55" w:history="1">
                <w:r w:rsidRPr="00566F3E">
                  <w:rPr>
                    <w:rStyle w:val="Hyperlink"/>
                    <w:rFonts w:asciiTheme="majorBidi" w:hAnsiTheme="majorBidi" w:cstheme="majorBidi"/>
                    <w:noProof/>
                    <w:color w:val="000000" w:themeColor="text1"/>
                    <w:sz w:val="24"/>
                    <w:szCs w:val="24"/>
                  </w:rPr>
                  <w:t>2.1</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Traditional Onboarding Versus Strategic Organisational Socialisation</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_Toc232449755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2</w:t>
                </w:r>
                <w:r w:rsidRPr="00566F3E">
                  <w:rPr>
                    <w:rFonts w:asciiTheme="majorBidi" w:hAnsiTheme="majorBidi" w:cstheme="majorBidi"/>
                    <w:noProof/>
                    <w:webHidden/>
                    <w:color w:val="000000" w:themeColor="text1"/>
                    <w:sz w:val="24"/>
                    <w:szCs w:val="24"/>
                  </w:rPr>
                  <w:fldChar w:fldCharType="end"/>
                </w:r>
              </w:hyperlink>
            </w:p>
            <w:p w14:paraId="2AEC6ED1" w14:textId="348C0A89"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56" w:history="1">
                <w:r w:rsidRPr="00566F3E">
                  <w:rPr>
                    <w:rStyle w:val="Hyperlink"/>
                    <w:rFonts w:asciiTheme="majorBidi" w:hAnsiTheme="majorBidi" w:cstheme="majorBidi"/>
                    <w:noProof/>
                    <w:color w:val="000000" w:themeColor="text1"/>
                    <w:sz w:val="24"/>
                    <w:szCs w:val="24"/>
                  </w:rPr>
                  <w:t>2.2</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Structured Socialisation Framework for HUM</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_Toc232449756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3</w:t>
                </w:r>
                <w:r w:rsidRPr="00566F3E">
                  <w:rPr>
                    <w:rFonts w:asciiTheme="majorBidi" w:hAnsiTheme="majorBidi" w:cstheme="majorBidi"/>
                    <w:noProof/>
                    <w:webHidden/>
                    <w:color w:val="000000" w:themeColor="text1"/>
                    <w:sz w:val="24"/>
                    <w:szCs w:val="24"/>
                  </w:rPr>
                  <w:fldChar w:fldCharType="end"/>
                </w:r>
              </w:hyperlink>
            </w:p>
            <w:p w14:paraId="4B6415C7" w14:textId="04796670"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57" w:history="1">
                <w:r w:rsidRPr="00566F3E">
                  <w:rPr>
                    <w:rStyle w:val="Hyperlink"/>
                    <w:rFonts w:asciiTheme="majorBidi" w:hAnsiTheme="majorBidi" w:cstheme="majorBidi"/>
                    <w:noProof/>
                    <w:color w:val="000000" w:themeColor="text1"/>
                    <w:sz w:val="24"/>
                    <w:szCs w:val="24"/>
                  </w:rPr>
                  <w:t>2.3</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Cultivating Organisational Identification</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_Toc232449757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4</w:t>
                </w:r>
                <w:r w:rsidRPr="00566F3E">
                  <w:rPr>
                    <w:rFonts w:asciiTheme="majorBidi" w:hAnsiTheme="majorBidi" w:cstheme="majorBidi"/>
                    <w:noProof/>
                    <w:webHidden/>
                    <w:color w:val="000000" w:themeColor="text1"/>
                    <w:sz w:val="24"/>
                    <w:szCs w:val="24"/>
                  </w:rPr>
                  <w:fldChar w:fldCharType="end"/>
                </w:r>
              </w:hyperlink>
            </w:p>
            <w:p w14:paraId="59A44291" w14:textId="12B3803A"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58" w:history="1">
                <w:r w:rsidRPr="00566F3E">
                  <w:rPr>
                    <w:rStyle w:val="Hyperlink"/>
                    <w:rFonts w:asciiTheme="majorBidi" w:hAnsiTheme="majorBidi" w:cstheme="majorBidi"/>
                    <w:noProof/>
                    <w:color w:val="000000" w:themeColor="text1"/>
                    <w:sz w:val="24"/>
                    <w:szCs w:val="24"/>
                  </w:rPr>
                  <w:t>2.4</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Cultivating Ethical Professionalism</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_Toc232449758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5</w:t>
                </w:r>
                <w:r w:rsidRPr="00566F3E">
                  <w:rPr>
                    <w:rFonts w:asciiTheme="majorBidi" w:hAnsiTheme="majorBidi" w:cstheme="majorBidi"/>
                    <w:noProof/>
                    <w:webHidden/>
                    <w:color w:val="000000" w:themeColor="text1"/>
                    <w:sz w:val="24"/>
                    <w:szCs w:val="24"/>
                  </w:rPr>
                  <w:fldChar w:fldCharType="end"/>
                </w:r>
              </w:hyperlink>
            </w:p>
            <w:p w14:paraId="0D9A9543" w14:textId="538A9C64"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59" w:history="1">
                <w:r w:rsidRPr="00566F3E">
                  <w:rPr>
                    <w:rStyle w:val="Hyperlink"/>
                    <w:rFonts w:asciiTheme="majorBidi" w:hAnsiTheme="majorBidi" w:cstheme="majorBidi"/>
                    <w:noProof/>
                    <w:color w:val="000000" w:themeColor="text1"/>
                    <w:sz w:val="24"/>
                    <w:szCs w:val="24"/>
                  </w:rPr>
                  <w:t>2.5</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Cultivating the Business Activist Mindset</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_Toc232449759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5</w:t>
                </w:r>
                <w:r w:rsidRPr="00566F3E">
                  <w:rPr>
                    <w:rFonts w:asciiTheme="majorBidi" w:hAnsiTheme="majorBidi" w:cstheme="majorBidi"/>
                    <w:noProof/>
                    <w:webHidden/>
                    <w:color w:val="000000" w:themeColor="text1"/>
                    <w:sz w:val="24"/>
                    <w:szCs w:val="24"/>
                  </w:rPr>
                  <w:fldChar w:fldCharType="end"/>
                </w:r>
              </w:hyperlink>
            </w:p>
            <w:p w14:paraId="7E5CE3FB" w14:textId="6A1F18D2" w:rsidR="00566F3E" w:rsidRPr="00566F3E" w:rsidRDefault="00566F3E" w:rsidP="00566F3E">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2449760" w:history="1">
                <w:r w:rsidRPr="00566F3E">
                  <w:rPr>
                    <w:rStyle w:val="Hyperlink"/>
                    <w:rFonts w:asciiTheme="majorBidi" w:hAnsiTheme="majorBidi" w:cstheme="majorBidi"/>
                    <w:noProof/>
                    <w:color w:val="000000" w:themeColor="text1"/>
                    <w:szCs w:val="24"/>
                  </w:rPr>
                  <w:t>3</w:t>
                </w:r>
                <w:r w:rsidRPr="00566F3E">
                  <w:rPr>
                    <w:rFonts w:asciiTheme="majorBidi" w:hAnsiTheme="majorBidi" w:cstheme="majorBidi"/>
                    <w:b w:val="0"/>
                    <w:bCs w:val="0"/>
                    <w:i w:val="0"/>
                    <w:iCs w:val="0"/>
                    <w:noProof/>
                    <w:color w:val="000000" w:themeColor="text1"/>
                    <w:kern w:val="2"/>
                    <w:szCs w:val="24"/>
                    <w:lang w:eastAsia="en-GB"/>
                    <w14:ligatures w14:val="standardContextual"/>
                  </w:rPr>
                  <w:tab/>
                </w:r>
                <w:r w:rsidRPr="00566F3E">
                  <w:rPr>
                    <w:rStyle w:val="Hyperlink"/>
                    <w:rFonts w:asciiTheme="majorBidi" w:hAnsiTheme="majorBidi" w:cstheme="majorBidi"/>
                    <w:noProof/>
                    <w:color w:val="000000" w:themeColor="text1"/>
                    <w:szCs w:val="24"/>
                  </w:rPr>
                  <w:t>Task B: Job Design</w:t>
                </w:r>
                <w:r w:rsidRPr="00566F3E">
                  <w:rPr>
                    <w:rFonts w:asciiTheme="majorBidi" w:hAnsiTheme="majorBidi" w:cstheme="majorBidi"/>
                    <w:noProof/>
                    <w:webHidden/>
                    <w:color w:val="000000" w:themeColor="text1"/>
                    <w:szCs w:val="24"/>
                  </w:rPr>
                  <w:tab/>
                </w:r>
                <w:r w:rsidRPr="00566F3E">
                  <w:rPr>
                    <w:rFonts w:asciiTheme="majorBidi" w:hAnsiTheme="majorBidi" w:cstheme="majorBidi"/>
                    <w:noProof/>
                    <w:webHidden/>
                    <w:color w:val="000000" w:themeColor="text1"/>
                    <w:szCs w:val="24"/>
                  </w:rPr>
                  <w:fldChar w:fldCharType="begin"/>
                </w:r>
                <w:r w:rsidRPr="00566F3E">
                  <w:rPr>
                    <w:rFonts w:asciiTheme="majorBidi" w:hAnsiTheme="majorBidi" w:cstheme="majorBidi"/>
                    <w:noProof/>
                    <w:webHidden/>
                    <w:color w:val="000000" w:themeColor="text1"/>
                    <w:szCs w:val="24"/>
                  </w:rPr>
                  <w:instrText xml:space="preserve"> PAGEREF _Toc232449760 \h </w:instrText>
                </w:r>
                <w:r w:rsidRPr="00566F3E">
                  <w:rPr>
                    <w:rFonts w:asciiTheme="majorBidi" w:hAnsiTheme="majorBidi" w:cstheme="majorBidi"/>
                    <w:noProof/>
                    <w:webHidden/>
                    <w:color w:val="000000" w:themeColor="text1"/>
                    <w:szCs w:val="24"/>
                  </w:rPr>
                </w:r>
                <w:r w:rsidRPr="00566F3E">
                  <w:rPr>
                    <w:rFonts w:asciiTheme="majorBidi" w:hAnsiTheme="majorBidi" w:cstheme="majorBidi"/>
                    <w:noProof/>
                    <w:webHidden/>
                    <w:color w:val="000000" w:themeColor="text1"/>
                    <w:szCs w:val="24"/>
                  </w:rPr>
                  <w:fldChar w:fldCharType="separate"/>
                </w:r>
                <w:r w:rsidRPr="00566F3E">
                  <w:rPr>
                    <w:rFonts w:asciiTheme="majorBidi" w:hAnsiTheme="majorBidi" w:cstheme="majorBidi"/>
                    <w:noProof/>
                    <w:webHidden/>
                    <w:color w:val="000000" w:themeColor="text1"/>
                    <w:szCs w:val="24"/>
                  </w:rPr>
                  <w:t>5</w:t>
                </w:r>
                <w:r w:rsidRPr="00566F3E">
                  <w:rPr>
                    <w:rFonts w:asciiTheme="majorBidi" w:hAnsiTheme="majorBidi" w:cstheme="majorBidi"/>
                    <w:noProof/>
                    <w:webHidden/>
                    <w:color w:val="000000" w:themeColor="text1"/>
                    <w:szCs w:val="24"/>
                  </w:rPr>
                  <w:fldChar w:fldCharType="end"/>
                </w:r>
              </w:hyperlink>
            </w:p>
            <w:p w14:paraId="4CA320AC" w14:textId="4178B79F"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1" w:history="1">
                <w:r w:rsidRPr="00566F3E">
                  <w:rPr>
                    <w:rStyle w:val="Hyperlink"/>
                    <w:rFonts w:asciiTheme="majorBidi" w:hAnsiTheme="majorBidi" w:cstheme="majorBidi"/>
                    <w:noProof/>
                    <w:color w:val="000000" w:themeColor="text1"/>
                    <w:sz w:val="24"/>
                    <w:szCs w:val="24"/>
                  </w:rPr>
                  <w:t>3.1</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Innovative Job Design Strategy</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_Toc232449761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6</w:t>
                </w:r>
                <w:r w:rsidRPr="00566F3E">
                  <w:rPr>
                    <w:rFonts w:asciiTheme="majorBidi" w:hAnsiTheme="majorBidi" w:cstheme="majorBidi"/>
                    <w:noProof/>
                    <w:webHidden/>
                    <w:color w:val="000000" w:themeColor="text1"/>
                    <w:sz w:val="24"/>
                    <w:szCs w:val="24"/>
                  </w:rPr>
                  <w:fldChar w:fldCharType="end"/>
                </w:r>
              </w:hyperlink>
            </w:p>
            <w:p w14:paraId="29295681" w14:textId="7791BE6D"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2" w:history="1">
                <w:r w:rsidRPr="00566F3E">
                  <w:rPr>
                    <w:rStyle w:val="Hyperlink"/>
                    <w:rFonts w:asciiTheme="majorBidi" w:hAnsiTheme="majorBidi" w:cstheme="majorBidi"/>
                    <w:noProof/>
                    <w:color w:val="000000" w:themeColor="text1"/>
                    <w:sz w:val="24"/>
                    <w:szCs w:val="24"/>
                  </w:rPr>
                  <w:t>3.2</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Mission-Based Squads</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_Toc232449762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6</w:t>
                </w:r>
                <w:r w:rsidRPr="00566F3E">
                  <w:rPr>
                    <w:rFonts w:asciiTheme="majorBidi" w:hAnsiTheme="majorBidi" w:cstheme="majorBidi"/>
                    <w:noProof/>
                    <w:webHidden/>
                    <w:color w:val="000000" w:themeColor="text1"/>
                    <w:sz w:val="24"/>
                    <w:szCs w:val="24"/>
                  </w:rPr>
                  <w:fldChar w:fldCharType="end"/>
                </w:r>
              </w:hyperlink>
            </w:p>
            <w:p w14:paraId="31E85B8B" w14:textId="0BE09C54"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3" w:history="1">
                <w:r w:rsidRPr="00566F3E">
                  <w:rPr>
                    <w:rStyle w:val="Hyperlink"/>
                    <w:rFonts w:asciiTheme="majorBidi" w:hAnsiTheme="majorBidi" w:cstheme="majorBidi"/>
                    <w:noProof/>
                    <w:color w:val="000000" w:themeColor="text1"/>
                    <w:sz w:val="24"/>
                    <w:szCs w:val="24"/>
                  </w:rPr>
                  <w:t>3.3</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Guided Job Crafting</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_Toc232449763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7</w:t>
                </w:r>
                <w:r w:rsidRPr="00566F3E">
                  <w:rPr>
                    <w:rFonts w:asciiTheme="majorBidi" w:hAnsiTheme="majorBidi" w:cstheme="majorBidi"/>
                    <w:noProof/>
                    <w:webHidden/>
                    <w:color w:val="000000" w:themeColor="text1"/>
                    <w:sz w:val="24"/>
                    <w:szCs w:val="24"/>
                  </w:rPr>
                  <w:fldChar w:fldCharType="end"/>
                </w:r>
              </w:hyperlink>
            </w:p>
            <w:p w14:paraId="3A0CC4AE" w14:textId="3D4C13A1"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4" w:history="1">
                <w:r w:rsidRPr="00566F3E">
                  <w:rPr>
                    <w:rStyle w:val="Hyperlink"/>
                    <w:rFonts w:asciiTheme="majorBidi" w:hAnsiTheme="majorBidi" w:cstheme="majorBidi"/>
                    <w:noProof/>
                    <w:color w:val="000000" w:themeColor="text1"/>
                    <w:sz w:val="24"/>
                    <w:szCs w:val="24"/>
                  </w:rPr>
                  <w:t>3.4</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Internal Talent Marketplace and Skills-Based Architecture</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_Toc232449764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7</w:t>
                </w:r>
                <w:r w:rsidRPr="00566F3E">
                  <w:rPr>
                    <w:rFonts w:asciiTheme="majorBidi" w:hAnsiTheme="majorBidi" w:cstheme="majorBidi"/>
                    <w:noProof/>
                    <w:webHidden/>
                    <w:color w:val="000000" w:themeColor="text1"/>
                    <w:sz w:val="24"/>
                    <w:szCs w:val="24"/>
                  </w:rPr>
                  <w:fldChar w:fldCharType="end"/>
                </w:r>
              </w:hyperlink>
            </w:p>
            <w:p w14:paraId="16E2113E" w14:textId="6B830F67"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5" w:history="1">
                <w:r w:rsidRPr="00566F3E">
                  <w:rPr>
                    <w:rStyle w:val="Hyperlink"/>
                    <w:rFonts w:asciiTheme="majorBidi" w:hAnsiTheme="majorBidi" w:cstheme="majorBidi"/>
                    <w:noProof/>
                    <w:color w:val="000000" w:themeColor="text1"/>
                    <w:sz w:val="24"/>
                    <w:szCs w:val="24"/>
                  </w:rPr>
                  <w:t>3.5</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Stimulating Intrinsic Motivation</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_Toc232449765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8</w:t>
                </w:r>
                <w:r w:rsidRPr="00566F3E">
                  <w:rPr>
                    <w:rFonts w:asciiTheme="majorBidi" w:hAnsiTheme="majorBidi" w:cstheme="majorBidi"/>
                    <w:noProof/>
                    <w:webHidden/>
                    <w:color w:val="000000" w:themeColor="text1"/>
                    <w:sz w:val="24"/>
                    <w:szCs w:val="24"/>
                  </w:rPr>
                  <w:fldChar w:fldCharType="end"/>
                </w:r>
              </w:hyperlink>
            </w:p>
            <w:p w14:paraId="79BC3CAE" w14:textId="06E7823A"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6" w:history="1">
                <w:r w:rsidRPr="00566F3E">
                  <w:rPr>
                    <w:rStyle w:val="Hyperlink"/>
                    <w:rFonts w:asciiTheme="majorBidi" w:hAnsiTheme="majorBidi" w:cstheme="majorBidi"/>
                    <w:noProof/>
                    <w:color w:val="000000" w:themeColor="text1"/>
                    <w:sz w:val="24"/>
                    <w:szCs w:val="24"/>
                  </w:rPr>
                  <w:t>3.6</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Supporting Innovation</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_Toc232449766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8</w:t>
                </w:r>
                <w:r w:rsidRPr="00566F3E">
                  <w:rPr>
                    <w:rFonts w:asciiTheme="majorBidi" w:hAnsiTheme="majorBidi" w:cstheme="majorBidi"/>
                    <w:noProof/>
                    <w:webHidden/>
                    <w:color w:val="000000" w:themeColor="text1"/>
                    <w:sz w:val="24"/>
                    <w:szCs w:val="24"/>
                  </w:rPr>
                  <w:fldChar w:fldCharType="end"/>
                </w:r>
              </w:hyperlink>
            </w:p>
            <w:p w14:paraId="4570D227" w14:textId="72D49A29" w:rsidR="00566F3E" w:rsidRPr="00566F3E" w:rsidRDefault="00566F3E" w:rsidP="00566F3E">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2449767" w:history="1">
                <w:r w:rsidRPr="00566F3E">
                  <w:rPr>
                    <w:rStyle w:val="Hyperlink"/>
                    <w:rFonts w:asciiTheme="majorBidi" w:hAnsiTheme="majorBidi" w:cstheme="majorBidi"/>
                    <w:noProof/>
                    <w:color w:val="000000" w:themeColor="text1"/>
                    <w:szCs w:val="24"/>
                  </w:rPr>
                  <w:t>4</w:t>
                </w:r>
                <w:r w:rsidRPr="00566F3E">
                  <w:rPr>
                    <w:rFonts w:asciiTheme="majorBidi" w:hAnsiTheme="majorBidi" w:cstheme="majorBidi"/>
                    <w:b w:val="0"/>
                    <w:bCs w:val="0"/>
                    <w:i w:val="0"/>
                    <w:iCs w:val="0"/>
                    <w:noProof/>
                    <w:color w:val="000000" w:themeColor="text1"/>
                    <w:kern w:val="2"/>
                    <w:szCs w:val="24"/>
                    <w:lang w:eastAsia="en-GB"/>
                    <w14:ligatures w14:val="standardContextual"/>
                  </w:rPr>
                  <w:tab/>
                </w:r>
                <w:r w:rsidRPr="00566F3E">
                  <w:rPr>
                    <w:rStyle w:val="Hyperlink"/>
                    <w:rFonts w:asciiTheme="majorBidi" w:hAnsiTheme="majorBidi" w:cstheme="majorBidi"/>
                    <w:noProof/>
                    <w:color w:val="000000" w:themeColor="text1"/>
                    <w:szCs w:val="24"/>
                  </w:rPr>
                  <w:t>Task C: Reflective Report</w:t>
                </w:r>
                <w:r w:rsidRPr="00566F3E">
                  <w:rPr>
                    <w:rFonts w:asciiTheme="majorBidi" w:hAnsiTheme="majorBidi" w:cstheme="majorBidi"/>
                    <w:noProof/>
                    <w:webHidden/>
                    <w:color w:val="000000" w:themeColor="text1"/>
                    <w:szCs w:val="24"/>
                  </w:rPr>
                  <w:tab/>
                </w:r>
                <w:r w:rsidRPr="00566F3E">
                  <w:rPr>
                    <w:rFonts w:asciiTheme="majorBidi" w:hAnsiTheme="majorBidi" w:cstheme="majorBidi"/>
                    <w:noProof/>
                    <w:webHidden/>
                    <w:color w:val="000000" w:themeColor="text1"/>
                    <w:szCs w:val="24"/>
                  </w:rPr>
                  <w:fldChar w:fldCharType="begin"/>
                </w:r>
                <w:r w:rsidRPr="00566F3E">
                  <w:rPr>
                    <w:rFonts w:asciiTheme="majorBidi" w:hAnsiTheme="majorBidi" w:cstheme="majorBidi"/>
                    <w:noProof/>
                    <w:webHidden/>
                    <w:color w:val="000000" w:themeColor="text1"/>
                    <w:szCs w:val="24"/>
                  </w:rPr>
                  <w:instrText xml:space="preserve"> PAGEREF _Toc232449767 \h </w:instrText>
                </w:r>
                <w:r w:rsidRPr="00566F3E">
                  <w:rPr>
                    <w:rFonts w:asciiTheme="majorBidi" w:hAnsiTheme="majorBidi" w:cstheme="majorBidi"/>
                    <w:noProof/>
                    <w:webHidden/>
                    <w:color w:val="000000" w:themeColor="text1"/>
                    <w:szCs w:val="24"/>
                  </w:rPr>
                </w:r>
                <w:r w:rsidRPr="00566F3E">
                  <w:rPr>
                    <w:rFonts w:asciiTheme="majorBidi" w:hAnsiTheme="majorBidi" w:cstheme="majorBidi"/>
                    <w:noProof/>
                    <w:webHidden/>
                    <w:color w:val="000000" w:themeColor="text1"/>
                    <w:szCs w:val="24"/>
                  </w:rPr>
                  <w:fldChar w:fldCharType="separate"/>
                </w:r>
                <w:r w:rsidRPr="00566F3E">
                  <w:rPr>
                    <w:rFonts w:asciiTheme="majorBidi" w:hAnsiTheme="majorBidi" w:cstheme="majorBidi"/>
                    <w:noProof/>
                    <w:webHidden/>
                    <w:color w:val="000000" w:themeColor="text1"/>
                    <w:szCs w:val="24"/>
                  </w:rPr>
                  <w:t>9</w:t>
                </w:r>
                <w:r w:rsidRPr="00566F3E">
                  <w:rPr>
                    <w:rFonts w:asciiTheme="majorBidi" w:hAnsiTheme="majorBidi" w:cstheme="majorBidi"/>
                    <w:noProof/>
                    <w:webHidden/>
                    <w:color w:val="000000" w:themeColor="text1"/>
                    <w:szCs w:val="24"/>
                  </w:rPr>
                  <w:fldChar w:fldCharType="end"/>
                </w:r>
              </w:hyperlink>
            </w:p>
            <w:p w14:paraId="143AEE13" w14:textId="49451851"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8" w:history="1">
                <w:r w:rsidRPr="00566F3E">
                  <w:rPr>
                    <w:rStyle w:val="Hyperlink"/>
                    <w:rFonts w:asciiTheme="majorBidi" w:hAnsiTheme="majorBidi" w:cstheme="majorBidi"/>
                    <w:noProof/>
                    <w:color w:val="000000" w:themeColor="text1"/>
                    <w:sz w:val="24"/>
                    <w:szCs w:val="24"/>
                  </w:rPr>
                  <w:t>4.1</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Using AI as a Decision-Support Tool Without Eroding Human Judgement</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_Toc232449768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9</w:t>
                </w:r>
                <w:r w:rsidRPr="00566F3E">
                  <w:rPr>
                    <w:rFonts w:asciiTheme="majorBidi" w:hAnsiTheme="majorBidi" w:cstheme="majorBidi"/>
                    <w:noProof/>
                    <w:webHidden/>
                    <w:color w:val="000000" w:themeColor="text1"/>
                    <w:sz w:val="24"/>
                    <w:szCs w:val="24"/>
                  </w:rPr>
                  <w:fldChar w:fldCharType="end"/>
                </w:r>
              </w:hyperlink>
            </w:p>
            <w:p w14:paraId="33CC0274" w14:textId="1B65DB3B"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9" w:history="1">
                <w:r w:rsidRPr="00566F3E">
                  <w:rPr>
                    <w:rStyle w:val="Hyperlink"/>
                    <w:rFonts w:asciiTheme="majorBidi" w:hAnsiTheme="majorBidi" w:cstheme="majorBidi"/>
                    <w:noProof/>
                    <w:color w:val="000000" w:themeColor="text1"/>
                    <w:sz w:val="24"/>
                    <w:szCs w:val="24"/>
                  </w:rPr>
                  <w:t>4.2</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Personal Capability Development Plan</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_Toc232449769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10</w:t>
                </w:r>
                <w:r w:rsidRPr="00566F3E">
                  <w:rPr>
                    <w:rFonts w:asciiTheme="majorBidi" w:hAnsiTheme="majorBidi" w:cstheme="majorBidi"/>
                    <w:noProof/>
                    <w:webHidden/>
                    <w:color w:val="000000" w:themeColor="text1"/>
                    <w:sz w:val="24"/>
                    <w:szCs w:val="24"/>
                  </w:rPr>
                  <w:fldChar w:fldCharType="end"/>
                </w:r>
              </w:hyperlink>
            </w:p>
            <w:p w14:paraId="3486F4C8" w14:textId="406E8293" w:rsidR="00566F3E" w:rsidRPr="00566F3E" w:rsidRDefault="00566F3E" w:rsidP="00566F3E">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2449770" w:history="1">
                <w:r w:rsidRPr="00566F3E">
                  <w:rPr>
                    <w:rStyle w:val="Hyperlink"/>
                    <w:rFonts w:asciiTheme="majorBidi" w:hAnsiTheme="majorBidi" w:cstheme="majorBidi"/>
                    <w:noProof/>
                    <w:color w:val="000000" w:themeColor="text1"/>
                    <w:szCs w:val="24"/>
                  </w:rPr>
                  <w:t>5</w:t>
                </w:r>
                <w:r w:rsidRPr="00566F3E">
                  <w:rPr>
                    <w:rFonts w:asciiTheme="majorBidi" w:hAnsiTheme="majorBidi" w:cstheme="majorBidi"/>
                    <w:b w:val="0"/>
                    <w:bCs w:val="0"/>
                    <w:i w:val="0"/>
                    <w:iCs w:val="0"/>
                    <w:noProof/>
                    <w:color w:val="000000" w:themeColor="text1"/>
                    <w:kern w:val="2"/>
                    <w:szCs w:val="24"/>
                    <w:lang w:eastAsia="en-GB"/>
                    <w14:ligatures w14:val="standardContextual"/>
                  </w:rPr>
                  <w:tab/>
                </w:r>
                <w:r w:rsidRPr="00566F3E">
                  <w:rPr>
                    <w:rStyle w:val="Hyperlink"/>
                    <w:rFonts w:asciiTheme="majorBidi" w:hAnsiTheme="majorBidi" w:cstheme="majorBidi"/>
                    <w:noProof/>
                    <w:color w:val="000000" w:themeColor="text1"/>
                    <w:szCs w:val="24"/>
                  </w:rPr>
                  <w:t>Conclusion</w:t>
                </w:r>
                <w:r w:rsidRPr="00566F3E">
                  <w:rPr>
                    <w:rFonts w:asciiTheme="majorBidi" w:hAnsiTheme="majorBidi" w:cstheme="majorBidi"/>
                    <w:noProof/>
                    <w:webHidden/>
                    <w:color w:val="000000" w:themeColor="text1"/>
                    <w:szCs w:val="24"/>
                  </w:rPr>
                  <w:tab/>
                </w:r>
                <w:r w:rsidRPr="00566F3E">
                  <w:rPr>
                    <w:rFonts w:asciiTheme="majorBidi" w:hAnsiTheme="majorBidi" w:cstheme="majorBidi"/>
                    <w:noProof/>
                    <w:webHidden/>
                    <w:color w:val="000000" w:themeColor="text1"/>
                    <w:szCs w:val="24"/>
                  </w:rPr>
                  <w:fldChar w:fldCharType="begin"/>
                </w:r>
                <w:r w:rsidRPr="00566F3E">
                  <w:rPr>
                    <w:rFonts w:asciiTheme="majorBidi" w:hAnsiTheme="majorBidi" w:cstheme="majorBidi"/>
                    <w:noProof/>
                    <w:webHidden/>
                    <w:color w:val="000000" w:themeColor="text1"/>
                    <w:szCs w:val="24"/>
                  </w:rPr>
                  <w:instrText xml:space="preserve"> PAGEREF _Toc232449770 \h </w:instrText>
                </w:r>
                <w:r w:rsidRPr="00566F3E">
                  <w:rPr>
                    <w:rFonts w:asciiTheme="majorBidi" w:hAnsiTheme="majorBidi" w:cstheme="majorBidi"/>
                    <w:noProof/>
                    <w:webHidden/>
                    <w:color w:val="000000" w:themeColor="text1"/>
                    <w:szCs w:val="24"/>
                  </w:rPr>
                </w:r>
                <w:r w:rsidRPr="00566F3E">
                  <w:rPr>
                    <w:rFonts w:asciiTheme="majorBidi" w:hAnsiTheme="majorBidi" w:cstheme="majorBidi"/>
                    <w:noProof/>
                    <w:webHidden/>
                    <w:color w:val="000000" w:themeColor="text1"/>
                    <w:szCs w:val="24"/>
                  </w:rPr>
                  <w:fldChar w:fldCharType="separate"/>
                </w:r>
                <w:r w:rsidRPr="00566F3E">
                  <w:rPr>
                    <w:rFonts w:asciiTheme="majorBidi" w:hAnsiTheme="majorBidi" w:cstheme="majorBidi"/>
                    <w:noProof/>
                    <w:webHidden/>
                    <w:color w:val="000000" w:themeColor="text1"/>
                    <w:szCs w:val="24"/>
                  </w:rPr>
                  <w:t>10</w:t>
                </w:r>
                <w:r w:rsidRPr="00566F3E">
                  <w:rPr>
                    <w:rFonts w:asciiTheme="majorBidi" w:hAnsiTheme="majorBidi" w:cstheme="majorBidi"/>
                    <w:noProof/>
                    <w:webHidden/>
                    <w:color w:val="000000" w:themeColor="text1"/>
                    <w:szCs w:val="24"/>
                  </w:rPr>
                  <w:fldChar w:fldCharType="end"/>
                </w:r>
              </w:hyperlink>
            </w:p>
            <w:p w14:paraId="386971ED" w14:textId="4D6A7C44" w:rsidR="00566F3E" w:rsidRPr="00566F3E" w:rsidRDefault="00566F3E" w:rsidP="00566F3E">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2449771" w:history="1">
                <w:r w:rsidRPr="00566F3E">
                  <w:rPr>
                    <w:rStyle w:val="Hyperlink"/>
                    <w:rFonts w:asciiTheme="majorBidi" w:hAnsiTheme="majorBidi" w:cstheme="majorBidi"/>
                    <w:noProof/>
                    <w:color w:val="000000" w:themeColor="text1"/>
                    <w:szCs w:val="24"/>
                  </w:rPr>
                  <w:t>6</w:t>
                </w:r>
                <w:r w:rsidRPr="00566F3E">
                  <w:rPr>
                    <w:rFonts w:asciiTheme="majorBidi" w:hAnsiTheme="majorBidi" w:cstheme="majorBidi"/>
                    <w:b w:val="0"/>
                    <w:bCs w:val="0"/>
                    <w:i w:val="0"/>
                    <w:iCs w:val="0"/>
                    <w:noProof/>
                    <w:color w:val="000000" w:themeColor="text1"/>
                    <w:kern w:val="2"/>
                    <w:szCs w:val="24"/>
                    <w:lang w:eastAsia="en-GB"/>
                    <w14:ligatures w14:val="standardContextual"/>
                  </w:rPr>
                  <w:tab/>
                </w:r>
                <w:r w:rsidRPr="00566F3E">
                  <w:rPr>
                    <w:rStyle w:val="Hyperlink"/>
                    <w:rFonts w:asciiTheme="majorBidi" w:hAnsiTheme="majorBidi" w:cstheme="majorBidi"/>
                    <w:noProof/>
                    <w:color w:val="000000" w:themeColor="text1"/>
                    <w:szCs w:val="24"/>
                  </w:rPr>
                  <w:t>References</w:t>
                </w:r>
                <w:r w:rsidRPr="00566F3E">
                  <w:rPr>
                    <w:rFonts w:asciiTheme="majorBidi" w:hAnsiTheme="majorBidi" w:cstheme="majorBidi"/>
                    <w:noProof/>
                    <w:webHidden/>
                    <w:color w:val="000000" w:themeColor="text1"/>
                    <w:szCs w:val="24"/>
                  </w:rPr>
                  <w:tab/>
                </w:r>
                <w:r w:rsidRPr="00566F3E">
                  <w:rPr>
                    <w:rFonts w:asciiTheme="majorBidi" w:hAnsiTheme="majorBidi" w:cstheme="majorBidi"/>
                    <w:noProof/>
                    <w:webHidden/>
                    <w:color w:val="000000" w:themeColor="text1"/>
                    <w:szCs w:val="24"/>
                  </w:rPr>
                  <w:fldChar w:fldCharType="begin"/>
                </w:r>
                <w:r w:rsidRPr="00566F3E">
                  <w:rPr>
                    <w:rFonts w:asciiTheme="majorBidi" w:hAnsiTheme="majorBidi" w:cstheme="majorBidi"/>
                    <w:noProof/>
                    <w:webHidden/>
                    <w:color w:val="000000" w:themeColor="text1"/>
                    <w:szCs w:val="24"/>
                  </w:rPr>
                  <w:instrText xml:space="preserve"> PAGEREF _Toc232449771 \h </w:instrText>
                </w:r>
                <w:r w:rsidRPr="00566F3E">
                  <w:rPr>
                    <w:rFonts w:asciiTheme="majorBidi" w:hAnsiTheme="majorBidi" w:cstheme="majorBidi"/>
                    <w:noProof/>
                    <w:webHidden/>
                    <w:color w:val="000000" w:themeColor="text1"/>
                    <w:szCs w:val="24"/>
                  </w:rPr>
                </w:r>
                <w:r w:rsidRPr="00566F3E">
                  <w:rPr>
                    <w:rFonts w:asciiTheme="majorBidi" w:hAnsiTheme="majorBidi" w:cstheme="majorBidi"/>
                    <w:noProof/>
                    <w:webHidden/>
                    <w:color w:val="000000" w:themeColor="text1"/>
                    <w:szCs w:val="24"/>
                  </w:rPr>
                  <w:fldChar w:fldCharType="separate"/>
                </w:r>
                <w:r w:rsidRPr="00566F3E">
                  <w:rPr>
                    <w:rFonts w:asciiTheme="majorBidi" w:hAnsiTheme="majorBidi" w:cstheme="majorBidi"/>
                    <w:noProof/>
                    <w:webHidden/>
                    <w:color w:val="000000" w:themeColor="text1"/>
                    <w:szCs w:val="24"/>
                  </w:rPr>
                  <w:t>11</w:t>
                </w:r>
                <w:r w:rsidRPr="00566F3E">
                  <w:rPr>
                    <w:rFonts w:asciiTheme="majorBidi" w:hAnsiTheme="majorBidi" w:cstheme="majorBidi"/>
                    <w:noProof/>
                    <w:webHidden/>
                    <w:color w:val="000000" w:themeColor="text1"/>
                    <w:szCs w:val="24"/>
                  </w:rPr>
                  <w:fldChar w:fldCharType="end"/>
                </w:r>
              </w:hyperlink>
            </w:p>
            <w:p w14:paraId="1F2404D4" w14:textId="40445FB3" w:rsidR="00566F3E" w:rsidRPr="00566F3E" w:rsidRDefault="00566F3E"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b/>
                  <w:bCs/>
                  <w:noProof/>
                  <w:color w:val="000000" w:themeColor="text1"/>
                  <w:sz w:val="24"/>
                  <w:szCs w:val="24"/>
                </w:rPr>
                <w:fldChar w:fldCharType="end"/>
              </w:r>
            </w:p>
          </w:sdtContent>
        </w:sdt>
        <w:p w14:paraId="4EE11901" w14:textId="0FC18491" w:rsidR="00654523" w:rsidRPr="00566F3E" w:rsidRDefault="00654523"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br w:type="page"/>
          </w:r>
        </w:p>
      </w:sdtContent>
    </w:sdt>
    <w:p w14:paraId="5CD22B46" w14:textId="77777777" w:rsidR="00EB6F16" w:rsidRPr="00566F3E" w:rsidRDefault="00EB6F16" w:rsidP="00566F3E">
      <w:pPr>
        <w:pStyle w:val="Heading1"/>
        <w:rPr>
          <w:sz w:val="24"/>
          <w:szCs w:val="24"/>
        </w:rPr>
      </w:pPr>
      <w:bookmarkStart w:id="0" w:name="_Toc232449753"/>
      <w:r w:rsidRPr="00566F3E">
        <w:rPr>
          <w:sz w:val="24"/>
          <w:szCs w:val="24"/>
        </w:rPr>
        <w:lastRenderedPageBreak/>
        <w:t>Introduction</w:t>
      </w:r>
      <w:bookmarkEnd w:id="0"/>
    </w:p>
    <w:p w14:paraId="090F4B5D"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Helios Urban Mobility (HUM) is an urban mobility start-up based in Europe and with 450 employees in London, Berlin and Singapore. It's built on an AI-powered electric mobility solutions and smart infrastructure analytics for cities business model. The eight month ramp up time, the low engagement of 54% and high attrition of high potential graduates, however, are three interconnected people issues that have arisen as HUM has grown quickly. They are not just HR problems, they are strategic human capital problems because it's essential for HUM's competitiveness to have knowledge integration, innovation, and ethical use of AI, along with employee commitment.</w:t>
      </w:r>
    </w:p>
    <w:p w14:paraId="2ACAE6D5"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broader employment picture increases the need for action and intervention. According to Gallup's 2026 global workplace report, only 20% of employees around the world are engaged and Gallup estimates that low engagement costs the global economy $10 trillion in lost productivity. Analytical thinking, AI and BIG data, Leadership and Talent Management are also workforce skills listed as priorities for 2025-2030 by the World Economic Forum (2025). The trends show that HUM needs to rethink its human architecture based on engagement, skills, identity and responsible innovation, instead of the traditional HR administration.</w:t>
      </w:r>
    </w:p>
    <w:p w14:paraId="73CD19E0" w14:textId="38781C1C"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This report offers a strategic human capital design of HUM. Task A develops a system for socialisation to become “ organisational citizens”. Task B suggests an approach for designing the job with the aim of motivating and innovating. Task C is an aftertasting of responsible use of Artificial Intelligence and development of personal capabilities. The report will focus on the learning outcomes as it critically reviews existing HRM scholarship and uses it to design fair, effective and strategically fit HR policies.</w:t>
      </w:r>
    </w:p>
    <w:p w14:paraId="1E66A6E1" w14:textId="77777777" w:rsidR="00EB6F16" w:rsidRPr="00566F3E" w:rsidRDefault="00EB6F16" w:rsidP="00566F3E">
      <w:pPr>
        <w:pStyle w:val="Heading1"/>
        <w:rPr>
          <w:sz w:val="24"/>
          <w:szCs w:val="24"/>
        </w:rPr>
      </w:pPr>
      <w:bookmarkStart w:id="1" w:name="_Toc232449754"/>
      <w:r w:rsidRPr="00566F3E">
        <w:rPr>
          <w:sz w:val="24"/>
          <w:szCs w:val="24"/>
        </w:rPr>
        <w:t>Task A: Socialisation, Identity and Business Activism</w:t>
      </w:r>
      <w:bookmarkEnd w:id="1"/>
    </w:p>
    <w:p w14:paraId="631CCCFE" w14:textId="77777777" w:rsidR="00EB6F16" w:rsidRPr="00566F3E" w:rsidRDefault="00EB6F16" w:rsidP="00566F3E">
      <w:pPr>
        <w:pStyle w:val="Heading2"/>
        <w:spacing w:line="360" w:lineRule="auto"/>
        <w:jc w:val="both"/>
      </w:pPr>
      <w:bookmarkStart w:id="2" w:name="_Toc232449755"/>
      <w:r w:rsidRPr="00566F3E">
        <w:t>Traditional Onboarding Versus Strategic Organisational Socialisation</w:t>
      </w:r>
      <w:bookmarkEnd w:id="2"/>
    </w:p>
    <w:p w14:paraId="15F6EB81"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 xml:space="preserve">Usually, the traditional onboarding process is brief and is geared more towards tasks like processing payroll, signing documents, compliance training, signing on to IT systems and introductory meetings. The necessary activities are necessary, but not enough for a more complex start-up like HUM where the employees need to acquire technical systems, cross-border cooperation, expectations, ethical duties and more. But research on newcomer adjustment has found that besides information transfer, role clarity, self-efficacy, social acceptance, and cultural learning are important for newcomer adjustment (Bauer et al., 2007; </w:t>
      </w:r>
      <w:r w:rsidRPr="00566F3E">
        <w:rPr>
          <w:rFonts w:asciiTheme="majorBidi" w:hAnsiTheme="majorBidi" w:cstheme="majorBidi"/>
          <w:color w:val="000000" w:themeColor="text1"/>
          <w:sz w:val="24"/>
          <w:szCs w:val="24"/>
        </w:rPr>
        <w:lastRenderedPageBreak/>
        <w:t xml:space="preserve">Saks, 2018; Didion et al., 2024). In the study of onboarding, as in organisational socialisation, there has been a growing interdisciplinary interest with new areas of inquiry emerging. According to Didion et al. (2024), there is growing recognition that onboarding and organisational socialisation is not a single event but rather a prolonged process. </w:t>
      </w:r>
    </w:p>
    <w:p w14:paraId="3CB58037"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Strategic organisational socialisation is thus more suitable to HUM since it is a process that actively constructs identity, belonging, performance and ethics. The socialisation tactics of Van Maanen and Schein (1979) continue to be useful as they demonstrate the influence of organisations on newcomers through collective tactics, individual tactics, formal tactics, informal tactics, sequential tactics, random tactics, fixed tactics, variable tactics, serial tactics and disjunctive tactics, investiture tactics, and divestiture tactics. But all these strategies need to be used in a critical way. Tactics may be highly institutionalised and thus lower uncertainty and induce consistency, while extreme conformity may diminish innovation. Purified individualised socialisation, on the other hand, may foster creativity, while leaving different socialisations experiences, weak identification and fragmenting the psychological contract (Van Maanen &amp; Schein, 1979; Bauer et al., 2025; Saks, 2018).</w:t>
      </w:r>
    </w:p>
    <w:p w14:paraId="1A049B58"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explanation of HUM's graduate attrition is also in accordance with the psychological contract theory. New employees develop beliefs regarding their reciprocity with the organisation (reciprocity beliefs) such as their ability to develop careers within the organisation, be treated fairly, engage in meaningful work, and have opportunities for learning (Rousseau, 1989; Coyle-Shapiro et al., 2019). However, if the internal mobility and mentoring are weak, and roles are not clearly defined, employees could find themselves in a situation of psychological contract breach if they were recruited with promises of innovation, growth and international exposure. This violation can lead to decreased commitment, engagement and intention to leave (Coyle-Shapiro et al., 2019; Griep &amp; Vantilborgh, 2018; Rousseau, 1989).</w:t>
      </w:r>
    </w:p>
    <w:p w14:paraId="6E23B1EB" w14:textId="6100307A"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Construction of identity is also key. Organisational identification is when employees identify with a part of themselves because of organisational membership (Ashforth &amp; Mael, 1989). This does not mean that for HUM, it should be a 'passive loyalty'. It should imply that the employees grasp how their job is part of a more sustainable urban mobility: cleaner, safer, smarter and more inclusive. Organisational identity studies in recent years have revealed that the strength of identification influences employees' commitment to their organisations if they believe that the values shared by the organisation are genuine and relevant to them (Weisman et al., 2023; Miscenko &amp; Day, 2016). Thus, socialisation in HUM needs to create the characteristics of role clarity, role identity, ethics in the profession and awareness of responsibility as a stakeholder.</w:t>
      </w:r>
    </w:p>
    <w:p w14:paraId="2B16F765" w14:textId="77777777" w:rsidR="00EB6F16" w:rsidRPr="00566F3E" w:rsidRDefault="00EB6F16" w:rsidP="00566F3E">
      <w:pPr>
        <w:pStyle w:val="Heading2"/>
        <w:spacing w:line="360" w:lineRule="auto"/>
        <w:jc w:val="both"/>
      </w:pPr>
      <w:bookmarkStart w:id="3" w:name="_Toc232449756"/>
      <w:r w:rsidRPr="00566F3E">
        <w:lastRenderedPageBreak/>
        <w:t>Structured Socialisation Framework for HUM</w:t>
      </w:r>
      <w:bookmarkEnd w:id="3"/>
    </w:p>
    <w:p w14:paraId="764D0771"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A framework for socialisation from pre-boarding to Year 1 should be put in place at HUM. The framework combines a structured approach to adhere to standards with a personalized approach for innovation.</w:t>
      </w:r>
    </w:p>
    <w:p w14:paraId="39654A0A" w14:textId="2049DE52"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t>Table 1: Structured Socialisation Framework for Helios Urban Mobility</w:t>
      </w:r>
    </w:p>
    <w:tbl>
      <w:tblPr>
        <w:tblStyle w:val="GridTable5Dark-Accent5"/>
        <w:tblW w:w="0" w:type="auto"/>
        <w:tblLook w:val="04A0" w:firstRow="1" w:lastRow="0" w:firstColumn="1" w:lastColumn="0" w:noHBand="0" w:noVBand="1"/>
      </w:tblPr>
      <w:tblGrid>
        <w:gridCol w:w="1377"/>
        <w:gridCol w:w="1960"/>
        <w:gridCol w:w="1814"/>
        <w:gridCol w:w="1986"/>
        <w:gridCol w:w="1879"/>
      </w:tblGrid>
      <w:tr w:rsidR="00EB6F16" w:rsidRPr="00566F3E" w14:paraId="432B371A" w14:textId="77777777" w:rsidTr="00566F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D64103"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b w:val="0"/>
                <w:bCs w:val="0"/>
                <w:color w:val="000000" w:themeColor="text1"/>
                <w:sz w:val="24"/>
                <w:szCs w:val="24"/>
              </w:rPr>
              <w:t>Stage</w:t>
            </w:r>
          </w:p>
        </w:tc>
        <w:tc>
          <w:tcPr>
            <w:tcW w:w="0" w:type="auto"/>
            <w:hideMark/>
          </w:tcPr>
          <w:p w14:paraId="1F891910"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Main purpose</w:t>
            </w:r>
          </w:p>
        </w:tc>
        <w:tc>
          <w:tcPr>
            <w:tcW w:w="0" w:type="auto"/>
            <w:hideMark/>
          </w:tcPr>
          <w:p w14:paraId="69932FC9"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Key practices</w:t>
            </w:r>
          </w:p>
        </w:tc>
        <w:tc>
          <w:tcPr>
            <w:tcW w:w="0" w:type="auto"/>
            <w:hideMark/>
          </w:tcPr>
          <w:p w14:paraId="4E9D1BF8"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Expected outcome</w:t>
            </w:r>
          </w:p>
        </w:tc>
        <w:tc>
          <w:tcPr>
            <w:tcW w:w="0" w:type="auto"/>
            <w:hideMark/>
          </w:tcPr>
          <w:p w14:paraId="7C46CCC9"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Evaluation measures</w:t>
            </w:r>
          </w:p>
        </w:tc>
      </w:tr>
      <w:tr w:rsidR="00EB6F16" w:rsidRPr="00566F3E" w14:paraId="1A51D852" w14:textId="77777777" w:rsidTr="00566F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EDB27D" w14:textId="77777777" w:rsidR="00EB6F16" w:rsidRPr="00566F3E" w:rsidRDefault="00EB6F16" w:rsidP="00566F3E">
            <w:pPr>
              <w:spacing w:line="360" w:lineRule="auto"/>
              <w:jc w:val="both"/>
              <w:rPr>
                <w:rFonts w:asciiTheme="majorBidi" w:hAnsiTheme="majorBidi" w:cstheme="majorBidi"/>
                <w:b w:val="0"/>
                <w:bCs w:val="0"/>
                <w:color w:val="000000" w:themeColor="text1"/>
                <w:sz w:val="24"/>
                <w:szCs w:val="24"/>
              </w:rPr>
            </w:pPr>
            <w:r w:rsidRPr="00566F3E">
              <w:rPr>
                <w:rFonts w:asciiTheme="majorBidi" w:hAnsiTheme="majorBidi" w:cstheme="majorBidi"/>
                <w:color w:val="000000" w:themeColor="text1"/>
                <w:sz w:val="24"/>
                <w:szCs w:val="24"/>
              </w:rPr>
              <w:t>Pre-boarding</w:t>
            </w:r>
          </w:p>
        </w:tc>
        <w:tc>
          <w:tcPr>
            <w:tcW w:w="0" w:type="auto"/>
            <w:hideMark/>
          </w:tcPr>
          <w:p w14:paraId="18E561A5"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Psychological contract clarity</w:t>
            </w:r>
          </w:p>
        </w:tc>
        <w:tc>
          <w:tcPr>
            <w:tcW w:w="0" w:type="auto"/>
            <w:hideMark/>
          </w:tcPr>
          <w:p w14:paraId="32DFB090"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Realistic job preview, digital welcome hub, AI ethics statement, project map, buddy allocation</w:t>
            </w:r>
          </w:p>
        </w:tc>
        <w:tc>
          <w:tcPr>
            <w:tcW w:w="0" w:type="auto"/>
            <w:hideMark/>
          </w:tcPr>
          <w:p w14:paraId="4A8551F0"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Reduced uncertainty and realistic expectations</w:t>
            </w:r>
          </w:p>
        </w:tc>
        <w:tc>
          <w:tcPr>
            <w:tcW w:w="0" w:type="auto"/>
            <w:hideMark/>
          </w:tcPr>
          <w:p w14:paraId="77A544EB"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Pre-start survey; offer-to-start retention</w:t>
            </w:r>
          </w:p>
        </w:tc>
      </w:tr>
      <w:tr w:rsidR="00EB6F16" w:rsidRPr="00566F3E" w14:paraId="44C491FB" w14:textId="77777777" w:rsidTr="00566F3E">
        <w:tc>
          <w:tcPr>
            <w:cnfStyle w:val="001000000000" w:firstRow="0" w:lastRow="0" w:firstColumn="1" w:lastColumn="0" w:oddVBand="0" w:evenVBand="0" w:oddHBand="0" w:evenHBand="0" w:firstRowFirstColumn="0" w:firstRowLastColumn="0" w:lastRowFirstColumn="0" w:lastRowLastColumn="0"/>
            <w:tcW w:w="0" w:type="auto"/>
            <w:hideMark/>
          </w:tcPr>
          <w:p w14:paraId="50E4794F"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First 30 days</w:t>
            </w:r>
          </w:p>
        </w:tc>
        <w:tc>
          <w:tcPr>
            <w:tcW w:w="0" w:type="auto"/>
            <w:hideMark/>
          </w:tcPr>
          <w:p w14:paraId="680EBC64"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Belonging and role clarity</w:t>
            </w:r>
          </w:p>
        </w:tc>
        <w:tc>
          <w:tcPr>
            <w:tcW w:w="0" w:type="auto"/>
            <w:hideMark/>
          </w:tcPr>
          <w:p w14:paraId="185E295D"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Collective induction, manager check-ins, team charter, graduate peer cohort</w:t>
            </w:r>
          </w:p>
        </w:tc>
        <w:tc>
          <w:tcPr>
            <w:tcW w:w="0" w:type="auto"/>
            <w:hideMark/>
          </w:tcPr>
          <w:p w14:paraId="6F6590E0"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Social acceptance and early confidence</w:t>
            </w:r>
          </w:p>
        </w:tc>
        <w:tc>
          <w:tcPr>
            <w:tcW w:w="0" w:type="auto"/>
            <w:hideMark/>
          </w:tcPr>
          <w:p w14:paraId="2673D524"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Role clarity score; check-in completion</w:t>
            </w:r>
          </w:p>
        </w:tc>
      </w:tr>
      <w:tr w:rsidR="00EB6F16" w:rsidRPr="00566F3E" w14:paraId="10F8F978" w14:textId="77777777" w:rsidTr="00566F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212419"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Days 31–90</w:t>
            </w:r>
          </w:p>
        </w:tc>
        <w:tc>
          <w:tcPr>
            <w:tcW w:w="0" w:type="auto"/>
            <w:hideMark/>
          </w:tcPr>
          <w:p w14:paraId="4672ABB9"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Capability and contribution</w:t>
            </w:r>
          </w:p>
        </w:tc>
        <w:tc>
          <w:tcPr>
            <w:tcW w:w="0" w:type="auto"/>
            <w:hideMark/>
          </w:tcPr>
          <w:p w14:paraId="3832AD7A"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Project sprint, mentor support, stakeholder shadowing, skills diagnosis</w:t>
            </w:r>
          </w:p>
        </w:tc>
        <w:tc>
          <w:tcPr>
            <w:tcW w:w="0" w:type="auto"/>
            <w:hideMark/>
          </w:tcPr>
          <w:p w14:paraId="0B35EFEC"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Faster productivity and cross-functional learning</w:t>
            </w:r>
          </w:p>
        </w:tc>
        <w:tc>
          <w:tcPr>
            <w:tcW w:w="0" w:type="auto"/>
            <w:hideMark/>
          </w:tcPr>
          <w:p w14:paraId="2F41F8F7"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Time-to-first-deliverable; manager feedback</w:t>
            </w:r>
          </w:p>
        </w:tc>
      </w:tr>
      <w:tr w:rsidR="00EB6F16" w:rsidRPr="00566F3E" w14:paraId="08BAAB8A" w14:textId="77777777" w:rsidTr="00566F3E">
        <w:tc>
          <w:tcPr>
            <w:cnfStyle w:val="001000000000" w:firstRow="0" w:lastRow="0" w:firstColumn="1" w:lastColumn="0" w:oddVBand="0" w:evenVBand="0" w:oddHBand="0" w:evenHBand="0" w:firstRowFirstColumn="0" w:firstRowLastColumn="0" w:lastRowFirstColumn="0" w:lastRowLastColumn="0"/>
            <w:tcW w:w="0" w:type="auto"/>
            <w:hideMark/>
          </w:tcPr>
          <w:p w14:paraId="3A872CFD"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Months 4–12</w:t>
            </w:r>
          </w:p>
        </w:tc>
        <w:tc>
          <w:tcPr>
            <w:tcW w:w="0" w:type="auto"/>
            <w:hideMark/>
          </w:tcPr>
          <w:p w14:paraId="6ED5A8D2"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Identity and citizenship</w:t>
            </w:r>
          </w:p>
        </w:tc>
        <w:tc>
          <w:tcPr>
            <w:tcW w:w="0" w:type="auto"/>
            <w:hideMark/>
          </w:tcPr>
          <w:p w14:paraId="15BA6200"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Innovation challenge, ethics clinic, talent marketplace access, career review</w:t>
            </w:r>
          </w:p>
        </w:tc>
        <w:tc>
          <w:tcPr>
            <w:tcW w:w="0" w:type="auto"/>
            <w:hideMark/>
          </w:tcPr>
          <w:p w14:paraId="2A4E4815"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Commitment, retention and innovation</w:t>
            </w:r>
          </w:p>
        </w:tc>
        <w:tc>
          <w:tcPr>
            <w:tcW w:w="0" w:type="auto"/>
            <w:hideMark/>
          </w:tcPr>
          <w:p w14:paraId="18301C4E"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Engagement score; graduate retention; internal mobility</w:t>
            </w:r>
          </w:p>
        </w:tc>
      </w:tr>
    </w:tbl>
    <w:p w14:paraId="6EE2FCED"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lastRenderedPageBreak/>
        <w:t>The pre-boarding phase should start after the students have accepted their offers. HUM needs to give the interviewees a realistic job preview of the advantages and challenges of being employed at a dynamic AI mobility startup. This will decrease misaligned expectations and contribute to the psychological contract's accuracy (Rousseau, 1989; Coyle-Shapiro et al., 2019). A “mission-to-role” map needs to illustrate the role of each role within the urban mobility mission and the impact each role has on the targets of the mission, including carbon reduction, safer mobility, access to mobility, and the ethical use of AI in mobility. This is significant as when employees can relate everyday work to a meaningful organisation purpose, they are more likely to be connected to the organisation (Ashforth &amp; Mael, 1989; Weisman et al., 2023).</w:t>
      </w:r>
    </w:p>
    <w:p w14:paraId="150E13E6"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first 30 days should focus on belonging, role clarity and psychological safety for HUM. New staff should be inducted into a group of new staff to create a sense of "we are new" but each employee should be given role objectives. Structured check-ins should be done in weeks 1, 2 and 4 by the manager. Expectations, obstacles, relationships, wellbeing and learning needs are areas to focus on for these check-ins. This strategy is supported by the finding that role clarity, social acceptance and manager support are key factors impacting the newcomer adjustment (Bauer et al., 2007; Saks, 2018; Bauer et al., 2025).</w:t>
      </w:r>
    </w:p>
    <w:p w14:paraId="581E2583"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 xml:space="preserve">HUM should take new members from observation to contribution from day 31 to day 90. A cross functional project sprint should be done by each new employee with a mentor and peer buddy. For instance, a graduate data analyst might be collaborating with AI engineers, policy experts and client managers regarding a city transport analytics issue. This would provide more functional isolation and employee access to the larger HUM stakeholders' universe. Bauer et al. (2025) highlight the importance of socialisation as a process of active learning and not passive adjustment, emphasizing the importance of socialisation outcomes that include newcomer's proactivity, social acceptance, fit perceptions and wellbeing. </w:t>
      </w:r>
    </w:p>
    <w:p w14:paraId="59F8B463" w14:textId="6B475940"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year one phase should be based on identity, ethics and citizenship. HUM should launch a “Mobility Impact Challenge” in which newcomers would be brought together in cross-border teams to solve real-life organisational challenges. It can be as simple as enhancing accessibility metrics, and creating a more equitable mobility dataset or designing client-facing sustainability dashboards, among other things. This would enhance task significance and organisational identification and innovation. All staff members should be provided with a career architecture review that matches their skills profile with future projects, learning opportunities and global opportunities at year's end.</w:t>
      </w:r>
    </w:p>
    <w:p w14:paraId="47846498" w14:textId="3EBCC5A0" w:rsidR="00566F3E" w:rsidRPr="00566F3E" w:rsidRDefault="00566F3E" w:rsidP="00566F3E">
      <w:pPr>
        <w:spacing w:line="360" w:lineRule="auto"/>
        <w:ind w:firstLine="0"/>
        <w:jc w:val="both"/>
        <w:rPr>
          <w:rFonts w:asciiTheme="majorBidi" w:hAnsiTheme="majorBidi" w:cstheme="majorBidi"/>
          <w:b/>
          <w:bCs/>
          <w:color w:val="000000" w:themeColor="text1"/>
          <w:sz w:val="24"/>
          <w:szCs w:val="24"/>
        </w:rPr>
      </w:pPr>
      <w:r w:rsidRPr="00566F3E">
        <w:rPr>
          <w:rFonts w:asciiTheme="majorBidi" w:hAnsiTheme="majorBidi" w:cstheme="majorBidi"/>
          <w:b/>
          <w:bCs/>
          <w:noProof/>
          <w:color w:val="000000" w:themeColor="text1"/>
          <w:sz w:val="24"/>
          <w:szCs w:val="24"/>
        </w:rPr>
        <w:lastRenderedPageBreak/>
        <w:drawing>
          <wp:inline distT="0" distB="0" distL="0" distR="0" wp14:anchorId="6AF666FC" wp14:editId="5294475A">
            <wp:extent cx="5731510" cy="1532255"/>
            <wp:effectExtent l="0" t="0" r="0" b="4445"/>
            <wp:docPr id="1520858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858470" name=""/>
                    <pic:cNvPicPr/>
                  </pic:nvPicPr>
                  <pic:blipFill>
                    <a:blip r:embed="rId8"/>
                    <a:stretch>
                      <a:fillRect/>
                    </a:stretch>
                  </pic:blipFill>
                  <pic:spPr>
                    <a:xfrm>
                      <a:off x="0" y="0"/>
                      <a:ext cx="5731510" cy="1532255"/>
                    </a:xfrm>
                    <a:prstGeom prst="rect">
                      <a:avLst/>
                    </a:prstGeom>
                  </pic:spPr>
                </pic:pic>
              </a:graphicData>
            </a:graphic>
          </wp:inline>
        </w:drawing>
      </w:r>
    </w:p>
    <w:p w14:paraId="7CB7723C" w14:textId="358EEF70"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t>Figure 1: Socialisation-to-Citizenship Pathway( Bauer et al., 2025)</w:t>
      </w:r>
    </w:p>
    <w:p w14:paraId="24A660CF" w14:textId="77777777" w:rsidR="00EB6F16" w:rsidRPr="00566F3E" w:rsidRDefault="00EB6F16" w:rsidP="00566F3E">
      <w:pPr>
        <w:pStyle w:val="Heading2"/>
        <w:spacing w:line="360" w:lineRule="auto"/>
        <w:jc w:val="both"/>
      </w:pPr>
      <w:bookmarkStart w:id="4" w:name="_Toc232449757"/>
      <w:r w:rsidRPr="00566F3E">
        <w:t>Cultivating Organisational Identification</w:t>
      </w:r>
      <w:bookmarkEnd w:id="4"/>
    </w:p>
    <w:p w14:paraId="24CE6BDE"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Organisational identification through purpose, participation and credible leadership is to be encouraged in HUM. Purpose is important especially within the context of HUM's work influencing the public transport network, city sustainability and citizen mobility. Leaders should thus communicate the potential role AI-powered mobility plays in creating public value, not just commercial value. Employees are more likely to feel identified with an organisation when they think that there is a unique and meaningful identity in their organisation (Ashforth &amp; Mael, 1989; Miscenko &amp; Day, 2016; Weisman et al., 2023).</w:t>
      </w:r>
    </w:p>
    <w:p w14:paraId="78559A06" w14:textId="0C0653FC"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It's also crucial that everyone is involved. HUM to encourage employees to co-create a team charter and values in action statement and project ethics norms. This would avoid that the brand of the organisation becomes a top down exercise. It also would facilitate psychological ownership and voice. Identification should be tempered with critical thinking, though. Over-identification can also result in conformity, stifling dissent and normalising excessive work demands, particularly in high growth start-up enterprises (Ashforth et al., 2008; Conroy et al., 2017). So, HUM should make sure that the employees have a mindset towards the purpose of the organisation, but they are also feeling safe to question the ineffective and unethical decisions.Thus, HUM should encourage “critical identification” in which employees are dedicated to the purpose of the organization but feel safe to question the decisions that are ineffective and unethical.</w:t>
      </w:r>
    </w:p>
    <w:p w14:paraId="0702C37B" w14:textId="77777777" w:rsidR="00EB6F16" w:rsidRPr="00566F3E" w:rsidRDefault="00EB6F16" w:rsidP="00566F3E">
      <w:pPr>
        <w:pStyle w:val="Heading2"/>
        <w:spacing w:line="360" w:lineRule="auto"/>
        <w:jc w:val="both"/>
      </w:pPr>
      <w:bookmarkStart w:id="5" w:name="_Toc232449758"/>
      <w:r w:rsidRPr="00566F3E">
        <w:t>Cultivating Ethical Professionalism</w:t>
      </w:r>
      <w:bookmarkEnd w:id="5"/>
    </w:p>
    <w:p w14:paraId="55A7409A"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 xml:space="preserve">An ethical professionalism is critical since HUM creates systems for public infrastructure based on AI. These may affect the modes of transportation, environmental planning, the utilization of citizen data and decisions made by public sector bodies. Reliable AI, respect for human rights, democratic values, transparency, robustness and accountability are core tenets </w:t>
      </w:r>
      <w:r w:rsidRPr="00566F3E">
        <w:rPr>
          <w:rFonts w:asciiTheme="majorBidi" w:hAnsiTheme="majorBidi" w:cstheme="majorBidi"/>
          <w:color w:val="000000" w:themeColor="text1"/>
          <w:sz w:val="24"/>
          <w:szCs w:val="24"/>
        </w:rPr>
        <w:lastRenderedPageBreak/>
        <w:t xml:space="preserve">of the OECD AI Principles. The NIST AI Risk Management Framework also calls for control, mapping, measuring and managing risks throughout the AI system lifecycle. </w:t>
      </w:r>
    </w:p>
    <w:p w14:paraId="0AE29CF2" w14:textId="63718FFA"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Therefore, it is essential that HUM develops an “AI and Mobility Ethics Passport” for the new members of the workforce. These should cover aspects of algorithmic fairness, privacy, accessibility, limitations, sustainability and impact on stakeholders. But ethics training is not a question of compliance! HUM should incorporate scenario scenarios in ethics clinics in which staffers consider ethical issues like biased traffic data, the pressure to overestimate the precision of AI, and clashes between client needs and public interest. This is one of the reasons that this approach reflects the argument that ethical HRM and responsible AI should be grounded in pragmatic principles of fairness, transparency and accountability (OECD, 2024; NIST, 2023; Capasso, 2024).</w:t>
      </w:r>
    </w:p>
    <w:p w14:paraId="32ABACC2" w14:textId="77777777" w:rsidR="00EB6F16" w:rsidRPr="00566F3E" w:rsidRDefault="00EB6F16" w:rsidP="00566F3E">
      <w:pPr>
        <w:pStyle w:val="Heading2"/>
        <w:spacing w:line="360" w:lineRule="auto"/>
        <w:jc w:val="both"/>
      </w:pPr>
      <w:bookmarkStart w:id="6" w:name="_Toc232449759"/>
      <w:r w:rsidRPr="00566F3E">
        <w:t>Cultivating the Business Activist Mindset</w:t>
      </w:r>
      <w:bookmarkEnd w:id="6"/>
    </w:p>
    <w:p w14:paraId="6622343E"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Based on the HR business partner model, the HR team must shift its focus from an administrative and transactional role to a strategic partnership and capability building and credible activism (Ulrich et al., 2017). This “business activist” mentality ought to not just be confined to HR at HUM. The employees need to know about business objectives, roles of stakeholders and ethics. This aligns to stakeholder capitalism, which holds that companies need to generate value for their shareholders, employees, customers, suppliers, communities and society (Freeman et al., 2020; World Economic Forum, 2019).</w:t>
      </w:r>
    </w:p>
    <w:p w14:paraId="493B14E0"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HUM should conduct stakeholder-mapping workshops at the time of onboarding. New hires should engage in an analysis of the impact of decisions on commuters, disabled passengers, city governments, employees, suppliers, regulators and investors. This will enhance strategic thumb and avoid a narrow technical way of thinking. The intent is to develop staff that are able to link human capability to business value, but also are able to question decisions that violate public trust, inclusion or ethical AI norms (Ulrich et al., 2017; Freeman et al., 2020; OECD, 2024).</w:t>
      </w:r>
    </w:p>
    <w:p w14:paraId="62DCB5E6" w14:textId="0943C5A5" w:rsidR="00EB6F16" w:rsidRPr="00566F3E" w:rsidRDefault="00566F3E" w:rsidP="00566F3E">
      <w:pPr>
        <w:spacing w:line="360" w:lineRule="auto"/>
        <w:ind w:firstLine="0"/>
        <w:jc w:val="both"/>
        <w:rPr>
          <w:rFonts w:asciiTheme="majorBidi" w:hAnsiTheme="majorBidi" w:cstheme="majorBidi"/>
          <w:color w:val="000000" w:themeColor="text1"/>
          <w:sz w:val="24"/>
          <w:szCs w:val="24"/>
        </w:rPr>
      </w:pPr>
      <w:r w:rsidRPr="00566F3E">
        <w:rPr>
          <w:rFonts w:asciiTheme="majorBidi" w:hAnsiTheme="majorBidi" w:cstheme="majorBidi"/>
          <w:noProof/>
          <w:color w:val="000000" w:themeColor="text1"/>
          <w:sz w:val="24"/>
          <w:szCs w:val="24"/>
        </w:rPr>
        <w:drawing>
          <wp:inline distT="0" distB="0" distL="0" distR="0" wp14:anchorId="08020E02" wp14:editId="28DB6EAE">
            <wp:extent cx="5731510" cy="1457960"/>
            <wp:effectExtent l="0" t="0" r="0" b="2540"/>
            <wp:docPr id="824767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767644" name=""/>
                    <pic:cNvPicPr/>
                  </pic:nvPicPr>
                  <pic:blipFill>
                    <a:blip r:embed="rId9"/>
                    <a:stretch>
                      <a:fillRect/>
                    </a:stretch>
                  </pic:blipFill>
                  <pic:spPr>
                    <a:xfrm>
                      <a:off x="0" y="0"/>
                      <a:ext cx="5731510" cy="1457960"/>
                    </a:xfrm>
                    <a:prstGeom prst="rect">
                      <a:avLst/>
                    </a:prstGeom>
                  </pic:spPr>
                </pic:pic>
              </a:graphicData>
            </a:graphic>
          </wp:inline>
        </w:drawing>
      </w:r>
    </w:p>
    <w:p w14:paraId="6CF91B0B" w14:textId="3A6B20F5"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lastRenderedPageBreak/>
        <w:t>Figure 2: HUM Strategic Human Capital Architecture(Deloitte (2022), and Bauer et al., 2025)</w:t>
      </w:r>
    </w:p>
    <w:p w14:paraId="2B8F53EF" w14:textId="77777777" w:rsidR="00EB6F16" w:rsidRPr="00566F3E" w:rsidRDefault="00EB6F16" w:rsidP="00566F3E">
      <w:pPr>
        <w:pStyle w:val="Heading1"/>
        <w:rPr>
          <w:sz w:val="24"/>
          <w:szCs w:val="24"/>
        </w:rPr>
      </w:pPr>
      <w:bookmarkStart w:id="7" w:name="_Toc232449760"/>
      <w:r w:rsidRPr="00566F3E">
        <w:rPr>
          <w:sz w:val="24"/>
          <w:szCs w:val="24"/>
        </w:rPr>
        <w:t>Task B: Job Design</w:t>
      </w:r>
      <w:bookmarkEnd w:id="7"/>
    </w:p>
    <w:p w14:paraId="3493B0B2" w14:textId="77777777" w:rsidR="00EB6F16" w:rsidRPr="00566F3E" w:rsidRDefault="00EB6F16" w:rsidP="00566F3E">
      <w:pPr>
        <w:pStyle w:val="Heading2"/>
        <w:spacing w:line="360" w:lineRule="auto"/>
        <w:jc w:val="both"/>
      </w:pPr>
      <w:bookmarkStart w:id="8" w:name="_Toc232449761"/>
      <w:r w:rsidRPr="00566F3E">
        <w:t>Innovative Job Design Strategy</w:t>
      </w:r>
      <w:bookmarkEnd w:id="8"/>
    </w:p>
    <w:p w14:paraId="553E6F4C"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Job Characteristics Model (Hackman &amp; Oldham, 1976) states that the psychological states that come from five job dimensions – skill variety, task identity, task significance, autonomy and feedback – affect motivation, satisfaction, and performance at work. The model is an old theory, but is still very much relevant as the employees of the HUM must have meaningful, autonomous and feedback-rich work. Task significance is a key component of AI mobility projects but it can be lost if the task is too narrowly defined, with no awareness of client or citizen outcome, following the work of Hackman and Oldham (1976), Parker et al. (2017) and Parker and Grote (2022).</w:t>
      </w:r>
    </w:p>
    <w:p w14:paraId="5740AAF9"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model has been reinforced with the inclusion of the concept of job crafting theory in which employees are seen as producers who are active in designing their own jobs. Tasks, relationships and cognitive meanings can be created by employees to enhance person-job fit (Wrzesniewski &amp; Dutton, 2001). In recent years, the positive consequences of job crafting have been found to lead to higher engagement and motivation; yet, job crafting can also be an unequal opportunity if only high-confidence, well-connected employees are the ones to be able to craft their jobs ( Zhang &amp; Parker, 2019; Tims et al., 2022). Hence, job crafting should be formalised by structured conversations for role design, not on informal initiative, and HUM should encourage these conversations.</w:t>
      </w:r>
    </w:p>
    <w:p w14:paraId="53F6E8A1" w14:textId="7277AFB0"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A skills-based architecture is also a must have. The skills-based organisations that Deloitte (2022) discusses, change the focus of work from job to skills, capabilities and work outcomes. Similarly, McKinsey &amp; Company (2022) suggest that skills-based hiring can be used in organizations to widen their talent pools and be more efficient in employee retention, focusing on skills instead of credentials. The research also by Deloitte points out that without linking skills practices to business outcomes and governance, many organizations are falling short of actually generating value from a skills-based approach, even if it is a new one. This applies to HUM given the need for AI mobility work involving the quick shifting of limited skills from country to country, project to project and problem to problem.</w:t>
      </w:r>
    </w:p>
    <w:p w14:paraId="42190A14" w14:textId="1561DF92"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lastRenderedPageBreak/>
        <w:t>Table 2: HUM Job Design Architecture</w:t>
      </w:r>
      <w:r w:rsidRPr="00566F3E">
        <w:rPr>
          <w:rFonts w:asciiTheme="majorBidi" w:hAnsiTheme="majorBidi" w:cstheme="majorBidi"/>
          <w:b/>
          <w:bCs/>
          <w:color w:val="000000" w:themeColor="text1"/>
          <w:sz w:val="24"/>
          <w:szCs w:val="24"/>
        </w:rPr>
        <w:br/>
      </w:r>
    </w:p>
    <w:tbl>
      <w:tblPr>
        <w:tblStyle w:val="GridTable4-Accent5"/>
        <w:tblW w:w="0" w:type="auto"/>
        <w:tblLook w:val="04A0" w:firstRow="1" w:lastRow="0" w:firstColumn="1" w:lastColumn="0" w:noHBand="0" w:noVBand="1"/>
      </w:tblPr>
      <w:tblGrid>
        <w:gridCol w:w="1876"/>
        <w:gridCol w:w="2867"/>
        <w:gridCol w:w="2170"/>
        <w:gridCol w:w="2103"/>
      </w:tblGrid>
      <w:tr w:rsidR="00EB6F16" w:rsidRPr="00566F3E" w14:paraId="1C5EF908" w14:textId="77777777" w:rsidTr="00566F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A4697F"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b w:val="0"/>
                <w:bCs w:val="0"/>
                <w:color w:val="000000" w:themeColor="text1"/>
                <w:sz w:val="24"/>
                <w:szCs w:val="24"/>
              </w:rPr>
              <w:t>Design element</w:t>
            </w:r>
          </w:p>
        </w:tc>
        <w:tc>
          <w:tcPr>
            <w:tcW w:w="0" w:type="auto"/>
            <w:hideMark/>
          </w:tcPr>
          <w:p w14:paraId="1F700AE0"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Practical application at HUM</w:t>
            </w:r>
          </w:p>
        </w:tc>
        <w:tc>
          <w:tcPr>
            <w:tcW w:w="0" w:type="auto"/>
            <w:hideMark/>
          </w:tcPr>
          <w:p w14:paraId="285DEFC5"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Motivation effect</w:t>
            </w:r>
          </w:p>
        </w:tc>
        <w:tc>
          <w:tcPr>
            <w:tcW w:w="0" w:type="auto"/>
            <w:hideMark/>
          </w:tcPr>
          <w:p w14:paraId="36C41B7A"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Strategic effect</w:t>
            </w:r>
          </w:p>
        </w:tc>
      </w:tr>
      <w:tr w:rsidR="00EB6F16" w:rsidRPr="00566F3E" w14:paraId="629D3D6F" w14:textId="77777777" w:rsidTr="00566F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8455FE" w14:textId="77777777" w:rsidR="00EB6F16" w:rsidRPr="00566F3E" w:rsidRDefault="00EB6F16" w:rsidP="00566F3E">
            <w:pPr>
              <w:spacing w:line="360" w:lineRule="auto"/>
              <w:jc w:val="both"/>
              <w:rPr>
                <w:rFonts w:asciiTheme="majorBidi" w:hAnsiTheme="majorBidi" w:cstheme="majorBidi"/>
                <w:b w:val="0"/>
                <w:bCs w:val="0"/>
                <w:color w:val="000000" w:themeColor="text1"/>
                <w:sz w:val="24"/>
                <w:szCs w:val="24"/>
              </w:rPr>
            </w:pPr>
            <w:r w:rsidRPr="00566F3E">
              <w:rPr>
                <w:rFonts w:asciiTheme="majorBidi" w:hAnsiTheme="majorBidi" w:cstheme="majorBidi"/>
                <w:color w:val="000000" w:themeColor="text1"/>
                <w:sz w:val="24"/>
                <w:szCs w:val="24"/>
              </w:rPr>
              <w:t>Skill variety</w:t>
            </w:r>
          </w:p>
        </w:tc>
        <w:tc>
          <w:tcPr>
            <w:tcW w:w="0" w:type="auto"/>
            <w:hideMark/>
          </w:tcPr>
          <w:p w14:paraId="29E39996"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Cross-functional AI, transport, policy and UX squads</w:t>
            </w:r>
          </w:p>
        </w:tc>
        <w:tc>
          <w:tcPr>
            <w:tcW w:w="0" w:type="auto"/>
            <w:hideMark/>
          </w:tcPr>
          <w:p w14:paraId="1B87DEB2"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Builds competence and learning</w:t>
            </w:r>
          </w:p>
        </w:tc>
        <w:tc>
          <w:tcPr>
            <w:tcW w:w="0" w:type="auto"/>
            <w:hideMark/>
          </w:tcPr>
          <w:p w14:paraId="46771CEB"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Breaks silos</w:t>
            </w:r>
          </w:p>
        </w:tc>
      </w:tr>
      <w:tr w:rsidR="00EB6F16" w:rsidRPr="00566F3E" w14:paraId="4BC810B7" w14:textId="77777777" w:rsidTr="00566F3E">
        <w:tc>
          <w:tcPr>
            <w:cnfStyle w:val="001000000000" w:firstRow="0" w:lastRow="0" w:firstColumn="1" w:lastColumn="0" w:oddVBand="0" w:evenVBand="0" w:oddHBand="0" w:evenHBand="0" w:firstRowFirstColumn="0" w:firstRowLastColumn="0" w:lastRowFirstColumn="0" w:lastRowLastColumn="0"/>
            <w:tcW w:w="0" w:type="auto"/>
            <w:hideMark/>
          </w:tcPr>
          <w:p w14:paraId="454AB1E7"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Task identity</w:t>
            </w:r>
          </w:p>
        </w:tc>
        <w:tc>
          <w:tcPr>
            <w:tcW w:w="0" w:type="auto"/>
            <w:hideMark/>
          </w:tcPr>
          <w:p w14:paraId="5D97B7F1"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Employees own work packages from problem to client outcome</w:t>
            </w:r>
          </w:p>
        </w:tc>
        <w:tc>
          <w:tcPr>
            <w:tcW w:w="0" w:type="auto"/>
            <w:hideMark/>
          </w:tcPr>
          <w:p w14:paraId="20788E44"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Builds accountability</w:t>
            </w:r>
          </w:p>
        </w:tc>
        <w:tc>
          <w:tcPr>
            <w:tcW w:w="0" w:type="auto"/>
            <w:hideMark/>
          </w:tcPr>
          <w:p w14:paraId="4BF687E4"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Improves delivery</w:t>
            </w:r>
          </w:p>
        </w:tc>
      </w:tr>
      <w:tr w:rsidR="00EB6F16" w:rsidRPr="00566F3E" w14:paraId="77E5B300" w14:textId="77777777" w:rsidTr="00566F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3622FB"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Task significance</w:t>
            </w:r>
          </w:p>
        </w:tc>
        <w:tc>
          <w:tcPr>
            <w:tcW w:w="0" w:type="auto"/>
            <w:hideMark/>
          </w:tcPr>
          <w:p w14:paraId="18E8E39C"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City impact dashboards show citizen and sustainability outcomes</w:t>
            </w:r>
          </w:p>
        </w:tc>
        <w:tc>
          <w:tcPr>
            <w:tcW w:w="0" w:type="auto"/>
            <w:hideMark/>
          </w:tcPr>
          <w:p w14:paraId="397084C8"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Strengthens meaning</w:t>
            </w:r>
          </w:p>
        </w:tc>
        <w:tc>
          <w:tcPr>
            <w:tcW w:w="0" w:type="auto"/>
            <w:hideMark/>
          </w:tcPr>
          <w:p w14:paraId="2CA2AD79"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Reinforces public value</w:t>
            </w:r>
          </w:p>
        </w:tc>
      </w:tr>
      <w:tr w:rsidR="00EB6F16" w:rsidRPr="00566F3E" w14:paraId="0B343744" w14:textId="77777777" w:rsidTr="00566F3E">
        <w:tc>
          <w:tcPr>
            <w:cnfStyle w:val="001000000000" w:firstRow="0" w:lastRow="0" w:firstColumn="1" w:lastColumn="0" w:oddVBand="0" w:evenVBand="0" w:oddHBand="0" w:evenHBand="0" w:firstRowFirstColumn="0" w:firstRowLastColumn="0" w:lastRowFirstColumn="0" w:lastRowLastColumn="0"/>
            <w:tcW w:w="0" w:type="auto"/>
            <w:hideMark/>
          </w:tcPr>
          <w:p w14:paraId="4211021B"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Autonomy</w:t>
            </w:r>
          </w:p>
        </w:tc>
        <w:tc>
          <w:tcPr>
            <w:tcW w:w="0" w:type="auto"/>
            <w:hideMark/>
          </w:tcPr>
          <w:p w14:paraId="218AB06F"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Squad decision rights within ethical guardrails</w:t>
            </w:r>
          </w:p>
        </w:tc>
        <w:tc>
          <w:tcPr>
            <w:tcW w:w="0" w:type="auto"/>
            <w:hideMark/>
          </w:tcPr>
          <w:p w14:paraId="609F5802"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Supports intrinsic motivation</w:t>
            </w:r>
          </w:p>
        </w:tc>
        <w:tc>
          <w:tcPr>
            <w:tcW w:w="0" w:type="auto"/>
            <w:hideMark/>
          </w:tcPr>
          <w:p w14:paraId="5C001BB8"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Increases agility</w:t>
            </w:r>
          </w:p>
        </w:tc>
      </w:tr>
      <w:tr w:rsidR="00EB6F16" w:rsidRPr="00566F3E" w14:paraId="68EC4E89" w14:textId="77777777" w:rsidTr="00566F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38E1E0"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Feedback</w:t>
            </w:r>
          </w:p>
        </w:tc>
        <w:tc>
          <w:tcPr>
            <w:tcW w:w="0" w:type="auto"/>
            <w:hideMark/>
          </w:tcPr>
          <w:p w14:paraId="3A3E34BA"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Sprint reviews, client feedback, model audits and peer learning</w:t>
            </w:r>
          </w:p>
        </w:tc>
        <w:tc>
          <w:tcPr>
            <w:tcW w:w="0" w:type="auto"/>
            <w:hideMark/>
          </w:tcPr>
          <w:p w14:paraId="7F79A20D"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Supports mastery</w:t>
            </w:r>
          </w:p>
        </w:tc>
        <w:tc>
          <w:tcPr>
            <w:tcW w:w="0" w:type="auto"/>
            <w:hideMark/>
          </w:tcPr>
          <w:p w14:paraId="784ACECC"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Improves innovation</w:t>
            </w:r>
          </w:p>
        </w:tc>
      </w:tr>
      <w:tr w:rsidR="00EB6F16" w:rsidRPr="00566F3E" w14:paraId="106D167F" w14:textId="77777777" w:rsidTr="00566F3E">
        <w:tc>
          <w:tcPr>
            <w:cnfStyle w:val="001000000000" w:firstRow="0" w:lastRow="0" w:firstColumn="1" w:lastColumn="0" w:oddVBand="0" w:evenVBand="0" w:oddHBand="0" w:evenHBand="0" w:firstRowFirstColumn="0" w:firstRowLastColumn="0" w:lastRowFirstColumn="0" w:lastRowLastColumn="0"/>
            <w:tcW w:w="0" w:type="auto"/>
            <w:hideMark/>
          </w:tcPr>
          <w:p w14:paraId="4C8DC34C"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Job crafting</w:t>
            </w:r>
          </w:p>
        </w:tc>
        <w:tc>
          <w:tcPr>
            <w:tcW w:w="0" w:type="auto"/>
            <w:hideMark/>
          </w:tcPr>
          <w:p w14:paraId="758A192A"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Quarterly role-crafting conversations</w:t>
            </w:r>
          </w:p>
        </w:tc>
        <w:tc>
          <w:tcPr>
            <w:tcW w:w="0" w:type="auto"/>
            <w:hideMark/>
          </w:tcPr>
          <w:p w14:paraId="4DF4694D"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Improves person-job fit</w:t>
            </w:r>
          </w:p>
        </w:tc>
        <w:tc>
          <w:tcPr>
            <w:tcW w:w="0" w:type="auto"/>
            <w:hideMark/>
          </w:tcPr>
          <w:p w14:paraId="3478915B"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Reduces attrition</w:t>
            </w:r>
          </w:p>
        </w:tc>
      </w:tr>
      <w:tr w:rsidR="00EB6F16" w:rsidRPr="00566F3E" w14:paraId="5E0F0D18" w14:textId="77777777" w:rsidTr="00566F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04AFB9"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Talent marketplace</w:t>
            </w:r>
          </w:p>
        </w:tc>
        <w:tc>
          <w:tcPr>
            <w:tcW w:w="0" w:type="auto"/>
            <w:hideMark/>
          </w:tcPr>
          <w:p w14:paraId="02D61EC8"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Platform for projects, gigs and stretch assignments</w:t>
            </w:r>
          </w:p>
        </w:tc>
        <w:tc>
          <w:tcPr>
            <w:tcW w:w="0" w:type="auto"/>
            <w:hideMark/>
          </w:tcPr>
          <w:p w14:paraId="6B679893"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Increases mobility</w:t>
            </w:r>
          </w:p>
        </w:tc>
        <w:tc>
          <w:tcPr>
            <w:tcW w:w="0" w:type="auto"/>
            <w:hideMark/>
          </w:tcPr>
          <w:p w14:paraId="005528E8"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Retains high-potential graduates</w:t>
            </w:r>
          </w:p>
        </w:tc>
      </w:tr>
    </w:tbl>
    <w:p w14:paraId="02763022" w14:textId="081B4319" w:rsidR="00EB6F16" w:rsidRPr="00566F3E" w:rsidRDefault="00EB6F16" w:rsidP="00566F3E">
      <w:pPr>
        <w:spacing w:line="360" w:lineRule="auto"/>
        <w:ind w:firstLine="0"/>
        <w:jc w:val="both"/>
        <w:rPr>
          <w:rFonts w:asciiTheme="majorBidi" w:hAnsiTheme="majorBidi" w:cstheme="majorBidi"/>
          <w:color w:val="000000" w:themeColor="text1"/>
          <w:sz w:val="24"/>
          <w:szCs w:val="24"/>
        </w:rPr>
      </w:pPr>
    </w:p>
    <w:p w14:paraId="0B21451F" w14:textId="77777777" w:rsidR="00EB6F16" w:rsidRPr="00566F3E" w:rsidRDefault="00EB6F16" w:rsidP="00566F3E">
      <w:pPr>
        <w:pStyle w:val="Heading2"/>
        <w:spacing w:line="360" w:lineRule="auto"/>
        <w:jc w:val="both"/>
      </w:pPr>
      <w:bookmarkStart w:id="9" w:name="_Toc232449762"/>
      <w:r w:rsidRPr="00566F3E">
        <w:t>Mission-Based Squads</w:t>
      </w:r>
      <w:bookmarkEnd w:id="9"/>
    </w:p>
    <w:p w14:paraId="3B008CBE"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HUM should facilitate work in mission based team rather than in narrow department. AI engineers, transport planners, data analysts, public sector consultants and graduate associates are examples of members of a “Berlin Mobility Equity Squad”. The team would collaborate to achieve a particular goal, say, to enhance predictive analytics for underserved transport areas. This design contributes to greater skill variety, task identity and task significance due to employees' awareness of the entire picture of how their work connects to the outside world (Hackman &amp; Oldham, 1976; Parker et al., 2017; Parker &amp; Grote, 2022).</w:t>
      </w:r>
    </w:p>
    <w:p w14:paraId="60B5FC34" w14:textId="6A0CD4F8"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lastRenderedPageBreak/>
        <w:t>Innovation is also facilitated by mission-based squads as they need to have multi-disciplinary knowledge to solve complex urban mobility problems. While technical skills are essential for innovation, it is important that they are not stand alone, but are part of a larger ecosystem of expertise that includes data science, user experience, policy, ethics and client management (World Economic Forum, 2025; Edmondson &amp; Harvey, 2018). But HUM will have to ensure that their teams are not overloaded. To prevent an agile work design being an excuse for excessive workload, managers should monitor workload, psychological safety and learning quality.</w:t>
      </w:r>
    </w:p>
    <w:p w14:paraId="40994FC0" w14:textId="77777777" w:rsidR="00EB6F16" w:rsidRPr="00566F3E" w:rsidRDefault="00EB6F16" w:rsidP="00566F3E">
      <w:pPr>
        <w:pStyle w:val="Heading2"/>
        <w:spacing w:line="360" w:lineRule="auto"/>
        <w:jc w:val="both"/>
      </w:pPr>
      <w:bookmarkStart w:id="10" w:name="_Toc232449763"/>
      <w:r w:rsidRPr="00566F3E">
        <w:t>Guided Job Crafting</w:t>
      </w:r>
      <w:bookmarkEnd w:id="10"/>
    </w:p>
    <w:p w14:paraId="5FDDF021"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HUM to institute regular guided job crafting discussion quarterly. Three questions to be discussed with employees and managers are: What adds the most value to the work? What relationships are conducive to learning? What does the employee's work have to do with HUM's purpose? This would enable staff to adjust their working practices and keep them in line with the strategic direction. The concept of job crafting has been found to have a positive impact on engagement as it provides employees with a sense of control over the boundaries of their tasks, relationships with others, and the meaning of their work (Wrzesniewski &amp; Dutton, 2001; Zhang &amp; Parker, 2019; Tims et al., 2022).</w:t>
      </w:r>
    </w:p>
    <w:p w14:paraId="605200D9"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But job crafting is not to be done unfairly. Even though HUM deems informal crafting adequate, high-potential graduates may still be unable to access a good project because of their lack of networks. As a result, managers should record agreed crafting actions and consider access to/by gender, nationality, location and career stage. This would help to keep it fair and maintain autonomy and innovation. By structuring job crafting into a mechanism for inclusion, instead of a privilege for the few, it can be seen as a systematic way of integrating all employees.This way, job crafting is not a privilege for a few, but a systematic approach to integrating all employees.</w:t>
      </w:r>
    </w:p>
    <w:p w14:paraId="34FC9F22" w14:textId="77777777" w:rsidR="00EB6F16" w:rsidRPr="00566F3E" w:rsidRDefault="00EB6F16" w:rsidP="00566F3E">
      <w:pPr>
        <w:pStyle w:val="Heading2"/>
        <w:spacing w:line="360" w:lineRule="auto"/>
        <w:jc w:val="both"/>
      </w:pPr>
      <w:bookmarkStart w:id="11" w:name="_Toc232449764"/>
      <w:r w:rsidRPr="00566F3E">
        <w:t>Internal Talent Marketplace and Skills-Based Architecture</w:t>
      </w:r>
      <w:bookmarkEnd w:id="11"/>
    </w:p>
    <w:p w14:paraId="54FC4312"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HUM to develop an internal skills marketplace that employees have verified skills profiles and project leaders post short-term projects, innovation sprints and stretch opportunities. After their 90-day period, employees would be able to devote 10–15% of their time to projects in the marketplace. This would help to reduce the rate of employee turnover by allowing for an opportunity to see growth within the company, before employees look elsewhere.</w:t>
      </w:r>
    </w:p>
    <w:p w14:paraId="6CA5EE51"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lastRenderedPageBreak/>
        <w:t>Technical skills, transferable skills, language proficiency, location preference, mobility interest and ethical AI training records should be included in the platform. But algorithmic matching should not be the only factor for the marketplace. While AI can suggest matches, there needs to be human oversight to maintain fairness, inclusion and development value. This is crucial since algorithmic HRM offers the possibility of efficiency gains, but can also lead to issues of opacity, bias and unequal opportunity (Capasso, 2024; Alabdali et al., 2024; NIST, 2023).</w:t>
      </w:r>
    </w:p>
    <w:p w14:paraId="206487EA" w14:textId="7A39A983" w:rsidR="00EB6F16" w:rsidRPr="00566F3E" w:rsidRDefault="00566F3E" w:rsidP="00566F3E">
      <w:pPr>
        <w:spacing w:line="360" w:lineRule="auto"/>
        <w:ind w:firstLine="0"/>
        <w:jc w:val="both"/>
        <w:rPr>
          <w:rFonts w:asciiTheme="majorBidi" w:hAnsiTheme="majorBidi" w:cstheme="majorBidi"/>
          <w:color w:val="000000" w:themeColor="text1"/>
          <w:sz w:val="24"/>
          <w:szCs w:val="24"/>
        </w:rPr>
      </w:pPr>
      <w:r w:rsidRPr="00566F3E">
        <w:rPr>
          <w:rFonts w:asciiTheme="majorBidi" w:hAnsiTheme="majorBidi" w:cstheme="majorBidi"/>
          <w:noProof/>
          <w:color w:val="000000" w:themeColor="text1"/>
          <w:sz w:val="24"/>
          <w:szCs w:val="24"/>
        </w:rPr>
        <w:drawing>
          <wp:inline distT="0" distB="0" distL="0" distR="0" wp14:anchorId="1128ED78" wp14:editId="79EAD3ED">
            <wp:extent cx="5731510" cy="1916430"/>
            <wp:effectExtent l="0" t="0" r="0" b="1270"/>
            <wp:docPr id="1722497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497649" name=""/>
                    <pic:cNvPicPr/>
                  </pic:nvPicPr>
                  <pic:blipFill>
                    <a:blip r:embed="rId10"/>
                    <a:stretch>
                      <a:fillRect/>
                    </a:stretch>
                  </pic:blipFill>
                  <pic:spPr>
                    <a:xfrm>
                      <a:off x="0" y="0"/>
                      <a:ext cx="5731510" cy="1916430"/>
                    </a:xfrm>
                    <a:prstGeom prst="rect">
                      <a:avLst/>
                    </a:prstGeom>
                  </pic:spPr>
                </pic:pic>
              </a:graphicData>
            </a:graphic>
          </wp:inline>
        </w:drawing>
      </w:r>
    </w:p>
    <w:p w14:paraId="05F96ED4" w14:textId="6A87FC1E"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t>Figure 3: HUM Skills-Based Job Design Model(Ryan and Deci, 2017)</w:t>
      </w:r>
    </w:p>
    <w:p w14:paraId="4D1D7323" w14:textId="77777777" w:rsidR="00EB6F16" w:rsidRPr="00566F3E" w:rsidRDefault="00EB6F16" w:rsidP="00566F3E">
      <w:pPr>
        <w:pStyle w:val="Heading2"/>
        <w:spacing w:line="360" w:lineRule="auto"/>
        <w:jc w:val="both"/>
      </w:pPr>
      <w:bookmarkStart w:id="12" w:name="_Toc232449765"/>
      <w:r w:rsidRPr="00566F3E">
        <w:t>Stimulating Intrinsic Motivation</w:t>
      </w:r>
      <w:bookmarkEnd w:id="12"/>
    </w:p>
    <w:p w14:paraId="3C033065"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proposed design will include fostering intrinsic motivation through the three psychological needs of Self-Determination Theory (Ryan &amp; Deci, 2017), autonomy, competence and relatedness. Squad autonomy is facilitated with squad level decision rights and role crafting conversations. Competences are built up by skills profiles, through stretch assignments and feedback loops. The main means for strengthening relatedness are mentoring, peer cohorts and cross-functional collaboration (Ryan &amp; Deci, 2017; Deci et al., 2017; Slemp et al., 2018).</w:t>
      </w:r>
    </w:p>
    <w:p w14:paraId="1C6840B6" w14:textId="1CE6086F"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Feedback dashboards, that should include technical indicators, learning indicators and impact indicators, should also be utilized by HUM. For instance, an AI engineer must be given feedback on the accuracy of the model, how it can be useful to their client, accessibility considerations and ethical dangers. This wider feedback system will not let performance drop to speed or output volume. It also has the potential to strengthen the meaning of the task and the pride associated with it, which are vital to engagement and retention (Hackman &amp; Oldham, 1976; Parker et al., 2017; Gallup, 2026).</w:t>
      </w:r>
    </w:p>
    <w:p w14:paraId="66873E50" w14:textId="77777777" w:rsidR="00EB6F16" w:rsidRPr="00566F3E" w:rsidRDefault="00EB6F16" w:rsidP="00566F3E">
      <w:pPr>
        <w:pStyle w:val="Heading2"/>
        <w:spacing w:line="360" w:lineRule="auto"/>
        <w:jc w:val="both"/>
      </w:pPr>
      <w:bookmarkStart w:id="13" w:name="_Toc232449766"/>
      <w:r w:rsidRPr="00566F3E">
        <w:t>Supporting Innovation</w:t>
      </w:r>
      <w:bookmarkEnd w:id="13"/>
    </w:p>
    <w:p w14:paraId="5B012AA5"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lastRenderedPageBreak/>
        <w:t>The proposed architecture is conducive to innovation in four ways. First, cross-functional squads expand the range of knowledge.First, cross-functional squads improve the diversity of knowledge. Second, job crafting helps workers adjust to the technology and the changing needs of the client. Third, the talent marketplace relocates limited skills towards new opportunities. Finally, ethical professionalism guarantees that innovation is responsible and not reckless. This is especially crucial, since the development of smart city AI needs to be technically effective, socially legitimate and ethically governed (OECD, 2024; NIST, 2023; World Economic Forum, 2025).</w:t>
      </w:r>
    </w:p>
    <w:p w14:paraId="56CDE9A3"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However, a government is needed for the model. Talent marketplaces can introduce competition within well-known projects and may lead to a negative attitude against quieter employees or those not working in HQ. HUM should therefore track participation and promotion success and project allocation by demographic and location information. Managers should also make sure to not add to the unpaid work load. The last thing employees need is to feel they're being treated unfairly, stunted in their growth or development, and without a clear purpose for their work when experiencing a skills-based architecture (Deloitte, 2022; Deloitte, 2026; McKinsey &amp; Company, 2022).</w:t>
      </w:r>
    </w:p>
    <w:p w14:paraId="63DFD857" w14:textId="243182F1" w:rsidR="00EB6F16" w:rsidRPr="00566F3E" w:rsidRDefault="00566F3E" w:rsidP="00566F3E">
      <w:pPr>
        <w:spacing w:line="360" w:lineRule="auto"/>
        <w:ind w:firstLine="0"/>
        <w:jc w:val="both"/>
        <w:rPr>
          <w:rFonts w:asciiTheme="majorBidi" w:hAnsiTheme="majorBidi" w:cstheme="majorBidi"/>
          <w:color w:val="000000" w:themeColor="text1"/>
          <w:sz w:val="24"/>
          <w:szCs w:val="24"/>
        </w:rPr>
      </w:pPr>
      <w:r w:rsidRPr="00566F3E">
        <w:rPr>
          <w:rFonts w:asciiTheme="majorBidi" w:hAnsiTheme="majorBidi" w:cstheme="majorBidi"/>
          <w:noProof/>
          <w:color w:val="000000" w:themeColor="text1"/>
          <w:sz w:val="24"/>
          <w:szCs w:val="24"/>
        </w:rPr>
        <w:drawing>
          <wp:inline distT="0" distB="0" distL="0" distR="0" wp14:anchorId="1A792268" wp14:editId="45E7D94B">
            <wp:extent cx="5731510" cy="3931920"/>
            <wp:effectExtent l="0" t="0" r="0" b="5080"/>
            <wp:docPr id="1601709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709825" name=""/>
                    <pic:cNvPicPr/>
                  </pic:nvPicPr>
                  <pic:blipFill>
                    <a:blip r:embed="rId11"/>
                    <a:stretch>
                      <a:fillRect/>
                    </a:stretch>
                  </pic:blipFill>
                  <pic:spPr>
                    <a:xfrm>
                      <a:off x="0" y="0"/>
                      <a:ext cx="5731510" cy="3931920"/>
                    </a:xfrm>
                    <a:prstGeom prst="rect">
                      <a:avLst/>
                    </a:prstGeom>
                  </pic:spPr>
                </pic:pic>
              </a:graphicData>
            </a:graphic>
          </wp:inline>
        </w:drawing>
      </w:r>
    </w:p>
    <w:p w14:paraId="6E62CA47" w14:textId="7922738A"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t>Figure 4:  HUM Job Crafting and Talent Marketplace Cycle(McKinsey &amp; Company, 2022)</w:t>
      </w:r>
    </w:p>
    <w:p w14:paraId="5EF705D8" w14:textId="77777777" w:rsidR="00EB6F16" w:rsidRPr="00566F3E" w:rsidRDefault="00EB6F16" w:rsidP="00566F3E">
      <w:pPr>
        <w:pStyle w:val="Heading1"/>
        <w:rPr>
          <w:sz w:val="24"/>
          <w:szCs w:val="24"/>
        </w:rPr>
      </w:pPr>
      <w:bookmarkStart w:id="14" w:name="_Toc232449767"/>
      <w:r w:rsidRPr="00566F3E">
        <w:rPr>
          <w:sz w:val="24"/>
          <w:szCs w:val="24"/>
        </w:rPr>
        <w:lastRenderedPageBreak/>
        <w:t>Task C: Reflective Report</w:t>
      </w:r>
      <w:bookmarkEnd w:id="14"/>
    </w:p>
    <w:p w14:paraId="45A819A4" w14:textId="77777777" w:rsidR="00EB6F16" w:rsidRPr="00566F3E" w:rsidRDefault="00EB6F16" w:rsidP="00566F3E">
      <w:pPr>
        <w:pStyle w:val="Heading2"/>
        <w:spacing w:line="360" w:lineRule="auto"/>
        <w:jc w:val="both"/>
      </w:pPr>
      <w:bookmarkStart w:id="15" w:name="_Toc232449768"/>
      <w:r w:rsidRPr="00566F3E">
        <w:t>Using AI as a Decision-Support Tool Without Eroding Human Judgement</w:t>
      </w:r>
      <w:bookmarkEnd w:id="15"/>
    </w:p>
    <w:p w14:paraId="5315B3CA"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As HR professional of the future, AI would be a decision support rather than decision-making tool. HR can leverage AI's capabilities to summarise engagement data, uncover patterns of attrition, map skills, and aid in workforce planning. But AI can also perpetuate bias without any filter or critical thinking, and give managers false sense of security when they accept the algorithms without checking their work (Capasso, 2024; Alabdali et al., 2024; NIST, 2023).</w:t>
      </w:r>
    </w:p>
    <w:p w14:paraId="28D46E59" w14:textId="79A4FEC8"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My process would be based on an HIT (human in the loop). Humans are better suited to being able to listen to the context, challenge the assumptions and take personal responsibility for decisions while AI can identify patterns. AI might, for instance, determine what attributes are linked to dropping out of graduate school, such as not having a mentor or not having a strong connection to the manager. But the moral answer to the question is to fix the system, not identify people as “flight risks.” This aligns with the OECD's core principles of trustworthy AI and the NIST AI RMF's governance, measurement and risk management aspects (OECD, 2024; NIST, 2023).</w:t>
      </w:r>
    </w:p>
    <w:p w14:paraId="04FE2D8B" w14:textId="79A3051E" w:rsidR="00EB6F16" w:rsidRPr="00566F3E" w:rsidRDefault="00566F3E" w:rsidP="00566F3E">
      <w:pPr>
        <w:spacing w:line="360" w:lineRule="auto"/>
        <w:ind w:firstLine="0"/>
        <w:jc w:val="both"/>
        <w:rPr>
          <w:rFonts w:asciiTheme="majorBidi" w:hAnsiTheme="majorBidi" w:cstheme="majorBidi"/>
          <w:color w:val="000000" w:themeColor="text1"/>
          <w:sz w:val="24"/>
          <w:szCs w:val="24"/>
        </w:rPr>
      </w:pPr>
      <w:r w:rsidRPr="00566F3E">
        <w:rPr>
          <w:rFonts w:asciiTheme="majorBidi" w:hAnsiTheme="majorBidi" w:cstheme="majorBidi"/>
          <w:noProof/>
          <w:color w:val="000000" w:themeColor="text1"/>
          <w:sz w:val="24"/>
          <w:szCs w:val="24"/>
        </w:rPr>
        <w:drawing>
          <wp:inline distT="0" distB="0" distL="0" distR="0" wp14:anchorId="7E084682" wp14:editId="0858E8A0">
            <wp:extent cx="5731510" cy="1600200"/>
            <wp:effectExtent l="0" t="0" r="0" b="0"/>
            <wp:docPr id="1224700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700904" name=""/>
                    <pic:cNvPicPr/>
                  </pic:nvPicPr>
                  <pic:blipFill>
                    <a:blip r:embed="rId12"/>
                    <a:stretch>
                      <a:fillRect/>
                    </a:stretch>
                  </pic:blipFill>
                  <pic:spPr>
                    <a:xfrm>
                      <a:off x="0" y="0"/>
                      <a:ext cx="5731510" cy="1600200"/>
                    </a:xfrm>
                    <a:prstGeom prst="rect">
                      <a:avLst/>
                    </a:prstGeom>
                  </pic:spPr>
                </pic:pic>
              </a:graphicData>
            </a:graphic>
          </wp:inline>
        </w:drawing>
      </w:r>
    </w:p>
    <w:p w14:paraId="1125F70A" w14:textId="2BD41051"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t>Figure 5: Human-in-the-Loop AI Decision Model for HR( Alabdali et al., 2024).</w:t>
      </w:r>
    </w:p>
    <w:p w14:paraId="7882E7E3" w14:textId="77777777" w:rsidR="00EB6F16" w:rsidRPr="00566F3E" w:rsidRDefault="00EB6F16" w:rsidP="00566F3E">
      <w:pPr>
        <w:pStyle w:val="Heading2"/>
        <w:spacing w:line="360" w:lineRule="auto"/>
        <w:jc w:val="both"/>
      </w:pPr>
      <w:bookmarkStart w:id="16" w:name="_Toc232449769"/>
      <w:r w:rsidRPr="00566F3E">
        <w:t>Personal Capability Development Plan</w:t>
      </w:r>
      <w:bookmarkEnd w:id="16"/>
    </w:p>
    <w:p w14:paraId="107BD803" w14:textId="245EA6F2"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t>Table 3: Personal Capability Development Plan</w:t>
      </w:r>
      <w:r w:rsidRPr="00566F3E">
        <w:rPr>
          <w:rFonts w:asciiTheme="majorBidi" w:hAnsiTheme="majorBidi" w:cstheme="majorBidi"/>
          <w:b/>
          <w:bCs/>
          <w:color w:val="000000" w:themeColor="text1"/>
          <w:sz w:val="24"/>
          <w:szCs w:val="24"/>
        </w:rPr>
        <w:br/>
      </w:r>
    </w:p>
    <w:tbl>
      <w:tblPr>
        <w:tblStyle w:val="GridTable4-Accent5"/>
        <w:tblW w:w="0" w:type="auto"/>
        <w:tblLook w:val="04A0" w:firstRow="1" w:lastRow="0" w:firstColumn="1" w:lastColumn="0" w:noHBand="0" w:noVBand="1"/>
      </w:tblPr>
      <w:tblGrid>
        <w:gridCol w:w="1935"/>
        <w:gridCol w:w="2579"/>
        <w:gridCol w:w="2464"/>
        <w:gridCol w:w="2038"/>
      </w:tblGrid>
      <w:tr w:rsidR="00EB6F16" w:rsidRPr="00566F3E" w14:paraId="0EBFF5E3" w14:textId="77777777" w:rsidTr="00EB6F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1AA12F"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b w:val="0"/>
                <w:bCs w:val="0"/>
                <w:color w:val="000000" w:themeColor="text1"/>
                <w:sz w:val="24"/>
                <w:szCs w:val="24"/>
              </w:rPr>
              <w:t>Capability</w:t>
            </w:r>
          </w:p>
        </w:tc>
        <w:tc>
          <w:tcPr>
            <w:tcW w:w="0" w:type="auto"/>
            <w:hideMark/>
          </w:tcPr>
          <w:p w14:paraId="6AA68DD2"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Development need</w:t>
            </w:r>
          </w:p>
        </w:tc>
        <w:tc>
          <w:tcPr>
            <w:tcW w:w="0" w:type="auto"/>
            <w:hideMark/>
          </w:tcPr>
          <w:p w14:paraId="129B93F9"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Planned action</w:t>
            </w:r>
          </w:p>
        </w:tc>
        <w:tc>
          <w:tcPr>
            <w:tcW w:w="0" w:type="auto"/>
            <w:hideMark/>
          </w:tcPr>
          <w:p w14:paraId="75887366"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Evidence of progress</w:t>
            </w:r>
          </w:p>
        </w:tc>
      </w:tr>
      <w:tr w:rsidR="00EB6F16" w:rsidRPr="00566F3E" w14:paraId="59FC5DE9" w14:textId="77777777" w:rsidTr="00EB6F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48B33E" w14:textId="77777777" w:rsidR="00EB6F16" w:rsidRPr="00566F3E" w:rsidRDefault="00EB6F16" w:rsidP="00566F3E">
            <w:pPr>
              <w:spacing w:line="360" w:lineRule="auto"/>
              <w:jc w:val="both"/>
              <w:rPr>
                <w:rFonts w:asciiTheme="majorBidi" w:hAnsiTheme="majorBidi" w:cstheme="majorBidi"/>
                <w:b w:val="0"/>
                <w:bCs w:val="0"/>
                <w:color w:val="000000" w:themeColor="text1"/>
                <w:sz w:val="24"/>
                <w:szCs w:val="24"/>
              </w:rPr>
            </w:pPr>
            <w:r w:rsidRPr="00566F3E">
              <w:rPr>
                <w:rFonts w:asciiTheme="majorBidi" w:hAnsiTheme="majorBidi" w:cstheme="majorBidi"/>
                <w:color w:val="000000" w:themeColor="text1"/>
                <w:sz w:val="24"/>
                <w:szCs w:val="24"/>
              </w:rPr>
              <w:t>Data literacy</w:t>
            </w:r>
          </w:p>
        </w:tc>
        <w:tc>
          <w:tcPr>
            <w:tcW w:w="0" w:type="auto"/>
            <w:hideMark/>
          </w:tcPr>
          <w:p w14:paraId="0111510E"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Improve interpretation of HR metrics</w:t>
            </w:r>
          </w:p>
        </w:tc>
        <w:tc>
          <w:tcPr>
            <w:tcW w:w="0" w:type="auto"/>
            <w:hideMark/>
          </w:tcPr>
          <w:p w14:paraId="105F3F69"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 xml:space="preserve">Complete HR analytics training and </w:t>
            </w:r>
            <w:r w:rsidRPr="00566F3E">
              <w:rPr>
                <w:rFonts w:asciiTheme="majorBidi" w:hAnsiTheme="majorBidi" w:cstheme="majorBidi"/>
                <w:color w:val="000000" w:themeColor="text1"/>
                <w:sz w:val="24"/>
                <w:szCs w:val="24"/>
              </w:rPr>
              <w:lastRenderedPageBreak/>
              <w:t>practise dashboard analysis</w:t>
            </w:r>
          </w:p>
        </w:tc>
        <w:tc>
          <w:tcPr>
            <w:tcW w:w="0" w:type="auto"/>
            <w:hideMark/>
          </w:tcPr>
          <w:p w14:paraId="311050E6"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lastRenderedPageBreak/>
              <w:t>HR dashboard portfolio</w:t>
            </w:r>
          </w:p>
        </w:tc>
      </w:tr>
      <w:tr w:rsidR="00EB6F16" w:rsidRPr="00566F3E" w14:paraId="76414C88" w14:textId="77777777" w:rsidTr="00EB6F16">
        <w:tc>
          <w:tcPr>
            <w:cnfStyle w:val="001000000000" w:firstRow="0" w:lastRow="0" w:firstColumn="1" w:lastColumn="0" w:oddVBand="0" w:evenVBand="0" w:oddHBand="0" w:evenHBand="0" w:firstRowFirstColumn="0" w:firstRowLastColumn="0" w:lastRowFirstColumn="0" w:lastRowLastColumn="0"/>
            <w:tcW w:w="0" w:type="auto"/>
            <w:hideMark/>
          </w:tcPr>
          <w:p w14:paraId="41AB8761"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AI augmentation in HR</w:t>
            </w:r>
          </w:p>
        </w:tc>
        <w:tc>
          <w:tcPr>
            <w:tcW w:w="0" w:type="auto"/>
            <w:hideMark/>
          </w:tcPr>
          <w:p w14:paraId="6C755A4B"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Use AI responsibly and critically</w:t>
            </w:r>
          </w:p>
        </w:tc>
        <w:tc>
          <w:tcPr>
            <w:tcW w:w="0" w:type="auto"/>
            <w:hideMark/>
          </w:tcPr>
          <w:p w14:paraId="6D15E914"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Learn prompt design, bias checking and AI governance</w:t>
            </w:r>
          </w:p>
        </w:tc>
        <w:tc>
          <w:tcPr>
            <w:tcW w:w="0" w:type="auto"/>
            <w:hideMark/>
          </w:tcPr>
          <w:p w14:paraId="7C9B8B70"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AI-use reflection log</w:t>
            </w:r>
          </w:p>
        </w:tc>
      </w:tr>
      <w:tr w:rsidR="00EB6F16" w:rsidRPr="00566F3E" w14:paraId="1C404EDB" w14:textId="77777777" w:rsidTr="00EB6F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21FF8F"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Strategic influencing</w:t>
            </w:r>
          </w:p>
        </w:tc>
        <w:tc>
          <w:tcPr>
            <w:tcW w:w="0" w:type="auto"/>
            <w:hideMark/>
          </w:tcPr>
          <w:p w14:paraId="2D55D80F"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Improve ability to persuade senior stakeholders</w:t>
            </w:r>
          </w:p>
        </w:tc>
        <w:tc>
          <w:tcPr>
            <w:tcW w:w="0" w:type="auto"/>
            <w:hideMark/>
          </w:tcPr>
          <w:p w14:paraId="514E7963"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Practise business cases and stakeholder mapping</w:t>
            </w:r>
          </w:p>
        </w:tc>
        <w:tc>
          <w:tcPr>
            <w:tcW w:w="0" w:type="auto"/>
            <w:hideMark/>
          </w:tcPr>
          <w:p w14:paraId="4A939ECF"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Presentation feedback</w:t>
            </w:r>
          </w:p>
        </w:tc>
      </w:tr>
      <w:tr w:rsidR="00EB6F16" w:rsidRPr="00566F3E" w14:paraId="3AAF7402" w14:textId="77777777" w:rsidTr="00EB6F16">
        <w:tc>
          <w:tcPr>
            <w:cnfStyle w:val="001000000000" w:firstRow="0" w:lastRow="0" w:firstColumn="1" w:lastColumn="0" w:oddVBand="0" w:evenVBand="0" w:oddHBand="0" w:evenHBand="0" w:firstRowFirstColumn="0" w:firstRowLastColumn="0" w:lastRowFirstColumn="0" w:lastRowLastColumn="0"/>
            <w:tcW w:w="0" w:type="auto"/>
            <w:hideMark/>
          </w:tcPr>
          <w:p w14:paraId="6A1DF15C"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Global mobility awareness</w:t>
            </w:r>
          </w:p>
        </w:tc>
        <w:tc>
          <w:tcPr>
            <w:tcW w:w="0" w:type="auto"/>
            <w:hideMark/>
          </w:tcPr>
          <w:p w14:paraId="19C15368"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Understand cross-border HR issues</w:t>
            </w:r>
          </w:p>
        </w:tc>
        <w:tc>
          <w:tcPr>
            <w:tcW w:w="0" w:type="auto"/>
            <w:hideMark/>
          </w:tcPr>
          <w:p w14:paraId="28A96F5C"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Compare UK, German and Singapore HR contexts</w:t>
            </w:r>
          </w:p>
        </w:tc>
        <w:tc>
          <w:tcPr>
            <w:tcW w:w="0" w:type="auto"/>
            <w:hideMark/>
          </w:tcPr>
          <w:p w14:paraId="0721E734"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Comparative HR briefing</w:t>
            </w:r>
          </w:p>
        </w:tc>
      </w:tr>
      <w:tr w:rsidR="00EB6F16" w:rsidRPr="00566F3E" w14:paraId="16050FA3" w14:textId="77777777" w:rsidTr="00EB6F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023A74"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Ethical judgement</w:t>
            </w:r>
          </w:p>
        </w:tc>
        <w:tc>
          <w:tcPr>
            <w:tcW w:w="0" w:type="auto"/>
            <w:hideMark/>
          </w:tcPr>
          <w:p w14:paraId="08896A28"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Strengthen confidence in challenging unfair decisions</w:t>
            </w:r>
          </w:p>
        </w:tc>
        <w:tc>
          <w:tcPr>
            <w:tcW w:w="0" w:type="auto"/>
            <w:hideMark/>
          </w:tcPr>
          <w:p w14:paraId="1ABA374E"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Use ethical decision frameworks and reflective case notes</w:t>
            </w:r>
          </w:p>
        </w:tc>
        <w:tc>
          <w:tcPr>
            <w:tcW w:w="0" w:type="auto"/>
            <w:hideMark/>
          </w:tcPr>
          <w:p w14:paraId="74E87CB5"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Reflective portfolio</w:t>
            </w:r>
          </w:p>
        </w:tc>
      </w:tr>
    </w:tbl>
    <w:p w14:paraId="215C4BF4"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first priority for development would be to make everyone data literate. Human resource (HR) professionals have a growing need to interpret evidence from the workforce, analyse engagement data and link people data to business results. My second priority is Augmenting with AI. I will use artificial intelligence to aid in research, drafting, summarising and scenario analysis but will ensure that sources are accurate, assumptions are checked, and I will remain accountable for making final academic and professional decisions.</w:t>
      </w:r>
    </w:p>
    <w:p w14:paraId="6CDAA2D9"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It is also crucial to have strategic influencing skills. Human capital challenges need to be presented to senior leaders in terms that they trade in – commercial and ethical. For HUM, this translates to a discussion that outlines the connection between socialisation, job design and talent mobility with ramp-up time, engagement, retention and innovation. Last but not least, it is important to raise awareness about mobility worldwide as HUM is active in London, Berlin and Singapore. I will broaden this by learning about the comparative HRM and employment expectations and cross-cultural leadership. These skills will enhance my employability and equip me to make a positive contribution in complex, international HR contexts in an appropriate and responsible manner.</w:t>
      </w:r>
    </w:p>
    <w:p w14:paraId="5A2B1370" w14:textId="77777777" w:rsidR="00EB6F16" w:rsidRPr="00566F3E" w:rsidRDefault="00EB6F16" w:rsidP="00566F3E">
      <w:pPr>
        <w:pStyle w:val="Heading1"/>
        <w:rPr>
          <w:sz w:val="24"/>
          <w:szCs w:val="24"/>
        </w:rPr>
      </w:pPr>
      <w:bookmarkStart w:id="17" w:name="_Toc232449770"/>
      <w:r w:rsidRPr="00566F3E">
        <w:rPr>
          <w:sz w:val="24"/>
          <w:szCs w:val="24"/>
        </w:rPr>
        <w:t>Conclusion</w:t>
      </w:r>
      <w:bookmarkEnd w:id="17"/>
    </w:p>
    <w:p w14:paraId="190DED47"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lastRenderedPageBreak/>
        <w:t>It is time to move beyond HR interventions to a strategic human capital architecture to address HUM's problems. Task A suggested a staged socialisation model, comprising of three stages (pre-boarding clarity, year one citizenship and beyond) which involve psychological contract management, organisational identification, ethical professionalism and business activism. To enhance motivation, innovation and retention, Task B recommended designing a job architecture to be implemented using the Job Characteristics Model, the concept of job crafting and an internal talent marketplace. Task C reviewed issues of responsible use of AI and pinpointed a personal capability development plan. In general, HUM should regard human capital as a strategic capability that is dynamic. In addition to joining the organisation, staff members need to be aware of the organisation's mission, acquire ethical awareness, have the capacity to influence the meaningful work and drive strategic renewal.</w:t>
      </w:r>
    </w:p>
    <w:p w14:paraId="2416EBB2" w14:textId="1F236A40" w:rsidR="00EB6F16" w:rsidRDefault="00EB6F16" w:rsidP="00566F3E">
      <w:pPr>
        <w:spacing w:line="360" w:lineRule="auto"/>
        <w:jc w:val="both"/>
        <w:rPr>
          <w:rFonts w:asciiTheme="majorBidi" w:hAnsiTheme="majorBidi" w:cstheme="majorBidi"/>
          <w:color w:val="000000" w:themeColor="text1"/>
          <w:sz w:val="24"/>
          <w:szCs w:val="24"/>
        </w:rPr>
      </w:pPr>
    </w:p>
    <w:p w14:paraId="1E5E7653" w14:textId="77777777" w:rsidR="00566F3E" w:rsidRDefault="00566F3E" w:rsidP="00566F3E">
      <w:pPr>
        <w:spacing w:line="360" w:lineRule="auto"/>
        <w:jc w:val="both"/>
        <w:rPr>
          <w:rFonts w:asciiTheme="majorBidi" w:hAnsiTheme="majorBidi" w:cstheme="majorBidi"/>
          <w:color w:val="000000" w:themeColor="text1"/>
          <w:sz w:val="24"/>
          <w:szCs w:val="24"/>
        </w:rPr>
      </w:pPr>
    </w:p>
    <w:p w14:paraId="4EF7C131" w14:textId="77777777" w:rsidR="00566F3E" w:rsidRDefault="00566F3E" w:rsidP="00566F3E">
      <w:pPr>
        <w:spacing w:line="360" w:lineRule="auto"/>
        <w:jc w:val="both"/>
        <w:rPr>
          <w:rFonts w:asciiTheme="majorBidi" w:hAnsiTheme="majorBidi" w:cstheme="majorBidi"/>
          <w:color w:val="000000" w:themeColor="text1"/>
          <w:sz w:val="24"/>
          <w:szCs w:val="24"/>
        </w:rPr>
      </w:pPr>
    </w:p>
    <w:p w14:paraId="7D72DC0F" w14:textId="77777777" w:rsidR="00566F3E" w:rsidRDefault="00566F3E" w:rsidP="00566F3E">
      <w:pPr>
        <w:spacing w:line="360" w:lineRule="auto"/>
        <w:jc w:val="both"/>
        <w:rPr>
          <w:rFonts w:asciiTheme="majorBidi" w:hAnsiTheme="majorBidi" w:cstheme="majorBidi"/>
          <w:color w:val="000000" w:themeColor="text1"/>
          <w:sz w:val="24"/>
          <w:szCs w:val="24"/>
        </w:rPr>
      </w:pPr>
    </w:p>
    <w:p w14:paraId="5EC26D47" w14:textId="77777777" w:rsidR="00566F3E" w:rsidRDefault="00566F3E" w:rsidP="00566F3E">
      <w:pPr>
        <w:spacing w:line="360" w:lineRule="auto"/>
        <w:jc w:val="both"/>
        <w:rPr>
          <w:rFonts w:asciiTheme="majorBidi" w:hAnsiTheme="majorBidi" w:cstheme="majorBidi"/>
          <w:color w:val="000000" w:themeColor="text1"/>
          <w:sz w:val="24"/>
          <w:szCs w:val="24"/>
        </w:rPr>
      </w:pPr>
    </w:p>
    <w:p w14:paraId="5A4657FD" w14:textId="77777777" w:rsidR="00566F3E" w:rsidRDefault="00566F3E" w:rsidP="00566F3E">
      <w:pPr>
        <w:spacing w:line="360" w:lineRule="auto"/>
        <w:jc w:val="both"/>
        <w:rPr>
          <w:rFonts w:asciiTheme="majorBidi" w:hAnsiTheme="majorBidi" w:cstheme="majorBidi"/>
          <w:color w:val="000000" w:themeColor="text1"/>
          <w:sz w:val="24"/>
          <w:szCs w:val="24"/>
        </w:rPr>
      </w:pPr>
    </w:p>
    <w:p w14:paraId="48536AB4" w14:textId="77777777" w:rsidR="00566F3E" w:rsidRDefault="00566F3E" w:rsidP="00566F3E">
      <w:pPr>
        <w:spacing w:line="360" w:lineRule="auto"/>
        <w:jc w:val="both"/>
        <w:rPr>
          <w:rFonts w:asciiTheme="majorBidi" w:hAnsiTheme="majorBidi" w:cstheme="majorBidi"/>
          <w:color w:val="000000" w:themeColor="text1"/>
          <w:sz w:val="24"/>
          <w:szCs w:val="24"/>
        </w:rPr>
      </w:pPr>
    </w:p>
    <w:p w14:paraId="39A30A76" w14:textId="77777777" w:rsidR="00566F3E" w:rsidRDefault="00566F3E" w:rsidP="00566F3E">
      <w:pPr>
        <w:spacing w:line="360" w:lineRule="auto"/>
        <w:jc w:val="both"/>
        <w:rPr>
          <w:rFonts w:asciiTheme="majorBidi" w:hAnsiTheme="majorBidi" w:cstheme="majorBidi"/>
          <w:color w:val="000000" w:themeColor="text1"/>
          <w:sz w:val="24"/>
          <w:szCs w:val="24"/>
        </w:rPr>
      </w:pPr>
    </w:p>
    <w:p w14:paraId="4FF239CD" w14:textId="77777777" w:rsidR="00566F3E" w:rsidRDefault="00566F3E" w:rsidP="00566F3E">
      <w:pPr>
        <w:spacing w:line="360" w:lineRule="auto"/>
        <w:jc w:val="both"/>
        <w:rPr>
          <w:rFonts w:asciiTheme="majorBidi" w:hAnsiTheme="majorBidi" w:cstheme="majorBidi"/>
          <w:color w:val="000000" w:themeColor="text1"/>
          <w:sz w:val="24"/>
          <w:szCs w:val="24"/>
        </w:rPr>
      </w:pPr>
    </w:p>
    <w:p w14:paraId="05F468B4" w14:textId="77777777" w:rsidR="00566F3E" w:rsidRDefault="00566F3E" w:rsidP="00566F3E">
      <w:pPr>
        <w:spacing w:line="360" w:lineRule="auto"/>
        <w:jc w:val="both"/>
        <w:rPr>
          <w:rFonts w:asciiTheme="majorBidi" w:hAnsiTheme="majorBidi" w:cstheme="majorBidi"/>
          <w:color w:val="000000" w:themeColor="text1"/>
          <w:sz w:val="24"/>
          <w:szCs w:val="24"/>
        </w:rPr>
      </w:pPr>
    </w:p>
    <w:p w14:paraId="21C07B1D" w14:textId="77777777" w:rsidR="00566F3E" w:rsidRDefault="00566F3E" w:rsidP="00566F3E">
      <w:pPr>
        <w:spacing w:line="360" w:lineRule="auto"/>
        <w:jc w:val="both"/>
        <w:rPr>
          <w:rFonts w:asciiTheme="majorBidi" w:hAnsiTheme="majorBidi" w:cstheme="majorBidi"/>
          <w:color w:val="000000" w:themeColor="text1"/>
          <w:sz w:val="24"/>
          <w:szCs w:val="24"/>
        </w:rPr>
      </w:pPr>
    </w:p>
    <w:p w14:paraId="4F7B8F8E" w14:textId="77777777" w:rsidR="00566F3E" w:rsidRDefault="00566F3E" w:rsidP="00566F3E">
      <w:pPr>
        <w:spacing w:line="360" w:lineRule="auto"/>
        <w:jc w:val="both"/>
        <w:rPr>
          <w:rFonts w:asciiTheme="majorBidi" w:hAnsiTheme="majorBidi" w:cstheme="majorBidi"/>
          <w:color w:val="000000" w:themeColor="text1"/>
          <w:sz w:val="24"/>
          <w:szCs w:val="24"/>
        </w:rPr>
      </w:pPr>
    </w:p>
    <w:p w14:paraId="61BE7A65" w14:textId="77777777" w:rsidR="00566F3E" w:rsidRDefault="00566F3E" w:rsidP="00566F3E">
      <w:pPr>
        <w:spacing w:line="360" w:lineRule="auto"/>
        <w:jc w:val="both"/>
        <w:rPr>
          <w:rFonts w:asciiTheme="majorBidi" w:hAnsiTheme="majorBidi" w:cstheme="majorBidi"/>
          <w:color w:val="000000" w:themeColor="text1"/>
          <w:sz w:val="24"/>
          <w:szCs w:val="24"/>
        </w:rPr>
      </w:pPr>
    </w:p>
    <w:p w14:paraId="10368819" w14:textId="77777777" w:rsidR="00566F3E" w:rsidRDefault="00566F3E" w:rsidP="00566F3E">
      <w:pPr>
        <w:spacing w:line="360" w:lineRule="auto"/>
        <w:jc w:val="both"/>
        <w:rPr>
          <w:rFonts w:asciiTheme="majorBidi" w:hAnsiTheme="majorBidi" w:cstheme="majorBidi"/>
          <w:color w:val="000000" w:themeColor="text1"/>
          <w:sz w:val="24"/>
          <w:szCs w:val="24"/>
        </w:rPr>
      </w:pPr>
    </w:p>
    <w:p w14:paraId="29B0F8A7" w14:textId="77777777" w:rsidR="00566F3E" w:rsidRDefault="00566F3E" w:rsidP="00566F3E">
      <w:pPr>
        <w:spacing w:line="360" w:lineRule="auto"/>
        <w:jc w:val="both"/>
        <w:rPr>
          <w:rFonts w:asciiTheme="majorBidi" w:hAnsiTheme="majorBidi" w:cstheme="majorBidi"/>
          <w:color w:val="000000" w:themeColor="text1"/>
          <w:sz w:val="24"/>
          <w:szCs w:val="24"/>
        </w:rPr>
      </w:pPr>
    </w:p>
    <w:p w14:paraId="3D9437AA" w14:textId="77777777" w:rsidR="00566F3E" w:rsidRDefault="00566F3E" w:rsidP="00566F3E">
      <w:pPr>
        <w:spacing w:line="360" w:lineRule="auto"/>
        <w:jc w:val="both"/>
        <w:rPr>
          <w:rFonts w:asciiTheme="majorBidi" w:hAnsiTheme="majorBidi" w:cstheme="majorBidi"/>
          <w:color w:val="000000" w:themeColor="text1"/>
          <w:sz w:val="24"/>
          <w:szCs w:val="24"/>
        </w:rPr>
      </w:pPr>
    </w:p>
    <w:p w14:paraId="44BBE7B0" w14:textId="77777777" w:rsidR="00566F3E" w:rsidRDefault="00566F3E" w:rsidP="00566F3E">
      <w:pPr>
        <w:spacing w:line="360" w:lineRule="auto"/>
        <w:jc w:val="both"/>
        <w:rPr>
          <w:rFonts w:asciiTheme="majorBidi" w:hAnsiTheme="majorBidi" w:cstheme="majorBidi"/>
          <w:color w:val="000000" w:themeColor="text1"/>
          <w:sz w:val="24"/>
          <w:szCs w:val="24"/>
        </w:rPr>
      </w:pPr>
    </w:p>
    <w:p w14:paraId="234426EF" w14:textId="77777777" w:rsidR="00566F3E" w:rsidRDefault="00566F3E" w:rsidP="00566F3E">
      <w:pPr>
        <w:spacing w:line="360" w:lineRule="auto"/>
        <w:jc w:val="both"/>
        <w:rPr>
          <w:rFonts w:asciiTheme="majorBidi" w:hAnsiTheme="majorBidi" w:cstheme="majorBidi"/>
          <w:color w:val="000000" w:themeColor="text1"/>
          <w:sz w:val="24"/>
          <w:szCs w:val="24"/>
        </w:rPr>
      </w:pPr>
    </w:p>
    <w:p w14:paraId="478BA731" w14:textId="77777777" w:rsidR="00566F3E" w:rsidRDefault="00566F3E" w:rsidP="00566F3E">
      <w:pPr>
        <w:spacing w:line="360" w:lineRule="auto"/>
        <w:jc w:val="both"/>
        <w:rPr>
          <w:rFonts w:asciiTheme="majorBidi" w:hAnsiTheme="majorBidi" w:cstheme="majorBidi"/>
          <w:color w:val="000000" w:themeColor="text1"/>
          <w:sz w:val="24"/>
          <w:szCs w:val="24"/>
        </w:rPr>
      </w:pPr>
    </w:p>
    <w:p w14:paraId="73BF672D" w14:textId="77777777" w:rsidR="00566F3E" w:rsidRDefault="00566F3E" w:rsidP="00566F3E">
      <w:pPr>
        <w:spacing w:line="360" w:lineRule="auto"/>
        <w:jc w:val="both"/>
        <w:rPr>
          <w:rFonts w:asciiTheme="majorBidi" w:hAnsiTheme="majorBidi" w:cstheme="majorBidi"/>
          <w:color w:val="000000" w:themeColor="text1"/>
          <w:sz w:val="24"/>
          <w:szCs w:val="24"/>
        </w:rPr>
      </w:pPr>
    </w:p>
    <w:p w14:paraId="54248EE3" w14:textId="77777777" w:rsidR="00566F3E" w:rsidRPr="00566F3E" w:rsidRDefault="00566F3E" w:rsidP="00566F3E">
      <w:pPr>
        <w:spacing w:line="360" w:lineRule="auto"/>
        <w:jc w:val="both"/>
        <w:rPr>
          <w:rFonts w:asciiTheme="majorBidi" w:hAnsiTheme="majorBidi" w:cstheme="majorBidi"/>
          <w:color w:val="000000" w:themeColor="text1"/>
          <w:sz w:val="24"/>
          <w:szCs w:val="24"/>
        </w:rPr>
      </w:pPr>
    </w:p>
    <w:p w14:paraId="1E5CCEBA" w14:textId="77777777" w:rsidR="00EB6F16" w:rsidRPr="00566F3E" w:rsidRDefault="00EB6F16" w:rsidP="00566F3E">
      <w:pPr>
        <w:pStyle w:val="Heading1"/>
        <w:rPr>
          <w:sz w:val="24"/>
          <w:szCs w:val="24"/>
        </w:rPr>
      </w:pPr>
      <w:bookmarkStart w:id="18" w:name="_Toc232449771"/>
      <w:r w:rsidRPr="00566F3E">
        <w:rPr>
          <w:sz w:val="24"/>
          <w:szCs w:val="24"/>
        </w:rPr>
        <w:lastRenderedPageBreak/>
        <w:t>References</w:t>
      </w:r>
      <w:bookmarkEnd w:id="18"/>
    </w:p>
    <w:p w14:paraId="69737ED9"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Alabdali, M. A., et al. (2024). Harnessing the power of algorithmic human resource management: Scale development and validation. </w:t>
      </w:r>
      <w:r w:rsidRPr="00566F3E">
        <w:rPr>
          <w:rStyle w:val="Emphasis"/>
          <w:rFonts w:asciiTheme="majorBidi" w:hAnsiTheme="majorBidi" w:cstheme="majorBidi"/>
          <w:b w:val="0"/>
          <w:bCs w:val="0"/>
          <w:color w:val="000000" w:themeColor="text1"/>
        </w:rPr>
        <w:t>Sustainability, 16</w:t>
      </w:r>
      <w:r w:rsidRPr="00566F3E">
        <w:rPr>
          <w:rFonts w:asciiTheme="majorBidi" w:hAnsiTheme="majorBidi" w:cstheme="majorBidi"/>
          <w:color w:val="000000" w:themeColor="text1"/>
        </w:rPr>
        <w:t xml:space="preserve">(11), 4854. </w:t>
      </w:r>
      <w:hyperlink r:id="rId13" w:history="1">
        <w:r w:rsidRPr="00566F3E">
          <w:rPr>
            <w:rStyle w:val="Hyperlink"/>
            <w:rFonts w:asciiTheme="majorBidi" w:hAnsiTheme="majorBidi" w:cstheme="majorBidi"/>
            <w:color w:val="000000" w:themeColor="text1"/>
          </w:rPr>
          <w:t>https://www.mdpi.com/2071-1050/16/11/4854</w:t>
        </w:r>
      </w:hyperlink>
    </w:p>
    <w:p w14:paraId="0ED63D67"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Ashforth, B. E., Harrison, S. H., &amp; Corley, K. G. (2008). Identification in organizations: An examination of four fundamental questions. </w:t>
      </w:r>
      <w:r w:rsidRPr="00566F3E">
        <w:rPr>
          <w:rStyle w:val="Emphasis"/>
          <w:rFonts w:asciiTheme="majorBidi" w:hAnsiTheme="majorBidi" w:cstheme="majorBidi"/>
          <w:b w:val="0"/>
          <w:bCs w:val="0"/>
          <w:color w:val="000000" w:themeColor="text1"/>
        </w:rPr>
        <w:t>Journal of Management, 34</w:t>
      </w:r>
      <w:r w:rsidRPr="00566F3E">
        <w:rPr>
          <w:rFonts w:asciiTheme="majorBidi" w:hAnsiTheme="majorBidi" w:cstheme="majorBidi"/>
          <w:color w:val="000000" w:themeColor="text1"/>
        </w:rPr>
        <w:t xml:space="preserve">(3), 325–374. </w:t>
      </w:r>
      <w:hyperlink r:id="rId14" w:history="1">
        <w:r w:rsidRPr="00566F3E">
          <w:rPr>
            <w:rStyle w:val="Hyperlink"/>
            <w:rFonts w:asciiTheme="majorBidi" w:hAnsiTheme="majorBidi" w:cstheme="majorBidi"/>
            <w:color w:val="000000" w:themeColor="text1"/>
          </w:rPr>
          <w:t>https://journals.sagepub.com/doi/10.1177/0149206308316059</w:t>
        </w:r>
      </w:hyperlink>
    </w:p>
    <w:p w14:paraId="4BFE417A"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Ashforth, B. E., &amp; Mael, F. (1989). Social identity theory and the organization. </w:t>
      </w:r>
      <w:r w:rsidRPr="00566F3E">
        <w:rPr>
          <w:rStyle w:val="Emphasis"/>
          <w:rFonts w:asciiTheme="majorBidi" w:hAnsiTheme="majorBidi" w:cstheme="majorBidi"/>
          <w:b w:val="0"/>
          <w:bCs w:val="0"/>
          <w:color w:val="000000" w:themeColor="text1"/>
        </w:rPr>
        <w:t>Academy of Management Review, 14</w:t>
      </w:r>
      <w:r w:rsidRPr="00566F3E">
        <w:rPr>
          <w:rFonts w:asciiTheme="majorBidi" w:hAnsiTheme="majorBidi" w:cstheme="majorBidi"/>
          <w:color w:val="000000" w:themeColor="text1"/>
        </w:rPr>
        <w:t xml:space="preserve">(1), 20–39. </w:t>
      </w:r>
      <w:hyperlink r:id="rId15" w:history="1">
        <w:r w:rsidRPr="00566F3E">
          <w:rPr>
            <w:rStyle w:val="Hyperlink"/>
            <w:rFonts w:asciiTheme="majorBidi" w:hAnsiTheme="majorBidi" w:cstheme="majorBidi"/>
            <w:color w:val="000000" w:themeColor="text1"/>
          </w:rPr>
          <w:t>https://journals.aom.org/doi/10.5465/amr.1989.4278999</w:t>
        </w:r>
      </w:hyperlink>
    </w:p>
    <w:p w14:paraId="7422D3D6"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Bauer, T. N., Bodner, T., Erdogan, B., Truxillo, D. M., &amp; Tucker, J. S. (2007). Newcomer adjustment during organizational socialization: A meta-analytic review. </w:t>
      </w:r>
      <w:r w:rsidRPr="00566F3E">
        <w:rPr>
          <w:rStyle w:val="Emphasis"/>
          <w:rFonts w:asciiTheme="majorBidi" w:hAnsiTheme="majorBidi" w:cstheme="majorBidi"/>
          <w:b w:val="0"/>
          <w:bCs w:val="0"/>
          <w:color w:val="000000" w:themeColor="text1"/>
        </w:rPr>
        <w:t>Journal of Applied Psychology, 92</w:t>
      </w:r>
      <w:r w:rsidRPr="00566F3E">
        <w:rPr>
          <w:rFonts w:asciiTheme="majorBidi" w:hAnsiTheme="majorBidi" w:cstheme="majorBidi"/>
          <w:color w:val="000000" w:themeColor="text1"/>
        </w:rPr>
        <w:t xml:space="preserve">(3), 707–721. </w:t>
      </w:r>
      <w:hyperlink r:id="rId16" w:history="1">
        <w:r w:rsidRPr="00566F3E">
          <w:rPr>
            <w:rStyle w:val="Hyperlink"/>
            <w:rFonts w:asciiTheme="majorBidi" w:hAnsiTheme="majorBidi" w:cstheme="majorBidi"/>
            <w:color w:val="000000" w:themeColor="text1"/>
          </w:rPr>
          <w:t>https://psycnet.apa.org/record/2007-06673-008</w:t>
        </w:r>
      </w:hyperlink>
    </w:p>
    <w:p w14:paraId="7725B5DF"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Bauer, T. N., Erdogan, B., Ellis, A. M., &amp; Kurkoski, J. (2025). New horizons for newcomer organizational socialization: A review, meta-analysis, and future research directions. </w:t>
      </w:r>
      <w:r w:rsidRPr="00566F3E">
        <w:rPr>
          <w:rStyle w:val="Emphasis"/>
          <w:rFonts w:asciiTheme="majorBidi" w:hAnsiTheme="majorBidi" w:cstheme="majorBidi"/>
          <w:b w:val="0"/>
          <w:bCs w:val="0"/>
          <w:color w:val="000000" w:themeColor="text1"/>
        </w:rPr>
        <w:t>Journal of Management, 51</w:t>
      </w:r>
      <w:r w:rsidRPr="00566F3E">
        <w:rPr>
          <w:rFonts w:asciiTheme="majorBidi" w:hAnsiTheme="majorBidi" w:cstheme="majorBidi"/>
          <w:color w:val="000000" w:themeColor="text1"/>
        </w:rPr>
        <w:t xml:space="preserve">(1), 344–382. </w:t>
      </w:r>
      <w:hyperlink r:id="rId17" w:history="1">
        <w:r w:rsidRPr="00566F3E">
          <w:rPr>
            <w:rStyle w:val="Hyperlink"/>
            <w:rFonts w:asciiTheme="majorBidi" w:hAnsiTheme="majorBidi" w:cstheme="majorBidi"/>
            <w:color w:val="000000" w:themeColor="text1"/>
          </w:rPr>
          <w:t>https://journals.sagepub.com/doi/10.1177/01492063241277168</w:t>
        </w:r>
      </w:hyperlink>
    </w:p>
    <w:p w14:paraId="7CBF12E3"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Capasso, M. (2024). On the right to work in the age of artificial intelligence: Ethical safeguards in algorithmic human resource management. </w:t>
      </w:r>
      <w:r w:rsidRPr="00566F3E">
        <w:rPr>
          <w:rStyle w:val="Emphasis"/>
          <w:rFonts w:asciiTheme="majorBidi" w:hAnsiTheme="majorBidi" w:cstheme="majorBidi"/>
          <w:b w:val="0"/>
          <w:bCs w:val="0"/>
          <w:color w:val="000000" w:themeColor="text1"/>
        </w:rPr>
        <w:t>Business and Human Rights Journal</w:t>
      </w:r>
      <w:r w:rsidRPr="00566F3E">
        <w:rPr>
          <w:rFonts w:asciiTheme="majorBidi" w:hAnsiTheme="majorBidi" w:cstheme="majorBidi"/>
          <w:color w:val="000000" w:themeColor="text1"/>
        </w:rPr>
        <w:t xml:space="preserve">. </w:t>
      </w:r>
      <w:hyperlink r:id="rId18" w:history="1">
        <w:r w:rsidRPr="00566F3E">
          <w:rPr>
            <w:rStyle w:val="Hyperlink"/>
            <w:rFonts w:asciiTheme="majorBidi" w:hAnsiTheme="majorBidi" w:cstheme="majorBidi"/>
            <w:color w:val="000000" w:themeColor="text1"/>
          </w:rPr>
          <w:t>https://www.cambridge.org/core/journals/business-and-human-rights-journal/article/on-the-right-to-work-in-the-age-of-artificial-intelligence-ethical-safeguards-in-algorithmic-human-resource-management/48C5CC4DBEDE34EEEFC1591E89C6B1A8</w:t>
        </w:r>
      </w:hyperlink>
    </w:p>
    <w:p w14:paraId="49447770"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Conroy, S., Henle, C. A., Shore, L., &amp; Stelman, S. (2017). Where there is light, there is dark: A review of the detrimental outcomes of high organizational identification. </w:t>
      </w:r>
      <w:r w:rsidRPr="00566F3E">
        <w:rPr>
          <w:rStyle w:val="Emphasis"/>
          <w:rFonts w:asciiTheme="majorBidi" w:hAnsiTheme="majorBidi" w:cstheme="majorBidi"/>
          <w:b w:val="0"/>
          <w:bCs w:val="0"/>
          <w:color w:val="000000" w:themeColor="text1"/>
        </w:rPr>
        <w:t>Journal of Organizational Behavior, 38</w:t>
      </w:r>
      <w:r w:rsidRPr="00566F3E">
        <w:rPr>
          <w:rFonts w:asciiTheme="majorBidi" w:hAnsiTheme="majorBidi" w:cstheme="majorBidi"/>
          <w:color w:val="000000" w:themeColor="text1"/>
        </w:rPr>
        <w:t xml:space="preserve">(2), 184–203. </w:t>
      </w:r>
      <w:hyperlink r:id="rId19" w:history="1">
        <w:r w:rsidRPr="00566F3E">
          <w:rPr>
            <w:rStyle w:val="Hyperlink"/>
            <w:rFonts w:asciiTheme="majorBidi" w:hAnsiTheme="majorBidi" w:cstheme="majorBidi"/>
            <w:color w:val="000000" w:themeColor="text1"/>
          </w:rPr>
          <w:t>https://onlinelibrary.wiley.com/doi/10.1002/job.2164</w:t>
        </w:r>
      </w:hyperlink>
    </w:p>
    <w:p w14:paraId="62A6EFF5"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lastRenderedPageBreak/>
        <w:t xml:space="preserve">Coyle-Shapiro, J. A. M., Pereira Costa, S., Doden, W., &amp; Chang, C. (2019). Psychological contracts: Past, present, and future. </w:t>
      </w:r>
      <w:r w:rsidRPr="00566F3E">
        <w:rPr>
          <w:rStyle w:val="Emphasis"/>
          <w:rFonts w:asciiTheme="majorBidi" w:hAnsiTheme="majorBidi" w:cstheme="majorBidi"/>
          <w:b w:val="0"/>
          <w:bCs w:val="0"/>
          <w:color w:val="000000" w:themeColor="text1"/>
        </w:rPr>
        <w:t>Annual Review of Organizational Psychology and Organizational Behavior, 6</w:t>
      </w:r>
      <w:r w:rsidRPr="00566F3E">
        <w:rPr>
          <w:rFonts w:asciiTheme="majorBidi" w:hAnsiTheme="majorBidi" w:cstheme="majorBidi"/>
          <w:color w:val="000000" w:themeColor="text1"/>
        </w:rPr>
        <w:t xml:space="preserve">, 145–169. </w:t>
      </w:r>
      <w:hyperlink r:id="rId20" w:history="1">
        <w:r w:rsidRPr="00566F3E">
          <w:rPr>
            <w:rStyle w:val="Hyperlink"/>
            <w:rFonts w:asciiTheme="majorBidi" w:hAnsiTheme="majorBidi" w:cstheme="majorBidi"/>
            <w:color w:val="000000" w:themeColor="text1"/>
          </w:rPr>
          <w:t>https://www.annualreviews.org/content/journals/10.1146/annurev-orgpsych-012218-015212</w:t>
        </w:r>
      </w:hyperlink>
    </w:p>
    <w:p w14:paraId="395075E7"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Deci, E. L., Olafsen, A. H., &amp; Ryan, R. M. (2017). Self-determination theory in work organizations. </w:t>
      </w:r>
      <w:r w:rsidRPr="00566F3E">
        <w:rPr>
          <w:rStyle w:val="Emphasis"/>
          <w:rFonts w:asciiTheme="majorBidi" w:hAnsiTheme="majorBidi" w:cstheme="majorBidi"/>
          <w:b w:val="0"/>
          <w:bCs w:val="0"/>
          <w:color w:val="000000" w:themeColor="text1"/>
        </w:rPr>
        <w:t>Annual Review of Organizational Psychology and Organizational Behavior, 4</w:t>
      </w:r>
      <w:r w:rsidRPr="00566F3E">
        <w:rPr>
          <w:rFonts w:asciiTheme="majorBidi" w:hAnsiTheme="majorBidi" w:cstheme="majorBidi"/>
          <w:color w:val="000000" w:themeColor="text1"/>
        </w:rPr>
        <w:t xml:space="preserve">, 19–43. </w:t>
      </w:r>
      <w:hyperlink r:id="rId21" w:history="1">
        <w:r w:rsidRPr="00566F3E">
          <w:rPr>
            <w:rStyle w:val="Hyperlink"/>
            <w:rFonts w:asciiTheme="majorBidi" w:hAnsiTheme="majorBidi" w:cstheme="majorBidi"/>
            <w:color w:val="000000" w:themeColor="text1"/>
          </w:rPr>
          <w:t>https://www.annualreviews.org/content/journals/10.1146/annurev-orgpsych-032516-113108</w:t>
        </w:r>
      </w:hyperlink>
    </w:p>
    <w:p w14:paraId="5EC7E7F9"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Deloitte. (2022). </w:t>
      </w:r>
      <w:r w:rsidRPr="00566F3E">
        <w:rPr>
          <w:rStyle w:val="Emphasis"/>
          <w:rFonts w:asciiTheme="majorBidi" w:hAnsiTheme="majorBidi" w:cstheme="majorBidi"/>
          <w:b w:val="0"/>
          <w:bCs w:val="0"/>
          <w:color w:val="000000" w:themeColor="text1"/>
        </w:rPr>
        <w:t>The skills-based organization: A new operating model for work and the workforce</w:t>
      </w:r>
      <w:r w:rsidRPr="00566F3E">
        <w:rPr>
          <w:rFonts w:asciiTheme="majorBidi" w:hAnsiTheme="majorBidi" w:cstheme="majorBidi"/>
          <w:color w:val="000000" w:themeColor="text1"/>
        </w:rPr>
        <w:t xml:space="preserve">. </w:t>
      </w:r>
      <w:hyperlink r:id="rId22" w:history="1">
        <w:r w:rsidRPr="00566F3E">
          <w:rPr>
            <w:rStyle w:val="Hyperlink"/>
            <w:rFonts w:asciiTheme="majorBidi" w:hAnsiTheme="majorBidi" w:cstheme="majorBidi"/>
            <w:color w:val="000000" w:themeColor="text1"/>
          </w:rPr>
          <w:t>https://www.deloitte.com/us/en/insights/topics/talent/organizational-skill-based-hiring.html</w:t>
        </w:r>
      </w:hyperlink>
    </w:p>
    <w:p w14:paraId="361B191E"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Deloitte. (2026). </w:t>
      </w:r>
      <w:r w:rsidRPr="00566F3E">
        <w:rPr>
          <w:rStyle w:val="Emphasis"/>
          <w:rFonts w:asciiTheme="majorBidi" w:hAnsiTheme="majorBidi" w:cstheme="majorBidi"/>
          <w:b w:val="0"/>
          <w:bCs w:val="0"/>
          <w:color w:val="000000" w:themeColor="text1"/>
        </w:rPr>
        <w:t>Rethinking skills-based talent models: Four paths to business value</w:t>
      </w:r>
      <w:r w:rsidRPr="00566F3E">
        <w:rPr>
          <w:rFonts w:asciiTheme="majorBidi" w:hAnsiTheme="majorBidi" w:cstheme="majorBidi"/>
          <w:color w:val="000000" w:themeColor="text1"/>
        </w:rPr>
        <w:t xml:space="preserve">. </w:t>
      </w:r>
      <w:hyperlink r:id="rId23" w:history="1">
        <w:r w:rsidRPr="00566F3E">
          <w:rPr>
            <w:rStyle w:val="Hyperlink"/>
            <w:rFonts w:asciiTheme="majorBidi" w:hAnsiTheme="majorBidi" w:cstheme="majorBidi"/>
            <w:color w:val="000000" w:themeColor="text1"/>
          </w:rPr>
          <w:t>https://www.deloitte.com/us/en/insights/topics/talent/creating-value-with-skills.html</w:t>
        </w:r>
      </w:hyperlink>
    </w:p>
    <w:p w14:paraId="489F6FAF"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Didion, E., Toth, K., &amp; Albrecht, S. L. (2024). Mapping the organizational socialization and onboarding literature: A bibliometric analysis of the field. </w:t>
      </w:r>
      <w:r w:rsidRPr="00566F3E">
        <w:rPr>
          <w:rStyle w:val="Emphasis"/>
          <w:rFonts w:asciiTheme="majorBidi" w:hAnsiTheme="majorBidi" w:cstheme="majorBidi"/>
          <w:b w:val="0"/>
          <w:bCs w:val="0"/>
          <w:color w:val="000000" w:themeColor="text1"/>
        </w:rPr>
        <w:t>Cogent Business &amp; Management, 11</w:t>
      </w:r>
      <w:r w:rsidRPr="00566F3E">
        <w:rPr>
          <w:rFonts w:asciiTheme="majorBidi" w:hAnsiTheme="majorBidi" w:cstheme="majorBidi"/>
          <w:color w:val="000000" w:themeColor="text1"/>
        </w:rPr>
        <w:t xml:space="preserve">(1). </w:t>
      </w:r>
      <w:hyperlink r:id="rId24" w:history="1">
        <w:r w:rsidRPr="00566F3E">
          <w:rPr>
            <w:rStyle w:val="Hyperlink"/>
            <w:rFonts w:asciiTheme="majorBidi" w:hAnsiTheme="majorBidi" w:cstheme="majorBidi"/>
            <w:color w:val="000000" w:themeColor="text1"/>
          </w:rPr>
          <w:t>https://www.tandfonline.com/doi/full/10.1080/23311975.2024.2337957</w:t>
        </w:r>
      </w:hyperlink>
    </w:p>
    <w:p w14:paraId="278C79F9"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Edmondson, A. C., &amp; Harvey, J. F. (2018). Cross-boundary teaming for innovation. </w:t>
      </w:r>
      <w:r w:rsidRPr="00566F3E">
        <w:rPr>
          <w:rStyle w:val="Emphasis"/>
          <w:rFonts w:asciiTheme="majorBidi" w:hAnsiTheme="majorBidi" w:cstheme="majorBidi"/>
          <w:b w:val="0"/>
          <w:bCs w:val="0"/>
          <w:color w:val="000000" w:themeColor="text1"/>
        </w:rPr>
        <w:t>Human Resource Management Review, 28</w:t>
      </w:r>
      <w:r w:rsidRPr="00566F3E">
        <w:rPr>
          <w:rFonts w:asciiTheme="majorBidi" w:hAnsiTheme="majorBidi" w:cstheme="majorBidi"/>
          <w:color w:val="000000" w:themeColor="text1"/>
        </w:rPr>
        <w:t xml:space="preserve">(4), 347–360. </w:t>
      </w:r>
      <w:hyperlink r:id="rId25" w:history="1">
        <w:r w:rsidRPr="00566F3E">
          <w:rPr>
            <w:rStyle w:val="Hyperlink"/>
            <w:rFonts w:asciiTheme="majorBidi" w:hAnsiTheme="majorBidi" w:cstheme="majorBidi"/>
            <w:color w:val="000000" w:themeColor="text1"/>
          </w:rPr>
          <w:t>https://www.sciencedirect.com/science/article/pii/S1053482217301163</w:t>
        </w:r>
      </w:hyperlink>
    </w:p>
    <w:p w14:paraId="5330006D"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Freeman, R. E., Phillips, R., &amp; Sisodia, R. (2020). </w:t>
      </w:r>
      <w:r w:rsidRPr="00566F3E">
        <w:rPr>
          <w:rStyle w:val="Emphasis"/>
          <w:rFonts w:asciiTheme="majorBidi" w:hAnsiTheme="majorBidi" w:cstheme="majorBidi"/>
          <w:b w:val="0"/>
          <w:bCs w:val="0"/>
          <w:color w:val="000000" w:themeColor="text1"/>
        </w:rPr>
        <w:t>Tensions in stakeholder theory</w:t>
      </w:r>
      <w:r w:rsidRPr="00566F3E">
        <w:rPr>
          <w:rFonts w:asciiTheme="majorBidi" w:hAnsiTheme="majorBidi" w:cstheme="majorBidi"/>
          <w:color w:val="000000" w:themeColor="text1"/>
        </w:rPr>
        <w:t xml:space="preserve">. Business &amp; Society. </w:t>
      </w:r>
      <w:hyperlink r:id="rId26" w:history="1">
        <w:r w:rsidRPr="00566F3E">
          <w:rPr>
            <w:rStyle w:val="Hyperlink"/>
            <w:rFonts w:asciiTheme="majorBidi" w:hAnsiTheme="majorBidi" w:cstheme="majorBidi"/>
            <w:color w:val="000000" w:themeColor="text1"/>
          </w:rPr>
          <w:t>https://journals.sagepub.com/doi/10.1177/0007650318773750</w:t>
        </w:r>
      </w:hyperlink>
    </w:p>
    <w:p w14:paraId="738D2D90"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Gallup. (2026). </w:t>
      </w:r>
      <w:r w:rsidRPr="00566F3E">
        <w:rPr>
          <w:rStyle w:val="Emphasis"/>
          <w:rFonts w:asciiTheme="majorBidi" w:hAnsiTheme="majorBidi" w:cstheme="majorBidi"/>
          <w:b w:val="0"/>
          <w:bCs w:val="0"/>
          <w:color w:val="000000" w:themeColor="text1"/>
        </w:rPr>
        <w:t>State of the global workplace 2026</w:t>
      </w:r>
      <w:r w:rsidRPr="00566F3E">
        <w:rPr>
          <w:rFonts w:asciiTheme="majorBidi" w:hAnsiTheme="majorBidi" w:cstheme="majorBidi"/>
          <w:color w:val="000000" w:themeColor="text1"/>
        </w:rPr>
        <w:t xml:space="preserve">. </w:t>
      </w:r>
      <w:hyperlink r:id="rId27" w:history="1">
        <w:r w:rsidRPr="00566F3E">
          <w:rPr>
            <w:rStyle w:val="Hyperlink"/>
            <w:rFonts w:asciiTheme="majorBidi" w:hAnsiTheme="majorBidi" w:cstheme="majorBidi"/>
            <w:color w:val="000000" w:themeColor="text1"/>
          </w:rPr>
          <w:t>https://www.gallup.com/workplace/349484/state-of-the-global-workplace.aspx</w:t>
        </w:r>
      </w:hyperlink>
    </w:p>
    <w:p w14:paraId="0A19D099"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Griep, Y., &amp; Vantilborgh, T. (2018). Let’s get cynical about this! Recursive relationships between psychological contract breach and counterproductive work behaviour. </w:t>
      </w:r>
      <w:r w:rsidRPr="00566F3E">
        <w:rPr>
          <w:rStyle w:val="Emphasis"/>
          <w:rFonts w:asciiTheme="majorBidi" w:hAnsiTheme="majorBidi" w:cstheme="majorBidi"/>
          <w:b w:val="0"/>
          <w:bCs w:val="0"/>
          <w:color w:val="000000" w:themeColor="text1"/>
        </w:rPr>
        <w:t xml:space="preserve">Journal </w:t>
      </w:r>
      <w:r w:rsidRPr="00566F3E">
        <w:rPr>
          <w:rStyle w:val="Emphasis"/>
          <w:rFonts w:asciiTheme="majorBidi" w:hAnsiTheme="majorBidi" w:cstheme="majorBidi"/>
          <w:b w:val="0"/>
          <w:bCs w:val="0"/>
          <w:color w:val="000000" w:themeColor="text1"/>
        </w:rPr>
        <w:lastRenderedPageBreak/>
        <w:t>of Occupational and Organizational Psychology, 91</w:t>
      </w:r>
      <w:r w:rsidRPr="00566F3E">
        <w:rPr>
          <w:rFonts w:asciiTheme="majorBidi" w:hAnsiTheme="majorBidi" w:cstheme="majorBidi"/>
          <w:color w:val="000000" w:themeColor="text1"/>
        </w:rPr>
        <w:t xml:space="preserve">(2), 421–429. </w:t>
      </w:r>
      <w:hyperlink r:id="rId28" w:history="1">
        <w:r w:rsidRPr="00566F3E">
          <w:rPr>
            <w:rStyle w:val="Hyperlink"/>
            <w:rFonts w:asciiTheme="majorBidi" w:hAnsiTheme="majorBidi" w:cstheme="majorBidi"/>
            <w:color w:val="000000" w:themeColor="text1"/>
          </w:rPr>
          <w:t>https://bpspsychub.onlinelibrary.wiley.com/doi/10.1111/joop.12201</w:t>
        </w:r>
      </w:hyperlink>
    </w:p>
    <w:p w14:paraId="1B64249F"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Hackman, J. R., &amp; Oldham, G. R. (1976). Motivation through the design of work. </w:t>
      </w:r>
      <w:r w:rsidRPr="00566F3E">
        <w:rPr>
          <w:rStyle w:val="Emphasis"/>
          <w:rFonts w:asciiTheme="majorBidi" w:hAnsiTheme="majorBidi" w:cstheme="majorBidi"/>
          <w:b w:val="0"/>
          <w:bCs w:val="0"/>
          <w:color w:val="000000" w:themeColor="text1"/>
        </w:rPr>
        <w:t>Organizational Behavior and Human Performance, 16</w:t>
      </w:r>
      <w:r w:rsidRPr="00566F3E">
        <w:rPr>
          <w:rFonts w:asciiTheme="majorBidi" w:hAnsiTheme="majorBidi" w:cstheme="majorBidi"/>
          <w:color w:val="000000" w:themeColor="text1"/>
        </w:rPr>
        <w:t xml:space="preserve">(2), 250–279. </w:t>
      </w:r>
      <w:hyperlink r:id="rId29" w:history="1">
        <w:r w:rsidRPr="00566F3E">
          <w:rPr>
            <w:rStyle w:val="Hyperlink"/>
            <w:rFonts w:asciiTheme="majorBidi" w:hAnsiTheme="majorBidi" w:cstheme="majorBidi"/>
            <w:color w:val="000000" w:themeColor="text1"/>
          </w:rPr>
          <w:t>https://www.sciencedirect.com/science/article/abs/pii/0030507376900167</w:t>
        </w:r>
      </w:hyperlink>
    </w:p>
    <w:p w14:paraId="6BDDB396"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McKinsey &amp; Company. (2022). </w:t>
      </w:r>
      <w:r w:rsidRPr="00566F3E">
        <w:rPr>
          <w:rStyle w:val="Emphasis"/>
          <w:rFonts w:asciiTheme="majorBidi" w:hAnsiTheme="majorBidi" w:cstheme="majorBidi"/>
          <w:b w:val="0"/>
          <w:bCs w:val="0"/>
          <w:color w:val="000000" w:themeColor="text1"/>
        </w:rPr>
        <w:t>Taking a skills-based approach to building the future workforce</w:t>
      </w:r>
      <w:r w:rsidRPr="00566F3E">
        <w:rPr>
          <w:rFonts w:asciiTheme="majorBidi" w:hAnsiTheme="majorBidi" w:cstheme="majorBidi"/>
          <w:color w:val="000000" w:themeColor="text1"/>
        </w:rPr>
        <w:t xml:space="preserve">. </w:t>
      </w:r>
      <w:hyperlink r:id="rId30" w:history="1">
        <w:r w:rsidRPr="00566F3E">
          <w:rPr>
            <w:rStyle w:val="Hyperlink"/>
            <w:rFonts w:asciiTheme="majorBidi" w:hAnsiTheme="majorBidi" w:cstheme="majorBidi"/>
            <w:color w:val="000000" w:themeColor="text1"/>
          </w:rPr>
          <w:t>https://www.mckinsey.com/capabilities/people-and-organizational-performance/our-insights/taking-a-skills-based-approach-to-building-the-future-workforce</w:t>
        </w:r>
      </w:hyperlink>
    </w:p>
    <w:p w14:paraId="333F7ACD"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Miscenko, D., &amp; Day, D. V. (2016). Identity and identification at work. </w:t>
      </w:r>
      <w:r w:rsidRPr="00566F3E">
        <w:rPr>
          <w:rStyle w:val="Emphasis"/>
          <w:rFonts w:asciiTheme="majorBidi" w:hAnsiTheme="majorBidi" w:cstheme="majorBidi"/>
          <w:b w:val="0"/>
          <w:bCs w:val="0"/>
          <w:color w:val="000000" w:themeColor="text1"/>
        </w:rPr>
        <w:t>Organizational Psychology Review, 6</w:t>
      </w:r>
      <w:r w:rsidRPr="00566F3E">
        <w:rPr>
          <w:rFonts w:asciiTheme="majorBidi" w:hAnsiTheme="majorBidi" w:cstheme="majorBidi"/>
          <w:color w:val="000000" w:themeColor="text1"/>
        </w:rPr>
        <w:t xml:space="preserve">(3), 215–247. </w:t>
      </w:r>
      <w:hyperlink r:id="rId31" w:history="1">
        <w:r w:rsidRPr="00566F3E">
          <w:rPr>
            <w:rStyle w:val="Hyperlink"/>
            <w:rFonts w:asciiTheme="majorBidi" w:hAnsiTheme="majorBidi" w:cstheme="majorBidi"/>
            <w:color w:val="000000" w:themeColor="text1"/>
          </w:rPr>
          <w:t>https://journals.sagepub.com/doi/10.1177/2041386615584009</w:t>
        </w:r>
      </w:hyperlink>
    </w:p>
    <w:p w14:paraId="2556E750"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National Institute of Standards and Technology. (2023). </w:t>
      </w:r>
      <w:r w:rsidRPr="00566F3E">
        <w:rPr>
          <w:rStyle w:val="Emphasis"/>
          <w:rFonts w:asciiTheme="majorBidi" w:hAnsiTheme="majorBidi" w:cstheme="majorBidi"/>
          <w:b w:val="0"/>
          <w:bCs w:val="0"/>
          <w:color w:val="000000" w:themeColor="text1"/>
        </w:rPr>
        <w:t>Artificial intelligence risk management framework</w:t>
      </w:r>
      <w:r w:rsidRPr="00566F3E">
        <w:rPr>
          <w:rFonts w:asciiTheme="majorBidi" w:hAnsiTheme="majorBidi" w:cstheme="majorBidi"/>
          <w:color w:val="000000" w:themeColor="text1"/>
        </w:rPr>
        <w:t xml:space="preserve">. U.S. Department of Commerce. </w:t>
      </w:r>
      <w:hyperlink r:id="rId32" w:history="1">
        <w:r w:rsidRPr="00566F3E">
          <w:rPr>
            <w:rStyle w:val="Hyperlink"/>
            <w:rFonts w:asciiTheme="majorBidi" w:hAnsiTheme="majorBidi" w:cstheme="majorBidi"/>
            <w:color w:val="000000" w:themeColor="text1"/>
          </w:rPr>
          <w:t>https://www.nist.gov/itl/ai-risk-management-framework</w:t>
        </w:r>
      </w:hyperlink>
    </w:p>
    <w:p w14:paraId="11F49D90"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OECD. (2024). </w:t>
      </w:r>
      <w:r w:rsidRPr="00566F3E">
        <w:rPr>
          <w:rStyle w:val="Emphasis"/>
          <w:rFonts w:asciiTheme="majorBidi" w:hAnsiTheme="majorBidi" w:cstheme="majorBidi"/>
          <w:b w:val="0"/>
          <w:bCs w:val="0"/>
          <w:color w:val="000000" w:themeColor="text1"/>
        </w:rPr>
        <w:t>OECD AI principles</w:t>
      </w:r>
      <w:r w:rsidRPr="00566F3E">
        <w:rPr>
          <w:rFonts w:asciiTheme="majorBidi" w:hAnsiTheme="majorBidi" w:cstheme="majorBidi"/>
          <w:color w:val="000000" w:themeColor="text1"/>
        </w:rPr>
        <w:t xml:space="preserve">. </w:t>
      </w:r>
      <w:hyperlink r:id="rId33" w:history="1">
        <w:r w:rsidRPr="00566F3E">
          <w:rPr>
            <w:rStyle w:val="Hyperlink"/>
            <w:rFonts w:asciiTheme="majorBidi" w:hAnsiTheme="majorBidi" w:cstheme="majorBidi"/>
            <w:color w:val="000000" w:themeColor="text1"/>
          </w:rPr>
          <w:t>https://oecd.ai/en/ai-principles</w:t>
        </w:r>
      </w:hyperlink>
    </w:p>
    <w:p w14:paraId="704D6B4F"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Parker, S. K., &amp; Grote, G. (2022). Automation, algorithms, and beyond: Why work design matters more than ever in a digital world. </w:t>
      </w:r>
      <w:r w:rsidRPr="00566F3E">
        <w:rPr>
          <w:rStyle w:val="Emphasis"/>
          <w:rFonts w:asciiTheme="majorBidi" w:hAnsiTheme="majorBidi" w:cstheme="majorBidi"/>
          <w:b w:val="0"/>
          <w:bCs w:val="0"/>
          <w:color w:val="000000" w:themeColor="text1"/>
        </w:rPr>
        <w:t>Applied Psychology, 71</w:t>
      </w:r>
      <w:r w:rsidRPr="00566F3E">
        <w:rPr>
          <w:rFonts w:asciiTheme="majorBidi" w:hAnsiTheme="majorBidi" w:cstheme="majorBidi"/>
          <w:color w:val="000000" w:themeColor="text1"/>
        </w:rPr>
        <w:t xml:space="preserve">(4), 1171–1204. </w:t>
      </w:r>
      <w:hyperlink r:id="rId34" w:history="1">
        <w:r w:rsidRPr="00566F3E">
          <w:rPr>
            <w:rStyle w:val="Hyperlink"/>
            <w:rFonts w:asciiTheme="majorBidi" w:hAnsiTheme="majorBidi" w:cstheme="majorBidi"/>
            <w:color w:val="000000" w:themeColor="text1"/>
          </w:rPr>
          <w:t>https://iaap-journals.onlinelibrary.wiley.com/doi/10.1111/apps.12241</w:t>
        </w:r>
      </w:hyperlink>
    </w:p>
    <w:p w14:paraId="651AB945"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Parker, S. K., Morgeson, F. P., &amp; Johns, G. (2017). One hundred years of work design research. </w:t>
      </w:r>
      <w:r w:rsidRPr="00566F3E">
        <w:rPr>
          <w:rStyle w:val="Emphasis"/>
          <w:rFonts w:asciiTheme="majorBidi" w:hAnsiTheme="majorBidi" w:cstheme="majorBidi"/>
          <w:b w:val="0"/>
          <w:bCs w:val="0"/>
          <w:color w:val="000000" w:themeColor="text1"/>
        </w:rPr>
        <w:t>Journal of Applied Psychology, 102</w:t>
      </w:r>
      <w:r w:rsidRPr="00566F3E">
        <w:rPr>
          <w:rFonts w:asciiTheme="majorBidi" w:hAnsiTheme="majorBidi" w:cstheme="majorBidi"/>
          <w:color w:val="000000" w:themeColor="text1"/>
        </w:rPr>
        <w:t xml:space="preserve">(3), 403–420. </w:t>
      </w:r>
      <w:hyperlink r:id="rId35" w:history="1">
        <w:r w:rsidRPr="00566F3E">
          <w:rPr>
            <w:rStyle w:val="Hyperlink"/>
            <w:rFonts w:asciiTheme="majorBidi" w:hAnsiTheme="majorBidi" w:cstheme="majorBidi"/>
            <w:color w:val="000000" w:themeColor="text1"/>
          </w:rPr>
          <w:t>https://psycnet.apa.org/record/2017-05711-001</w:t>
        </w:r>
      </w:hyperlink>
    </w:p>
    <w:p w14:paraId="4D428AC5"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Rousseau, D. M. (1989). Psychological and implied contracts in organizations. </w:t>
      </w:r>
      <w:r w:rsidRPr="00566F3E">
        <w:rPr>
          <w:rStyle w:val="Emphasis"/>
          <w:rFonts w:asciiTheme="majorBidi" w:hAnsiTheme="majorBidi" w:cstheme="majorBidi"/>
          <w:b w:val="0"/>
          <w:bCs w:val="0"/>
          <w:color w:val="000000" w:themeColor="text1"/>
        </w:rPr>
        <w:t>Employee Responsibilities and Rights Journal, 2</w:t>
      </w:r>
      <w:r w:rsidRPr="00566F3E">
        <w:rPr>
          <w:rFonts w:asciiTheme="majorBidi" w:hAnsiTheme="majorBidi" w:cstheme="majorBidi"/>
          <w:color w:val="000000" w:themeColor="text1"/>
        </w:rPr>
        <w:t xml:space="preserve">, 121–139. </w:t>
      </w:r>
      <w:hyperlink r:id="rId36" w:history="1">
        <w:r w:rsidRPr="00566F3E">
          <w:rPr>
            <w:rStyle w:val="Hyperlink"/>
            <w:rFonts w:asciiTheme="majorBidi" w:hAnsiTheme="majorBidi" w:cstheme="majorBidi"/>
            <w:color w:val="000000" w:themeColor="text1"/>
          </w:rPr>
          <w:t>https://link.springer.com/article/10.1007/BF01384942</w:t>
        </w:r>
      </w:hyperlink>
    </w:p>
    <w:p w14:paraId="0CD28754"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Ryan, R. M., &amp; Deci, E. L. (2017). </w:t>
      </w:r>
      <w:r w:rsidRPr="00566F3E">
        <w:rPr>
          <w:rStyle w:val="Emphasis"/>
          <w:rFonts w:asciiTheme="majorBidi" w:hAnsiTheme="majorBidi" w:cstheme="majorBidi"/>
          <w:b w:val="0"/>
          <w:bCs w:val="0"/>
          <w:color w:val="000000" w:themeColor="text1"/>
        </w:rPr>
        <w:t>Self-determination theory: Basic psychological needs in motivation, development, and wellness</w:t>
      </w:r>
      <w:r w:rsidRPr="00566F3E">
        <w:rPr>
          <w:rFonts w:asciiTheme="majorBidi" w:hAnsiTheme="majorBidi" w:cstheme="majorBidi"/>
          <w:color w:val="000000" w:themeColor="text1"/>
        </w:rPr>
        <w:t xml:space="preserve">. Guilford Press. </w:t>
      </w:r>
      <w:hyperlink r:id="rId37" w:history="1">
        <w:r w:rsidRPr="00566F3E">
          <w:rPr>
            <w:rStyle w:val="Hyperlink"/>
            <w:rFonts w:asciiTheme="majorBidi" w:hAnsiTheme="majorBidi" w:cstheme="majorBidi"/>
            <w:color w:val="000000" w:themeColor="text1"/>
          </w:rPr>
          <w:t>https://www.guilford.com/books/Self-Determination-Theory/Ryan-Deci/9781462538966</w:t>
        </w:r>
      </w:hyperlink>
    </w:p>
    <w:p w14:paraId="039E5A3E"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Saks, A. M. (2018). Socialization resources theory and newcomers’ work engagement. </w:t>
      </w:r>
      <w:r w:rsidRPr="00566F3E">
        <w:rPr>
          <w:rStyle w:val="Emphasis"/>
          <w:rFonts w:asciiTheme="majorBidi" w:hAnsiTheme="majorBidi" w:cstheme="majorBidi"/>
          <w:b w:val="0"/>
          <w:bCs w:val="0"/>
          <w:color w:val="000000" w:themeColor="text1"/>
        </w:rPr>
        <w:t>Career Development International, 23</w:t>
      </w:r>
      <w:r w:rsidRPr="00566F3E">
        <w:rPr>
          <w:rFonts w:asciiTheme="majorBidi" w:hAnsiTheme="majorBidi" w:cstheme="majorBidi"/>
          <w:color w:val="000000" w:themeColor="text1"/>
        </w:rPr>
        <w:t xml:space="preserve">(1), 12–32. </w:t>
      </w:r>
      <w:hyperlink r:id="rId38" w:history="1">
        <w:r w:rsidRPr="00566F3E">
          <w:rPr>
            <w:rStyle w:val="Hyperlink"/>
            <w:rFonts w:asciiTheme="majorBidi" w:hAnsiTheme="majorBidi" w:cstheme="majorBidi"/>
            <w:color w:val="000000" w:themeColor="text1"/>
          </w:rPr>
          <w:t>https://www.emerald.com/insight/content/doi/10.1108/CDI-12-2016-0214/full/html</w:t>
        </w:r>
      </w:hyperlink>
    </w:p>
    <w:p w14:paraId="6CF89CE4"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Slemp, G. R., Kern, M. L., &amp; Vella-Brodrick, D. A. (2018). Workplace well-being: The role of job crafting and autonomy support. </w:t>
      </w:r>
      <w:r w:rsidRPr="00566F3E">
        <w:rPr>
          <w:rStyle w:val="Emphasis"/>
          <w:rFonts w:asciiTheme="majorBidi" w:hAnsiTheme="majorBidi" w:cstheme="majorBidi"/>
          <w:b w:val="0"/>
          <w:bCs w:val="0"/>
          <w:color w:val="000000" w:themeColor="text1"/>
        </w:rPr>
        <w:t>Psychology of Well-Being, 8</w:t>
      </w:r>
      <w:r w:rsidRPr="00566F3E">
        <w:rPr>
          <w:rFonts w:asciiTheme="majorBidi" w:hAnsiTheme="majorBidi" w:cstheme="majorBidi"/>
          <w:color w:val="000000" w:themeColor="text1"/>
        </w:rPr>
        <w:t xml:space="preserve">, 1–17. </w:t>
      </w:r>
      <w:hyperlink r:id="rId39" w:history="1">
        <w:r w:rsidRPr="00566F3E">
          <w:rPr>
            <w:rStyle w:val="Hyperlink"/>
            <w:rFonts w:asciiTheme="majorBidi" w:hAnsiTheme="majorBidi" w:cstheme="majorBidi"/>
            <w:color w:val="000000" w:themeColor="text1"/>
          </w:rPr>
          <w:t>https://link.springer.com/article/10.1186/s13612-018-0086-y</w:t>
        </w:r>
      </w:hyperlink>
    </w:p>
    <w:p w14:paraId="18A7C2A7"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Tims, M., Bakker, A. B., &amp; Derks, D. (2022). Job crafting and job performance: A longitudinal study. </w:t>
      </w:r>
      <w:r w:rsidRPr="00566F3E">
        <w:rPr>
          <w:rStyle w:val="Emphasis"/>
          <w:rFonts w:asciiTheme="majorBidi" w:hAnsiTheme="majorBidi" w:cstheme="majorBidi"/>
          <w:b w:val="0"/>
          <w:bCs w:val="0"/>
          <w:color w:val="000000" w:themeColor="text1"/>
        </w:rPr>
        <w:t>European Journal of Work and Organizational Psychology</w:t>
      </w:r>
      <w:r w:rsidRPr="00566F3E">
        <w:rPr>
          <w:rFonts w:asciiTheme="majorBidi" w:hAnsiTheme="majorBidi" w:cstheme="majorBidi"/>
          <w:color w:val="000000" w:themeColor="text1"/>
        </w:rPr>
        <w:t xml:space="preserve">. </w:t>
      </w:r>
      <w:hyperlink r:id="rId40" w:history="1">
        <w:r w:rsidRPr="00566F3E">
          <w:rPr>
            <w:rStyle w:val="Hyperlink"/>
            <w:rFonts w:asciiTheme="majorBidi" w:hAnsiTheme="majorBidi" w:cstheme="majorBidi"/>
            <w:color w:val="000000" w:themeColor="text1"/>
          </w:rPr>
          <w:t>https://www.tandfonline.com/journals/pewo20</w:t>
        </w:r>
      </w:hyperlink>
    </w:p>
    <w:p w14:paraId="76E342D4"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Ulrich, D., Younger, J., Brockbank, W., &amp; Ulrich, M. (2017). </w:t>
      </w:r>
      <w:r w:rsidRPr="00566F3E">
        <w:rPr>
          <w:rStyle w:val="Emphasis"/>
          <w:rFonts w:asciiTheme="majorBidi" w:hAnsiTheme="majorBidi" w:cstheme="majorBidi"/>
          <w:b w:val="0"/>
          <w:bCs w:val="0"/>
          <w:color w:val="000000" w:themeColor="text1"/>
        </w:rPr>
        <w:t>Victory through organization: Why the war for talent is failing your company and what you can do about it</w:t>
      </w:r>
      <w:r w:rsidRPr="00566F3E">
        <w:rPr>
          <w:rFonts w:asciiTheme="majorBidi" w:hAnsiTheme="majorBidi" w:cstheme="majorBidi"/>
          <w:color w:val="000000" w:themeColor="text1"/>
        </w:rPr>
        <w:t xml:space="preserve">. McGraw-Hill. </w:t>
      </w:r>
      <w:hyperlink r:id="rId41" w:history="1">
        <w:r w:rsidRPr="00566F3E">
          <w:rPr>
            <w:rStyle w:val="Hyperlink"/>
            <w:rFonts w:asciiTheme="majorBidi" w:hAnsiTheme="majorBidi" w:cstheme="majorBidi"/>
            <w:color w:val="000000" w:themeColor="text1"/>
          </w:rPr>
          <w:t>https://www.mheducation.com/highered/product/victory-through-organization-ulrich-younger/M9781259837647.html</w:t>
        </w:r>
      </w:hyperlink>
    </w:p>
    <w:p w14:paraId="0787A7C5"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Van Maanen, J., &amp; Schein, E. H. (1979). Toward a theory of organizational socialization. </w:t>
      </w:r>
      <w:r w:rsidRPr="00566F3E">
        <w:rPr>
          <w:rStyle w:val="Emphasis"/>
          <w:rFonts w:asciiTheme="majorBidi" w:hAnsiTheme="majorBidi" w:cstheme="majorBidi"/>
          <w:b w:val="0"/>
          <w:bCs w:val="0"/>
          <w:color w:val="000000" w:themeColor="text1"/>
        </w:rPr>
        <w:t>Research in Organizational Behavior, 1</w:t>
      </w:r>
      <w:r w:rsidRPr="00566F3E">
        <w:rPr>
          <w:rFonts w:asciiTheme="majorBidi" w:hAnsiTheme="majorBidi" w:cstheme="majorBidi"/>
          <w:color w:val="000000" w:themeColor="text1"/>
        </w:rPr>
        <w:t xml:space="preserve">, 209–264. </w:t>
      </w:r>
      <w:hyperlink r:id="rId42" w:history="1">
        <w:r w:rsidRPr="00566F3E">
          <w:rPr>
            <w:rStyle w:val="Hyperlink"/>
            <w:rFonts w:asciiTheme="majorBidi" w:hAnsiTheme="majorBidi" w:cstheme="majorBidi"/>
            <w:color w:val="000000" w:themeColor="text1"/>
          </w:rPr>
          <w:t>https://dspace.mit.edu/handle/1721.1/1934</w:t>
        </w:r>
      </w:hyperlink>
    </w:p>
    <w:p w14:paraId="7A3BE17E"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Weisman, H., Wu, C. H., Yoshikawa, K., &amp; Lee, H. J. (2023). Antecedents of organizational identification: A review and agenda for future research. </w:t>
      </w:r>
      <w:r w:rsidRPr="00566F3E">
        <w:rPr>
          <w:rStyle w:val="Emphasis"/>
          <w:rFonts w:asciiTheme="majorBidi" w:hAnsiTheme="majorBidi" w:cstheme="majorBidi"/>
          <w:b w:val="0"/>
          <w:bCs w:val="0"/>
          <w:color w:val="000000" w:themeColor="text1"/>
        </w:rPr>
        <w:t>Journal of Management, 49</w:t>
      </w:r>
      <w:r w:rsidRPr="00566F3E">
        <w:rPr>
          <w:rFonts w:asciiTheme="majorBidi" w:hAnsiTheme="majorBidi" w:cstheme="majorBidi"/>
          <w:color w:val="000000" w:themeColor="text1"/>
        </w:rPr>
        <w:t xml:space="preserve">(6), 2030–2061. </w:t>
      </w:r>
      <w:hyperlink r:id="rId43" w:history="1">
        <w:r w:rsidRPr="00566F3E">
          <w:rPr>
            <w:rStyle w:val="Hyperlink"/>
            <w:rFonts w:asciiTheme="majorBidi" w:hAnsiTheme="majorBidi" w:cstheme="majorBidi"/>
            <w:color w:val="000000" w:themeColor="text1"/>
          </w:rPr>
          <w:t>https://journals.sagepub.com/doi/10.1177/01492063221140049</w:t>
        </w:r>
      </w:hyperlink>
    </w:p>
    <w:p w14:paraId="66469010"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World Economic Forum. (2019). </w:t>
      </w:r>
      <w:r w:rsidRPr="00566F3E">
        <w:rPr>
          <w:rStyle w:val="Emphasis"/>
          <w:rFonts w:asciiTheme="majorBidi" w:hAnsiTheme="majorBidi" w:cstheme="majorBidi"/>
          <w:b w:val="0"/>
          <w:bCs w:val="0"/>
          <w:color w:val="000000" w:themeColor="text1"/>
        </w:rPr>
        <w:t>Davos Manifesto 2020: The universal purpose of a company in the Fourth Industrial Revolution</w:t>
      </w:r>
      <w:r w:rsidRPr="00566F3E">
        <w:rPr>
          <w:rFonts w:asciiTheme="majorBidi" w:hAnsiTheme="majorBidi" w:cstheme="majorBidi"/>
          <w:color w:val="000000" w:themeColor="text1"/>
        </w:rPr>
        <w:t xml:space="preserve">. </w:t>
      </w:r>
      <w:hyperlink r:id="rId44" w:history="1">
        <w:r w:rsidRPr="00566F3E">
          <w:rPr>
            <w:rStyle w:val="Hyperlink"/>
            <w:rFonts w:asciiTheme="majorBidi" w:hAnsiTheme="majorBidi" w:cstheme="majorBidi"/>
            <w:color w:val="000000" w:themeColor="text1"/>
          </w:rPr>
          <w:t>https://www.weforum.org/stories/2019/12/davos-manifesto-2020-the-universal-purpose-of-a-company-in-the-fourth-industrial-revolution/</w:t>
        </w:r>
      </w:hyperlink>
    </w:p>
    <w:p w14:paraId="3C11A83B"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World Economic Forum. (2025). </w:t>
      </w:r>
      <w:r w:rsidRPr="00566F3E">
        <w:rPr>
          <w:rStyle w:val="Emphasis"/>
          <w:rFonts w:asciiTheme="majorBidi" w:hAnsiTheme="majorBidi" w:cstheme="majorBidi"/>
          <w:b w:val="0"/>
          <w:bCs w:val="0"/>
          <w:color w:val="000000" w:themeColor="text1"/>
        </w:rPr>
        <w:t>The future of jobs report 2025</w:t>
      </w:r>
      <w:r w:rsidRPr="00566F3E">
        <w:rPr>
          <w:rFonts w:asciiTheme="majorBidi" w:hAnsiTheme="majorBidi" w:cstheme="majorBidi"/>
          <w:color w:val="000000" w:themeColor="text1"/>
        </w:rPr>
        <w:t xml:space="preserve">. </w:t>
      </w:r>
      <w:hyperlink r:id="rId45" w:history="1">
        <w:r w:rsidRPr="00566F3E">
          <w:rPr>
            <w:rStyle w:val="Hyperlink"/>
            <w:rFonts w:asciiTheme="majorBidi" w:hAnsiTheme="majorBidi" w:cstheme="majorBidi"/>
            <w:color w:val="000000" w:themeColor="text1"/>
          </w:rPr>
          <w:t>https://www.weforum.org/publications/the-future-of-jobs-report-2025/</w:t>
        </w:r>
      </w:hyperlink>
    </w:p>
    <w:p w14:paraId="0C6FA0ED"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lastRenderedPageBreak/>
        <w:t xml:space="preserve">Wrzesniewski, A., &amp; Dutton, J. E. (2001). Crafting a job. </w:t>
      </w:r>
      <w:r w:rsidRPr="00566F3E">
        <w:rPr>
          <w:rStyle w:val="Emphasis"/>
          <w:rFonts w:asciiTheme="majorBidi" w:hAnsiTheme="majorBidi" w:cstheme="majorBidi"/>
          <w:b w:val="0"/>
          <w:bCs w:val="0"/>
          <w:color w:val="000000" w:themeColor="text1"/>
        </w:rPr>
        <w:t>Academy of Management Review, 26</w:t>
      </w:r>
      <w:r w:rsidRPr="00566F3E">
        <w:rPr>
          <w:rFonts w:asciiTheme="majorBidi" w:hAnsiTheme="majorBidi" w:cstheme="majorBidi"/>
          <w:color w:val="000000" w:themeColor="text1"/>
        </w:rPr>
        <w:t xml:space="preserve">(2), 179–201. </w:t>
      </w:r>
      <w:hyperlink r:id="rId46" w:history="1">
        <w:r w:rsidRPr="00566F3E">
          <w:rPr>
            <w:rStyle w:val="Hyperlink"/>
            <w:rFonts w:asciiTheme="majorBidi" w:hAnsiTheme="majorBidi" w:cstheme="majorBidi"/>
            <w:color w:val="000000" w:themeColor="text1"/>
          </w:rPr>
          <w:t>https://journals.aom.org/doi/10.5465/amr.2001.4378011</w:t>
        </w:r>
      </w:hyperlink>
    </w:p>
    <w:p w14:paraId="317D4E22"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Zhang, F., &amp; Parker, S. K. (2019). Reorienting job crafting research. </w:t>
      </w:r>
      <w:r w:rsidRPr="00566F3E">
        <w:rPr>
          <w:rStyle w:val="Emphasis"/>
          <w:rFonts w:asciiTheme="majorBidi" w:hAnsiTheme="majorBidi" w:cstheme="majorBidi"/>
          <w:b w:val="0"/>
          <w:bCs w:val="0"/>
          <w:color w:val="000000" w:themeColor="text1"/>
        </w:rPr>
        <w:t>Journal of Organizational Behavior, 40</w:t>
      </w:r>
      <w:r w:rsidRPr="00566F3E">
        <w:rPr>
          <w:rFonts w:asciiTheme="majorBidi" w:hAnsiTheme="majorBidi" w:cstheme="majorBidi"/>
          <w:color w:val="000000" w:themeColor="text1"/>
        </w:rPr>
        <w:t xml:space="preserve">(2), 126–146. </w:t>
      </w:r>
      <w:hyperlink r:id="rId47" w:history="1">
        <w:r w:rsidRPr="00566F3E">
          <w:rPr>
            <w:rStyle w:val="Hyperlink"/>
            <w:rFonts w:asciiTheme="majorBidi" w:hAnsiTheme="majorBidi" w:cstheme="majorBidi"/>
            <w:color w:val="000000" w:themeColor="text1"/>
          </w:rPr>
          <w:t>https://onlinelibrary.wiley.com/doi/10.1002/job.2332</w:t>
        </w:r>
      </w:hyperlink>
    </w:p>
    <w:p w14:paraId="6493425F" w14:textId="77777777" w:rsidR="000859CB" w:rsidRPr="00566F3E" w:rsidRDefault="000859CB" w:rsidP="00566F3E">
      <w:pPr>
        <w:spacing w:line="360" w:lineRule="auto"/>
        <w:jc w:val="both"/>
        <w:rPr>
          <w:rFonts w:asciiTheme="majorBidi" w:hAnsiTheme="majorBidi" w:cstheme="majorBidi"/>
          <w:color w:val="000000" w:themeColor="text1"/>
          <w:sz w:val="24"/>
          <w:szCs w:val="24"/>
        </w:rPr>
      </w:pPr>
    </w:p>
    <w:sectPr w:rsidR="000859CB" w:rsidRPr="00566F3E" w:rsidSect="00654523">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572D2E"/>
    <w:multiLevelType w:val="multilevel"/>
    <w:tmpl w:val="8CDE93F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427582423">
    <w:abstractNumId w:val="0"/>
  </w:num>
  <w:num w:numId="2" w16cid:durableId="1286229128">
    <w:abstractNumId w:val="0"/>
  </w:num>
  <w:num w:numId="3" w16cid:durableId="1477720975">
    <w:abstractNumId w:val="0"/>
  </w:num>
  <w:num w:numId="4" w16cid:durableId="369965113">
    <w:abstractNumId w:val="0"/>
  </w:num>
  <w:num w:numId="5" w16cid:durableId="1492215635">
    <w:abstractNumId w:val="0"/>
  </w:num>
  <w:num w:numId="6" w16cid:durableId="2099592076">
    <w:abstractNumId w:val="0"/>
  </w:num>
  <w:num w:numId="7" w16cid:durableId="1017655067">
    <w:abstractNumId w:val="0"/>
  </w:num>
  <w:num w:numId="8" w16cid:durableId="494759809">
    <w:abstractNumId w:val="0"/>
  </w:num>
  <w:num w:numId="9" w16cid:durableId="1910731138">
    <w:abstractNumId w:val="0"/>
  </w:num>
  <w:num w:numId="10" w16cid:durableId="1725983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523"/>
    <w:rsid w:val="000859CB"/>
    <w:rsid w:val="00324258"/>
    <w:rsid w:val="00516D13"/>
    <w:rsid w:val="00566F3E"/>
    <w:rsid w:val="005E6C83"/>
    <w:rsid w:val="00654523"/>
    <w:rsid w:val="006B3300"/>
    <w:rsid w:val="00822527"/>
    <w:rsid w:val="00830094"/>
    <w:rsid w:val="009B2457"/>
    <w:rsid w:val="00B343D7"/>
    <w:rsid w:val="00CA2406"/>
    <w:rsid w:val="00D93ECD"/>
    <w:rsid w:val="00E16879"/>
    <w:rsid w:val="00EB6F16"/>
    <w:rsid w:val="00F87EB0"/>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7CC12"/>
  <w15:chartTrackingRefBased/>
  <w15:docId w15:val="{3F607FE6-8122-D84B-8AD6-598DE89A5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PK"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523"/>
  </w:style>
  <w:style w:type="paragraph" w:styleId="Heading1">
    <w:name w:val="heading 1"/>
    <w:basedOn w:val="Normal"/>
    <w:next w:val="Normal"/>
    <w:link w:val="Heading1Char"/>
    <w:uiPriority w:val="9"/>
    <w:qFormat/>
    <w:rsid w:val="00654523"/>
    <w:pPr>
      <w:numPr>
        <w:numId w:val="10"/>
      </w:numPr>
      <w:pBdr>
        <w:bottom w:val="single" w:sz="12" w:space="1" w:color="2F5496" w:themeColor="accent1" w:themeShade="BF"/>
      </w:pBdr>
      <w:spacing w:before="600" w:after="80" w:line="360" w:lineRule="auto"/>
      <w:jc w:val="both"/>
      <w:outlineLvl w:val="0"/>
    </w:pPr>
    <w:rPr>
      <w:rFonts w:asciiTheme="majorBidi" w:eastAsiaTheme="majorEastAsia" w:hAnsiTheme="majorBidi" w:cstheme="majorBidi"/>
      <w:b/>
      <w:bCs/>
      <w:color w:val="000000" w:themeColor="text1"/>
      <w:sz w:val="28"/>
      <w:szCs w:val="28"/>
    </w:rPr>
  </w:style>
  <w:style w:type="paragraph" w:styleId="Heading2">
    <w:name w:val="heading 2"/>
    <w:basedOn w:val="Normal"/>
    <w:next w:val="Normal"/>
    <w:link w:val="Heading2Char"/>
    <w:uiPriority w:val="9"/>
    <w:unhideWhenUsed/>
    <w:qFormat/>
    <w:rsid w:val="00654523"/>
    <w:pPr>
      <w:numPr>
        <w:ilvl w:val="1"/>
        <w:numId w:val="10"/>
      </w:numPr>
      <w:pBdr>
        <w:bottom w:val="single" w:sz="8" w:space="1" w:color="4472C4" w:themeColor="accent1"/>
      </w:pBdr>
      <w:spacing w:before="200" w:after="80"/>
      <w:outlineLvl w:val="1"/>
    </w:pPr>
    <w:rPr>
      <w:rFonts w:asciiTheme="majorBidi" w:eastAsiaTheme="majorEastAsia" w:hAnsiTheme="majorBidi" w:cstheme="majorBidi"/>
      <w:b/>
      <w:bCs/>
      <w:color w:val="000000" w:themeColor="text1"/>
      <w:sz w:val="24"/>
      <w:szCs w:val="24"/>
    </w:rPr>
  </w:style>
  <w:style w:type="paragraph" w:styleId="Heading3">
    <w:name w:val="heading 3"/>
    <w:basedOn w:val="Normal"/>
    <w:next w:val="Normal"/>
    <w:link w:val="Heading3Char"/>
    <w:uiPriority w:val="9"/>
    <w:unhideWhenUsed/>
    <w:qFormat/>
    <w:rsid w:val="00654523"/>
    <w:pPr>
      <w:numPr>
        <w:ilvl w:val="2"/>
        <w:numId w:val="10"/>
      </w:numPr>
      <w:pBdr>
        <w:bottom w:val="single" w:sz="4" w:space="1" w:color="8EAADB" w:themeColor="accent1" w:themeTint="99"/>
      </w:pBdr>
      <w:spacing w:before="200" w:after="80"/>
      <w:outlineLvl w:val="2"/>
    </w:pPr>
    <w:rPr>
      <w:rFonts w:asciiTheme="majorBidi" w:eastAsiaTheme="majorEastAsia" w:hAnsiTheme="majorBidi" w:cstheme="majorBidi"/>
      <w:i/>
      <w:iCs/>
      <w:color w:val="000000" w:themeColor="text1"/>
      <w:sz w:val="24"/>
      <w:szCs w:val="24"/>
    </w:rPr>
  </w:style>
  <w:style w:type="paragraph" w:styleId="Heading4">
    <w:name w:val="heading 4"/>
    <w:basedOn w:val="Normal"/>
    <w:next w:val="Normal"/>
    <w:link w:val="Heading4Char"/>
    <w:uiPriority w:val="9"/>
    <w:semiHidden/>
    <w:unhideWhenUsed/>
    <w:qFormat/>
    <w:rsid w:val="00654523"/>
    <w:pPr>
      <w:numPr>
        <w:ilvl w:val="3"/>
        <w:numId w:val="10"/>
      </w:numPr>
      <w:pBdr>
        <w:bottom w:val="single" w:sz="4" w:space="2" w:color="B4C6E7" w:themeColor="accent1" w:themeTint="66"/>
      </w:pBdr>
      <w:spacing w:before="200" w:after="8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654523"/>
    <w:pPr>
      <w:numPr>
        <w:ilvl w:val="4"/>
        <w:numId w:val="10"/>
      </w:numPr>
      <w:spacing w:before="200" w:after="8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654523"/>
    <w:pPr>
      <w:numPr>
        <w:ilvl w:val="5"/>
        <w:numId w:val="10"/>
      </w:numPr>
      <w:spacing w:before="280" w:after="10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654523"/>
    <w:pPr>
      <w:numPr>
        <w:ilvl w:val="6"/>
        <w:numId w:val="10"/>
      </w:numPr>
      <w:spacing w:before="320" w:after="10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654523"/>
    <w:pPr>
      <w:numPr>
        <w:ilvl w:val="7"/>
        <w:numId w:val="10"/>
      </w:numPr>
      <w:spacing w:before="320" w:after="10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654523"/>
    <w:pPr>
      <w:numPr>
        <w:ilvl w:val="8"/>
        <w:numId w:val="10"/>
      </w:numPr>
      <w:spacing w:before="320" w:after="10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523"/>
    <w:rPr>
      <w:rFonts w:asciiTheme="majorBidi" w:eastAsiaTheme="majorEastAsia" w:hAnsiTheme="majorBidi" w:cstheme="majorBidi"/>
      <w:b/>
      <w:bCs/>
      <w:color w:val="000000" w:themeColor="text1"/>
      <w:sz w:val="28"/>
      <w:szCs w:val="28"/>
    </w:rPr>
  </w:style>
  <w:style w:type="character" w:customStyle="1" w:styleId="Heading2Char">
    <w:name w:val="Heading 2 Char"/>
    <w:basedOn w:val="DefaultParagraphFont"/>
    <w:link w:val="Heading2"/>
    <w:uiPriority w:val="9"/>
    <w:rsid w:val="00654523"/>
    <w:rPr>
      <w:rFonts w:asciiTheme="majorBidi" w:eastAsiaTheme="majorEastAsia" w:hAnsiTheme="majorBidi" w:cstheme="majorBidi"/>
      <w:b/>
      <w:bCs/>
      <w:color w:val="000000" w:themeColor="text1"/>
      <w:sz w:val="24"/>
      <w:szCs w:val="24"/>
    </w:rPr>
  </w:style>
  <w:style w:type="character" w:customStyle="1" w:styleId="Heading3Char">
    <w:name w:val="Heading 3 Char"/>
    <w:basedOn w:val="DefaultParagraphFont"/>
    <w:link w:val="Heading3"/>
    <w:uiPriority w:val="9"/>
    <w:rsid w:val="00654523"/>
    <w:rPr>
      <w:rFonts w:asciiTheme="majorBidi" w:eastAsiaTheme="majorEastAsia" w:hAnsiTheme="majorBidi" w:cstheme="majorBidi"/>
      <w:i/>
      <w:iCs/>
      <w:color w:val="000000" w:themeColor="text1"/>
      <w:sz w:val="24"/>
      <w:szCs w:val="24"/>
    </w:rPr>
  </w:style>
  <w:style w:type="character" w:customStyle="1" w:styleId="Heading4Char">
    <w:name w:val="Heading 4 Char"/>
    <w:basedOn w:val="DefaultParagraphFont"/>
    <w:link w:val="Heading4"/>
    <w:uiPriority w:val="9"/>
    <w:semiHidden/>
    <w:rsid w:val="00654523"/>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654523"/>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654523"/>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654523"/>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654523"/>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654523"/>
    <w:rPr>
      <w:rFonts w:asciiTheme="majorHAnsi" w:eastAsiaTheme="majorEastAsia" w:hAnsiTheme="majorHAnsi" w:cstheme="majorBidi"/>
      <w:i/>
      <w:iCs/>
      <w:color w:val="A5A5A5" w:themeColor="accent3"/>
      <w:sz w:val="20"/>
      <w:szCs w:val="20"/>
    </w:rPr>
  </w:style>
  <w:style w:type="paragraph" w:styleId="Title">
    <w:name w:val="Title"/>
    <w:basedOn w:val="Normal"/>
    <w:next w:val="Normal"/>
    <w:link w:val="TitleChar"/>
    <w:uiPriority w:val="10"/>
    <w:qFormat/>
    <w:rsid w:val="00654523"/>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654523"/>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654523"/>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654523"/>
    <w:rPr>
      <w:i/>
      <w:iCs/>
      <w:sz w:val="24"/>
      <w:szCs w:val="24"/>
    </w:rPr>
  </w:style>
  <w:style w:type="paragraph" w:styleId="Quote">
    <w:name w:val="Quote"/>
    <w:basedOn w:val="Normal"/>
    <w:next w:val="Normal"/>
    <w:link w:val="QuoteChar"/>
    <w:uiPriority w:val="29"/>
    <w:qFormat/>
    <w:rsid w:val="00654523"/>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654523"/>
    <w:rPr>
      <w:rFonts w:asciiTheme="majorHAnsi" w:eastAsiaTheme="majorEastAsia" w:hAnsiTheme="majorHAnsi" w:cstheme="majorBidi"/>
      <w:i/>
      <w:iCs/>
      <w:color w:val="5A5A5A" w:themeColor="text1" w:themeTint="A5"/>
    </w:rPr>
  </w:style>
  <w:style w:type="paragraph" w:styleId="ListParagraph">
    <w:name w:val="List Paragraph"/>
    <w:basedOn w:val="Normal"/>
    <w:uiPriority w:val="34"/>
    <w:qFormat/>
    <w:rsid w:val="00654523"/>
    <w:pPr>
      <w:ind w:left="720"/>
      <w:contextualSpacing/>
    </w:pPr>
  </w:style>
  <w:style w:type="character" w:styleId="IntenseEmphasis">
    <w:name w:val="Intense Emphasis"/>
    <w:uiPriority w:val="21"/>
    <w:qFormat/>
    <w:rsid w:val="00654523"/>
    <w:rPr>
      <w:b/>
      <w:bCs/>
      <w:i/>
      <w:iCs/>
      <w:color w:val="4472C4" w:themeColor="accent1"/>
      <w:sz w:val="22"/>
      <w:szCs w:val="22"/>
    </w:rPr>
  </w:style>
  <w:style w:type="paragraph" w:styleId="IntenseQuote">
    <w:name w:val="Intense Quote"/>
    <w:basedOn w:val="Normal"/>
    <w:next w:val="Normal"/>
    <w:link w:val="IntenseQuoteChar"/>
    <w:uiPriority w:val="30"/>
    <w:qFormat/>
    <w:rsid w:val="00654523"/>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654523"/>
    <w:rPr>
      <w:rFonts w:asciiTheme="majorHAnsi" w:eastAsiaTheme="majorEastAsia" w:hAnsiTheme="majorHAnsi" w:cstheme="majorBidi"/>
      <w:i/>
      <w:iCs/>
      <w:color w:val="FFFFFF" w:themeColor="background1"/>
      <w:sz w:val="24"/>
      <w:szCs w:val="24"/>
      <w:shd w:val="clear" w:color="auto" w:fill="4472C4" w:themeFill="accent1"/>
    </w:rPr>
  </w:style>
  <w:style w:type="character" w:styleId="IntenseReference">
    <w:name w:val="Intense Reference"/>
    <w:basedOn w:val="DefaultParagraphFont"/>
    <w:uiPriority w:val="32"/>
    <w:qFormat/>
    <w:rsid w:val="00654523"/>
    <w:rPr>
      <w:b/>
      <w:bCs/>
      <w:color w:val="7B7B7B" w:themeColor="accent3" w:themeShade="BF"/>
      <w:u w:val="single" w:color="A5A5A5" w:themeColor="accent3"/>
    </w:rPr>
  </w:style>
  <w:style w:type="paragraph" w:styleId="Caption">
    <w:name w:val="caption"/>
    <w:basedOn w:val="Normal"/>
    <w:next w:val="Normal"/>
    <w:uiPriority w:val="35"/>
    <w:semiHidden/>
    <w:unhideWhenUsed/>
    <w:qFormat/>
    <w:rsid w:val="00654523"/>
    <w:rPr>
      <w:b/>
      <w:bCs/>
      <w:sz w:val="18"/>
      <w:szCs w:val="18"/>
    </w:rPr>
  </w:style>
  <w:style w:type="character" w:styleId="Strong">
    <w:name w:val="Strong"/>
    <w:basedOn w:val="DefaultParagraphFont"/>
    <w:uiPriority w:val="22"/>
    <w:qFormat/>
    <w:rsid w:val="00654523"/>
    <w:rPr>
      <w:b/>
      <w:bCs/>
      <w:spacing w:val="0"/>
    </w:rPr>
  </w:style>
  <w:style w:type="character" w:styleId="Emphasis">
    <w:name w:val="Emphasis"/>
    <w:uiPriority w:val="20"/>
    <w:qFormat/>
    <w:rsid w:val="00654523"/>
    <w:rPr>
      <w:b/>
      <w:bCs/>
      <w:i/>
      <w:iCs/>
      <w:color w:val="5A5A5A" w:themeColor="text1" w:themeTint="A5"/>
    </w:rPr>
  </w:style>
  <w:style w:type="paragraph" w:styleId="NoSpacing">
    <w:name w:val="No Spacing"/>
    <w:basedOn w:val="Normal"/>
    <w:link w:val="NoSpacingChar"/>
    <w:uiPriority w:val="1"/>
    <w:qFormat/>
    <w:rsid w:val="00654523"/>
    <w:pPr>
      <w:ind w:firstLine="0"/>
    </w:pPr>
  </w:style>
  <w:style w:type="character" w:customStyle="1" w:styleId="NoSpacingChar">
    <w:name w:val="No Spacing Char"/>
    <w:basedOn w:val="DefaultParagraphFont"/>
    <w:link w:val="NoSpacing"/>
    <w:uiPriority w:val="1"/>
    <w:rsid w:val="00654523"/>
  </w:style>
  <w:style w:type="character" w:styleId="SubtleEmphasis">
    <w:name w:val="Subtle Emphasis"/>
    <w:uiPriority w:val="19"/>
    <w:qFormat/>
    <w:rsid w:val="00654523"/>
    <w:rPr>
      <w:i/>
      <w:iCs/>
      <w:color w:val="5A5A5A" w:themeColor="text1" w:themeTint="A5"/>
    </w:rPr>
  </w:style>
  <w:style w:type="character" w:styleId="SubtleReference">
    <w:name w:val="Subtle Reference"/>
    <w:uiPriority w:val="31"/>
    <w:qFormat/>
    <w:rsid w:val="00654523"/>
    <w:rPr>
      <w:color w:val="auto"/>
      <w:u w:val="single" w:color="A5A5A5" w:themeColor="accent3"/>
    </w:rPr>
  </w:style>
  <w:style w:type="character" w:styleId="BookTitle">
    <w:name w:val="Book Title"/>
    <w:basedOn w:val="DefaultParagraphFont"/>
    <w:uiPriority w:val="33"/>
    <w:qFormat/>
    <w:rsid w:val="00654523"/>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654523"/>
    <w:pPr>
      <w:outlineLvl w:val="9"/>
    </w:pPr>
  </w:style>
  <w:style w:type="paragraph" w:styleId="NormalWeb">
    <w:name w:val="Normal (Web)"/>
    <w:basedOn w:val="Normal"/>
    <w:uiPriority w:val="99"/>
    <w:unhideWhenUsed/>
    <w:rsid w:val="00EB6F16"/>
    <w:pPr>
      <w:spacing w:before="100" w:beforeAutospacing="1" w:after="100" w:afterAutospacing="1"/>
      <w:ind w:firstLine="0"/>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B6F16"/>
    <w:rPr>
      <w:color w:val="0000FF"/>
      <w:u w:val="single"/>
    </w:rPr>
  </w:style>
  <w:style w:type="table" w:styleId="GridTable4-Accent5">
    <w:name w:val="Grid Table 4 Accent 5"/>
    <w:basedOn w:val="TableNormal"/>
    <w:uiPriority w:val="49"/>
    <w:rsid w:val="00EB6F16"/>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566F3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1">
    <w:name w:val="toc 1"/>
    <w:basedOn w:val="Normal"/>
    <w:next w:val="Normal"/>
    <w:autoRedefine/>
    <w:uiPriority w:val="39"/>
    <w:unhideWhenUsed/>
    <w:rsid w:val="00566F3E"/>
    <w:pPr>
      <w:spacing w:before="120"/>
    </w:pPr>
    <w:rPr>
      <w:rFonts w:cstheme="minorHAnsi"/>
      <w:b/>
      <w:bCs/>
      <w:i/>
      <w:iCs/>
      <w:sz w:val="24"/>
      <w:szCs w:val="28"/>
    </w:rPr>
  </w:style>
  <w:style w:type="paragraph" w:styleId="TOC2">
    <w:name w:val="toc 2"/>
    <w:basedOn w:val="Normal"/>
    <w:next w:val="Normal"/>
    <w:autoRedefine/>
    <w:uiPriority w:val="39"/>
    <w:unhideWhenUsed/>
    <w:rsid w:val="00566F3E"/>
    <w:pPr>
      <w:spacing w:before="120"/>
      <w:ind w:left="220"/>
    </w:pPr>
    <w:rPr>
      <w:rFonts w:cstheme="minorHAnsi"/>
      <w:b/>
      <w:bCs/>
      <w:szCs w:val="26"/>
    </w:rPr>
  </w:style>
  <w:style w:type="paragraph" w:styleId="TOC3">
    <w:name w:val="toc 3"/>
    <w:basedOn w:val="Normal"/>
    <w:next w:val="Normal"/>
    <w:autoRedefine/>
    <w:uiPriority w:val="39"/>
    <w:semiHidden/>
    <w:unhideWhenUsed/>
    <w:rsid w:val="00566F3E"/>
    <w:pPr>
      <w:ind w:left="440"/>
    </w:pPr>
    <w:rPr>
      <w:rFonts w:cstheme="minorHAnsi"/>
      <w:sz w:val="20"/>
      <w:szCs w:val="24"/>
    </w:rPr>
  </w:style>
  <w:style w:type="paragraph" w:styleId="TOC4">
    <w:name w:val="toc 4"/>
    <w:basedOn w:val="Normal"/>
    <w:next w:val="Normal"/>
    <w:autoRedefine/>
    <w:uiPriority w:val="39"/>
    <w:semiHidden/>
    <w:unhideWhenUsed/>
    <w:rsid w:val="00566F3E"/>
    <w:pPr>
      <w:ind w:left="660"/>
    </w:pPr>
    <w:rPr>
      <w:rFonts w:cstheme="minorHAnsi"/>
      <w:sz w:val="20"/>
      <w:szCs w:val="24"/>
    </w:rPr>
  </w:style>
  <w:style w:type="paragraph" w:styleId="TOC5">
    <w:name w:val="toc 5"/>
    <w:basedOn w:val="Normal"/>
    <w:next w:val="Normal"/>
    <w:autoRedefine/>
    <w:uiPriority w:val="39"/>
    <w:semiHidden/>
    <w:unhideWhenUsed/>
    <w:rsid w:val="00566F3E"/>
    <w:pPr>
      <w:ind w:left="880"/>
    </w:pPr>
    <w:rPr>
      <w:rFonts w:cstheme="minorHAnsi"/>
      <w:sz w:val="20"/>
      <w:szCs w:val="24"/>
    </w:rPr>
  </w:style>
  <w:style w:type="paragraph" w:styleId="TOC6">
    <w:name w:val="toc 6"/>
    <w:basedOn w:val="Normal"/>
    <w:next w:val="Normal"/>
    <w:autoRedefine/>
    <w:uiPriority w:val="39"/>
    <w:semiHidden/>
    <w:unhideWhenUsed/>
    <w:rsid w:val="00566F3E"/>
    <w:pPr>
      <w:ind w:left="1100"/>
    </w:pPr>
    <w:rPr>
      <w:rFonts w:cstheme="minorHAnsi"/>
      <w:sz w:val="20"/>
      <w:szCs w:val="24"/>
    </w:rPr>
  </w:style>
  <w:style w:type="paragraph" w:styleId="TOC7">
    <w:name w:val="toc 7"/>
    <w:basedOn w:val="Normal"/>
    <w:next w:val="Normal"/>
    <w:autoRedefine/>
    <w:uiPriority w:val="39"/>
    <w:semiHidden/>
    <w:unhideWhenUsed/>
    <w:rsid w:val="00566F3E"/>
    <w:pPr>
      <w:ind w:left="1320"/>
    </w:pPr>
    <w:rPr>
      <w:rFonts w:cstheme="minorHAnsi"/>
      <w:sz w:val="20"/>
      <w:szCs w:val="24"/>
    </w:rPr>
  </w:style>
  <w:style w:type="paragraph" w:styleId="TOC8">
    <w:name w:val="toc 8"/>
    <w:basedOn w:val="Normal"/>
    <w:next w:val="Normal"/>
    <w:autoRedefine/>
    <w:uiPriority w:val="39"/>
    <w:semiHidden/>
    <w:unhideWhenUsed/>
    <w:rsid w:val="00566F3E"/>
    <w:pPr>
      <w:ind w:left="1540"/>
    </w:pPr>
    <w:rPr>
      <w:rFonts w:cstheme="minorHAnsi"/>
      <w:sz w:val="20"/>
      <w:szCs w:val="24"/>
    </w:rPr>
  </w:style>
  <w:style w:type="paragraph" w:styleId="TOC9">
    <w:name w:val="toc 9"/>
    <w:basedOn w:val="Normal"/>
    <w:next w:val="Normal"/>
    <w:autoRedefine/>
    <w:uiPriority w:val="39"/>
    <w:semiHidden/>
    <w:unhideWhenUsed/>
    <w:rsid w:val="00566F3E"/>
    <w:pPr>
      <w:ind w:left="1760"/>
    </w:pPr>
    <w:rPr>
      <w:rFonts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071-1050/16/11/4854" TargetMode="External"/><Relationship Id="rId18" Type="http://schemas.openxmlformats.org/officeDocument/2006/relationships/hyperlink" Target="https://www.cambridge.org/core/journals/business-and-human-rights-journal/article/on-the-right-to-work-in-the-age-of-artificial-intelligence-ethical-safeguards-in-algorithmic-human-resource-management/48C5CC4DBEDE34EEEFC1591E89C6B1A8" TargetMode="External"/><Relationship Id="rId26" Type="http://schemas.openxmlformats.org/officeDocument/2006/relationships/hyperlink" Target="https://journals.sagepub.com/doi/10.1177/0007650318773750" TargetMode="External"/><Relationship Id="rId39" Type="http://schemas.openxmlformats.org/officeDocument/2006/relationships/hyperlink" Target="https://link.springer.com/article/10.1186/s13612-018-0086-y" TargetMode="External"/><Relationship Id="rId21" Type="http://schemas.openxmlformats.org/officeDocument/2006/relationships/hyperlink" Target="https://www.annualreviews.org/content/journals/10.1146/annurev-orgpsych-032516-113108" TargetMode="External"/><Relationship Id="rId34" Type="http://schemas.openxmlformats.org/officeDocument/2006/relationships/hyperlink" Target="https://iaap-journals.onlinelibrary.wiley.com/doi/10.1111/apps.12241" TargetMode="External"/><Relationship Id="rId42" Type="http://schemas.openxmlformats.org/officeDocument/2006/relationships/hyperlink" Target="https://dspace.mit.edu/handle/1721.1/1934" TargetMode="External"/><Relationship Id="rId47" Type="http://schemas.openxmlformats.org/officeDocument/2006/relationships/hyperlink" Target="https://onlinelibrary.wiley.com/doi/10.1002/job.2332" TargetMode="Externa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psycnet.apa.org/record/2007-06673-008" TargetMode="External"/><Relationship Id="rId29" Type="http://schemas.openxmlformats.org/officeDocument/2006/relationships/hyperlink" Target="https://www.sciencedirect.com/science/article/abs/pii/0030507376900167" TargetMode="External"/><Relationship Id="rId11" Type="http://schemas.openxmlformats.org/officeDocument/2006/relationships/image" Target="media/image6.png"/><Relationship Id="rId24" Type="http://schemas.openxmlformats.org/officeDocument/2006/relationships/hyperlink" Target="https://www.tandfonline.com/doi/full/10.1080/23311975.2024.2337957" TargetMode="External"/><Relationship Id="rId32" Type="http://schemas.openxmlformats.org/officeDocument/2006/relationships/hyperlink" Target="https://www.nist.gov/itl/ai-risk-management-framework" TargetMode="External"/><Relationship Id="rId37" Type="http://schemas.openxmlformats.org/officeDocument/2006/relationships/hyperlink" Target="https://www.guilford.com/books/Self-Determination-Theory/Ryan-Deci/9781462538966" TargetMode="External"/><Relationship Id="rId40" Type="http://schemas.openxmlformats.org/officeDocument/2006/relationships/hyperlink" Target="https://www.tandfonline.com/journals/pewo20" TargetMode="External"/><Relationship Id="rId45" Type="http://schemas.openxmlformats.org/officeDocument/2006/relationships/hyperlink" Target="https://www.weforum.org/publications/the-future-of-jobs-report-2025/" TargetMode="External"/><Relationship Id="rId5" Type="http://schemas.openxmlformats.org/officeDocument/2006/relationships/webSettings" Target="webSettings.xml"/><Relationship Id="rId15" Type="http://schemas.openxmlformats.org/officeDocument/2006/relationships/hyperlink" Target="https://journals.aom.org/doi/10.5465/amr.1989.4278999" TargetMode="External"/><Relationship Id="rId23" Type="http://schemas.openxmlformats.org/officeDocument/2006/relationships/hyperlink" Target="https://www.deloitte.com/us/en/insights/topics/talent/creating-value-with-skills.html" TargetMode="External"/><Relationship Id="rId28" Type="http://schemas.openxmlformats.org/officeDocument/2006/relationships/hyperlink" Target="https://bpspsychub.onlinelibrary.wiley.com/doi/10.1111/joop.12201" TargetMode="External"/><Relationship Id="rId36" Type="http://schemas.openxmlformats.org/officeDocument/2006/relationships/hyperlink" Target="https://link.springer.com/article/10.1007/BF01384942" TargetMode="External"/><Relationship Id="rId49"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onlinelibrary.wiley.com/doi/10.1002/job.2164" TargetMode="External"/><Relationship Id="rId31" Type="http://schemas.openxmlformats.org/officeDocument/2006/relationships/hyperlink" Target="https://journals.sagepub.com/doi/10.1177/2041386615584009" TargetMode="External"/><Relationship Id="rId44" Type="http://schemas.openxmlformats.org/officeDocument/2006/relationships/hyperlink" Target="https://www.weforum.org/stories/2019/12/davos-manifesto-2020-the-universal-purpose-of-a-company-in-the-fourth-industrial-revolution/"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journals.sagepub.com/doi/10.1177/0149206308316059" TargetMode="External"/><Relationship Id="rId22" Type="http://schemas.openxmlformats.org/officeDocument/2006/relationships/hyperlink" Target="https://www.deloitte.com/us/en/insights/topics/talent/organizational-skill-based-hiring.html" TargetMode="External"/><Relationship Id="rId27" Type="http://schemas.openxmlformats.org/officeDocument/2006/relationships/hyperlink" Target="https://www.gallup.com/workplace/349484/state-of-the-global-workplace.aspx" TargetMode="External"/><Relationship Id="rId30" Type="http://schemas.openxmlformats.org/officeDocument/2006/relationships/hyperlink" Target="https://www.mckinsey.com/capabilities/people-and-organizational-performance/our-insights/taking-a-skills-based-approach-to-building-the-future-workforce" TargetMode="External"/><Relationship Id="rId35" Type="http://schemas.openxmlformats.org/officeDocument/2006/relationships/hyperlink" Target="https://psycnet.apa.org/record/2017-05711-001" TargetMode="External"/><Relationship Id="rId43" Type="http://schemas.openxmlformats.org/officeDocument/2006/relationships/hyperlink" Target="https://journals.sagepub.com/doi/10.1177/01492063221140049" TargetMode="External"/><Relationship Id="rId48"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journals.sagepub.com/doi/10.1177/01492063241277168" TargetMode="External"/><Relationship Id="rId25" Type="http://schemas.openxmlformats.org/officeDocument/2006/relationships/hyperlink" Target="https://www.sciencedirect.com/science/article/pii/S1053482217301163" TargetMode="External"/><Relationship Id="rId33" Type="http://schemas.openxmlformats.org/officeDocument/2006/relationships/hyperlink" Target="https://oecd.ai/en/ai-principles" TargetMode="External"/><Relationship Id="rId38" Type="http://schemas.openxmlformats.org/officeDocument/2006/relationships/hyperlink" Target="https://www.emerald.com/insight/content/doi/10.1108/CDI-12-2016-0214/full/html" TargetMode="External"/><Relationship Id="rId46" Type="http://schemas.openxmlformats.org/officeDocument/2006/relationships/hyperlink" Target="https://journals.aom.org/doi/10.5465/amr.2001.4378011" TargetMode="External"/><Relationship Id="rId20" Type="http://schemas.openxmlformats.org/officeDocument/2006/relationships/hyperlink" Target="https://www.annualreviews.org/content/journals/10.1146/annurev-orgpsych-012218-015212" TargetMode="External"/><Relationship Id="rId41" Type="http://schemas.openxmlformats.org/officeDocument/2006/relationships/hyperlink" Target="https://www.mheducation.com/highered/product/victory-through-organization-ulrich-younger/M9781259837647.html" TargetMode="External"/><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ABE2C0-1F4D-574B-8828-64DB2AFD0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6133</Words>
  <Characters>34960</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2026-06-17T14:14:00Z</dcterms:created>
  <dcterms:modified xsi:type="dcterms:W3CDTF">2026-06-17T14:14:00Z</dcterms:modified>
</cp:coreProperties>
</file>