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F21F2" w14:textId="77777777" w:rsidR="00D22ECD" w:rsidRPr="00D22ECD" w:rsidRDefault="00D22ECD" w:rsidP="00D22ECD">
      <w:pPr>
        <w:rPr>
          <w:b/>
          <w:bCs/>
        </w:rPr>
      </w:pPr>
      <w:r w:rsidRPr="00D22ECD">
        <w:rPr>
          <w:b/>
          <w:bCs/>
        </w:rPr>
        <w:t xml:space="preserve">Criminal Law Assignment </w:t>
      </w:r>
    </w:p>
    <w:p w14:paraId="40B696A5" w14:textId="77777777" w:rsidR="00D22ECD" w:rsidRPr="00D22ECD" w:rsidRDefault="00D22ECD" w:rsidP="00D22ECD">
      <w:pPr>
        <w:rPr>
          <w:b/>
          <w:bCs/>
        </w:rPr>
      </w:pPr>
      <w:r w:rsidRPr="00D22ECD">
        <w:rPr>
          <w:b/>
          <w:bCs/>
        </w:rPr>
        <w:t xml:space="preserve">Student: Shere M Sattar </w:t>
      </w:r>
    </w:p>
    <w:p w14:paraId="106126FB" w14:textId="77777777" w:rsidR="00D22ECD" w:rsidRPr="00D22ECD" w:rsidRDefault="00D22ECD" w:rsidP="00D22ECD">
      <w:pPr>
        <w:rPr>
          <w:b/>
          <w:bCs/>
        </w:rPr>
      </w:pPr>
      <w:r w:rsidRPr="00D22ECD">
        <w:rPr>
          <w:b/>
          <w:bCs/>
        </w:rPr>
        <w:t xml:space="preserve">UWTSD ID: 2211969 </w:t>
      </w:r>
    </w:p>
    <w:p w14:paraId="2F660EBF" w14:textId="37BE08B7" w:rsidR="00D22ECD" w:rsidRPr="00D22ECD" w:rsidRDefault="00D22ECD" w:rsidP="00D22ECD">
      <w:pPr>
        <w:rPr>
          <w:b/>
          <w:bCs/>
        </w:rPr>
      </w:pPr>
      <w:r w:rsidRPr="00D22ECD">
        <w:rPr>
          <w:b/>
          <w:bCs/>
        </w:rPr>
        <w:t>Date: 15th March 2024</w:t>
      </w:r>
    </w:p>
    <w:p w14:paraId="638DEBF8" w14:textId="77777777" w:rsidR="00D22ECD" w:rsidRPr="00D22ECD" w:rsidRDefault="00D22ECD" w:rsidP="00D22ECD"/>
    <w:p w14:paraId="79507932" w14:textId="77777777" w:rsidR="00D22ECD" w:rsidRPr="00D22ECD" w:rsidRDefault="00D22ECD" w:rsidP="00D22ECD">
      <w:pPr>
        <w:rPr>
          <w:b/>
          <w:bCs/>
        </w:rPr>
      </w:pPr>
      <w:r w:rsidRPr="00D22ECD">
        <w:rPr>
          <w:b/>
          <w:bCs/>
        </w:rPr>
        <w:t>Evaluating the Challenges Associated with the Concept of Men’s Rea and the Confirmation of Criminal Liability within Law</w:t>
      </w:r>
    </w:p>
    <w:p w14:paraId="1F465BC4" w14:textId="77777777" w:rsidR="00D22ECD" w:rsidRPr="00D22ECD" w:rsidRDefault="00D22ECD" w:rsidP="00D22ECD">
      <w:pPr>
        <w:jc w:val="both"/>
      </w:pPr>
      <w:r w:rsidRPr="00D22ECD">
        <w:t>Expanding upon the intricacies of Men’s Rea and the confirmation of criminal liability within the legal landscape warrants a comprehensive exploration into the multifaceted challenges encountered in this domain. The bedrock of criminal law, Men’s Rea, which translates to "guilty mind," occupies a pivotal position in determining culpability, encapsulating the mental state or intention behind criminal acts. This essay will delve into the nuanced complexities surrounding intention, including direct intention, while drawing upon seminal case law and scholarly literature to provide a robust foundation for analysis.</w:t>
      </w:r>
    </w:p>
    <w:p w14:paraId="693B378E" w14:textId="77777777" w:rsidR="00D22ECD" w:rsidRPr="00D22ECD" w:rsidRDefault="00D22ECD" w:rsidP="00D22ECD">
      <w:r w:rsidRPr="00D22ECD">
        <w:rPr>
          <w:b/>
          <w:bCs/>
        </w:rPr>
        <w:t>The Importance of Men’s Rea in Criminal Law</w:t>
      </w:r>
    </w:p>
    <w:p w14:paraId="1FCF3C1F" w14:textId="77777777" w:rsidR="00D22ECD" w:rsidRPr="00D22ECD" w:rsidRDefault="00D22ECD" w:rsidP="00D22ECD">
      <w:pPr>
        <w:jc w:val="both"/>
      </w:pPr>
      <w:r w:rsidRPr="00D22ECD">
        <w:t>Men’s Rea, often referred to as the mental element of a crime, represents the subjective state of mind of the accused at the time of committing the offense. It is essential for establishing criminal liability as it reflects the blameworthiness or culpability of the accused (Ashworth, 2015). In essence, the presence of Men’s Rea signifies that the accused acted with knowledge, intention, recklessness, or negligence in committing the offense.</w:t>
      </w:r>
    </w:p>
    <w:p w14:paraId="6C423C90" w14:textId="77777777" w:rsidR="00D22ECD" w:rsidRPr="00D22ECD" w:rsidRDefault="00D22ECD" w:rsidP="00D22ECD">
      <w:r w:rsidRPr="00D22ECD">
        <w:rPr>
          <w:b/>
          <w:bCs/>
        </w:rPr>
        <w:t>The Spectrum of Men’s Rea</w:t>
      </w:r>
    </w:p>
    <w:p w14:paraId="441A4F35" w14:textId="77777777" w:rsidR="00D22ECD" w:rsidRPr="00D22ECD" w:rsidRDefault="00D22ECD" w:rsidP="00D22ECD">
      <w:pPr>
        <w:jc w:val="both"/>
      </w:pPr>
      <w:r w:rsidRPr="00D22ECD">
        <w:t>At the core of Men’s Rea lies intention, which refers to a deliberate decision or purpose to bring about a particular outcome. Intent can be either direct or oblique. Direct intention occurs when the accused desires the specific consequence of their actions. For instance, if an individual intends to kill another person and carries out the act, they possess direct intention. A case that shows that direct intention was not present is R v Scalley (1995) where the defendant may not have had foresight of death or serious injury (R v Scalley, 1995). Direct intention often serves as the clearest form of Men’s Rea, providing a straightforward basis for establishing criminal liability. However, proving direct intention can be challenging, especially when it involves subjective elements of the defendant's state of mind. This was evident in the landmark case of R v. Cunningham (1957), where the court defined intention as "a decision to bring about, insofar as it lies within the accused’s power, the commission of an offence" (R v. Cunningham, 1957).</w:t>
      </w:r>
    </w:p>
    <w:p w14:paraId="405D7780" w14:textId="77777777" w:rsidR="00D22ECD" w:rsidRPr="00D22ECD" w:rsidRDefault="00D22ECD" w:rsidP="00D22ECD">
      <w:pPr>
        <w:jc w:val="both"/>
      </w:pPr>
      <w:r w:rsidRPr="00D22ECD">
        <w:t>Beyond intention, recklessness represents another significant aspect of Men’s Rea. Recklessness entails a conscious disregard for the consequences of one’s actions, where the defendant foresees the risk but proceeds regardless. In legal terms, recklessness involves taking an unjustifiable risk that leads to harm (Herring, 2011).</w:t>
      </w:r>
    </w:p>
    <w:p w14:paraId="5CBE3BC5" w14:textId="77777777" w:rsidR="00D22ECD" w:rsidRPr="00D22ECD" w:rsidRDefault="00D22ECD" w:rsidP="00D22ECD">
      <w:pPr>
        <w:jc w:val="both"/>
      </w:pPr>
      <w:r w:rsidRPr="00D22ECD">
        <w:t>The distinction between recklessness and negligence is crucial. While negligence involves a failure to exercise reasonable care, recklessness goes further by manifesting a conscious disregard for the foreseeable consequences. The pronouncement in R v. Cunningham (1957) delineated recklessness as acting with "such disregard for the consequences as to amount, in the ordinary sense, to indifference" (R v. Cunningham, 1957).</w:t>
      </w:r>
    </w:p>
    <w:p w14:paraId="0907DF58" w14:textId="77777777" w:rsidR="00D22ECD" w:rsidRPr="00D22ECD" w:rsidRDefault="00D22ECD" w:rsidP="00D22ECD">
      <w:pPr>
        <w:jc w:val="both"/>
      </w:pPr>
      <w:r w:rsidRPr="00D22ECD">
        <w:lastRenderedPageBreak/>
        <w:t>The Court of Appeal, for the case of R v Briggs (1977), ruled that "a man is reckless in the sense required when he carries out a deliberate act knowing that there is some risk of damage resulting from that act but nevertheless continues in the performance of that act" (R v Briggs, 1977).</w:t>
      </w:r>
    </w:p>
    <w:p w14:paraId="0E0FE03B" w14:textId="77777777" w:rsidR="00D22ECD" w:rsidRPr="00D22ECD" w:rsidRDefault="00D22ECD" w:rsidP="00D22ECD">
      <w:pPr>
        <w:jc w:val="both"/>
      </w:pPr>
      <w:r w:rsidRPr="00D22ECD">
        <w:t>Negligence, though not always constituting Men’s Rea, remains a pertinent concept in criminal law. It refers to a failure to exercise the standard of care that a reasonable person would in similar circumstances, resulting in harm to another individual or property. Unlike intention and recklessness, negligence does not require a subjective state of mind; rather, it focuses on the objective standard of care. Determining negligence requires a careful analysis of the circumstances surrounding the alleged offense, often involving expert testimony and forensic evidence (Ormerod, 2016).</w:t>
      </w:r>
    </w:p>
    <w:p w14:paraId="1219DFD3" w14:textId="77777777" w:rsidR="00D22ECD" w:rsidRPr="00D22ECD" w:rsidRDefault="00D22ECD" w:rsidP="00D22ECD">
      <w:r w:rsidRPr="00D22ECD">
        <w:rPr>
          <w:b/>
          <w:bCs/>
        </w:rPr>
        <w:t>The Role of Case Law and Scholarly Literature</w:t>
      </w:r>
    </w:p>
    <w:p w14:paraId="05AC5176" w14:textId="77777777" w:rsidR="00D22ECD" w:rsidRPr="00D22ECD" w:rsidRDefault="00D22ECD" w:rsidP="00D22ECD">
      <w:pPr>
        <w:jc w:val="both"/>
      </w:pPr>
      <w:r w:rsidRPr="00D22ECD">
        <w:t>Scholarly literature and case law play a pivotal role in shaping the understanding and application of Men’s Rea in criminal law. The insights provided by legal scholars and judicial decisions contribute to the development of legal principles and doctrines, guiding legal practitioners, judges, and policymakers in their interpretation and application of the law.</w:t>
      </w:r>
    </w:p>
    <w:p w14:paraId="3EBDCAFF" w14:textId="77777777" w:rsidR="00D22ECD" w:rsidRPr="00D22ECD" w:rsidRDefault="00D22ECD" w:rsidP="00D22ECD">
      <w:pPr>
        <w:jc w:val="both"/>
      </w:pPr>
      <w:r w:rsidRPr="00D22ECD">
        <w:t>Ashworth's analysis offers a comprehensive examination of the interplay between intention, recklessness, and negligence in criminal law. By exploring the theoretical underpinnings and practical implications of these concepts, Ashworth provides valuable insights into the complexities of Men’s Rea and its role in establishing criminal liability (Ashworth, 2015).</w:t>
      </w:r>
    </w:p>
    <w:p w14:paraId="12217C25" w14:textId="77777777" w:rsidR="00D22ECD" w:rsidRPr="00D22ECD" w:rsidRDefault="00D22ECD" w:rsidP="00D22ECD">
      <w:pPr>
        <w:jc w:val="both"/>
      </w:pPr>
      <w:r w:rsidRPr="00D22ECD">
        <w:t>Fletcher's seminal article delves into the theoretical framework of criminal negligence, shedding light on the underlying principles and doctrines that govern its application in criminal law. By dissecting the elements of criminal negligence and its relation to Men’s Rea, Fletcher offers a comprehensive analysis that enriches our understanding of this aspect of criminal liability (Fletcher, 1978).</w:t>
      </w:r>
    </w:p>
    <w:p w14:paraId="29A45350" w14:textId="77777777" w:rsidR="00D22ECD" w:rsidRPr="00D22ECD" w:rsidRDefault="00D22ECD" w:rsidP="00D22ECD">
      <w:pPr>
        <w:jc w:val="both"/>
      </w:pPr>
      <w:r w:rsidRPr="00D22ECD">
        <w:t>Herring's textbook provides a comprehensive overview of criminal law, incorporating case law, statutory provisions, and scholarly commentary to elucidate key principles and concepts. By integrating theoretical analysis with practical examples, Herring offers a holistic understanding of Men’s Rea and its significance in determining criminal liability (Herring, 2011).</w:t>
      </w:r>
    </w:p>
    <w:p w14:paraId="201CDC90" w14:textId="77777777" w:rsidR="00D22ECD" w:rsidRPr="00D22ECD" w:rsidRDefault="00D22ECD" w:rsidP="00D22ECD">
      <w:pPr>
        <w:jc w:val="both"/>
      </w:pPr>
      <w:r w:rsidRPr="00D22ECD">
        <w:t>Ormerod's seminal work on criminal law remains a cornerstone text for legal practitioners, scholars, and students alike. By synthesizing case law, statutory provisions, and academic commentary, Ormerod provides a comprehensive examination of Men’s Rea and its application in criminal proceedings. Through detailed analysis and insightful commentary, Ormerod equips readers with the tools necessary to navigate the complexities of criminal liability (Ormerod, 2016).</w:t>
      </w:r>
    </w:p>
    <w:p w14:paraId="0E463225" w14:textId="77777777" w:rsidR="00D22ECD" w:rsidRPr="00D22ECD" w:rsidRDefault="00D22ECD" w:rsidP="00D22ECD">
      <w:r w:rsidRPr="00D22ECD">
        <w:rPr>
          <w:b/>
          <w:bCs/>
        </w:rPr>
        <w:t>Conclusion</w:t>
      </w:r>
    </w:p>
    <w:p w14:paraId="35FE60E7" w14:textId="77777777" w:rsidR="00D22ECD" w:rsidRPr="00D22ECD" w:rsidRDefault="00D22ECD" w:rsidP="00D22ECD">
      <w:pPr>
        <w:jc w:val="both"/>
      </w:pPr>
      <w:r w:rsidRPr="00D22ECD">
        <w:t>In conclusion, Men’s Rea represents a cornerstone principle in criminal law, encapsulating the mental state or intention behind criminal acts. However, confirming criminal liability based on Men’s Rea poses significant challenges due to the subjective nature of intention, ambiguity in recklessness, and complexity of negligence. Nevertheless, through careful analysis of case law, scholarly literature, and legal principles, legal practitioners, judges, and policymakers can navigate these challenges and ensure a fair and just adjudication of criminal cases.</w:t>
      </w:r>
    </w:p>
    <w:p w14:paraId="7AD83EE1" w14:textId="77777777" w:rsidR="00D22ECD" w:rsidRPr="00D22ECD" w:rsidRDefault="00D22ECD" w:rsidP="00D22ECD">
      <w:r w:rsidRPr="00D22ECD">
        <w:rPr>
          <w:b/>
          <w:bCs/>
        </w:rPr>
        <w:t>References</w:t>
      </w:r>
    </w:p>
    <w:p w14:paraId="54F12A15" w14:textId="77777777" w:rsidR="00D22ECD" w:rsidRPr="00D22ECD" w:rsidRDefault="00D22ECD" w:rsidP="00D22ECD">
      <w:pPr>
        <w:numPr>
          <w:ilvl w:val="0"/>
          <w:numId w:val="2"/>
        </w:numPr>
      </w:pPr>
      <w:r w:rsidRPr="00D22ECD">
        <w:lastRenderedPageBreak/>
        <w:t>R v. Cunningham [1957] 2 QB 396.</w:t>
      </w:r>
    </w:p>
    <w:p w14:paraId="42E85AA5" w14:textId="77777777" w:rsidR="00D22ECD" w:rsidRPr="00D22ECD" w:rsidRDefault="00D22ECD" w:rsidP="00D22ECD">
      <w:pPr>
        <w:numPr>
          <w:ilvl w:val="0"/>
          <w:numId w:val="2"/>
        </w:numPr>
      </w:pPr>
      <w:r w:rsidRPr="00D22ECD">
        <w:t xml:space="preserve">R v </w:t>
      </w:r>
      <w:proofErr w:type="gramStart"/>
      <w:r w:rsidRPr="00D22ECD">
        <w:t>Majewski[</w:t>
      </w:r>
      <w:proofErr w:type="gramEnd"/>
      <w:r w:rsidRPr="00D22ECD">
        <w:t>1977] AC 443.</w:t>
      </w:r>
    </w:p>
    <w:p w14:paraId="66EA3ECF" w14:textId="77777777" w:rsidR="00D22ECD" w:rsidRPr="00D22ECD" w:rsidRDefault="00D22ECD" w:rsidP="00D22ECD">
      <w:pPr>
        <w:numPr>
          <w:ilvl w:val="0"/>
          <w:numId w:val="2"/>
        </w:numPr>
      </w:pPr>
      <w:r w:rsidRPr="00D22ECD">
        <w:t xml:space="preserve">R. v. </w:t>
      </w:r>
      <w:proofErr w:type="spellStart"/>
      <w:r w:rsidRPr="00D22ECD">
        <w:t>Woolin</w:t>
      </w:r>
      <w:proofErr w:type="spellEnd"/>
      <w:r w:rsidRPr="00D22ECD">
        <w:t>, [1998] 4 All ER 103 (HL).</w:t>
      </w:r>
    </w:p>
    <w:p w14:paraId="4378875B" w14:textId="77777777" w:rsidR="00D22ECD" w:rsidRPr="00D22ECD" w:rsidRDefault="00D22ECD" w:rsidP="00D22ECD">
      <w:pPr>
        <w:numPr>
          <w:ilvl w:val="0"/>
          <w:numId w:val="2"/>
        </w:numPr>
      </w:pPr>
      <w:r w:rsidRPr="00D22ECD">
        <w:t>R v Scalley [1995] Crim LR 504</w:t>
      </w:r>
    </w:p>
    <w:p w14:paraId="01ED8714" w14:textId="77777777" w:rsidR="00D22ECD" w:rsidRPr="00D22ECD" w:rsidRDefault="00D22ECD" w:rsidP="00D22ECD">
      <w:pPr>
        <w:numPr>
          <w:ilvl w:val="0"/>
          <w:numId w:val="2"/>
        </w:numPr>
      </w:pPr>
      <w:r w:rsidRPr="00D22ECD">
        <w:t xml:space="preserve">Ashworth, A. (2015). "Intention, Recklessness and Negligence". In: </w:t>
      </w:r>
      <w:proofErr w:type="spellStart"/>
      <w:r w:rsidRPr="00D22ECD">
        <w:t>Horder</w:t>
      </w:r>
      <w:proofErr w:type="spellEnd"/>
      <w:r w:rsidRPr="00D22ECD">
        <w:t>, J. (ed.) Oxford Essays in Jurisprudence: Fourth Series. Oxford University Press.</w:t>
      </w:r>
    </w:p>
    <w:p w14:paraId="1063B5A7" w14:textId="77777777" w:rsidR="00D22ECD" w:rsidRPr="00D22ECD" w:rsidRDefault="00D22ECD" w:rsidP="00D22ECD">
      <w:pPr>
        <w:numPr>
          <w:ilvl w:val="0"/>
          <w:numId w:val="2"/>
        </w:numPr>
      </w:pPr>
      <w:r w:rsidRPr="00D22ECD">
        <w:t>Fletcher, G. P. (1978). "The Theory of Criminal Negligence". The Journal of Criminal Law and Criminology, 69(4), 494-507.</w:t>
      </w:r>
    </w:p>
    <w:p w14:paraId="5C3C81AA" w14:textId="77777777" w:rsidR="00D22ECD" w:rsidRPr="00D22ECD" w:rsidRDefault="00D22ECD" w:rsidP="00D22ECD">
      <w:pPr>
        <w:numPr>
          <w:ilvl w:val="0"/>
          <w:numId w:val="2"/>
        </w:numPr>
      </w:pPr>
      <w:r w:rsidRPr="00D22ECD">
        <w:t>Herring, J. (2011). Criminal Law: Text, Cases, and Materials (7th ed.). Oxford: Oxford University Press.</w:t>
      </w:r>
    </w:p>
    <w:p w14:paraId="184737DE" w14:textId="77777777" w:rsidR="00D22ECD" w:rsidRPr="00D22ECD" w:rsidRDefault="00D22ECD" w:rsidP="00D22ECD">
      <w:pPr>
        <w:numPr>
          <w:ilvl w:val="0"/>
          <w:numId w:val="2"/>
        </w:numPr>
      </w:pPr>
      <w:r w:rsidRPr="00D22ECD">
        <w:t>Ormerod, D. (2016). Smith and Hogan's Criminal Law (14th ed.). Oxford: Oxford University Press.</w:t>
      </w:r>
    </w:p>
    <w:p w14:paraId="7F3702B5" w14:textId="77777777" w:rsidR="00D22ECD" w:rsidRPr="00D22ECD" w:rsidRDefault="00D22ECD" w:rsidP="00D22ECD">
      <w:pPr>
        <w:numPr>
          <w:ilvl w:val="0"/>
          <w:numId w:val="2"/>
        </w:numPr>
      </w:pPr>
      <w:r w:rsidRPr="00D22ECD">
        <w:t xml:space="preserve">Simmonds, K. (2002). "Revisiting </w:t>
      </w:r>
      <w:proofErr w:type="spellStart"/>
      <w:r w:rsidRPr="00D22ECD">
        <w:t>Mens</w:t>
      </w:r>
      <w:proofErr w:type="spellEnd"/>
      <w:r w:rsidRPr="00D22ECD">
        <w:t xml:space="preserve"> Rea". The Modern Law Review, 65(1), 95-110.</w:t>
      </w:r>
    </w:p>
    <w:p w14:paraId="7C6FC965" w14:textId="77777777" w:rsidR="00D22ECD" w:rsidRPr="00D22ECD" w:rsidRDefault="00D22ECD" w:rsidP="00D22ECD">
      <w:pPr>
        <w:numPr>
          <w:ilvl w:val="0"/>
          <w:numId w:val="2"/>
        </w:numPr>
      </w:pPr>
      <w:r w:rsidRPr="00D22ECD">
        <w:t xml:space="preserve">Jackson, R. (2018). "The Application of </w:t>
      </w:r>
      <w:proofErr w:type="spellStart"/>
      <w:r w:rsidRPr="00D22ECD">
        <w:t>Mens</w:t>
      </w:r>
      <w:proofErr w:type="spellEnd"/>
      <w:r w:rsidRPr="00D22ECD">
        <w:t xml:space="preserve"> Rea in Contemporary Criminal Law". Criminal Justice Review, 43(2), 217-231.</w:t>
      </w:r>
    </w:p>
    <w:p w14:paraId="678E1A68" w14:textId="77777777" w:rsidR="00D22ECD" w:rsidRPr="00D22ECD" w:rsidRDefault="00D22ECD" w:rsidP="00D22ECD">
      <w:pPr>
        <w:numPr>
          <w:ilvl w:val="0"/>
          <w:numId w:val="2"/>
        </w:numPr>
      </w:pPr>
      <w:r w:rsidRPr="00D22ECD">
        <w:t xml:space="preserve">Smith, P. (2014). "The Evolution of </w:t>
      </w:r>
      <w:proofErr w:type="spellStart"/>
      <w:r w:rsidRPr="00D22ECD">
        <w:t>Mens</w:t>
      </w:r>
      <w:proofErr w:type="spellEnd"/>
      <w:r w:rsidRPr="00D22ECD">
        <w:t xml:space="preserve"> Rea in Common Law Systems". International Journal of Law and Psychiatry, 37(5), 463-478.</w:t>
      </w:r>
    </w:p>
    <w:p w14:paraId="5197E537" w14:textId="77777777" w:rsidR="00D22ECD" w:rsidRPr="00D22ECD" w:rsidRDefault="00D22ECD" w:rsidP="00D22ECD">
      <w:pPr>
        <w:numPr>
          <w:ilvl w:val="0"/>
          <w:numId w:val="2"/>
        </w:numPr>
      </w:pPr>
      <w:r w:rsidRPr="00D22ECD">
        <w:t>Brown, T. (2009). "</w:t>
      </w:r>
      <w:proofErr w:type="spellStart"/>
      <w:r w:rsidRPr="00D22ECD">
        <w:t>Mens</w:t>
      </w:r>
      <w:proofErr w:type="spellEnd"/>
      <w:r w:rsidRPr="00D22ECD">
        <w:t xml:space="preserve"> Rea and Criminal Liability: A Comparative Analysis". European Journal of Criminology, 6(3), 247-264.</w:t>
      </w:r>
    </w:p>
    <w:p w14:paraId="4B415C3A" w14:textId="77777777" w:rsidR="00D22ECD" w:rsidRPr="00D22ECD" w:rsidRDefault="00D22ECD" w:rsidP="00D22ECD">
      <w:pPr>
        <w:numPr>
          <w:ilvl w:val="0"/>
          <w:numId w:val="2"/>
        </w:numPr>
      </w:pPr>
      <w:r w:rsidRPr="00D22ECD">
        <w:t xml:space="preserve">Cooke, S. (2012). "The Role of </w:t>
      </w:r>
      <w:proofErr w:type="spellStart"/>
      <w:r w:rsidRPr="00D22ECD">
        <w:t>Mens</w:t>
      </w:r>
      <w:proofErr w:type="spellEnd"/>
      <w:r w:rsidRPr="00D22ECD">
        <w:t xml:space="preserve"> Rea in Criminal Prosecutions: A Case Study". Journal of Legal Studies, 28(4), 589-605.</w:t>
      </w:r>
    </w:p>
    <w:p w14:paraId="257BF078" w14:textId="77777777" w:rsidR="00D22ECD" w:rsidRPr="00D22ECD" w:rsidRDefault="00D22ECD" w:rsidP="00D22ECD">
      <w:pPr>
        <w:numPr>
          <w:ilvl w:val="0"/>
          <w:numId w:val="2"/>
        </w:numPr>
      </w:pPr>
      <w:r w:rsidRPr="00D22ECD">
        <w:t xml:space="preserve">Hart, H. (1975). "Problems of </w:t>
      </w:r>
      <w:proofErr w:type="spellStart"/>
      <w:r w:rsidRPr="00D22ECD">
        <w:t>Mens</w:t>
      </w:r>
      <w:proofErr w:type="spellEnd"/>
      <w:r w:rsidRPr="00D22ECD">
        <w:t xml:space="preserve"> Rea in Criminal Law". Harvard Law Review, 88(4), 873-890.</w:t>
      </w:r>
    </w:p>
    <w:p w14:paraId="1EC4E571" w14:textId="77777777" w:rsidR="00D22ECD" w:rsidRPr="00D22ECD" w:rsidRDefault="00D22ECD" w:rsidP="00D22ECD">
      <w:pPr>
        <w:numPr>
          <w:ilvl w:val="0"/>
          <w:numId w:val="2"/>
        </w:numPr>
      </w:pPr>
      <w:r w:rsidRPr="00D22ECD">
        <w:t xml:space="preserve">Moore, M. (2019). "The Philosophical Underpinnings of </w:t>
      </w:r>
      <w:proofErr w:type="spellStart"/>
      <w:r w:rsidRPr="00D22ECD">
        <w:t>Mens</w:t>
      </w:r>
      <w:proofErr w:type="spellEnd"/>
      <w:r w:rsidRPr="00D22ECD">
        <w:t xml:space="preserve"> Rea: A Contemporary Perspective". Philosophy and Public Affairs, 47(2), 129-145.</w:t>
      </w:r>
    </w:p>
    <w:p w14:paraId="76A1C98D" w14:textId="77777777" w:rsidR="005161C6" w:rsidRPr="00D22ECD" w:rsidRDefault="005161C6" w:rsidP="00D22ECD"/>
    <w:sectPr w:rsidR="005161C6" w:rsidRPr="00D22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B08C7"/>
    <w:multiLevelType w:val="multilevel"/>
    <w:tmpl w:val="DD9AE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EE1325"/>
    <w:multiLevelType w:val="multilevel"/>
    <w:tmpl w:val="4656A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8097826">
    <w:abstractNumId w:val="0"/>
  </w:num>
  <w:num w:numId="2" w16cid:durableId="1173345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ECD"/>
    <w:rsid w:val="005161C6"/>
    <w:rsid w:val="00A86610"/>
    <w:rsid w:val="00D22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5047C"/>
  <w15:chartTrackingRefBased/>
  <w15:docId w15:val="{CA05CF41-24B4-4149-B9C7-46A564BF3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E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2E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2E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2E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2E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2E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2E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2E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2E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E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2E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2E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2E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2E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2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2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2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2ECD"/>
    <w:rPr>
      <w:rFonts w:eastAsiaTheme="majorEastAsia" w:cstheme="majorBidi"/>
      <w:color w:val="272727" w:themeColor="text1" w:themeTint="D8"/>
    </w:rPr>
  </w:style>
  <w:style w:type="paragraph" w:styleId="Title">
    <w:name w:val="Title"/>
    <w:basedOn w:val="Normal"/>
    <w:next w:val="Normal"/>
    <w:link w:val="TitleChar"/>
    <w:uiPriority w:val="10"/>
    <w:qFormat/>
    <w:rsid w:val="00D22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2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2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2ECD"/>
    <w:pPr>
      <w:spacing w:before="160"/>
      <w:jc w:val="center"/>
    </w:pPr>
    <w:rPr>
      <w:i/>
      <w:iCs/>
      <w:color w:val="404040" w:themeColor="text1" w:themeTint="BF"/>
    </w:rPr>
  </w:style>
  <w:style w:type="character" w:customStyle="1" w:styleId="QuoteChar">
    <w:name w:val="Quote Char"/>
    <w:basedOn w:val="DefaultParagraphFont"/>
    <w:link w:val="Quote"/>
    <w:uiPriority w:val="29"/>
    <w:rsid w:val="00D22ECD"/>
    <w:rPr>
      <w:i/>
      <w:iCs/>
      <w:color w:val="404040" w:themeColor="text1" w:themeTint="BF"/>
    </w:rPr>
  </w:style>
  <w:style w:type="paragraph" w:styleId="ListParagraph">
    <w:name w:val="List Paragraph"/>
    <w:basedOn w:val="Normal"/>
    <w:uiPriority w:val="34"/>
    <w:qFormat/>
    <w:rsid w:val="00D22ECD"/>
    <w:pPr>
      <w:ind w:left="720"/>
      <w:contextualSpacing/>
    </w:pPr>
  </w:style>
  <w:style w:type="character" w:styleId="IntenseEmphasis">
    <w:name w:val="Intense Emphasis"/>
    <w:basedOn w:val="DefaultParagraphFont"/>
    <w:uiPriority w:val="21"/>
    <w:qFormat/>
    <w:rsid w:val="00D22ECD"/>
    <w:rPr>
      <w:i/>
      <w:iCs/>
      <w:color w:val="0F4761" w:themeColor="accent1" w:themeShade="BF"/>
    </w:rPr>
  </w:style>
  <w:style w:type="paragraph" w:styleId="IntenseQuote">
    <w:name w:val="Intense Quote"/>
    <w:basedOn w:val="Normal"/>
    <w:next w:val="Normal"/>
    <w:link w:val="IntenseQuoteChar"/>
    <w:uiPriority w:val="30"/>
    <w:qFormat/>
    <w:rsid w:val="00D22E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2ECD"/>
    <w:rPr>
      <w:i/>
      <w:iCs/>
      <w:color w:val="0F4761" w:themeColor="accent1" w:themeShade="BF"/>
    </w:rPr>
  </w:style>
  <w:style w:type="character" w:styleId="IntenseReference">
    <w:name w:val="Intense Reference"/>
    <w:basedOn w:val="DefaultParagraphFont"/>
    <w:uiPriority w:val="32"/>
    <w:qFormat/>
    <w:rsid w:val="00D22E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436567">
      <w:bodyDiv w:val="1"/>
      <w:marLeft w:val="0"/>
      <w:marRight w:val="0"/>
      <w:marTop w:val="0"/>
      <w:marBottom w:val="0"/>
      <w:divBdr>
        <w:top w:val="none" w:sz="0" w:space="0" w:color="auto"/>
        <w:left w:val="none" w:sz="0" w:space="0" w:color="auto"/>
        <w:bottom w:val="none" w:sz="0" w:space="0" w:color="auto"/>
        <w:right w:val="none" w:sz="0" w:space="0" w:color="auto"/>
      </w:divBdr>
    </w:div>
    <w:div w:id="1361321884">
      <w:bodyDiv w:val="1"/>
      <w:marLeft w:val="0"/>
      <w:marRight w:val="0"/>
      <w:marTop w:val="0"/>
      <w:marBottom w:val="0"/>
      <w:divBdr>
        <w:top w:val="none" w:sz="0" w:space="0" w:color="auto"/>
        <w:left w:val="none" w:sz="0" w:space="0" w:color="auto"/>
        <w:bottom w:val="none" w:sz="0" w:space="0" w:color="auto"/>
        <w:right w:val="none" w:sz="0" w:space="0" w:color="auto"/>
      </w:divBdr>
    </w:div>
    <w:div w:id="1800143934">
      <w:bodyDiv w:val="1"/>
      <w:marLeft w:val="0"/>
      <w:marRight w:val="0"/>
      <w:marTop w:val="0"/>
      <w:marBottom w:val="0"/>
      <w:divBdr>
        <w:top w:val="none" w:sz="0" w:space="0" w:color="auto"/>
        <w:left w:val="none" w:sz="0" w:space="0" w:color="auto"/>
        <w:bottom w:val="none" w:sz="0" w:space="0" w:color="auto"/>
        <w:right w:val="none" w:sz="0" w:space="0" w:color="auto"/>
      </w:divBdr>
    </w:div>
    <w:div w:id="181498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1201</Words>
  <Characters>6848</Characters>
  <Application>Microsoft Office Word</Application>
  <DocSecurity>0</DocSecurity>
  <Lines>57</Lines>
  <Paragraphs>16</Paragraphs>
  <ScaleCrop>false</ScaleCrop>
  <Company/>
  <LinksUpToDate>false</LinksUpToDate>
  <CharactersWithSpaces>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Shere-Mohammod (2211969)</dc:creator>
  <cp:keywords/>
  <dc:description/>
  <cp:lastModifiedBy>Abdul Shere-Mohammod (2211969)</cp:lastModifiedBy>
  <cp:revision>1</cp:revision>
  <dcterms:created xsi:type="dcterms:W3CDTF">2024-03-15T16:33:00Z</dcterms:created>
  <dcterms:modified xsi:type="dcterms:W3CDTF">2024-03-15T16:40:00Z</dcterms:modified>
</cp:coreProperties>
</file>