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709AA" w14:textId="77777777" w:rsidR="00B033D9" w:rsidRDefault="00B033D9"/>
    <w:p w14:paraId="6F1A97C5" w14:textId="7D84EC29" w:rsidR="00C04C68" w:rsidRDefault="00C04C68"/>
    <w:p w14:paraId="29ADF828" w14:textId="67A11DBC" w:rsidR="00C04C68" w:rsidRDefault="001D4788" w:rsidP="001D4788">
      <w:pPr>
        <w:jc w:val="center"/>
      </w:pPr>
      <w:r w:rsidRPr="001D4788">
        <w:drawing>
          <wp:inline distT="0" distB="0" distL="0" distR="0" wp14:anchorId="2AFE98BA" wp14:editId="677EAC1E">
            <wp:extent cx="4591050" cy="1108456"/>
            <wp:effectExtent l="0" t="0" r="0" b="0"/>
            <wp:docPr id="144486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868130" name=""/>
                    <pic:cNvPicPr/>
                  </pic:nvPicPr>
                  <pic:blipFill>
                    <a:blip r:embed="rId7"/>
                    <a:stretch>
                      <a:fillRect/>
                    </a:stretch>
                  </pic:blipFill>
                  <pic:spPr>
                    <a:xfrm>
                      <a:off x="0" y="0"/>
                      <a:ext cx="4616941" cy="1114707"/>
                    </a:xfrm>
                    <a:prstGeom prst="rect">
                      <a:avLst/>
                    </a:prstGeom>
                  </pic:spPr>
                </pic:pic>
              </a:graphicData>
            </a:graphic>
          </wp:inline>
        </w:drawing>
      </w:r>
    </w:p>
    <w:p w14:paraId="1215DFE4" w14:textId="77777777" w:rsidR="00E471BA" w:rsidRDefault="00E471BA"/>
    <w:p w14:paraId="6C3ADAA2" w14:textId="77777777" w:rsidR="00E471BA" w:rsidRDefault="00E471BA"/>
    <w:p w14:paraId="28E26A85" w14:textId="77777777" w:rsidR="00E471BA" w:rsidRDefault="00E471BA"/>
    <w:tbl>
      <w:tblPr>
        <w:tblW w:w="536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1"/>
        <w:gridCol w:w="7812"/>
      </w:tblGrid>
      <w:tr w:rsidR="001D4788" w:rsidRPr="00DD3345" w14:paraId="2DBBE440" w14:textId="77777777" w:rsidTr="001D4788">
        <w:trPr>
          <w:trHeight w:val="972"/>
        </w:trPr>
        <w:tc>
          <w:tcPr>
            <w:tcW w:w="1103" w:type="pct"/>
            <w:tcBorders>
              <w:top w:val="single" w:sz="4" w:space="0" w:color="auto"/>
              <w:left w:val="single" w:sz="4" w:space="0" w:color="auto"/>
              <w:bottom w:val="single" w:sz="4" w:space="0" w:color="auto"/>
              <w:right w:val="single" w:sz="4" w:space="0" w:color="auto"/>
            </w:tcBorders>
            <w:hideMark/>
          </w:tcPr>
          <w:p w14:paraId="7E08961B" w14:textId="77777777" w:rsidR="001D4788" w:rsidRPr="00DD3345" w:rsidRDefault="001D4788" w:rsidP="00F87066">
            <w:pPr>
              <w:rPr>
                <w:rFonts w:cs="Times New Roman"/>
                <w:sz w:val="22"/>
              </w:rPr>
            </w:pPr>
            <w:r w:rsidRPr="00DD3345">
              <w:rPr>
                <w:rFonts w:cs="Times New Roman"/>
              </w:rPr>
              <w:t>Module</w:t>
            </w:r>
          </w:p>
        </w:tc>
        <w:tc>
          <w:tcPr>
            <w:tcW w:w="3897" w:type="pct"/>
            <w:tcBorders>
              <w:top w:val="single" w:sz="4" w:space="0" w:color="auto"/>
              <w:left w:val="single" w:sz="4" w:space="0" w:color="auto"/>
              <w:bottom w:val="single" w:sz="4" w:space="0" w:color="auto"/>
              <w:right w:val="single" w:sz="4" w:space="0" w:color="auto"/>
            </w:tcBorders>
          </w:tcPr>
          <w:p w14:paraId="2A738B83" w14:textId="77777777" w:rsidR="001D4788" w:rsidRPr="00DD3345" w:rsidRDefault="001D4788" w:rsidP="00F87066">
            <w:pPr>
              <w:rPr>
                <w:rFonts w:cs="Times New Roman"/>
              </w:rPr>
            </w:pPr>
            <w:r w:rsidRPr="001653C5">
              <w:rPr>
                <w:rFonts w:cs="Times New Roman"/>
              </w:rPr>
              <w:t>Marketing Management</w:t>
            </w:r>
          </w:p>
        </w:tc>
      </w:tr>
      <w:tr w:rsidR="001D4788" w:rsidRPr="00DD3345" w14:paraId="56EC53BB" w14:textId="77777777" w:rsidTr="001D4788">
        <w:trPr>
          <w:trHeight w:val="972"/>
        </w:trPr>
        <w:tc>
          <w:tcPr>
            <w:tcW w:w="1103" w:type="pct"/>
            <w:tcBorders>
              <w:top w:val="single" w:sz="4" w:space="0" w:color="auto"/>
              <w:left w:val="single" w:sz="4" w:space="0" w:color="auto"/>
              <w:bottom w:val="single" w:sz="4" w:space="0" w:color="auto"/>
              <w:right w:val="single" w:sz="4" w:space="0" w:color="auto"/>
            </w:tcBorders>
            <w:hideMark/>
          </w:tcPr>
          <w:p w14:paraId="1C3045EA" w14:textId="77777777" w:rsidR="001D4788" w:rsidRPr="00DD3345" w:rsidRDefault="001D4788" w:rsidP="00F87066">
            <w:pPr>
              <w:rPr>
                <w:rFonts w:cs="Times New Roman"/>
              </w:rPr>
            </w:pPr>
            <w:r w:rsidRPr="00DD3345">
              <w:rPr>
                <w:rFonts w:cs="Times New Roman"/>
              </w:rPr>
              <w:t>Module Code</w:t>
            </w:r>
          </w:p>
        </w:tc>
        <w:tc>
          <w:tcPr>
            <w:tcW w:w="3897" w:type="pct"/>
            <w:tcBorders>
              <w:top w:val="single" w:sz="4" w:space="0" w:color="auto"/>
              <w:left w:val="single" w:sz="4" w:space="0" w:color="auto"/>
              <w:bottom w:val="single" w:sz="4" w:space="0" w:color="auto"/>
              <w:right w:val="single" w:sz="4" w:space="0" w:color="auto"/>
            </w:tcBorders>
          </w:tcPr>
          <w:p w14:paraId="02F6F39C" w14:textId="77777777" w:rsidR="001D4788" w:rsidRPr="00DD3345" w:rsidRDefault="001D4788" w:rsidP="00F87066">
            <w:pPr>
              <w:rPr>
                <w:rFonts w:cs="Times New Roman"/>
              </w:rPr>
            </w:pPr>
            <w:r w:rsidRPr="001653C5">
              <w:rPr>
                <w:rFonts w:cs="Times New Roman"/>
              </w:rPr>
              <w:t>LCMB7024</w:t>
            </w:r>
          </w:p>
        </w:tc>
      </w:tr>
      <w:tr w:rsidR="001D4788" w:rsidRPr="00DD3345" w14:paraId="55422790" w14:textId="77777777" w:rsidTr="001D4788">
        <w:trPr>
          <w:trHeight w:val="972"/>
        </w:trPr>
        <w:tc>
          <w:tcPr>
            <w:tcW w:w="1103" w:type="pct"/>
            <w:tcBorders>
              <w:top w:val="single" w:sz="4" w:space="0" w:color="auto"/>
              <w:left w:val="single" w:sz="4" w:space="0" w:color="auto"/>
              <w:bottom w:val="single" w:sz="4" w:space="0" w:color="auto"/>
              <w:right w:val="single" w:sz="4" w:space="0" w:color="auto"/>
            </w:tcBorders>
            <w:hideMark/>
          </w:tcPr>
          <w:p w14:paraId="4354FF48" w14:textId="77777777" w:rsidR="001D4788" w:rsidRPr="00DD3345" w:rsidRDefault="001D4788" w:rsidP="00F87066">
            <w:pPr>
              <w:rPr>
                <w:rFonts w:cs="Times New Roman"/>
              </w:rPr>
            </w:pPr>
            <w:r w:rsidRPr="00DD3345">
              <w:rPr>
                <w:rFonts w:cs="Times New Roman"/>
              </w:rPr>
              <w:t xml:space="preserve">Student Name/ ID </w:t>
            </w:r>
          </w:p>
        </w:tc>
        <w:tc>
          <w:tcPr>
            <w:tcW w:w="3897" w:type="pct"/>
            <w:tcBorders>
              <w:top w:val="single" w:sz="4" w:space="0" w:color="auto"/>
              <w:left w:val="single" w:sz="4" w:space="0" w:color="auto"/>
              <w:bottom w:val="single" w:sz="4" w:space="0" w:color="auto"/>
              <w:right w:val="single" w:sz="4" w:space="0" w:color="auto"/>
            </w:tcBorders>
          </w:tcPr>
          <w:p w14:paraId="2ED24F8A" w14:textId="77777777" w:rsidR="001D4788" w:rsidRPr="00DD3345" w:rsidRDefault="001D4788" w:rsidP="00F87066">
            <w:pPr>
              <w:rPr>
                <w:rFonts w:cs="Times New Roman"/>
              </w:rPr>
            </w:pPr>
            <w:r>
              <w:rPr>
                <w:rFonts w:cs="Times New Roman"/>
              </w:rPr>
              <w:t>Harsh Pyarelal Dhabhai/ 2541472</w:t>
            </w:r>
          </w:p>
        </w:tc>
      </w:tr>
      <w:tr w:rsidR="001D4788" w:rsidRPr="00DD3345" w14:paraId="2F90C5F3" w14:textId="77777777" w:rsidTr="001D4788">
        <w:trPr>
          <w:trHeight w:val="972"/>
        </w:trPr>
        <w:tc>
          <w:tcPr>
            <w:tcW w:w="1103" w:type="pct"/>
            <w:tcBorders>
              <w:top w:val="single" w:sz="4" w:space="0" w:color="auto"/>
              <w:left w:val="single" w:sz="4" w:space="0" w:color="auto"/>
              <w:bottom w:val="single" w:sz="4" w:space="0" w:color="auto"/>
              <w:right w:val="single" w:sz="4" w:space="0" w:color="auto"/>
            </w:tcBorders>
            <w:hideMark/>
          </w:tcPr>
          <w:p w14:paraId="65F4B59F" w14:textId="77777777" w:rsidR="001D4788" w:rsidRPr="00DD3345" w:rsidRDefault="001D4788" w:rsidP="00F87066">
            <w:pPr>
              <w:rPr>
                <w:rFonts w:cs="Times New Roman"/>
              </w:rPr>
            </w:pPr>
            <w:r w:rsidRPr="00DD3345">
              <w:rPr>
                <w:rFonts w:cs="Times New Roman"/>
              </w:rPr>
              <w:t>Assignment Title</w:t>
            </w:r>
          </w:p>
        </w:tc>
        <w:tc>
          <w:tcPr>
            <w:tcW w:w="3897" w:type="pct"/>
            <w:tcBorders>
              <w:top w:val="single" w:sz="4" w:space="0" w:color="auto"/>
              <w:left w:val="single" w:sz="4" w:space="0" w:color="auto"/>
              <w:bottom w:val="single" w:sz="4" w:space="0" w:color="auto"/>
              <w:right w:val="single" w:sz="4" w:space="0" w:color="auto"/>
            </w:tcBorders>
          </w:tcPr>
          <w:p w14:paraId="77E88DB1" w14:textId="77777777" w:rsidR="001D4788" w:rsidRPr="00DD3345" w:rsidRDefault="001D4788" w:rsidP="00F87066">
            <w:pPr>
              <w:rPr>
                <w:rFonts w:cs="Times New Roman"/>
              </w:rPr>
            </w:pPr>
            <w:r w:rsidRPr="001653C5">
              <w:rPr>
                <w:rFonts w:cs="Times New Roman"/>
              </w:rPr>
              <w:t>Marketing Environment</w:t>
            </w:r>
            <w:r>
              <w:rPr>
                <w:rFonts w:cs="Times New Roman"/>
              </w:rPr>
              <w:t xml:space="preserve"> </w:t>
            </w:r>
            <w:r w:rsidRPr="001653C5">
              <w:rPr>
                <w:rFonts w:cs="Times New Roman"/>
              </w:rPr>
              <w:t>Analysis</w:t>
            </w:r>
          </w:p>
        </w:tc>
      </w:tr>
      <w:tr w:rsidR="001D4788" w:rsidRPr="00DD3345" w14:paraId="46DA1C73" w14:textId="77777777" w:rsidTr="001D4788">
        <w:trPr>
          <w:trHeight w:val="946"/>
        </w:trPr>
        <w:tc>
          <w:tcPr>
            <w:tcW w:w="1103" w:type="pct"/>
            <w:tcBorders>
              <w:top w:val="single" w:sz="4" w:space="0" w:color="auto"/>
              <w:left w:val="single" w:sz="4" w:space="0" w:color="auto"/>
              <w:bottom w:val="single" w:sz="4" w:space="0" w:color="auto"/>
              <w:right w:val="single" w:sz="4" w:space="0" w:color="auto"/>
            </w:tcBorders>
            <w:hideMark/>
          </w:tcPr>
          <w:p w14:paraId="6006BE7D" w14:textId="77777777" w:rsidR="001D4788" w:rsidRPr="00DD3345" w:rsidRDefault="001D4788" w:rsidP="00F87066">
            <w:pPr>
              <w:rPr>
                <w:rFonts w:cs="Times New Roman"/>
              </w:rPr>
            </w:pPr>
            <w:r w:rsidRPr="00DD3345">
              <w:rPr>
                <w:rFonts w:cs="Times New Roman"/>
              </w:rPr>
              <w:t>Submission Date</w:t>
            </w:r>
          </w:p>
        </w:tc>
        <w:tc>
          <w:tcPr>
            <w:tcW w:w="3897" w:type="pct"/>
            <w:tcBorders>
              <w:top w:val="single" w:sz="4" w:space="0" w:color="auto"/>
              <w:left w:val="single" w:sz="4" w:space="0" w:color="auto"/>
              <w:bottom w:val="single" w:sz="4" w:space="0" w:color="auto"/>
              <w:right w:val="single" w:sz="4" w:space="0" w:color="auto"/>
            </w:tcBorders>
          </w:tcPr>
          <w:p w14:paraId="7DC698A0" w14:textId="77777777" w:rsidR="001D4788" w:rsidRPr="00DD3345" w:rsidRDefault="001D4788" w:rsidP="00F87066">
            <w:pPr>
              <w:rPr>
                <w:rFonts w:cs="Times New Roman"/>
              </w:rPr>
            </w:pPr>
            <w:r>
              <w:rPr>
                <w:rFonts w:cs="Times New Roman"/>
              </w:rPr>
              <w:t>22/07/2026</w:t>
            </w:r>
          </w:p>
        </w:tc>
      </w:tr>
    </w:tbl>
    <w:p w14:paraId="111D38ED" w14:textId="77777777" w:rsidR="00E471BA" w:rsidRDefault="00E471BA"/>
    <w:p w14:paraId="291D8FF3" w14:textId="77777777" w:rsidR="00E471BA" w:rsidRDefault="00E471BA"/>
    <w:p w14:paraId="6E282B6D" w14:textId="77777777" w:rsidR="00E471BA" w:rsidRDefault="00E471BA"/>
    <w:p w14:paraId="1616DFBF" w14:textId="77777777" w:rsidR="00E471BA" w:rsidRDefault="00E471BA"/>
    <w:p w14:paraId="069272A4" w14:textId="77777777" w:rsidR="00E471BA" w:rsidRDefault="00E471BA"/>
    <w:p w14:paraId="3B449F4C" w14:textId="77777777" w:rsidR="00E471BA" w:rsidRDefault="00E471BA"/>
    <w:p w14:paraId="529FF668" w14:textId="77777777" w:rsidR="00E471BA" w:rsidRDefault="00E471BA"/>
    <w:p w14:paraId="5DBCDEC7" w14:textId="77777777" w:rsidR="00E471BA" w:rsidRDefault="00E471BA"/>
    <w:p w14:paraId="31BB60D2" w14:textId="77777777" w:rsidR="00E471BA" w:rsidRDefault="00E471BA"/>
    <w:p w14:paraId="7C7E1AAC" w14:textId="77777777" w:rsidR="00E471BA" w:rsidRDefault="00E471BA"/>
    <w:p w14:paraId="0CD23624" w14:textId="77777777" w:rsidR="00E471BA" w:rsidRDefault="00E471BA"/>
    <w:sdt>
      <w:sdtPr>
        <w:rPr>
          <w:rFonts w:eastAsiaTheme="minorHAnsi" w:cstheme="minorBidi"/>
          <w:b w:val="0"/>
          <w:caps w:val="0"/>
          <w:color w:val="auto"/>
          <w:sz w:val="24"/>
          <w:szCs w:val="22"/>
          <w:lang w:val="en-GB"/>
        </w:rPr>
        <w:id w:val="-1477449084"/>
        <w:docPartObj>
          <w:docPartGallery w:val="Table of Contents"/>
          <w:docPartUnique/>
        </w:docPartObj>
      </w:sdtPr>
      <w:sdtEndPr>
        <w:rPr>
          <w:bCs/>
          <w:noProof/>
        </w:rPr>
      </w:sdtEndPr>
      <w:sdtContent>
        <w:p w14:paraId="7773CE14" w14:textId="77777777" w:rsidR="00E471BA" w:rsidRDefault="00E471BA">
          <w:pPr>
            <w:pStyle w:val="TOCHeading"/>
          </w:pPr>
          <w:r>
            <w:t>Table of Contents</w:t>
          </w:r>
        </w:p>
        <w:p w14:paraId="30B5CEA7" w14:textId="77777777" w:rsidR="003C126D" w:rsidRDefault="00E471BA">
          <w:pPr>
            <w:pStyle w:val="TOC1"/>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235461501" w:history="1">
            <w:r w:rsidR="003C126D" w:rsidRPr="00CE45B1">
              <w:rPr>
                <w:rStyle w:val="Hyperlink"/>
                <w:rFonts w:eastAsia="Times New Roman"/>
                <w:noProof/>
                <w:lang w:eastAsia="en-GB"/>
              </w:rPr>
              <w:t>INTRODUCTION</w:t>
            </w:r>
            <w:r w:rsidR="003C126D">
              <w:rPr>
                <w:noProof/>
                <w:webHidden/>
              </w:rPr>
              <w:tab/>
            </w:r>
            <w:r w:rsidR="003C126D">
              <w:rPr>
                <w:noProof/>
                <w:webHidden/>
              </w:rPr>
              <w:fldChar w:fldCharType="begin"/>
            </w:r>
            <w:r w:rsidR="003C126D">
              <w:rPr>
                <w:noProof/>
                <w:webHidden/>
              </w:rPr>
              <w:instrText xml:space="preserve"> PAGEREF _Toc235461501 \h </w:instrText>
            </w:r>
            <w:r w:rsidR="003C126D">
              <w:rPr>
                <w:noProof/>
                <w:webHidden/>
              </w:rPr>
            </w:r>
            <w:r w:rsidR="003C126D">
              <w:rPr>
                <w:noProof/>
                <w:webHidden/>
              </w:rPr>
              <w:fldChar w:fldCharType="separate"/>
            </w:r>
            <w:r w:rsidR="003C126D">
              <w:rPr>
                <w:noProof/>
                <w:webHidden/>
              </w:rPr>
              <w:t>3</w:t>
            </w:r>
            <w:r w:rsidR="003C126D">
              <w:rPr>
                <w:noProof/>
                <w:webHidden/>
              </w:rPr>
              <w:fldChar w:fldCharType="end"/>
            </w:r>
          </w:hyperlink>
        </w:p>
        <w:p w14:paraId="49C59A09" w14:textId="77777777" w:rsidR="003C126D" w:rsidRDefault="003C126D">
          <w:pPr>
            <w:pStyle w:val="TOC2"/>
            <w:tabs>
              <w:tab w:val="right" w:leader="dot" w:pos="9350"/>
            </w:tabs>
            <w:rPr>
              <w:rFonts w:asciiTheme="minorHAnsi" w:eastAsiaTheme="minorEastAsia" w:hAnsiTheme="minorHAnsi"/>
              <w:noProof/>
              <w:kern w:val="0"/>
              <w:sz w:val="22"/>
              <w:lang w:eastAsia="en-GB"/>
              <w14:ligatures w14:val="none"/>
            </w:rPr>
          </w:pPr>
          <w:hyperlink w:anchor="_Toc235461502" w:history="1">
            <w:r w:rsidRPr="00CE45B1">
              <w:rPr>
                <w:rStyle w:val="Hyperlink"/>
                <w:rFonts w:eastAsia="Times New Roman"/>
                <w:noProof/>
                <w:lang w:eastAsia="en-GB"/>
              </w:rPr>
              <w:t>Task 1 Marketing Environment Analysis</w:t>
            </w:r>
            <w:r>
              <w:rPr>
                <w:noProof/>
                <w:webHidden/>
              </w:rPr>
              <w:tab/>
            </w:r>
            <w:r>
              <w:rPr>
                <w:noProof/>
                <w:webHidden/>
              </w:rPr>
              <w:fldChar w:fldCharType="begin"/>
            </w:r>
            <w:r>
              <w:rPr>
                <w:noProof/>
                <w:webHidden/>
              </w:rPr>
              <w:instrText xml:space="preserve"> PAGEREF _Toc235461502 \h </w:instrText>
            </w:r>
            <w:r>
              <w:rPr>
                <w:noProof/>
                <w:webHidden/>
              </w:rPr>
            </w:r>
            <w:r>
              <w:rPr>
                <w:noProof/>
                <w:webHidden/>
              </w:rPr>
              <w:fldChar w:fldCharType="separate"/>
            </w:r>
            <w:r>
              <w:rPr>
                <w:noProof/>
                <w:webHidden/>
              </w:rPr>
              <w:t>3</w:t>
            </w:r>
            <w:r>
              <w:rPr>
                <w:noProof/>
                <w:webHidden/>
              </w:rPr>
              <w:fldChar w:fldCharType="end"/>
            </w:r>
          </w:hyperlink>
        </w:p>
        <w:p w14:paraId="3CB31C0B"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3" w:history="1">
            <w:r w:rsidRPr="00CE45B1">
              <w:rPr>
                <w:rStyle w:val="Hyperlink"/>
                <w:rFonts w:eastAsia="Times New Roman"/>
                <w:noProof/>
                <w:lang w:eastAsia="en-GB"/>
              </w:rPr>
              <w:t>Introduction to BHP</w:t>
            </w:r>
            <w:r>
              <w:rPr>
                <w:noProof/>
                <w:webHidden/>
              </w:rPr>
              <w:tab/>
            </w:r>
            <w:r>
              <w:rPr>
                <w:noProof/>
                <w:webHidden/>
              </w:rPr>
              <w:fldChar w:fldCharType="begin"/>
            </w:r>
            <w:r>
              <w:rPr>
                <w:noProof/>
                <w:webHidden/>
              </w:rPr>
              <w:instrText xml:space="preserve"> PAGEREF _Toc235461503 \h </w:instrText>
            </w:r>
            <w:r>
              <w:rPr>
                <w:noProof/>
                <w:webHidden/>
              </w:rPr>
            </w:r>
            <w:r>
              <w:rPr>
                <w:noProof/>
                <w:webHidden/>
              </w:rPr>
              <w:fldChar w:fldCharType="separate"/>
            </w:r>
            <w:r>
              <w:rPr>
                <w:noProof/>
                <w:webHidden/>
              </w:rPr>
              <w:t>3</w:t>
            </w:r>
            <w:r>
              <w:rPr>
                <w:noProof/>
                <w:webHidden/>
              </w:rPr>
              <w:fldChar w:fldCharType="end"/>
            </w:r>
          </w:hyperlink>
        </w:p>
        <w:p w14:paraId="3E47A47E"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4" w:history="1">
            <w:r w:rsidRPr="00CE45B1">
              <w:rPr>
                <w:rStyle w:val="Hyperlink"/>
                <w:rFonts w:eastAsia="Times New Roman"/>
                <w:noProof/>
                <w:lang w:eastAsia="en-GB"/>
              </w:rPr>
              <w:t>Marketing Environment Framework</w:t>
            </w:r>
            <w:r>
              <w:rPr>
                <w:noProof/>
                <w:webHidden/>
              </w:rPr>
              <w:tab/>
            </w:r>
            <w:r>
              <w:rPr>
                <w:noProof/>
                <w:webHidden/>
              </w:rPr>
              <w:fldChar w:fldCharType="begin"/>
            </w:r>
            <w:r>
              <w:rPr>
                <w:noProof/>
                <w:webHidden/>
              </w:rPr>
              <w:instrText xml:space="preserve"> PAGEREF _Toc235461504 \h </w:instrText>
            </w:r>
            <w:r>
              <w:rPr>
                <w:noProof/>
                <w:webHidden/>
              </w:rPr>
            </w:r>
            <w:r>
              <w:rPr>
                <w:noProof/>
                <w:webHidden/>
              </w:rPr>
              <w:fldChar w:fldCharType="separate"/>
            </w:r>
            <w:r>
              <w:rPr>
                <w:noProof/>
                <w:webHidden/>
              </w:rPr>
              <w:t>4</w:t>
            </w:r>
            <w:r>
              <w:rPr>
                <w:noProof/>
                <w:webHidden/>
              </w:rPr>
              <w:fldChar w:fldCharType="end"/>
            </w:r>
          </w:hyperlink>
        </w:p>
        <w:p w14:paraId="5D7E4F16"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5" w:history="1">
            <w:r w:rsidRPr="00CE45B1">
              <w:rPr>
                <w:rStyle w:val="Hyperlink"/>
                <w:rFonts w:eastAsia="Times New Roman"/>
                <w:noProof/>
                <w:lang w:eastAsia="en-GB"/>
              </w:rPr>
              <w:t>External Marketing Environment Factor: Natural Environment</w:t>
            </w:r>
            <w:r>
              <w:rPr>
                <w:noProof/>
                <w:webHidden/>
              </w:rPr>
              <w:tab/>
            </w:r>
            <w:r>
              <w:rPr>
                <w:noProof/>
                <w:webHidden/>
              </w:rPr>
              <w:fldChar w:fldCharType="begin"/>
            </w:r>
            <w:r>
              <w:rPr>
                <w:noProof/>
                <w:webHidden/>
              </w:rPr>
              <w:instrText xml:space="preserve"> PAGEREF _Toc235461505 \h </w:instrText>
            </w:r>
            <w:r>
              <w:rPr>
                <w:noProof/>
                <w:webHidden/>
              </w:rPr>
            </w:r>
            <w:r>
              <w:rPr>
                <w:noProof/>
                <w:webHidden/>
              </w:rPr>
              <w:fldChar w:fldCharType="separate"/>
            </w:r>
            <w:r>
              <w:rPr>
                <w:noProof/>
                <w:webHidden/>
              </w:rPr>
              <w:t>4</w:t>
            </w:r>
            <w:r>
              <w:rPr>
                <w:noProof/>
                <w:webHidden/>
              </w:rPr>
              <w:fldChar w:fldCharType="end"/>
            </w:r>
          </w:hyperlink>
        </w:p>
        <w:p w14:paraId="51ACEC9D"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6" w:history="1">
            <w:r w:rsidRPr="00CE45B1">
              <w:rPr>
                <w:rStyle w:val="Hyperlink"/>
                <w:noProof/>
              </w:rPr>
              <w:t>External Marketing Environment Factor: Technological Environment</w:t>
            </w:r>
            <w:r>
              <w:rPr>
                <w:noProof/>
                <w:webHidden/>
              </w:rPr>
              <w:tab/>
            </w:r>
            <w:r>
              <w:rPr>
                <w:noProof/>
                <w:webHidden/>
              </w:rPr>
              <w:fldChar w:fldCharType="begin"/>
            </w:r>
            <w:r>
              <w:rPr>
                <w:noProof/>
                <w:webHidden/>
              </w:rPr>
              <w:instrText xml:space="preserve"> PAGEREF _Toc235461506 \h </w:instrText>
            </w:r>
            <w:r>
              <w:rPr>
                <w:noProof/>
                <w:webHidden/>
              </w:rPr>
            </w:r>
            <w:r>
              <w:rPr>
                <w:noProof/>
                <w:webHidden/>
              </w:rPr>
              <w:fldChar w:fldCharType="separate"/>
            </w:r>
            <w:r>
              <w:rPr>
                <w:noProof/>
                <w:webHidden/>
              </w:rPr>
              <w:t>5</w:t>
            </w:r>
            <w:r>
              <w:rPr>
                <w:noProof/>
                <w:webHidden/>
              </w:rPr>
              <w:fldChar w:fldCharType="end"/>
            </w:r>
          </w:hyperlink>
        </w:p>
        <w:p w14:paraId="71FE12E8" w14:textId="77777777" w:rsidR="003C126D" w:rsidRDefault="003C126D">
          <w:pPr>
            <w:pStyle w:val="TOC2"/>
            <w:tabs>
              <w:tab w:val="right" w:leader="dot" w:pos="9350"/>
            </w:tabs>
            <w:rPr>
              <w:rFonts w:asciiTheme="minorHAnsi" w:eastAsiaTheme="minorEastAsia" w:hAnsiTheme="minorHAnsi"/>
              <w:noProof/>
              <w:kern w:val="0"/>
              <w:sz w:val="22"/>
              <w:lang w:eastAsia="en-GB"/>
              <w14:ligatures w14:val="none"/>
            </w:rPr>
          </w:pPr>
          <w:hyperlink w:anchor="_Toc235461507" w:history="1">
            <w:r w:rsidRPr="00CE45B1">
              <w:rPr>
                <w:rStyle w:val="Hyperlink"/>
                <w:rFonts w:eastAsia="Times New Roman"/>
                <w:noProof/>
                <w:lang w:eastAsia="en-GB"/>
              </w:rPr>
              <w:t>Task 2 Strategic Growth &amp; Competitive Positioning</w:t>
            </w:r>
            <w:r>
              <w:rPr>
                <w:noProof/>
                <w:webHidden/>
              </w:rPr>
              <w:tab/>
            </w:r>
            <w:r>
              <w:rPr>
                <w:noProof/>
                <w:webHidden/>
              </w:rPr>
              <w:fldChar w:fldCharType="begin"/>
            </w:r>
            <w:r>
              <w:rPr>
                <w:noProof/>
                <w:webHidden/>
              </w:rPr>
              <w:instrText xml:space="preserve"> PAGEREF _Toc235461507 \h </w:instrText>
            </w:r>
            <w:r>
              <w:rPr>
                <w:noProof/>
                <w:webHidden/>
              </w:rPr>
            </w:r>
            <w:r>
              <w:rPr>
                <w:noProof/>
                <w:webHidden/>
              </w:rPr>
              <w:fldChar w:fldCharType="separate"/>
            </w:r>
            <w:r>
              <w:rPr>
                <w:noProof/>
                <w:webHidden/>
              </w:rPr>
              <w:t>7</w:t>
            </w:r>
            <w:r>
              <w:rPr>
                <w:noProof/>
                <w:webHidden/>
              </w:rPr>
              <w:fldChar w:fldCharType="end"/>
            </w:r>
          </w:hyperlink>
        </w:p>
        <w:p w14:paraId="3B28403F"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8" w:history="1">
            <w:r w:rsidRPr="00CE45B1">
              <w:rPr>
                <w:rStyle w:val="Hyperlink"/>
                <w:rFonts w:eastAsia="Times New Roman"/>
                <w:noProof/>
                <w:lang w:eastAsia="en-GB"/>
              </w:rPr>
              <w:t>Applying the Ansoff Matrix</w:t>
            </w:r>
            <w:r>
              <w:rPr>
                <w:noProof/>
                <w:webHidden/>
              </w:rPr>
              <w:tab/>
            </w:r>
            <w:r>
              <w:rPr>
                <w:noProof/>
                <w:webHidden/>
              </w:rPr>
              <w:fldChar w:fldCharType="begin"/>
            </w:r>
            <w:r>
              <w:rPr>
                <w:noProof/>
                <w:webHidden/>
              </w:rPr>
              <w:instrText xml:space="preserve"> PAGEREF _Toc235461508 \h </w:instrText>
            </w:r>
            <w:r>
              <w:rPr>
                <w:noProof/>
                <w:webHidden/>
              </w:rPr>
            </w:r>
            <w:r>
              <w:rPr>
                <w:noProof/>
                <w:webHidden/>
              </w:rPr>
              <w:fldChar w:fldCharType="separate"/>
            </w:r>
            <w:r>
              <w:rPr>
                <w:noProof/>
                <w:webHidden/>
              </w:rPr>
              <w:t>7</w:t>
            </w:r>
            <w:r>
              <w:rPr>
                <w:noProof/>
                <w:webHidden/>
              </w:rPr>
              <w:fldChar w:fldCharType="end"/>
            </w:r>
          </w:hyperlink>
        </w:p>
        <w:p w14:paraId="1235955E"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09" w:history="1">
            <w:r w:rsidRPr="00CE45B1">
              <w:rPr>
                <w:rStyle w:val="Hyperlink"/>
                <w:rFonts w:eastAsia="Times New Roman"/>
                <w:noProof/>
                <w:lang w:eastAsia="en-GB"/>
              </w:rPr>
              <w:t>Strategic Recommendation</w:t>
            </w:r>
            <w:r>
              <w:rPr>
                <w:noProof/>
                <w:webHidden/>
              </w:rPr>
              <w:tab/>
            </w:r>
            <w:r>
              <w:rPr>
                <w:noProof/>
                <w:webHidden/>
              </w:rPr>
              <w:fldChar w:fldCharType="begin"/>
            </w:r>
            <w:r>
              <w:rPr>
                <w:noProof/>
                <w:webHidden/>
              </w:rPr>
              <w:instrText xml:space="preserve"> PAGEREF _Toc235461509 \h </w:instrText>
            </w:r>
            <w:r>
              <w:rPr>
                <w:noProof/>
                <w:webHidden/>
              </w:rPr>
            </w:r>
            <w:r>
              <w:rPr>
                <w:noProof/>
                <w:webHidden/>
              </w:rPr>
              <w:fldChar w:fldCharType="separate"/>
            </w:r>
            <w:r>
              <w:rPr>
                <w:noProof/>
                <w:webHidden/>
              </w:rPr>
              <w:t>8</w:t>
            </w:r>
            <w:r>
              <w:rPr>
                <w:noProof/>
                <w:webHidden/>
              </w:rPr>
              <w:fldChar w:fldCharType="end"/>
            </w:r>
          </w:hyperlink>
        </w:p>
        <w:p w14:paraId="2CB000E1"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10" w:history="1">
            <w:r w:rsidRPr="00CE45B1">
              <w:rPr>
                <w:rStyle w:val="Hyperlink"/>
                <w:rFonts w:eastAsia="Times New Roman"/>
                <w:noProof/>
                <w:lang w:eastAsia="en-GB"/>
              </w:rPr>
              <w:t>Competitive Positioning</w:t>
            </w:r>
            <w:r>
              <w:rPr>
                <w:noProof/>
                <w:webHidden/>
              </w:rPr>
              <w:tab/>
            </w:r>
            <w:r>
              <w:rPr>
                <w:noProof/>
                <w:webHidden/>
              </w:rPr>
              <w:fldChar w:fldCharType="begin"/>
            </w:r>
            <w:r>
              <w:rPr>
                <w:noProof/>
                <w:webHidden/>
              </w:rPr>
              <w:instrText xml:space="preserve"> PAGEREF _Toc235461510 \h </w:instrText>
            </w:r>
            <w:r>
              <w:rPr>
                <w:noProof/>
                <w:webHidden/>
              </w:rPr>
            </w:r>
            <w:r>
              <w:rPr>
                <w:noProof/>
                <w:webHidden/>
              </w:rPr>
              <w:fldChar w:fldCharType="separate"/>
            </w:r>
            <w:r>
              <w:rPr>
                <w:noProof/>
                <w:webHidden/>
              </w:rPr>
              <w:t>10</w:t>
            </w:r>
            <w:r>
              <w:rPr>
                <w:noProof/>
                <w:webHidden/>
              </w:rPr>
              <w:fldChar w:fldCharType="end"/>
            </w:r>
          </w:hyperlink>
        </w:p>
        <w:p w14:paraId="771E8762" w14:textId="77777777" w:rsidR="003C126D" w:rsidRDefault="003C126D">
          <w:pPr>
            <w:pStyle w:val="TOC2"/>
            <w:tabs>
              <w:tab w:val="right" w:leader="dot" w:pos="9350"/>
            </w:tabs>
            <w:rPr>
              <w:rFonts w:asciiTheme="minorHAnsi" w:eastAsiaTheme="minorEastAsia" w:hAnsiTheme="minorHAnsi"/>
              <w:noProof/>
              <w:kern w:val="0"/>
              <w:sz w:val="22"/>
              <w:lang w:eastAsia="en-GB"/>
              <w14:ligatures w14:val="none"/>
            </w:rPr>
          </w:pPr>
          <w:hyperlink w:anchor="_Toc235461511" w:history="1">
            <w:r w:rsidRPr="00CE45B1">
              <w:rPr>
                <w:rStyle w:val="Hyperlink"/>
                <w:rFonts w:eastAsia="Times New Roman"/>
                <w:noProof/>
                <w:lang w:eastAsia="en-GB"/>
              </w:rPr>
              <w:t>Task 3 Critical Reflection on AI</w:t>
            </w:r>
            <w:r>
              <w:rPr>
                <w:noProof/>
                <w:webHidden/>
              </w:rPr>
              <w:tab/>
            </w:r>
            <w:r>
              <w:rPr>
                <w:noProof/>
                <w:webHidden/>
              </w:rPr>
              <w:fldChar w:fldCharType="begin"/>
            </w:r>
            <w:r>
              <w:rPr>
                <w:noProof/>
                <w:webHidden/>
              </w:rPr>
              <w:instrText xml:space="preserve"> PAGEREF _Toc235461511 \h </w:instrText>
            </w:r>
            <w:r>
              <w:rPr>
                <w:noProof/>
                <w:webHidden/>
              </w:rPr>
            </w:r>
            <w:r>
              <w:rPr>
                <w:noProof/>
                <w:webHidden/>
              </w:rPr>
              <w:fldChar w:fldCharType="separate"/>
            </w:r>
            <w:r>
              <w:rPr>
                <w:noProof/>
                <w:webHidden/>
              </w:rPr>
              <w:t>11</w:t>
            </w:r>
            <w:r>
              <w:rPr>
                <w:noProof/>
                <w:webHidden/>
              </w:rPr>
              <w:fldChar w:fldCharType="end"/>
            </w:r>
          </w:hyperlink>
        </w:p>
        <w:p w14:paraId="693CBE06"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12" w:history="1">
            <w:r w:rsidRPr="00CE45B1">
              <w:rPr>
                <w:rStyle w:val="Hyperlink"/>
                <w:rFonts w:eastAsia="Times New Roman"/>
                <w:noProof/>
                <w:lang w:eastAsia="en-GB"/>
              </w:rPr>
              <w:t>AI Tools Used</w:t>
            </w:r>
            <w:r>
              <w:rPr>
                <w:noProof/>
                <w:webHidden/>
              </w:rPr>
              <w:tab/>
            </w:r>
            <w:r>
              <w:rPr>
                <w:noProof/>
                <w:webHidden/>
              </w:rPr>
              <w:fldChar w:fldCharType="begin"/>
            </w:r>
            <w:r>
              <w:rPr>
                <w:noProof/>
                <w:webHidden/>
              </w:rPr>
              <w:instrText xml:space="preserve"> PAGEREF _Toc235461512 \h </w:instrText>
            </w:r>
            <w:r>
              <w:rPr>
                <w:noProof/>
                <w:webHidden/>
              </w:rPr>
            </w:r>
            <w:r>
              <w:rPr>
                <w:noProof/>
                <w:webHidden/>
              </w:rPr>
              <w:fldChar w:fldCharType="separate"/>
            </w:r>
            <w:r>
              <w:rPr>
                <w:noProof/>
                <w:webHidden/>
              </w:rPr>
              <w:t>11</w:t>
            </w:r>
            <w:r>
              <w:rPr>
                <w:noProof/>
                <w:webHidden/>
              </w:rPr>
              <w:fldChar w:fldCharType="end"/>
            </w:r>
          </w:hyperlink>
        </w:p>
        <w:p w14:paraId="5A52DD18"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13" w:history="1">
            <w:r w:rsidRPr="00CE45B1">
              <w:rPr>
                <w:rStyle w:val="Hyperlink"/>
                <w:noProof/>
              </w:rPr>
              <w:t>Verification Process</w:t>
            </w:r>
            <w:r>
              <w:rPr>
                <w:noProof/>
                <w:webHidden/>
              </w:rPr>
              <w:tab/>
            </w:r>
            <w:r>
              <w:rPr>
                <w:noProof/>
                <w:webHidden/>
              </w:rPr>
              <w:fldChar w:fldCharType="begin"/>
            </w:r>
            <w:r>
              <w:rPr>
                <w:noProof/>
                <w:webHidden/>
              </w:rPr>
              <w:instrText xml:space="preserve"> PAGEREF _Toc235461513 \h </w:instrText>
            </w:r>
            <w:r>
              <w:rPr>
                <w:noProof/>
                <w:webHidden/>
              </w:rPr>
            </w:r>
            <w:r>
              <w:rPr>
                <w:noProof/>
                <w:webHidden/>
              </w:rPr>
              <w:fldChar w:fldCharType="separate"/>
            </w:r>
            <w:r>
              <w:rPr>
                <w:noProof/>
                <w:webHidden/>
              </w:rPr>
              <w:t>11</w:t>
            </w:r>
            <w:r>
              <w:rPr>
                <w:noProof/>
                <w:webHidden/>
              </w:rPr>
              <w:fldChar w:fldCharType="end"/>
            </w:r>
          </w:hyperlink>
        </w:p>
        <w:p w14:paraId="37F8D7A8"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14" w:history="1">
            <w:r w:rsidRPr="00CE45B1">
              <w:rPr>
                <w:rStyle w:val="Hyperlink"/>
                <w:noProof/>
              </w:rPr>
              <w:t>My Contribution</w:t>
            </w:r>
            <w:r>
              <w:rPr>
                <w:noProof/>
                <w:webHidden/>
              </w:rPr>
              <w:tab/>
            </w:r>
            <w:r>
              <w:rPr>
                <w:noProof/>
                <w:webHidden/>
              </w:rPr>
              <w:fldChar w:fldCharType="begin"/>
            </w:r>
            <w:r>
              <w:rPr>
                <w:noProof/>
                <w:webHidden/>
              </w:rPr>
              <w:instrText xml:space="preserve"> PAGEREF _Toc235461514 \h </w:instrText>
            </w:r>
            <w:r>
              <w:rPr>
                <w:noProof/>
                <w:webHidden/>
              </w:rPr>
            </w:r>
            <w:r>
              <w:rPr>
                <w:noProof/>
                <w:webHidden/>
              </w:rPr>
              <w:fldChar w:fldCharType="separate"/>
            </w:r>
            <w:r>
              <w:rPr>
                <w:noProof/>
                <w:webHidden/>
              </w:rPr>
              <w:t>12</w:t>
            </w:r>
            <w:r>
              <w:rPr>
                <w:noProof/>
                <w:webHidden/>
              </w:rPr>
              <w:fldChar w:fldCharType="end"/>
            </w:r>
          </w:hyperlink>
        </w:p>
        <w:p w14:paraId="60761E1F" w14:textId="77777777" w:rsidR="003C126D" w:rsidRDefault="003C126D">
          <w:pPr>
            <w:pStyle w:val="TOC3"/>
            <w:tabs>
              <w:tab w:val="right" w:leader="dot" w:pos="9350"/>
            </w:tabs>
            <w:rPr>
              <w:rFonts w:asciiTheme="minorHAnsi" w:eastAsiaTheme="minorEastAsia" w:hAnsiTheme="minorHAnsi"/>
              <w:noProof/>
              <w:kern w:val="0"/>
              <w:sz w:val="22"/>
              <w:lang w:eastAsia="en-GB"/>
              <w14:ligatures w14:val="none"/>
            </w:rPr>
          </w:pPr>
          <w:hyperlink w:anchor="_Toc235461515" w:history="1">
            <w:r w:rsidRPr="00CE45B1">
              <w:rPr>
                <w:rStyle w:val="Hyperlink"/>
                <w:noProof/>
              </w:rPr>
              <w:t>Ethical Reflection</w:t>
            </w:r>
            <w:r>
              <w:rPr>
                <w:noProof/>
                <w:webHidden/>
              </w:rPr>
              <w:tab/>
            </w:r>
            <w:r>
              <w:rPr>
                <w:noProof/>
                <w:webHidden/>
              </w:rPr>
              <w:fldChar w:fldCharType="begin"/>
            </w:r>
            <w:r>
              <w:rPr>
                <w:noProof/>
                <w:webHidden/>
              </w:rPr>
              <w:instrText xml:space="preserve"> PAGEREF _Toc235461515 \h </w:instrText>
            </w:r>
            <w:r>
              <w:rPr>
                <w:noProof/>
                <w:webHidden/>
              </w:rPr>
            </w:r>
            <w:r>
              <w:rPr>
                <w:noProof/>
                <w:webHidden/>
              </w:rPr>
              <w:fldChar w:fldCharType="separate"/>
            </w:r>
            <w:r>
              <w:rPr>
                <w:noProof/>
                <w:webHidden/>
              </w:rPr>
              <w:t>12</w:t>
            </w:r>
            <w:r>
              <w:rPr>
                <w:noProof/>
                <w:webHidden/>
              </w:rPr>
              <w:fldChar w:fldCharType="end"/>
            </w:r>
          </w:hyperlink>
        </w:p>
        <w:p w14:paraId="2E6E8027" w14:textId="77777777" w:rsidR="003C126D" w:rsidRDefault="003C126D">
          <w:pPr>
            <w:pStyle w:val="TOC1"/>
            <w:tabs>
              <w:tab w:val="right" w:leader="dot" w:pos="9350"/>
            </w:tabs>
            <w:rPr>
              <w:rFonts w:asciiTheme="minorHAnsi" w:eastAsiaTheme="minorEastAsia" w:hAnsiTheme="minorHAnsi"/>
              <w:noProof/>
              <w:kern w:val="0"/>
              <w:sz w:val="22"/>
              <w:lang w:eastAsia="en-GB"/>
              <w14:ligatures w14:val="none"/>
            </w:rPr>
          </w:pPr>
          <w:hyperlink w:anchor="_Toc235461516" w:history="1">
            <w:r w:rsidRPr="00CE45B1">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_Toc235461516 \h </w:instrText>
            </w:r>
            <w:r>
              <w:rPr>
                <w:noProof/>
                <w:webHidden/>
              </w:rPr>
            </w:r>
            <w:r>
              <w:rPr>
                <w:noProof/>
                <w:webHidden/>
              </w:rPr>
              <w:fldChar w:fldCharType="separate"/>
            </w:r>
            <w:r>
              <w:rPr>
                <w:noProof/>
                <w:webHidden/>
              </w:rPr>
              <w:t>12</w:t>
            </w:r>
            <w:r>
              <w:rPr>
                <w:noProof/>
                <w:webHidden/>
              </w:rPr>
              <w:fldChar w:fldCharType="end"/>
            </w:r>
          </w:hyperlink>
        </w:p>
        <w:p w14:paraId="6037196E" w14:textId="77777777" w:rsidR="003C126D" w:rsidRDefault="003C126D">
          <w:pPr>
            <w:pStyle w:val="TOC1"/>
            <w:tabs>
              <w:tab w:val="right" w:leader="dot" w:pos="9350"/>
            </w:tabs>
            <w:rPr>
              <w:rFonts w:asciiTheme="minorHAnsi" w:eastAsiaTheme="minorEastAsia" w:hAnsiTheme="minorHAnsi"/>
              <w:noProof/>
              <w:kern w:val="0"/>
              <w:sz w:val="22"/>
              <w:lang w:eastAsia="en-GB"/>
              <w14:ligatures w14:val="none"/>
            </w:rPr>
          </w:pPr>
          <w:hyperlink w:anchor="_Toc235461517" w:history="1">
            <w:r w:rsidRPr="00CE45B1">
              <w:rPr>
                <w:rStyle w:val="Hyperlink"/>
                <w:noProof/>
              </w:rPr>
              <w:t>REFERENCES</w:t>
            </w:r>
            <w:r>
              <w:rPr>
                <w:noProof/>
                <w:webHidden/>
              </w:rPr>
              <w:tab/>
            </w:r>
            <w:r>
              <w:rPr>
                <w:noProof/>
                <w:webHidden/>
              </w:rPr>
              <w:fldChar w:fldCharType="begin"/>
            </w:r>
            <w:r>
              <w:rPr>
                <w:noProof/>
                <w:webHidden/>
              </w:rPr>
              <w:instrText xml:space="preserve"> PAGEREF _Toc235461517 \h </w:instrText>
            </w:r>
            <w:r>
              <w:rPr>
                <w:noProof/>
                <w:webHidden/>
              </w:rPr>
            </w:r>
            <w:r>
              <w:rPr>
                <w:noProof/>
                <w:webHidden/>
              </w:rPr>
              <w:fldChar w:fldCharType="separate"/>
            </w:r>
            <w:r>
              <w:rPr>
                <w:noProof/>
                <w:webHidden/>
              </w:rPr>
              <w:t>13</w:t>
            </w:r>
            <w:r>
              <w:rPr>
                <w:noProof/>
                <w:webHidden/>
              </w:rPr>
              <w:fldChar w:fldCharType="end"/>
            </w:r>
          </w:hyperlink>
        </w:p>
        <w:p w14:paraId="3CD772D1" w14:textId="77777777" w:rsidR="00E471BA" w:rsidRDefault="00E471BA">
          <w:r>
            <w:rPr>
              <w:b/>
              <w:bCs/>
              <w:noProof/>
            </w:rPr>
            <w:fldChar w:fldCharType="end"/>
          </w:r>
        </w:p>
      </w:sdtContent>
    </w:sdt>
    <w:p w14:paraId="305C9E4F" w14:textId="77777777" w:rsidR="00E471BA" w:rsidRDefault="00E471BA" w:rsidP="00E471BA">
      <w:pPr>
        <w:pStyle w:val="TOCHeading"/>
      </w:pPr>
      <w:r>
        <w:lastRenderedPageBreak/>
        <w:t>List of Figures</w:t>
      </w:r>
    </w:p>
    <w:p w14:paraId="6C320321" w14:textId="77777777" w:rsidR="000F3E4E" w:rsidRDefault="00E471BA">
      <w:pPr>
        <w:pStyle w:val="TableofFigures"/>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\h \z \c "Figure" </w:instrText>
      </w:r>
      <w:r>
        <w:fldChar w:fldCharType="separate"/>
      </w:r>
      <w:hyperlink w:anchor="_Toc235461522" w:history="1">
        <w:r w:rsidR="000F3E4E" w:rsidRPr="00D36EA1">
          <w:rPr>
            <w:rStyle w:val="Hyperlink"/>
            <w:noProof/>
          </w:rPr>
          <w:t>Figure 1: BHP Company Overview</w:t>
        </w:r>
        <w:r w:rsidR="000F3E4E">
          <w:rPr>
            <w:noProof/>
            <w:webHidden/>
          </w:rPr>
          <w:tab/>
        </w:r>
        <w:r w:rsidR="000F3E4E">
          <w:rPr>
            <w:noProof/>
            <w:webHidden/>
          </w:rPr>
          <w:fldChar w:fldCharType="begin"/>
        </w:r>
        <w:r w:rsidR="000F3E4E">
          <w:rPr>
            <w:noProof/>
            <w:webHidden/>
          </w:rPr>
          <w:instrText xml:space="preserve"> PAGEREF _Toc235461522 \h </w:instrText>
        </w:r>
        <w:r w:rsidR="000F3E4E">
          <w:rPr>
            <w:noProof/>
            <w:webHidden/>
          </w:rPr>
        </w:r>
        <w:r w:rsidR="000F3E4E">
          <w:rPr>
            <w:noProof/>
            <w:webHidden/>
          </w:rPr>
          <w:fldChar w:fldCharType="separate"/>
        </w:r>
        <w:r w:rsidR="000F3E4E">
          <w:rPr>
            <w:noProof/>
            <w:webHidden/>
          </w:rPr>
          <w:t>4</w:t>
        </w:r>
        <w:r w:rsidR="000F3E4E">
          <w:rPr>
            <w:noProof/>
            <w:webHidden/>
          </w:rPr>
          <w:fldChar w:fldCharType="end"/>
        </w:r>
      </w:hyperlink>
    </w:p>
    <w:p w14:paraId="55AEFF4D" w14:textId="77777777" w:rsidR="000F3E4E" w:rsidRDefault="000F3E4E">
      <w:pPr>
        <w:pStyle w:val="TableofFigures"/>
        <w:tabs>
          <w:tab w:val="right" w:leader="dot" w:pos="9350"/>
        </w:tabs>
        <w:rPr>
          <w:rFonts w:asciiTheme="minorHAnsi" w:eastAsiaTheme="minorEastAsia" w:hAnsiTheme="minorHAnsi"/>
          <w:noProof/>
          <w:kern w:val="0"/>
          <w:sz w:val="22"/>
          <w:lang w:eastAsia="en-GB"/>
          <w14:ligatures w14:val="none"/>
        </w:rPr>
      </w:pPr>
      <w:hyperlink w:anchor="_Toc235461523" w:history="1">
        <w:r w:rsidRPr="00D36EA1">
          <w:rPr>
            <w:rStyle w:val="Hyperlink"/>
            <w:noProof/>
          </w:rPr>
          <w:t>Figure 2: Ansoff Matrix</w:t>
        </w:r>
        <w:r>
          <w:rPr>
            <w:noProof/>
            <w:webHidden/>
          </w:rPr>
          <w:tab/>
        </w:r>
        <w:r>
          <w:rPr>
            <w:noProof/>
            <w:webHidden/>
          </w:rPr>
          <w:fldChar w:fldCharType="begin"/>
        </w:r>
        <w:r>
          <w:rPr>
            <w:noProof/>
            <w:webHidden/>
          </w:rPr>
          <w:instrText xml:space="preserve"> PAGEREF _Toc235461523 \h </w:instrText>
        </w:r>
        <w:r>
          <w:rPr>
            <w:noProof/>
            <w:webHidden/>
          </w:rPr>
        </w:r>
        <w:r>
          <w:rPr>
            <w:noProof/>
            <w:webHidden/>
          </w:rPr>
          <w:fldChar w:fldCharType="separate"/>
        </w:r>
        <w:r>
          <w:rPr>
            <w:noProof/>
            <w:webHidden/>
          </w:rPr>
          <w:t>7</w:t>
        </w:r>
        <w:r>
          <w:rPr>
            <w:noProof/>
            <w:webHidden/>
          </w:rPr>
          <w:fldChar w:fldCharType="end"/>
        </w:r>
      </w:hyperlink>
    </w:p>
    <w:p w14:paraId="3584FF9F" w14:textId="77777777" w:rsidR="000F3E4E" w:rsidRDefault="000F3E4E">
      <w:pPr>
        <w:pStyle w:val="TableofFigures"/>
        <w:tabs>
          <w:tab w:val="right" w:leader="dot" w:pos="9350"/>
        </w:tabs>
        <w:rPr>
          <w:rFonts w:asciiTheme="minorHAnsi" w:eastAsiaTheme="minorEastAsia" w:hAnsiTheme="minorHAnsi"/>
          <w:noProof/>
          <w:kern w:val="0"/>
          <w:sz w:val="22"/>
          <w:lang w:eastAsia="en-GB"/>
          <w14:ligatures w14:val="none"/>
        </w:rPr>
      </w:pPr>
      <w:hyperlink w:anchor="_Toc235461524" w:history="1">
        <w:r w:rsidRPr="00D36EA1">
          <w:rPr>
            <w:rStyle w:val="Hyperlink"/>
            <w:noProof/>
          </w:rPr>
          <w:t>Figure 3: Porter's Generic Strategies</w:t>
        </w:r>
        <w:r>
          <w:rPr>
            <w:noProof/>
            <w:webHidden/>
          </w:rPr>
          <w:tab/>
        </w:r>
        <w:r>
          <w:rPr>
            <w:noProof/>
            <w:webHidden/>
          </w:rPr>
          <w:fldChar w:fldCharType="begin"/>
        </w:r>
        <w:r>
          <w:rPr>
            <w:noProof/>
            <w:webHidden/>
          </w:rPr>
          <w:instrText xml:space="preserve"> PAGEREF _Toc235461524 \h </w:instrText>
        </w:r>
        <w:r>
          <w:rPr>
            <w:noProof/>
            <w:webHidden/>
          </w:rPr>
        </w:r>
        <w:r>
          <w:rPr>
            <w:noProof/>
            <w:webHidden/>
          </w:rPr>
          <w:fldChar w:fldCharType="separate"/>
        </w:r>
        <w:r>
          <w:rPr>
            <w:noProof/>
            <w:webHidden/>
          </w:rPr>
          <w:t>10</w:t>
        </w:r>
        <w:r>
          <w:rPr>
            <w:noProof/>
            <w:webHidden/>
          </w:rPr>
          <w:fldChar w:fldCharType="end"/>
        </w:r>
      </w:hyperlink>
    </w:p>
    <w:p w14:paraId="4A4F37A6" w14:textId="77777777" w:rsidR="00C04C68" w:rsidRDefault="00E471BA">
      <w:pPr>
        <w:spacing w:line="259" w:lineRule="auto"/>
        <w:jc w:val="left"/>
      </w:pPr>
      <w:r>
        <w:fldChar w:fldCharType="end"/>
      </w:r>
      <w:r w:rsidR="00C04C68">
        <w:br w:type="page"/>
      </w:r>
    </w:p>
    <w:p w14:paraId="5C16C0AE" w14:textId="77777777" w:rsidR="00812995" w:rsidRPr="00812995" w:rsidRDefault="00812995" w:rsidP="00812995">
      <w:pPr>
        <w:pStyle w:val="Heading1"/>
        <w:rPr>
          <w:rFonts w:eastAsia="Times New Roman"/>
          <w:kern w:val="0"/>
          <w:szCs w:val="24"/>
          <w:lang w:eastAsia="en-GB"/>
        </w:rPr>
      </w:pPr>
      <w:bookmarkStart w:id="0" w:name="_Toc235461501"/>
      <w:r w:rsidRPr="00812995">
        <w:rPr>
          <w:rFonts w:eastAsia="Times New Roman"/>
          <w:lang w:eastAsia="en-GB"/>
        </w:rPr>
        <w:lastRenderedPageBreak/>
        <w:t>INTRODUCTION</w:t>
      </w:r>
      <w:bookmarkEnd w:id="0"/>
      <w:r w:rsidRPr="00812995">
        <w:rPr>
          <w:rFonts w:eastAsia="Times New Roman"/>
          <w:lang w:eastAsia="en-GB"/>
        </w:rPr>
        <w:t xml:space="preserve"> </w:t>
      </w:r>
    </w:p>
    <w:p w14:paraId="6FEACA32" w14:textId="77777777" w:rsidR="00812995" w:rsidRPr="002F22E4" w:rsidRDefault="002F22E4" w:rsidP="002F22E4">
      <w:r w:rsidRPr="002F22E4">
        <w:t>The global mining industry is a key player in the provision of minerals like iron ore, copper, and nickel which are necessary in the manufacture of renewable energy and electric vehicles among other low-carbon technologies. Meanwhile, mining has a high carbon footprint resulting in rising demands from governments, investors, and consumers to cut down its negative impacts on the environment</w:t>
      </w:r>
      <w:r>
        <w:t xml:space="preserve"> </w:t>
      </w:r>
      <w:r w:rsidRPr="002F22E4">
        <w:t>(Onifade et al., 2024). Being one of the biggest mining firms in the world, BHP is focusing on developing renewable energy, low carbon production processes, and new technologies in line with its climate strategies and to ensure its competitiveness in the emerging market. The following report provides critical analysis of the external marketing environment affecting the low-carbon production transition of BHP, an appropriate growth strategy based on Ansoff Matrix, competitive positioning, and artificial intelligence (AI).</w:t>
      </w:r>
    </w:p>
    <w:p w14:paraId="1D5BCB17" w14:textId="77777777" w:rsidR="002F22E4" w:rsidRPr="00812995" w:rsidRDefault="00812995" w:rsidP="002F22E4">
      <w:pPr>
        <w:pStyle w:val="Heading2"/>
        <w:rPr>
          <w:rFonts w:eastAsia="Times New Roman"/>
          <w:kern w:val="0"/>
          <w:szCs w:val="24"/>
          <w:lang w:eastAsia="en-GB"/>
        </w:rPr>
      </w:pPr>
      <w:bookmarkStart w:id="1" w:name="_Toc235461502"/>
      <w:r w:rsidRPr="00812995">
        <w:rPr>
          <w:rFonts w:eastAsia="Times New Roman"/>
          <w:lang w:eastAsia="en-GB"/>
        </w:rPr>
        <w:t>Task 1</w:t>
      </w:r>
      <w:r w:rsidR="002F22E4">
        <w:rPr>
          <w:rFonts w:eastAsia="Times New Roman"/>
          <w:lang w:eastAsia="en-GB"/>
        </w:rPr>
        <w:t xml:space="preserve"> Marketing Environment Analysis</w:t>
      </w:r>
      <w:bookmarkEnd w:id="1"/>
    </w:p>
    <w:p w14:paraId="658AEC9F" w14:textId="77777777" w:rsidR="002F22E4" w:rsidRDefault="002F22E4" w:rsidP="002F22E4">
      <w:pPr>
        <w:pStyle w:val="Heading3"/>
        <w:rPr>
          <w:rFonts w:eastAsia="Times New Roman"/>
          <w:lang w:eastAsia="en-GB"/>
        </w:rPr>
      </w:pPr>
      <w:bookmarkStart w:id="2" w:name="_Toc235461503"/>
      <w:r>
        <w:rPr>
          <w:rFonts w:eastAsia="Times New Roman"/>
          <w:lang w:eastAsia="en-GB"/>
        </w:rPr>
        <w:t>Introduction to BHP</w:t>
      </w:r>
      <w:bookmarkEnd w:id="2"/>
    </w:p>
    <w:p w14:paraId="1DA4839A" w14:textId="77777777" w:rsidR="002F22E4" w:rsidRDefault="002F22E4" w:rsidP="002F22E4">
      <w:r w:rsidRPr="002F22E4">
        <w:t>BHP is the world’s largest mining firm listed in the stock market, with operations spanning more than 90 locations around the world and employing roughly 90,000 people. This company produces a variety of materials that are crucial in the manufacture of steel, renewable energy, electric vehicles, and securing food security across the globe such as iron ore, copper, nickel, and potash. BHP markets its products in China, Japan, India, Europe, and North America, where the demand for vital minerals is growing continually. The company has adopted a strategy of sustainable development, seeking to attain zero greenhouse gas emissions from S</w:t>
      </w:r>
      <w:r>
        <w:t xml:space="preserve">cope 1 and 2 activities by 2050 </w:t>
      </w:r>
      <w:r w:rsidRPr="002F22E4">
        <w:t>while investing in low-carbon technologies and future-facing commodities to support the global energy transition.</w:t>
      </w:r>
    </w:p>
    <w:p w14:paraId="4B597DBE" w14:textId="77777777" w:rsidR="00155771" w:rsidRDefault="00155771" w:rsidP="00155771">
      <w:pPr>
        <w:keepNext/>
        <w:jc w:val="center"/>
      </w:pPr>
      <w:r w:rsidRPr="00155771">
        <w:rPr>
          <w:noProof/>
          <w:lang w:eastAsia="en-GB"/>
        </w:rPr>
        <w:lastRenderedPageBreak/>
        <w:drawing>
          <wp:inline distT="0" distB="0" distL="0" distR="0" wp14:anchorId="1993BDCB" wp14:editId="53E4CD2B">
            <wp:extent cx="3501840" cy="21431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16647" cy="2152187"/>
                    </a:xfrm>
                    <a:prstGeom prst="rect">
                      <a:avLst/>
                    </a:prstGeom>
                  </pic:spPr>
                </pic:pic>
              </a:graphicData>
            </a:graphic>
          </wp:inline>
        </w:drawing>
      </w:r>
    </w:p>
    <w:p w14:paraId="4339B0D9" w14:textId="77777777" w:rsidR="002F22E4" w:rsidRDefault="00155771" w:rsidP="00155771">
      <w:pPr>
        <w:pStyle w:val="Caption"/>
      </w:pPr>
      <w:bookmarkStart w:id="3" w:name="_Toc235461522"/>
      <w:r>
        <w:t xml:space="preserve">Figure </w:t>
      </w:r>
      <w:r>
        <w:fldChar w:fldCharType="begin"/>
      </w:r>
      <w:r>
        <w:instrText xml:space="preserve"> SEQ Figure \* ARABIC </w:instrText>
      </w:r>
      <w:r>
        <w:fldChar w:fldCharType="separate"/>
      </w:r>
      <w:r>
        <w:rPr>
          <w:noProof/>
        </w:rPr>
        <w:t>1</w:t>
      </w:r>
      <w:r>
        <w:fldChar w:fldCharType="end"/>
      </w:r>
      <w:r>
        <w:t xml:space="preserve">: </w:t>
      </w:r>
      <w:r w:rsidRPr="00155771">
        <w:t>BHP Company Overview</w:t>
      </w:r>
      <w:bookmarkEnd w:id="3"/>
    </w:p>
    <w:p w14:paraId="174251F9" w14:textId="77777777" w:rsidR="00155771" w:rsidRPr="00155771" w:rsidRDefault="00155771" w:rsidP="00155771">
      <w:pPr>
        <w:jc w:val="center"/>
        <w:rPr>
          <w:i/>
        </w:rPr>
      </w:pPr>
      <w:r w:rsidRPr="00155771">
        <w:rPr>
          <w:i/>
        </w:rPr>
        <w:t>Source: (Ooze Studios, 2020)</w:t>
      </w:r>
    </w:p>
    <w:p w14:paraId="664F6877" w14:textId="77777777" w:rsidR="00E33B03" w:rsidRDefault="00812995" w:rsidP="00E33B03">
      <w:pPr>
        <w:pStyle w:val="Heading3"/>
        <w:rPr>
          <w:rFonts w:eastAsia="Times New Roman"/>
          <w:lang w:eastAsia="en-GB"/>
        </w:rPr>
      </w:pPr>
      <w:bookmarkStart w:id="4" w:name="_Toc235461504"/>
      <w:r w:rsidRPr="00812995">
        <w:rPr>
          <w:rFonts w:eastAsia="Times New Roman"/>
          <w:lang w:eastAsia="en-GB"/>
        </w:rPr>
        <w:t>Marketing Environment Framework</w:t>
      </w:r>
      <w:bookmarkEnd w:id="4"/>
      <w:r w:rsidRPr="00812995">
        <w:rPr>
          <w:rFonts w:eastAsia="Times New Roman"/>
          <w:lang w:eastAsia="en-GB"/>
        </w:rPr>
        <w:t xml:space="preserve"> </w:t>
      </w:r>
    </w:p>
    <w:p w14:paraId="0F67811D" w14:textId="77777777" w:rsidR="00E33B03" w:rsidRPr="00E33B03" w:rsidRDefault="00E33B03" w:rsidP="00E33B03">
      <w:r>
        <w:t>According to</w:t>
      </w:r>
      <w:r w:rsidRPr="00E33B03">
        <w:t xml:space="preserve"> Kotler et al. (2024), the marketing environment refers to the microenvironment and macroenvironment forces that affect the capacity of the organization to deliver customer value and reach their marketing goals. The microenvironment consists of consumers, suppliers, competitors and intermediaries, whereas the macroenvironment is made up of external forces like nature, technology, economy, and politics which help organizations in making strategic decisions. In this context, the present report will discuss about two major macro environment factors, viz., Natural Environment and Technological Environment, impacting BHP's shift towards being a low carbon company.</w:t>
      </w:r>
    </w:p>
    <w:p w14:paraId="10D0EDE2" w14:textId="77777777" w:rsidR="00E33B03" w:rsidRDefault="00E33B03" w:rsidP="00E33B03">
      <w:pPr>
        <w:pStyle w:val="Heading3"/>
        <w:rPr>
          <w:rFonts w:eastAsia="Times New Roman"/>
          <w:lang w:eastAsia="en-GB"/>
        </w:rPr>
      </w:pPr>
      <w:bookmarkStart w:id="5" w:name="_Toc235461505"/>
      <w:r w:rsidRPr="00E33B03">
        <w:rPr>
          <w:rFonts w:eastAsia="Times New Roman"/>
          <w:lang w:eastAsia="en-GB"/>
        </w:rPr>
        <w:t>External Marketing Environment Factor: Natural Environment</w:t>
      </w:r>
      <w:bookmarkEnd w:id="5"/>
    </w:p>
    <w:p w14:paraId="3A42C15B" w14:textId="77777777" w:rsidR="00E60366" w:rsidRPr="00E60366" w:rsidRDefault="00E60366" w:rsidP="00E60366">
      <w:pPr>
        <w:rPr>
          <w:b/>
        </w:rPr>
      </w:pPr>
      <w:r w:rsidRPr="00E60366">
        <w:rPr>
          <w:b/>
        </w:rPr>
        <w:t>Cli</w:t>
      </w:r>
      <w:r>
        <w:rPr>
          <w:b/>
        </w:rPr>
        <w:t>mate Change and Decarbonisation</w:t>
      </w:r>
    </w:p>
    <w:p w14:paraId="2E009A20" w14:textId="77777777" w:rsidR="00E60366" w:rsidRDefault="00E60366" w:rsidP="00E60366">
      <w:r w:rsidRPr="00E60366">
        <w:t>The natural environment is the most crucial aspect of the macro-environment affecting the marketing strategy of BHP, since climate change has made sustainability from an issue of regulation to one of competitiveness. With the signing of the Paris Agreement, mining firms will be forced to cut down on carbon emissions, while continuing to satisfy the rising need for critical metals. BHP aims to cut its Scope 1 and 2 greenhouse gas emissions by at least 30% by FY2030 (based on FY2020) and achieve net-zero operational emissions by 2050 (BHP, 2020). It should be noted, however, BHP recognizes that many of the technologies needed to reach net zero emissions have y</w:t>
      </w:r>
      <w:r>
        <w:t>et to be commercially developed.</w:t>
      </w:r>
    </w:p>
    <w:p w14:paraId="68257DD6" w14:textId="77777777" w:rsidR="00E60366" w:rsidRPr="00E60366" w:rsidRDefault="00E60366" w:rsidP="00E60366">
      <w:pPr>
        <w:rPr>
          <w:b/>
        </w:rPr>
      </w:pPr>
      <w:r w:rsidRPr="00E60366">
        <w:rPr>
          <w:b/>
        </w:rPr>
        <w:lastRenderedPageBreak/>
        <w:t>Resource Scarcity and Stakeholder Pressure</w:t>
      </w:r>
    </w:p>
    <w:p w14:paraId="01596E23" w14:textId="77777777" w:rsidR="00E60366" w:rsidRDefault="00E60366" w:rsidP="00E60366">
      <w:r w:rsidRPr="00E60366">
        <w:t>Climate change is causing greater water scarcity, loss of biodiversity and degradation of the land which will affect BHP’s efficiency and its license to operate. At the same time, the demand for copper, nickel, and potash has grown due to the investments of nations in renewable energy and electric vehicles. It is shown in empirical research that organizations which are investing in sustainability of their resources have greater resilience and value creation (Naseer, Guo and Zhu, 2025). However, at the same time, investors measure the performance of mining firms not in terms of their sustainability but in terms of their environmental performance. Governments have also been making more stri</w:t>
      </w:r>
      <w:r>
        <w:t>ngent environmental regulations.</w:t>
      </w:r>
    </w:p>
    <w:p w14:paraId="5EE2DDB3" w14:textId="77777777" w:rsidR="00E60366" w:rsidRPr="00E60366" w:rsidRDefault="00E60366" w:rsidP="00E60366">
      <w:pPr>
        <w:rPr>
          <w:b/>
        </w:rPr>
      </w:pPr>
      <w:r w:rsidRPr="00E60366">
        <w:rPr>
          <w:b/>
        </w:rPr>
        <w:t>Critical Evaluation and Marketing Implications</w:t>
      </w:r>
    </w:p>
    <w:p w14:paraId="40600394" w14:textId="77777777" w:rsidR="00812995" w:rsidRDefault="00E60366" w:rsidP="00E60366">
      <w:r w:rsidRPr="00E60366">
        <w:t>While environmental regulation increases capital costs and can have negative impacts on short-term profitability, there are opportunities for BHP to use environmental regulation to gain competitive advantage. The benefits of engaging in environmentally friendly mining practices include improving corporate image, gaining the trust of customers, attracting ESG investments, and distinguishing BHP from other mineral suppliers worldwide. Yet, these benefits come conditional on achieving tangible environmental results rather than developing grand narratives about sustainability. Empirical studies show that stakeholders tend to punish companies whose environmental message surpasses their environmental results, making greenwashing a critical threat to the firm’s business strategy (</w:t>
      </w:r>
      <w:proofErr w:type="spellStart"/>
      <w:r w:rsidRPr="00E60366">
        <w:t>Lublóy</w:t>
      </w:r>
      <w:proofErr w:type="spellEnd"/>
      <w:r w:rsidRPr="00E60366">
        <w:t xml:space="preserve">, </w:t>
      </w:r>
      <w:proofErr w:type="spellStart"/>
      <w:r w:rsidRPr="00E60366">
        <w:t>Keresztúri</w:t>
      </w:r>
      <w:proofErr w:type="spellEnd"/>
      <w:r w:rsidRPr="00E60366">
        <w:t xml:space="preserve"> and Berlinger, 2024). Hence, in order to build sustainable competitive advantage, BHP needs not only to reduce the carbon footprint but also incorporate environmental performance into its marketing strategy and corporate communications (BHP, 2024</w:t>
      </w:r>
      <w:r w:rsidR="008520D4">
        <w:t>b</w:t>
      </w:r>
      <w:r w:rsidRPr="00E60366">
        <w:t>).</w:t>
      </w:r>
    </w:p>
    <w:p w14:paraId="3E762B1E" w14:textId="77777777" w:rsidR="00E60366" w:rsidRPr="00E60366" w:rsidRDefault="00E60366" w:rsidP="00E60366">
      <w:pPr>
        <w:pStyle w:val="Heading3"/>
      </w:pPr>
      <w:bookmarkStart w:id="6" w:name="_Toc235461506"/>
      <w:r w:rsidRPr="00E60366">
        <w:t>External Marketing Environment Factor: Technological Environment</w:t>
      </w:r>
      <w:bookmarkEnd w:id="6"/>
      <w:r w:rsidRPr="00E60366">
        <w:t xml:space="preserve"> </w:t>
      </w:r>
    </w:p>
    <w:p w14:paraId="5660FC62" w14:textId="77777777" w:rsidR="008520D4" w:rsidRDefault="008520D4" w:rsidP="008520D4">
      <w:r w:rsidRPr="008520D4">
        <w:t xml:space="preserve">Innovation in technology is one of the main drivers of the macro-environment that helps BHP achieve the transition into a low-carbon business model and increases competitiveness at the same time. Investments in automation, Artificial Intelligence (AI), digital mining, electrification of fleets, hydrogen-based steelmaking collaborations and carbon capture are increasing to achieve higher efficiency and lower greenhouse gas emissions. Technology enables better decision-making, preventive maintenance, and automation, which leads to increased efficiency, safety, and </w:t>
      </w:r>
      <w:r w:rsidRPr="008520D4">
        <w:lastRenderedPageBreak/>
        <w:t>environmental performance. BHP sees technology as an essential driver of future value creation (BHP, 2024a).</w:t>
      </w:r>
    </w:p>
    <w:p w14:paraId="61BF1750" w14:textId="77777777" w:rsidR="008520D4" w:rsidRDefault="008520D4" w:rsidP="008C168B">
      <w:pPr>
        <w:ind w:firstLine="720"/>
      </w:pPr>
      <w:r w:rsidRPr="008520D4">
        <w:t>However, the implementation of cutting-edge technology comes with some important strategic implications. Electrification, hydrogen, and carbon capture technologies are costly to implement, and the degree of maturity of a number of the technologies used for decarbonisation is still unknown. In addition, digital transformation means increased demand for highly skilled workers in fields such as big data, AI, and automation, leading to an already existing shortage of skills in the mining industry. Empirical evidence shows that innovation has positive impacts on productivity and performance only when accompanied by other factors (</w:t>
      </w:r>
      <w:proofErr w:type="spellStart"/>
      <w:r w:rsidRPr="008520D4">
        <w:t>Paovangsa</w:t>
      </w:r>
      <w:proofErr w:type="spellEnd"/>
      <w:r w:rsidRPr="008520D4">
        <w:t xml:space="preserve"> et al., 2025).</w:t>
      </w:r>
    </w:p>
    <w:p w14:paraId="7AEE3E7C" w14:textId="77777777" w:rsidR="008C168B" w:rsidRDefault="008C168B" w:rsidP="008C168B">
      <w:pPr>
        <w:ind w:firstLine="720"/>
      </w:pPr>
      <w:r w:rsidRPr="008C168B">
        <w:t xml:space="preserve">From the marketing point of view, the technological edge possessed by BHP allows for better brand innovation, increased customer assurance from providing lower carbon emissions minerals, and also gives assurance to investors through evidence about its future resilience. However, the technology in itself is not sustainable competitive advantage because it can be copied by other companies. The competitive advantage that BHP enjoys will come only if it can integrate its technological innovations into sustainability, ESG communication, and stakeholder value creation. </w:t>
      </w:r>
      <w:r w:rsidR="0088479B" w:rsidRPr="0088479B">
        <w:t>Lack of capability to commercialize any form of value from those technologies could lead</w:t>
      </w:r>
      <w:r w:rsidR="0088479B">
        <w:t xml:space="preserve"> to a lack of stakeholder trust</w:t>
      </w:r>
      <w:r w:rsidRPr="008C168B">
        <w:t>.</w:t>
      </w:r>
    </w:p>
    <w:p w14:paraId="20E026DE" w14:textId="77777777" w:rsidR="008C168B" w:rsidRPr="008C168B" w:rsidRDefault="00812995" w:rsidP="008C168B">
      <w:pPr>
        <w:rPr>
          <w:b/>
        </w:rPr>
      </w:pPr>
      <w:r w:rsidRPr="008C168B">
        <w:rPr>
          <w:b/>
        </w:rPr>
        <w:t xml:space="preserve">Critical Summary </w:t>
      </w:r>
    </w:p>
    <w:p w14:paraId="523FC407" w14:textId="77777777" w:rsidR="00812995" w:rsidRPr="008C168B" w:rsidRDefault="0088479B" w:rsidP="008C168B">
      <w:r w:rsidRPr="0088479B">
        <w:t xml:space="preserve">In </w:t>
      </w:r>
      <w:r>
        <w:t>summary</w:t>
      </w:r>
      <w:r w:rsidRPr="0088479B">
        <w:t>, it is clear that the natural and technological environment are not two independent variables; rather, they are two interdependent elements that push the company towards its strategic change. Despite all the difficulties that arise, including legislation, resource scarcity and uncertainties related to technology, there is a chance for the company to enhance its competitive advantage in terms of value creation. However, future success will depend on the company’s capability to meet its environmental goals in spite</w:t>
      </w:r>
      <w:r>
        <w:t xml:space="preserve"> of technology and money issues</w:t>
      </w:r>
      <w:r w:rsidR="008C168B" w:rsidRPr="008C168B">
        <w:t>. As the company itself has stated, achieving net zero carbon emission requires technological breakthroughs and cooperation across industry sectors and cannot be achieved solely through organizational efforts. In other words, BHP’s sustainable competitive advantage depends on its capacity to incorporate environmental performance, technology and communication in its marketing strategy.</w:t>
      </w:r>
    </w:p>
    <w:p w14:paraId="73500EEA" w14:textId="77777777" w:rsidR="008C168B" w:rsidRPr="00812995" w:rsidRDefault="00812995" w:rsidP="008C168B">
      <w:pPr>
        <w:pStyle w:val="Heading2"/>
        <w:rPr>
          <w:rFonts w:eastAsia="Times New Roman"/>
          <w:kern w:val="0"/>
          <w:szCs w:val="24"/>
          <w:lang w:eastAsia="en-GB"/>
        </w:rPr>
      </w:pPr>
      <w:bookmarkStart w:id="7" w:name="_Toc235461507"/>
      <w:r w:rsidRPr="00812995">
        <w:rPr>
          <w:rFonts w:eastAsia="Times New Roman"/>
          <w:lang w:eastAsia="en-GB"/>
        </w:rPr>
        <w:lastRenderedPageBreak/>
        <w:t>Task 2 Strategic Growth &amp; Competitive Positioning</w:t>
      </w:r>
      <w:bookmarkEnd w:id="7"/>
      <w:r w:rsidRPr="00812995">
        <w:rPr>
          <w:rFonts w:eastAsia="Times New Roman"/>
          <w:lang w:eastAsia="en-GB"/>
        </w:rPr>
        <w:t xml:space="preserve"> </w:t>
      </w:r>
    </w:p>
    <w:p w14:paraId="6159270F" w14:textId="77777777" w:rsidR="008C168B" w:rsidRPr="008C168B" w:rsidRDefault="008C168B" w:rsidP="008C168B">
      <w:r w:rsidRPr="008C168B">
        <w:t>From the analysis of the external marketing environment, this section will analyse how BHP is able to convert the environmental and technology challenges into growth opportunities. The findings reveal that the increase in climate change regulations, changes in stakeholder demands, and technological developments have impacted the competitive environment in the global mining industry. Instead of considering these external forces as obstacles, BHP has an opportunity to improve its competitive position by taking advantage of these factors. As a result, this section will use the Ansoff Matrix in order to determine the most suitable growth strategy for BHP.</w:t>
      </w:r>
    </w:p>
    <w:p w14:paraId="343C54A0" w14:textId="77777777" w:rsidR="00812995" w:rsidRDefault="008C168B" w:rsidP="008C168B">
      <w:pPr>
        <w:pStyle w:val="Heading3"/>
        <w:rPr>
          <w:rFonts w:eastAsia="Times New Roman"/>
          <w:lang w:eastAsia="en-GB"/>
        </w:rPr>
      </w:pPr>
      <w:bookmarkStart w:id="8" w:name="_Toc235461508"/>
      <w:r w:rsidRPr="008C168B">
        <w:rPr>
          <w:rFonts w:eastAsia="Times New Roman"/>
          <w:lang w:eastAsia="en-GB"/>
        </w:rPr>
        <w:t>Applying the Ansoff Matrix</w:t>
      </w:r>
      <w:bookmarkEnd w:id="8"/>
    </w:p>
    <w:p w14:paraId="0987405E" w14:textId="77777777" w:rsidR="00155771" w:rsidRDefault="00155771" w:rsidP="00155771">
      <w:pPr>
        <w:keepNext/>
        <w:jc w:val="center"/>
      </w:pPr>
      <w:r>
        <w:rPr>
          <w:noProof/>
          <w:lang w:eastAsia="en-GB"/>
        </w:rPr>
        <w:drawing>
          <wp:inline distT="0" distB="0" distL="0" distR="0" wp14:anchorId="0B9FBBD9" wp14:editId="09F6236A">
            <wp:extent cx="4476024" cy="3676015"/>
            <wp:effectExtent l="0" t="0" r="1270" b="635"/>
            <wp:docPr id="2" name="Picture 2" descr="Ansoff Matrix: What Is It And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Ansoff Matrix: What Is It And How To Use It?"/>
                    <pic:cNvPicPr>
                      <a:picLocks noChangeAspect="1" noChangeArrowheads="1"/>
                    </pic:cNvPicPr>
                  </pic:nvPicPr>
                  <pic:blipFill rotWithShape="1">
                    <a:blip r:embed="rId9">
                      <a:extLst>
                        <a:ext uri="{28A0092B-C50C-407E-A947-70E740481C1C}">
                          <a14:useLocalDpi xmlns:a14="http://schemas.microsoft.com/office/drawing/2010/main" val="0"/>
                        </a:ext>
                      </a:extLst>
                    </a:blip>
                    <a:srcRect l="9778" r="14895" b="1497"/>
                    <a:stretch/>
                  </pic:blipFill>
                  <pic:spPr bwMode="auto">
                    <a:xfrm>
                      <a:off x="0" y="0"/>
                      <a:ext cx="4477144" cy="3676935"/>
                    </a:xfrm>
                    <a:prstGeom prst="rect">
                      <a:avLst/>
                    </a:prstGeom>
                    <a:noFill/>
                    <a:ln>
                      <a:noFill/>
                    </a:ln>
                    <a:extLst>
                      <a:ext uri="{53640926-AAD7-44D8-BBD7-CCE9431645EC}">
                        <a14:shadowObscured xmlns:a14="http://schemas.microsoft.com/office/drawing/2010/main"/>
                      </a:ext>
                    </a:extLst>
                  </pic:spPr>
                </pic:pic>
              </a:graphicData>
            </a:graphic>
          </wp:inline>
        </w:drawing>
      </w:r>
    </w:p>
    <w:p w14:paraId="24BCF924" w14:textId="77777777" w:rsidR="00812995" w:rsidRDefault="00155771" w:rsidP="00155771">
      <w:pPr>
        <w:pStyle w:val="Caption"/>
      </w:pPr>
      <w:bookmarkStart w:id="9" w:name="_Toc235461523"/>
      <w:r>
        <w:t xml:space="preserve">Figure </w:t>
      </w:r>
      <w:r>
        <w:fldChar w:fldCharType="begin"/>
      </w:r>
      <w:r>
        <w:instrText xml:space="preserve"> SEQ Figure \* ARABIC </w:instrText>
      </w:r>
      <w:r>
        <w:fldChar w:fldCharType="separate"/>
      </w:r>
      <w:r>
        <w:rPr>
          <w:noProof/>
        </w:rPr>
        <w:t>2</w:t>
      </w:r>
      <w:r>
        <w:fldChar w:fldCharType="end"/>
      </w:r>
      <w:r>
        <w:t xml:space="preserve">: </w:t>
      </w:r>
      <w:r w:rsidRPr="00155771">
        <w:t>Ansoff Matrix</w:t>
      </w:r>
      <w:bookmarkEnd w:id="9"/>
    </w:p>
    <w:p w14:paraId="00AEAD41" w14:textId="77777777" w:rsidR="00155771" w:rsidRPr="00155771" w:rsidRDefault="00155771" w:rsidP="00155771">
      <w:pPr>
        <w:jc w:val="center"/>
        <w:rPr>
          <w:i/>
        </w:rPr>
      </w:pPr>
      <w:r w:rsidRPr="00155771">
        <w:rPr>
          <w:i/>
        </w:rPr>
        <w:t>Source: (</w:t>
      </w:r>
      <w:proofErr w:type="spellStart"/>
      <w:r w:rsidRPr="00155771">
        <w:rPr>
          <w:i/>
        </w:rPr>
        <w:t>Boolkah</w:t>
      </w:r>
      <w:proofErr w:type="spellEnd"/>
      <w:r w:rsidRPr="00155771">
        <w:rPr>
          <w:i/>
        </w:rPr>
        <w:t>, 2024)</w:t>
      </w:r>
    </w:p>
    <w:p w14:paraId="48393B8E" w14:textId="77777777" w:rsidR="008C168B" w:rsidRPr="008C168B" w:rsidRDefault="0031165A" w:rsidP="008C168B">
      <w:r w:rsidRPr="0031165A">
        <w:t>The Ansoff Matrix, often called the Product/Market Expansion Grid, is a two-by-two framework used by management teams and the analyst community to help plan and evaluate growth initiatives.</w:t>
      </w:r>
      <w:r>
        <w:t xml:space="preserve"> </w:t>
      </w:r>
      <w:r w:rsidR="008C168B" w:rsidRPr="008C168B">
        <w:t xml:space="preserve">Ansoff Matrix recognizes four strategies for growth including market penetration, market development, product development, and diversification. All four are potentially beneficial strategies, yet the application of any strategy depends on the external business environment of </w:t>
      </w:r>
      <w:r w:rsidR="008C168B" w:rsidRPr="008C168B">
        <w:lastRenderedPageBreak/>
        <w:t>BHP as well as its strategic goals (The Strategy Institute, 2024). Market penetration strategy is difficult to apply since BHP already has a strong foothold in mature markets of iron ores and further growth can only be achieved by existing products. Market development strategy will result in geographic expansion but involves the risk of geopolitical instability, trade issues, and volatile commodity prices that do not solve the issue of rising demand for low-carbon products. Diversification strategy will help decrease the level of risk but involves high costs and capital expenditures as well as entry into unknown areas of business operation.</w:t>
      </w:r>
    </w:p>
    <w:p w14:paraId="56AE7F1E" w14:textId="77777777" w:rsidR="008C168B" w:rsidRPr="008C168B" w:rsidRDefault="008C168B" w:rsidP="008C168B">
      <w:pPr>
        <w:ind w:firstLine="720"/>
      </w:pPr>
      <w:r w:rsidRPr="008C168B">
        <w:t>In comparison, product development is the best fit for strategic alignment with the sustainability goals of BHP and changing customer preferences. Indeed, the company is shifting its focus toward forward-looking commodities such as low-carbon copper, green nickel and high-quality iron ore for near-zero-emission steel manufacturing. It invests in advanced ironmaking technology and creates strategic partnerships to ensure the production (BHP, 2024c). Modern scientific researches prove that sustainable product development helps to create competitive advantages because of increased value for customers and better ESG performance and differentiation in the market (Masud et al., 2026).</w:t>
      </w:r>
    </w:p>
    <w:p w14:paraId="7F4F809B" w14:textId="77777777" w:rsidR="008C168B" w:rsidRPr="008C168B" w:rsidRDefault="008C168B" w:rsidP="008C168B">
      <w:pPr>
        <w:ind w:firstLine="720"/>
      </w:pPr>
      <w:r w:rsidRPr="008C168B">
        <w:t>However, it is important to remember that product development strategy is not devoid of risks. Indeed, there are uncertainties in commercial demand for premium low-carbon goods, higher costs compared to traditional products and intensive investments of competitors in related technologies. As a result, the competitive advantage of BHP will be ensured not only through the introduction of green goods, but through their commercialisation and lower cost as well as carbon intensity verification. Thus, product development is the most strategic growth alternative because it contributes to decarbonisation and market differentiation.</w:t>
      </w:r>
    </w:p>
    <w:p w14:paraId="2805AAED" w14:textId="77777777" w:rsidR="008C168B" w:rsidRDefault="00812995" w:rsidP="008C168B">
      <w:pPr>
        <w:pStyle w:val="Heading3"/>
        <w:rPr>
          <w:rFonts w:eastAsia="Times New Roman"/>
          <w:lang w:eastAsia="en-GB"/>
        </w:rPr>
      </w:pPr>
      <w:bookmarkStart w:id="10" w:name="_Toc235461509"/>
      <w:r w:rsidRPr="00812995">
        <w:rPr>
          <w:rFonts w:eastAsia="Times New Roman"/>
          <w:lang w:eastAsia="en-GB"/>
        </w:rPr>
        <w:t>Strategic Recommendation</w:t>
      </w:r>
      <w:bookmarkEnd w:id="10"/>
      <w:r w:rsidRPr="00812995">
        <w:rPr>
          <w:rFonts w:eastAsia="Times New Roman"/>
          <w:lang w:eastAsia="en-GB"/>
        </w:rPr>
        <w:t xml:space="preserve"> </w:t>
      </w:r>
    </w:p>
    <w:p w14:paraId="7C7B203C" w14:textId="77777777" w:rsidR="00200323" w:rsidRDefault="00200323" w:rsidP="008C168B">
      <w:r w:rsidRPr="00200323">
        <w:t xml:space="preserve">BHP needs to reinforce its product development strategy by speeding up green mining, using renewable energy sources to support their operations, investing in hydrogen-based technologies for iron and steel, and forming strategic collaborations with worldwide steel makers. This is a direct response to the rising need for environmentally-friendly raw materials and the existing strategy of BHP to gain more exposure to future-oriented materials and decarbonize the value chain of steel production. BHP has already created collaborative relationships with companies such as HBIS, POSCO, Tata Steel, China </w:t>
      </w:r>
      <w:proofErr w:type="spellStart"/>
      <w:r w:rsidRPr="00200323">
        <w:t>Baowu</w:t>
      </w:r>
      <w:proofErr w:type="spellEnd"/>
      <w:r w:rsidRPr="00200323">
        <w:t xml:space="preserve"> and ArcelorMittal in order to create sustainable steel </w:t>
      </w:r>
      <w:r w:rsidRPr="00200323">
        <w:lastRenderedPageBreak/>
        <w:t>technologies (BHP, 2025).</w:t>
      </w:r>
      <w:r w:rsidR="007C4615">
        <w:t xml:space="preserve"> </w:t>
      </w:r>
      <w:r w:rsidR="007C4615" w:rsidRPr="007C4615">
        <w:t>The success of this process can be assessed through metrics such as carbon intensity per ton of product, the percentage of electricity generated by renewable sources for its operations, the amount of low-carbon iron ore and copper products purchased by its customers, and the percentage of its income earned from future-oriented commodities such as copper, nickel, and potash.</w:t>
      </w:r>
    </w:p>
    <w:p w14:paraId="1A908B58" w14:textId="77777777" w:rsidR="00200323" w:rsidRDefault="007C4615" w:rsidP="00200323">
      <w:pPr>
        <w:ind w:firstLine="720"/>
      </w:pPr>
      <w:r w:rsidRPr="007C4615">
        <w:t>The strategy offers environm</w:t>
      </w:r>
      <w:r>
        <w:t>ental and commercial advantages</w:t>
      </w:r>
      <w:r w:rsidR="00200323" w:rsidRPr="00200323">
        <w:t>. Renewable energy can minimize risks associated with carbon prices and energy price fluctuations, while iron-making based on hydrogen may enable significant reductions in the amount of greenhouse gas emissions along the entire steel value chain. Studies show that hydrogen-based direct reduction technology is one of the best options for producing zero-emission steel; however, implementation of such a technology at scale is hindered by the availability of renewable hydrogen (</w:t>
      </w:r>
      <w:proofErr w:type="spellStart"/>
      <w:r w:rsidR="00200323" w:rsidRPr="00200323">
        <w:t>Margutti</w:t>
      </w:r>
      <w:proofErr w:type="spellEnd"/>
      <w:r w:rsidR="00200323" w:rsidRPr="00200323">
        <w:t xml:space="preserve"> et al., 2026). There is empirical evidence that an early adoption of decarbonisation technologies helps firms benefit from green market opportunities (Yadav et al., 2025).</w:t>
      </w:r>
    </w:p>
    <w:p w14:paraId="363E7806" w14:textId="77777777" w:rsidR="00812995" w:rsidRPr="00200323" w:rsidRDefault="00200323" w:rsidP="00200323">
      <w:pPr>
        <w:ind w:firstLine="720"/>
      </w:pPr>
      <w:r w:rsidRPr="00200323">
        <w:t>However, the recommendation also has its risks. The hydrogen-based technology is associated with high capital investments, renewable energy infrastructure, and an uncertain return on investment. BHP acknowledges that the maturity of the technology, issues in the supply chain, and changing climate policies might further complicate the implementation process and make it costly. Consequently, the implementation process should be carried out gradually, beginning with the expansion of mines driven by renewable energy and mine electrification, followed by piloting of the hydrogen projects with the steel companies. Such gradual approach will not only decrease the financial risk but also help BHP develop new skills and gain competitive advantage.</w:t>
      </w:r>
    </w:p>
    <w:p w14:paraId="158F5BD8" w14:textId="77777777" w:rsidR="00200323" w:rsidRDefault="00812995" w:rsidP="00200323">
      <w:pPr>
        <w:pStyle w:val="Heading3"/>
        <w:rPr>
          <w:rFonts w:eastAsia="Times New Roman"/>
          <w:lang w:eastAsia="en-GB"/>
        </w:rPr>
      </w:pPr>
      <w:bookmarkStart w:id="11" w:name="_Toc235461510"/>
      <w:r w:rsidRPr="00812995">
        <w:rPr>
          <w:rFonts w:eastAsia="Times New Roman"/>
          <w:lang w:eastAsia="en-GB"/>
        </w:rPr>
        <w:lastRenderedPageBreak/>
        <w:t>Competitive Positioning</w:t>
      </w:r>
      <w:bookmarkEnd w:id="11"/>
      <w:r w:rsidRPr="00812995">
        <w:rPr>
          <w:rFonts w:eastAsia="Times New Roman"/>
          <w:lang w:eastAsia="en-GB"/>
        </w:rPr>
        <w:t xml:space="preserve"> </w:t>
      </w:r>
    </w:p>
    <w:p w14:paraId="37C322E5" w14:textId="77777777" w:rsidR="00155771" w:rsidRPr="00E471BA" w:rsidRDefault="00E471BA" w:rsidP="00155771">
      <w:pPr>
        <w:keepNext/>
        <w:jc w:val="center"/>
        <w:rPr>
          <w:b/>
        </w:rPr>
      </w:pPr>
      <w:r>
        <w:rPr>
          <w:noProof/>
          <w:lang w:eastAsia="en-GB"/>
        </w:rPr>
        <w:drawing>
          <wp:inline distT="0" distB="0" distL="0" distR="0" wp14:anchorId="42B95A19" wp14:editId="5BC23A96">
            <wp:extent cx="4407220" cy="3209925"/>
            <wp:effectExtent l="0" t="0" r="0" b="0"/>
            <wp:docPr id="5" name="Picture 5" descr="Porter's (Three) Generic Strategies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Porter's (Three) Generic Strategies Explained - SM Insigh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11491" cy="3213036"/>
                    </a:xfrm>
                    <a:prstGeom prst="rect">
                      <a:avLst/>
                    </a:prstGeom>
                    <a:noFill/>
                    <a:ln>
                      <a:noFill/>
                    </a:ln>
                  </pic:spPr>
                </pic:pic>
              </a:graphicData>
            </a:graphic>
          </wp:inline>
        </w:drawing>
      </w:r>
    </w:p>
    <w:p w14:paraId="541E7239" w14:textId="77777777" w:rsidR="00155771" w:rsidRPr="00155771" w:rsidRDefault="00155771" w:rsidP="00155771">
      <w:pPr>
        <w:pStyle w:val="Caption"/>
      </w:pPr>
      <w:bookmarkStart w:id="12" w:name="_Toc235461524"/>
      <w:r>
        <w:t xml:space="preserve">Figure </w:t>
      </w:r>
      <w:r>
        <w:fldChar w:fldCharType="begin"/>
      </w:r>
      <w:r>
        <w:instrText xml:space="preserve"> SEQ Figure \* ARABIC </w:instrText>
      </w:r>
      <w:r>
        <w:fldChar w:fldCharType="separate"/>
      </w:r>
      <w:r>
        <w:rPr>
          <w:noProof/>
        </w:rPr>
        <w:t>3</w:t>
      </w:r>
      <w:r>
        <w:fldChar w:fldCharType="end"/>
      </w:r>
      <w:r>
        <w:t xml:space="preserve">: </w:t>
      </w:r>
      <w:r w:rsidRPr="00155771">
        <w:t>Porter's Generic Strategies</w:t>
      </w:r>
      <w:bookmarkEnd w:id="12"/>
    </w:p>
    <w:p w14:paraId="2F10D60A" w14:textId="77777777" w:rsidR="00155771" w:rsidRPr="00E471BA" w:rsidRDefault="00155771" w:rsidP="00E471BA">
      <w:pPr>
        <w:jc w:val="center"/>
        <w:rPr>
          <w:i/>
        </w:rPr>
      </w:pPr>
      <w:r w:rsidRPr="00E471BA">
        <w:rPr>
          <w:i/>
        </w:rPr>
        <w:t xml:space="preserve">Source: </w:t>
      </w:r>
      <w:r w:rsidR="00E471BA" w:rsidRPr="00E471BA">
        <w:rPr>
          <w:i/>
        </w:rPr>
        <w:t>(Jurevicius, 2025)</w:t>
      </w:r>
    </w:p>
    <w:p w14:paraId="33F0159A" w14:textId="77777777" w:rsidR="00200323" w:rsidRDefault="00B90FCC" w:rsidP="00200323">
      <w:r w:rsidRPr="00B90FCC">
        <w:t xml:space="preserve">Porter’s Generic Strategies, devised by renowned strategist Michael Porter, provides businesses with a structured approach to gaining a competitive advantage. </w:t>
      </w:r>
      <w:r>
        <w:t xml:space="preserve"> </w:t>
      </w:r>
      <w:r w:rsidR="00200323" w:rsidRPr="00200323">
        <w:t xml:space="preserve">Porter’s Generic Strategies suggest that differentiation represents the best competitive strategy for BHP since the ability to maintain its competitive advantage in the mining industry depends nowadays on environmental performance, technological capabilities, and stakeholders’ confidence, rather than just cost. The company distinguishes itself through sustainable mining operations, development of renewable energy and electrification of mines, innovation in carbon-free steel production technologies, as well as provision of future-oriented minerals like copper, nickel, and high-quality iron ore required for decarbonisation. This allows the company to compete in terms of value rather than cost, improving customer relations and attracting ESG-oriented investors. </w:t>
      </w:r>
      <w:r w:rsidR="007C4615" w:rsidRPr="007C4615">
        <w:t>Unlike other competitors, including Rio Tinto, Vale, and Fortescue, the differentiation offered by BHP is wider since it involves exposure to future-facing commodities on a large scale, green mining powered by renewables, green steel collaboration, and decarbonisation throughout the value chain. While other companies have made strides in their sustainability efforts, BHP has taken steps to incorporate this into its product development strategy.</w:t>
      </w:r>
      <w:r w:rsidR="007C4615">
        <w:t xml:space="preserve"> </w:t>
      </w:r>
      <w:r w:rsidR="00200323" w:rsidRPr="00200323">
        <w:t xml:space="preserve">Finally, new research findings claim that the use of </w:t>
      </w:r>
      <w:r w:rsidR="00200323" w:rsidRPr="00200323">
        <w:lastRenderedPageBreak/>
        <w:t>sustainability metrics becomes more relevant to distinguish mineral commodities compared to the traditional perception of competition based on cost (Ren, Zeng and Zhong, 2023).</w:t>
      </w:r>
    </w:p>
    <w:p w14:paraId="1C7971DD" w14:textId="77777777" w:rsidR="00812995" w:rsidRPr="00812995" w:rsidRDefault="00200323" w:rsidP="000F4245">
      <w:pPr>
        <w:ind w:firstLine="720"/>
      </w:pPr>
      <w:r>
        <w:t xml:space="preserve">However, the sustainability of this strategy remains uncertain. </w:t>
      </w:r>
      <w:r w:rsidR="000F4245">
        <w:t>Differentiation implies significant long-term investments in clean technologies, digital mining and research. They will decrease the profitability of the firm if the consumer demand for such products evolves slower than anticipated. Also, green technologies have become widespread across industries; hence, it allows rivals to copy the innovation and undermine the competitive edge. It has been found out that firms that pursue ambitious environmental policies attract higher attention regarding the credibility of sustainability claims and, thus, run high risks of negative reputation if their environmental policies do not lead to results (</w:t>
      </w:r>
      <w:proofErr w:type="spellStart"/>
      <w:r w:rsidR="000F4245">
        <w:t>Kudłak</w:t>
      </w:r>
      <w:proofErr w:type="spellEnd"/>
      <w:r w:rsidR="000F4245">
        <w:t>, 2024). Consequently, the competitive edge of the company will be defined not by environmental claims but by the demonstrated decreases in emissions, by constant innovations that outpace rivals, and by ESG performance that forms a value proposition of the company.</w:t>
      </w:r>
    </w:p>
    <w:p w14:paraId="7A11F89C" w14:textId="77777777" w:rsidR="00812995" w:rsidRPr="00812995" w:rsidRDefault="00812995" w:rsidP="000F4245">
      <w:pPr>
        <w:pStyle w:val="Heading2"/>
        <w:rPr>
          <w:rFonts w:eastAsia="Times New Roman"/>
          <w:lang w:eastAsia="en-GB"/>
        </w:rPr>
      </w:pPr>
      <w:bookmarkStart w:id="13" w:name="_Toc235461511"/>
      <w:r w:rsidRPr="00812995">
        <w:rPr>
          <w:rFonts w:eastAsia="Times New Roman"/>
          <w:lang w:eastAsia="en-GB"/>
        </w:rPr>
        <w:t>T</w:t>
      </w:r>
      <w:r w:rsidR="000F4245">
        <w:rPr>
          <w:rFonts w:eastAsia="Times New Roman"/>
          <w:lang w:eastAsia="en-GB"/>
        </w:rPr>
        <w:t>ask 3 Critical Reflection on AI</w:t>
      </w:r>
      <w:bookmarkEnd w:id="13"/>
    </w:p>
    <w:p w14:paraId="1E7B63E6" w14:textId="77777777" w:rsidR="00812995" w:rsidRPr="00812995" w:rsidRDefault="00812995" w:rsidP="000F4245">
      <w:pPr>
        <w:pStyle w:val="Heading3"/>
        <w:rPr>
          <w:rFonts w:eastAsia="Times New Roman"/>
          <w:lang w:eastAsia="en-GB"/>
        </w:rPr>
      </w:pPr>
      <w:bookmarkStart w:id="14" w:name="_Toc235461512"/>
      <w:r w:rsidRPr="00812995">
        <w:rPr>
          <w:rFonts w:eastAsia="Times New Roman"/>
          <w:lang w:eastAsia="en-GB"/>
        </w:rPr>
        <w:t>AI Tools Used</w:t>
      </w:r>
      <w:bookmarkEnd w:id="14"/>
    </w:p>
    <w:p w14:paraId="7EB41F54" w14:textId="77777777" w:rsidR="00812995" w:rsidRPr="000F4245" w:rsidRDefault="000F4245" w:rsidP="000F4245">
      <w:r w:rsidRPr="000F4245">
        <w:t xml:space="preserve">The usage of AI was solely limited to proofreading and language polishing, not to the generation of ideas, analysis of the data and preparation of the report. In particular, ChatGPT was utilized in order to enhance the grammar, sentence structuring and writing style after the draft of the report had been written. Google Scholar was utilized independently in order to find peer-reviewed scientific articles and credible sources. Thus, all the research, source selection and literature review were conducted manually using Google Scholar, which means that all the academic content presented in the paper is based on the research conducted by </w:t>
      </w:r>
      <w:r>
        <w:t>me</w:t>
      </w:r>
      <w:r w:rsidRPr="000F4245">
        <w:t>, not by AI.</w:t>
      </w:r>
    </w:p>
    <w:p w14:paraId="5F22E33B" w14:textId="77777777" w:rsidR="00812995" w:rsidRPr="000F4245" w:rsidRDefault="00812995" w:rsidP="000F4245">
      <w:pPr>
        <w:pStyle w:val="Heading3"/>
      </w:pPr>
      <w:bookmarkStart w:id="15" w:name="_Toc235461513"/>
      <w:r w:rsidRPr="000F4245">
        <w:t>Verification Process</w:t>
      </w:r>
      <w:bookmarkEnd w:id="15"/>
    </w:p>
    <w:p w14:paraId="5874493D" w14:textId="77777777" w:rsidR="00812995" w:rsidRPr="000F4245" w:rsidRDefault="000F4245" w:rsidP="000F4245">
      <w:r w:rsidRPr="000F4245">
        <w:t>Even though I had used AI only for proofreading, every suggestion had been critically assessed before being accepted. The information used in my report had been checked against the information found in peer-reviewed journal articles accessed through Google Scholar, BHP Annual Report and Sustainability Report, and relevant government and international sources where necessary. This made it possible to avoid any false information in the report and helped ensure its accuracy.</w:t>
      </w:r>
    </w:p>
    <w:p w14:paraId="002A9E34" w14:textId="77777777" w:rsidR="00812995" w:rsidRPr="000F4245" w:rsidRDefault="00812995" w:rsidP="000F4245">
      <w:pPr>
        <w:pStyle w:val="Heading3"/>
      </w:pPr>
      <w:bookmarkStart w:id="16" w:name="_Toc235461514"/>
      <w:r w:rsidRPr="000F4245">
        <w:lastRenderedPageBreak/>
        <w:t>My Contribution</w:t>
      </w:r>
      <w:bookmarkEnd w:id="16"/>
    </w:p>
    <w:p w14:paraId="7E03D9B9" w14:textId="77777777" w:rsidR="00812995" w:rsidRPr="000F4245" w:rsidRDefault="000F4245" w:rsidP="000F4245">
      <w:r w:rsidRPr="000F4245">
        <w:t>All the intellectual contributions made in the development of this report have been my personal contribution. I conducted the search for the literature, selected the sources, carried out the analysis of the marketing environment of BHP, applied the Ansoff Matrix and Porter's Generic Strategies and formulated the discussion, conclusions and recommendations. Thus, AI improved the presentation of my ideas, but did not affect the academic arguments in any way.</w:t>
      </w:r>
    </w:p>
    <w:p w14:paraId="74C48E2F" w14:textId="77777777" w:rsidR="00812995" w:rsidRPr="000F4245" w:rsidRDefault="00812995" w:rsidP="000F4245">
      <w:pPr>
        <w:pStyle w:val="Heading3"/>
      </w:pPr>
      <w:bookmarkStart w:id="17" w:name="_Toc235461515"/>
      <w:r w:rsidRPr="000F4245">
        <w:t>Ethical Reflection</w:t>
      </w:r>
      <w:bookmarkEnd w:id="17"/>
    </w:p>
    <w:p w14:paraId="338F9297" w14:textId="77777777" w:rsidR="00812995" w:rsidRPr="00155771" w:rsidRDefault="00155771" w:rsidP="00155771">
      <w:r w:rsidRPr="00155771">
        <w:t>Through this experience, I have come to realize that artificial intelligence is capable of enhancing the writing process as well as saving time spent on proofreading. Nonetheless, the dependence on artificial intelligence will limit independence as well as impede the development of analysis skills. At the same time, suggestions made by artificial intelligence may alter the initial meaning of the text or may fail to consider subject-related terminology when adopted blindly. Consequently, the usage of artificial intelligence calls for transparency and human supervision. Through this experience, I have realiz</w:t>
      </w:r>
      <w:r>
        <w:t xml:space="preserve">ed that the learning process must be independent, reflective </w:t>
      </w:r>
      <w:r w:rsidRPr="00155771">
        <w:t xml:space="preserve">and </w:t>
      </w:r>
      <w:r>
        <w:t>evidence-based.</w:t>
      </w:r>
    </w:p>
    <w:p w14:paraId="25F78BE4" w14:textId="77777777" w:rsidR="00155771" w:rsidRPr="00812995" w:rsidRDefault="00155771" w:rsidP="00155771">
      <w:pPr>
        <w:pStyle w:val="Heading1"/>
        <w:rPr>
          <w:rFonts w:eastAsia="Times New Roman"/>
          <w:kern w:val="0"/>
          <w:szCs w:val="24"/>
          <w:lang w:eastAsia="en-GB"/>
        </w:rPr>
      </w:pPr>
      <w:bookmarkStart w:id="18" w:name="_Toc235461516"/>
      <w:r w:rsidRPr="00812995">
        <w:rPr>
          <w:rFonts w:eastAsia="Times New Roman"/>
          <w:lang w:eastAsia="en-GB"/>
        </w:rPr>
        <w:t>CONCLUSION</w:t>
      </w:r>
      <w:bookmarkEnd w:id="18"/>
      <w:r w:rsidRPr="00812995">
        <w:rPr>
          <w:rFonts w:eastAsia="Times New Roman"/>
          <w:lang w:eastAsia="en-GB"/>
        </w:rPr>
        <w:t xml:space="preserve"> </w:t>
      </w:r>
    </w:p>
    <w:p w14:paraId="24BE65EC" w14:textId="77777777" w:rsidR="00E471BA" w:rsidRDefault="00155771" w:rsidP="00155771">
      <w:r w:rsidRPr="00155771">
        <w:t>In conclusion, this study finds that environmental and technological changes will transform the marketing environment of BHP. The adoption of the product development strategy, backed up by Porter’s differentiation strategy, is the best way forward for sustainable growth. Through the creation of innovations and future commodities, BHP can ensure its competitive advantage and good positioning in the upcoming low-carbon world.</w:t>
      </w:r>
    </w:p>
    <w:p w14:paraId="3758DC23" w14:textId="77777777" w:rsidR="00E471BA" w:rsidRDefault="00E471BA">
      <w:pPr>
        <w:spacing w:line="259" w:lineRule="auto"/>
        <w:jc w:val="left"/>
      </w:pPr>
      <w:r>
        <w:br w:type="page"/>
      </w:r>
    </w:p>
    <w:p w14:paraId="6701F68A" w14:textId="77777777" w:rsidR="00812995" w:rsidRDefault="00E471BA" w:rsidP="00E471BA">
      <w:pPr>
        <w:pStyle w:val="Heading1"/>
      </w:pPr>
      <w:bookmarkStart w:id="19" w:name="_Toc235461517"/>
      <w:r>
        <w:lastRenderedPageBreak/>
        <w:t>REFERENCES</w:t>
      </w:r>
      <w:bookmarkEnd w:id="19"/>
    </w:p>
    <w:p w14:paraId="515C0571"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BHP (2020). </w:t>
      </w:r>
      <w:r w:rsidRPr="00E471BA">
        <w:rPr>
          <w:rFonts w:eastAsia="Times New Roman" w:cs="Times New Roman"/>
          <w:i/>
          <w:iCs/>
          <w:kern w:val="0"/>
          <w:szCs w:val="24"/>
          <w:lang w:eastAsia="en-GB"/>
          <w14:ligatures w14:val="none"/>
        </w:rPr>
        <w:t>BHP climate change report 2020</w:t>
      </w:r>
      <w:r w:rsidRPr="00E471BA">
        <w:rPr>
          <w:rFonts w:eastAsia="Times New Roman" w:cs="Times New Roman"/>
          <w:kern w:val="0"/>
          <w:szCs w:val="24"/>
          <w:lang w:eastAsia="en-GB"/>
          <w14:ligatures w14:val="none"/>
        </w:rPr>
        <w:t xml:space="preserve">. [online] BHP. Available at: </w:t>
      </w:r>
      <w:hyperlink r:id="rId11" w:history="1">
        <w:r w:rsidRPr="00D776E7">
          <w:rPr>
            <w:rStyle w:val="Hyperlink"/>
            <w:rFonts w:eastAsia="Times New Roman" w:cs="Times New Roman"/>
            <w:kern w:val="0"/>
            <w:szCs w:val="24"/>
            <w:lang w:eastAsia="en-GB"/>
            <w14:ligatures w14:val="none"/>
          </w:rPr>
          <w:t>https://www.bhp.com/-/media/documents/investors/annual-reports/2020/200910_bhpclimatechangereport2020.pdf</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w:t>
      </w:r>
    </w:p>
    <w:p w14:paraId="52499CD0"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BHP (2024a). BHP annual report 2024. [online] Available at: </w:t>
      </w:r>
      <w:hyperlink r:id="rId12" w:history="1">
        <w:r w:rsidRPr="00D776E7">
          <w:rPr>
            <w:rStyle w:val="Hyperlink"/>
            <w:rFonts w:eastAsia="Times New Roman" w:cs="Times New Roman"/>
            <w:kern w:val="0"/>
            <w:szCs w:val="24"/>
            <w:lang w:eastAsia="en-GB"/>
            <w14:ligatures w14:val="none"/>
          </w:rPr>
          <w:t>https://www.bhp.com/-/media/documents/investors/annual-reports/2024/240827_bhpannualreport2024</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2026a].</w:t>
      </w:r>
    </w:p>
    <w:p w14:paraId="6D11AC74"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BHP (2024b). </w:t>
      </w:r>
      <w:r w:rsidRPr="00E471BA">
        <w:rPr>
          <w:rFonts w:eastAsia="Times New Roman" w:cs="Times New Roman"/>
          <w:i/>
          <w:iCs/>
          <w:kern w:val="0"/>
          <w:szCs w:val="24"/>
          <w:lang w:eastAsia="en-GB"/>
          <w14:ligatures w14:val="none"/>
        </w:rPr>
        <w:t>Climate transition action plan | BHP</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Bhp.com</w:t>
      </w:r>
      <w:r w:rsidRPr="00E471BA">
        <w:rPr>
          <w:rFonts w:eastAsia="Times New Roman" w:cs="Times New Roman"/>
          <w:kern w:val="0"/>
          <w:szCs w:val="24"/>
          <w:lang w:eastAsia="en-GB"/>
          <w14:ligatures w14:val="none"/>
        </w:rPr>
        <w:t xml:space="preserve">. Available at: </w:t>
      </w:r>
      <w:hyperlink r:id="rId13" w:history="1">
        <w:r w:rsidRPr="00D776E7">
          <w:rPr>
            <w:rStyle w:val="Hyperlink"/>
            <w:rFonts w:eastAsia="Times New Roman" w:cs="Times New Roman"/>
            <w:kern w:val="0"/>
            <w:szCs w:val="24"/>
            <w:lang w:eastAsia="en-GB"/>
            <w14:ligatures w14:val="none"/>
          </w:rPr>
          <w:t>https://www.bhp.com/sustainability/climate-change/climate-transition-action-plan</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2026b].</w:t>
      </w:r>
    </w:p>
    <w:p w14:paraId="5A11D6A0"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BHP (2024c). </w:t>
      </w:r>
      <w:r w:rsidRPr="00E471BA">
        <w:rPr>
          <w:rFonts w:eastAsia="Times New Roman" w:cs="Times New Roman"/>
          <w:i/>
          <w:iCs/>
          <w:kern w:val="0"/>
          <w:szCs w:val="24"/>
          <w:lang w:eastAsia="en-GB"/>
          <w14:ligatures w14:val="none"/>
        </w:rPr>
        <w:t>Transition to a net zero economy</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Bhp.com</w:t>
      </w:r>
      <w:r w:rsidRPr="00E471BA">
        <w:rPr>
          <w:rFonts w:eastAsia="Times New Roman" w:cs="Times New Roman"/>
          <w:kern w:val="0"/>
          <w:szCs w:val="24"/>
          <w:lang w:eastAsia="en-GB"/>
          <w14:ligatures w14:val="none"/>
        </w:rPr>
        <w:t xml:space="preserve">. Available at: </w:t>
      </w:r>
      <w:hyperlink r:id="rId14" w:history="1">
        <w:r w:rsidRPr="00D776E7">
          <w:rPr>
            <w:rStyle w:val="Hyperlink"/>
            <w:rFonts w:eastAsia="Times New Roman" w:cs="Times New Roman"/>
            <w:kern w:val="0"/>
            <w:szCs w:val="24"/>
            <w:lang w:eastAsia="en-GB"/>
            <w14:ligatures w14:val="none"/>
          </w:rPr>
          <w:t>https://www.bhp.com/sustainability/climate-change/transition-to-a-net-zero-economy</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2026c].</w:t>
      </w:r>
    </w:p>
    <w:p w14:paraId="796394F5"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BHP (2025). </w:t>
      </w:r>
      <w:r w:rsidRPr="00E471BA">
        <w:rPr>
          <w:rFonts w:eastAsia="Times New Roman" w:cs="Times New Roman"/>
          <w:i/>
          <w:iCs/>
          <w:kern w:val="0"/>
          <w:szCs w:val="24"/>
          <w:lang w:eastAsia="en-GB"/>
          <w14:ligatures w14:val="none"/>
        </w:rPr>
        <w:t>BHP and HBIS strengthen partnership with new MOU to Advance decarbonization in Steel value chain</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Bhp.com</w:t>
      </w:r>
      <w:r w:rsidRPr="00E471BA">
        <w:rPr>
          <w:rFonts w:eastAsia="Times New Roman" w:cs="Times New Roman"/>
          <w:kern w:val="0"/>
          <w:szCs w:val="24"/>
          <w:lang w:eastAsia="en-GB"/>
          <w14:ligatures w14:val="none"/>
        </w:rPr>
        <w:t xml:space="preserve">. Available at: </w:t>
      </w:r>
      <w:hyperlink r:id="rId15" w:history="1">
        <w:r w:rsidRPr="00D776E7">
          <w:rPr>
            <w:rStyle w:val="Hyperlink"/>
            <w:rFonts w:eastAsia="Times New Roman" w:cs="Times New Roman"/>
            <w:kern w:val="0"/>
            <w:szCs w:val="24"/>
            <w:lang w:eastAsia="en-GB"/>
            <w14:ligatures w14:val="none"/>
          </w:rPr>
          <w:t>https://www.bhp.com/news/media-centre/releases/2024/12/bhp-and-hbis-strengthen-partnership-with-new-mou-to-advance-decarbonization-in-steel-value-chain</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w:t>
      </w:r>
    </w:p>
    <w:p w14:paraId="7C567D3A"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proofErr w:type="spellStart"/>
      <w:r w:rsidRPr="00E471BA">
        <w:rPr>
          <w:rFonts w:eastAsia="Times New Roman" w:cs="Times New Roman"/>
          <w:kern w:val="0"/>
          <w:szCs w:val="24"/>
          <w:lang w:eastAsia="en-GB"/>
          <w14:ligatures w14:val="none"/>
        </w:rPr>
        <w:t>Boolkah</w:t>
      </w:r>
      <w:proofErr w:type="spellEnd"/>
      <w:r w:rsidRPr="00E471BA">
        <w:rPr>
          <w:rFonts w:eastAsia="Times New Roman" w:cs="Times New Roman"/>
          <w:kern w:val="0"/>
          <w:szCs w:val="24"/>
          <w:lang w:eastAsia="en-GB"/>
          <w14:ligatures w14:val="none"/>
        </w:rPr>
        <w:t xml:space="preserve">, P. (2024). </w:t>
      </w:r>
      <w:r w:rsidRPr="00E471BA">
        <w:rPr>
          <w:rFonts w:eastAsia="Times New Roman" w:cs="Times New Roman"/>
          <w:i/>
          <w:iCs/>
          <w:kern w:val="0"/>
          <w:szCs w:val="24"/>
          <w:lang w:eastAsia="en-GB"/>
          <w14:ligatures w14:val="none"/>
        </w:rPr>
        <w:t>Ansoff matrix: What is it and how to use it?</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Peter Boolkah</w:t>
      </w:r>
      <w:r w:rsidRPr="00E471BA">
        <w:rPr>
          <w:rFonts w:eastAsia="Times New Roman" w:cs="Times New Roman"/>
          <w:kern w:val="0"/>
          <w:szCs w:val="24"/>
          <w:lang w:eastAsia="en-GB"/>
          <w14:ligatures w14:val="none"/>
        </w:rPr>
        <w:t xml:space="preserve">. Available at: </w:t>
      </w:r>
      <w:hyperlink r:id="rId16" w:history="1">
        <w:r w:rsidRPr="00D776E7">
          <w:rPr>
            <w:rStyle w:val="Hyperlink"/>
            <w:rFonts w:eastAsia="Times New Roman" w:cs="Times New Roman"/>
            <w:kern w:val="0"/>
            <w:szCs w:val="24"/>
            <w:lang w:eastAsia="en-GB"/>
            <w14:ligatures w14:val="none"/>
          </w:rPr>
          <w:t>https://boolkah.com/ansoff-matrix/</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w:t>
      </w:r>
    </w:p>
    <w:p w14:paraId="1D0F0E96"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Jurevicius, O. (2025). </w:t>
      </w:r>
      <w:r w:rsidRPr="00E471BA">
        <w:rPr>
          <w:rFonts w:eastAsia="Times New Roman" w:cs="Times New Roman"/>
          <w:i/>
          <w:iCs/>
          <w:kern w:val="0"/>
          <w:szCs w:val="24"/>
          <w:lang w:eastAsia="en-GB"/>
          <w14:ligatures w14:val="none"/>
        </w:rPr>
        <w:t>Porter’s (three) generic strategies explained - SM insight</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Strategic Management Insight</w:t>
      </w:r>
      <w:r w:rsidRPr="00E471BA">
        <w:rPr>
          <w:rFonts w:eastAsia="Times New Roman" w:cs="Times New Roman"/>
          <w:kern w:val="0"/>
          <w:szCs w:val="24"/>
          <w:lang w:eastAsia="en-GB"/>
          <w14:ligatures w14:val="none"/>
        </w:rPr>
        <w:t xml:space="preserve">. Available at: </w:t>
      </w:r>
      <w:hyperlink r:id="rId17" w:history="1">
        <w:r w:rsidRPr="00D776E7">
          <w:rPr>
            <w:rStyle w:val="Hyperlink"/>
            <w:rFonts w:eastAsia="Times New Roman" w:cs="Times New Roman"/>
            <w:kern w:val="0"/>
            <w:szCs w:val="24"/>
            <w:lang w:eastAsia="en-GB"/>
            <w14:ligatures w14:val="none"/>
          </w:rPr>
          <w:t>https://strategicmanagementinsight.com/tools/porters-three-generic-strategies/</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w:t>
      </w:r>
    </w:p>
    <w:p w14:paraId="65AF5559"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Kotler, P., Armstrong, G., Harris, L.C. and He, H. (2024). </w:t>
      </w:r>
      <w:r w:rsidRPr="00E471BA">
        <w:rPr>
          <w:rFonts w:eastAsia="Times New Roman" w:cs="Times New Roman"/>
          <w:i/>
          <w:iCs/>
          <w:kern w:val="0"/>
          <w:szCs w:val="24"/>
          <w:lang w:eastAsia="en-GB"/>
          <w14:ligatures w14:val="none"/>
        </w:rPr>
        <w:t>Principles of marketing</w:t>
      </w:r>
      <w:r w:rsidRPr="00E471BA">
        <w:rPr>
          <w:rFonts w:eastAsia="Times New Roman" w:cs="Times New Roman"/>
          <w:kern w:val="0"/>
          <w:szCs w:val="24"/>
          <w:lang w:eastAsia="en-GB"/>
          <w14:ligatures w14:val="none"/>
        </w:rPr>
        <w:t>. Harlow: Pearson.</w:t>
      </w:r>
    </w:p>
    <w:p w14:paraId="126A34C4"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proofErr w:type="spellStart"/>
      <w:r w:rsidRPr="00E471BA">
        <w:rPr>
          <w:rFonts w:eastAsia="Times New Roman" w:cs="Times New Roman"/>
          <w:kern w:val="0"/>
          <w:szCs w:val="24"/>
          <w:lang w:eastAsia="en-GB"/>
          <w14:ligatures w14:val="none"/>
        </w:rPr>
        <w:t>Kudłak</w:t>
      </w:r>
      <w:proofErr w:type="spellEnd"/>
      <w:r w:rsidRPr="00E471BA">
        <w:rPr>
          <w:rFonts w:eastAsia="Times New Roman" w:cs="Times New Roman"/>
          <w:kern w:val="0"/>
          <w:szCs w:val="24"/>
          <w:lang w:eastAsia="en-GB"/>
          <w14:ligatures w14:val="none"/>
        </w:rPr>
        <w:t xml:space="preserve">, R. (2024). Greenwashing or striving to Persist: An alternative explanation of a loose coupling between corporate environmental commitments and outcomes. </w:t>
      </w:r>
      <w:r w:rsidRPr="00E471BA">
        <w:rPr>
          <w:rFonts w:eastAsia="Times New Roman" w:cs="Times New Roman"/>
          <w:i/>
          <w:iCs/>
          <w:kern w:val="0"/>
          <w:szCs w:val="24"/>
          <w:lang w:eastAsia="en-GB"/>
          <w14:ligatures w14:val="none"/>
        </w:rPr>
        <w:t>Journal of Business ethics</w:t>
      </w:r>
      <w:r w:rsidRPr="00E471BA">
        <w:rPr>
          <w:rFonts w:eastAsia="Times New Roman" w:cs="Times New Roman"/>
          <w:kern w:val="0"/>
          <w:szCs w:val="24"/>
          <w:lang w:eastAsia="en-GB"/>
          <w14:ligatures w14:val="none"/>
        </w:rPr>
        <w:t>. doi:</w:t>
      </w:r>
      <w:r>
        <w:rPr>
          <w:rFonts w:eastAsia="Times New Roman" w:cs="Times New Roman"/>
          <w:kern w:val="0"/>
          <w:szCs w:val="24"/>
          <w:lang w:eastAsia="en-GB"/>
          <w14:ligatures w14:val="none"/>
        </w:rPr>
        <w:t xml:space="preserve"> </w:t>
      </w:r>
      <w:hyperlink r:id="rId18" w:history="1">
        <w:r w:rsidRPr="00D776E7">
          <w:rPr>
            <w:rStyle w:val="Hyperlink"/>
            <w:rFonts w:eastAsia="Times New Roman" w:cs="Times New Roman"/>
            <w:kern w:val="0"/>
            <w:szCs w:val="24"/>
            <w:lang w:eastAsia="en-GB"/>
            <w14:ligatures w14:val="none"/>
          </w:rPr>
          <w:t>https://doi.org/10.1007/s10551-024-05778-w</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0F76F93B"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proofErr w:type="spellStart"/>
      <w:r w:rsidRPr="00E471BA">
        <w:rPr>
          <w:rFonts w:eastAsia="Times New Roman" w:cs="Times New Roman"/>
          <w:kern w:val="0"/>
          <w:szCs w:val="24"/>
          <w:lang w:eastAsia="en-GB"/>
          <w14:ligatures w14:val="none"/>
        </w:rPr>
        <w:t>Lublóy</w:t>
      </w:r>
      <w:proofErr w:type="spellEnd"/>
      <w:r w:rsidRPr="00E471BA">
        <w:rPr>
          <w:rFonts w:eastAsia="Times New Roman" w:cs="Times New Roman"/>
          <w:kern w:val="0"/>
          <w:szCs w:val="24"/>
          <w:lang w:eastAsia="en-GB"/>
          <w14:ligatures w14:val="none"/>
        </w:rPr>
        <w:t xml:space="preserve">, Á., </w:t>
      </w:r>
      <w:proofErr w:type="spellStart"/>
      <w:r w:rsidRPr="00E471BA">
        <w:rPr>
          <w:rFonts w:eastAsia="Times New Roman" w:cs="Times New Roman"/>
          <w:kern w:val="0"/>
          <w:szCs w:val="24"/>
          <w:lang w:eastAsia="en-GB"/>
          <w14:ligatures w14:val="none"/>
        </w:rPr>
        <w:t>Keresztúri</w:t>
      </w:r>
      <w:proofErr w:type="spellEnd"/>
      <w:r w:rsidRPr="00E471BA">
        <w:rPr>
          <w:rFonts w:eastAsia="Times New Roman" w:cs="Times New Roman"/>
          <w:kern w:val="0"/>
          <w:szCs w:val="24"/>
          <w:lang w:eastAsia="en-GB"/>
          <w14:ligatures w14:val="none"/>
        </w:rPr>
        <w:t xml:space="preserve">, J.L. and Berlinger, E. (2024). Quantifying firm-level greenwashing: A systematic literature review. </w:t>
      </w:r>
      <w:r w:rsidRPr="00E471BA">
        <w:rPr>
          <w:rFonts w:eastAsia="Times New Roman" w:cs="Times New Roman"/>
          <w:i/>
          <w:iCs/>
          <w:kern w:val="0"/>
          <w:szCs w:val="24"/>
          <w:lang w:eastAsia="en-GB"/>
          <w14:ligatures w14:val="none"/>
        </w:rPr>
        <w:t>Journal of Environmental management</w:t>
      </w:r>
      <w:r w:rsidRPr="00E471BA">
        <w:rPr>
          <w:rFonts w:eastAsia="Times New Roman" w:cs="Times New Roman"/>
          <w:kern w:val="0"/>
          <w:szCs w:val="24"/>
          <w:lang w:eastAsia="en-GB"/>
          <w14:ligatures w14:val="none"/>
        </w:rPr>
        <w:t>, 373, pp.123399–123399. doi:</w:t>
      </w:r>
      <w:r>
        <w:rPr>
          <w:rFonts w:eastAsia="Times New Roman" w:cs="Times New Roman"/>
          <w:kern w:val="0"/>
          <w:szCs w:val="24"/>
          <w:lang w:eastAsia="en-GB"/>
          <w14:ligatures w14:val="none"/>
        </w:rPr>
        <w:t xml:space="preserve"> </w:t>
      </w:r>
      <w:hyperlink r:id="rId19" w:history="1">
        <w:r w:rsidRPr="00D776E7">
          <w:rPr>
            <w:rStyle w:val="Hyperlink"/>
            <w:rFonts w:eastAsia="Times New Roman" w:cs="Times New Roman"/>
            <w:kern w:val="0"/>
            <w:szCs w:val="24"/>
            <w:lang w:eastAsia="en-GB"/>
            <w14:ligatures w14:val="none"/>
          </w:rPr>
          <w:t>https://doi.org/10.1016/j.jenvman.2024.123399</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6243FE7C"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Margutti, J.M., </w:t>
      </w:r>
      <w:proofErr w:type="spellStart"/>
      <w:r w:rsidRPr="00E471BA">
        <w:rPr>
          <w:rFonts w:eastAsia="Times New Roman" w:cs="Times New Roman"/>
          <w:kern w:val="0"/>
          <w:szCs w:val="24"/>
          <w:lang w:eastAsia="en-GB"/>
          <w14:ligatures w14:val="none"/>
        </w:rPr>
        <w:t>Schiedeck</w:t>
      </w:r>
      <w:proofErr w:type="spellEnd"/>
      <w:r w:rsidRPr="00E471BA">
        <w:rPr>
          <w:rFonts w:eastAsia="Times New Roman" w:cs="Times New Roman"/>
          <w:kern w:val="0"/>
          <w:szCs w:val="24"/>
          <w:lang w:eastAsia="en-GB"/>
          <w14:ligatures w14:val="none"/>
        </w:rPr>
        <w:t xml:space="preserve">, M., Morsch, P., Deutz, S., </w:t>
      </w:r>
      <w:proofErr w:type="spellStart"/>
      <w:r w:rsidRPr="00E471BA">
        <w:rPr>
          <w:rFonts w:eastAsia="Times New Roman" w:cs="Times New Roman"/>
          <w:kern w:val="0"/>
          <w:szCs w:val="24"/>
          <w:lang w:eastAsia="en-GB"/>
          <w14:ligatures w14:val="none"/>
        </w:rPr>
        <w:t>Khadhraoui</w:t>
      </w:r>
      <w:proofErr w:type="spellEnd"/>
      <w:r w:rsidRPr="00E471BA">
        <w:rPr>
          <w:rFonts w:eastAsia="Times New Roman" w:cs="Times New Roman"/>
          <w:kern w:val="0"/>
          <w:szCs w:val="24"/>
          <w:lang w:eastAsia="en-GB"/>
          <w14:ligatures w14:val="none"/>
        </w:rPr>
        <w:t xml:space="preserve">, S., Wolfinger, T. and Peschel, A. (2026). Towards green steel from hydrogen-based direct reduction of low-grade iron ores: Techno-economic and greenhouse gas emissions assessment. </w:t>
      </w:r>
      <w:r w:rsidRPr="00E471BA">
        <w:rPr>
          <w:rFonts w:eastAsia="Times New Roman" w:cs="Times New Roman"/>
          <w:i/>
          <w:iCs/>
          <w:kern w:val="0"/>
          <w:szCs w:val="24"/>
          <w:lang w:eastAsia="en-GB"/>
          <w14:ligatures w14:val="none"/>
        </w:rPr>
        <w:t>International journal of Hydrogen energy</w:t>
      </w:r>
      <w:r w:rsidRPr="00E471BA">
        <w:rPr>
          <w:rFonts w:eastAsia="Times New Roman" w:cs="Times New Roman"/>
          <w:kern w:val="0"/>
          <w:szCs w:val="24"/>
          <w:lang w:eastAsia="en-GB"/>
          <w14:ligatures w14:val="none"/>
        </w:rPr>
        <w:t>, [online] 235, p.155073. doi:</w:t>
      </w:r>
      <w:r>
        <w:rPr>
          <w:rFonts w:eastAsia="Times New Roman" w:cs="Times New Roman"/>
          <w:kern w:val="0"/>
          <w:szCs w:val="24"/>
          <w:lang w:eastAsia="en-GB"/>
          <w14:ligatures w14:val="none"/>
        </w:rPr>
        <w:t xml:space="preserve"> </w:t>
      </w:r>
      <w:hyperlink r:id="rId20" w:history="1">
        <w:r w:rsidRPr="00D776E7">
          <w:rPr>
            <w:rStyle w:val="Hyperlink"/>
            <w:rFonts w:eastAsia="Times New Roman" w:cs="Times New Roman"/>
            <w:kern w:val="0"/>
            <w:szCs w:val="24"/>
            <w:lang w:eastAsia="en-GB"/>
            <w14:ligatures w14:val="none"/>
          </w:rPr>
          <w:t>https://doi.org/10.1016/j.ijhydene.2026.155073</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6586C1C6"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lastRenderedPageBreak/>
        <w:t xml:space="preserve">Masud, A. Al, </w:t>
      </w:r>
      <w:proofErr w:type="spellStart"/>
      <w:r w:rsidRPr="00E471BA">
        <w:rPr>
          <w:rFonts w:eastAsia="Times New Roman" w:cs="Times New Roman"/>
          <w:kern w:val="0"/>
          <w:szCs w:val="24"/>
          <w:lang w:eastAsia="en-GB"/>
          <w14:ligatures w14:val="none"/>
        </w:rPr>
        <w:t>Mustak</w:t>
      </w:r>
      <w:proofErr w:type="spellEnd"/>
      <w:r w:rsidRPr="00E471BA">
        <w:rPr>
          <w:rFonts w:eastAsia="Times New Roman" w:cs="Times New Roman"/>
          <w:kern w:val="0"/>
          <w:szCs w:val="24"/>
          <w:lang w:eastAsia="en-GB"/>
          <w14:ligatures w14:val="none"/>
        </w:rPr>
        <w:t xml:space="preserve">, M., Rabiul, Md., Hossain, </w:t>
      </w:r>
      <w:proofErr w:type="spellStart"/>
      <w:r w:rsidRPr="00E471BA">
        <w:rPr>
          <w:rFonts w:eastAsia="Times New Roman" w:cs="Times New Roman"/>
          <w:kern w:val="0"/>
          <w:szCs w:val="24"/>
          <w:lang w:eastAsia="en-GB"/>
          <w14:ligatures w14:val="none"/>
        </w:rPr>
        <w:t>Md.A</w:t>
      </w:r>
      <w:proofErr w:type="spellEnd"/>
      <w:r w:rsidRPr="00E471BA">
        <w:rPr>
          <w:rFonts w:eastAsia="Times New Roman" w:cs="Times New Roman"/>
          <w:kern w:val="0"/>
          <w:szCs w:val="24"/>
          <w:lang w:eastAsia="en-GB"/>
          <w14:ligatures w14:val="none"/>
        </w:rPr>
        <w:t xml:space="preserve">. and Chowdhury, </w:t>
      </w:r>
      <w:proofErr w:type="spellStart"/>
      <w:r w:rsidRPr="00E471BA">
        <w:rPr>
          <w:rFonts w:eastAsia="Times New Roman" w:cs="Times New Roman"/>
          <w:kern w:val="0"/>
          <w:szCs w:val="24"/>
          <w:lang w:eastAsia="en-GB"/>
          <w14:ligatures w14:val="none"/>
        </w:rPr>
        <w:t>Md.S</w:t>
      </w:r>
      <w:proofErr w:type="spellEnd"/>
      <w:r w:rsidRPr="00E471BA">
        <w:rPr>
          <w:rFonts w:eastAsia="Times New Roman" w:cs="Times New Roman"/>
          <w:kern w:val="0"/>
          <w:szCs w:val="24"/>
          <w:lang w:eastAsia="en-GB"/>
          <w14:ligatures w14:val="none"/>
        </w:rPr>
        <w:t xml:space="preserve">. (2026). Unlocking sustainable competitive advantage in developing economies with a special focus on eco-innovation and green marketing. </w:t>
      </w:r>
      <w:r w:rsidRPr="00E471BA">
        <w:rPr>
          <w:rFonts w:eastAsia="Times New Roman" w:cs="Times New Roman"/>
          <w:i/>
          <w:iCs/>
          <w:kern w:val="0"/>
          <w:szCs w:val="24"/>
          <w:lang w:eastAsia="en-GB"/>
          <w14:ligatures w14:val="none"/>
        </w:rPr>
        <w:t>Discover sustainability</w:t>
      </w:r>
      <w:r w:rsidRPr="00E471BA">
        <w:rPr>
          <w:rFonts w:eastAsia="Times New Roman" w:cs="Times New Roman"/>
          <w:kern w:val="0"/>
          <w:szCs w:val="24"/>
          <w:lang w:eastAsia="en-GB"/>
          <w14:ligatures w14:val="none"/>
        </w:rPr>
        <w:t>, 7(1). doi:</w:t>
      </w:r>
      <w:r>
        <w:rPr>
          <w:rFonts w:eastAsia="Times New Roman" w:cs="Times New Roman"/>
          <w:kern w:val="0"/>
          <w:szCs w:val="24"/>
          <w:lang w:eastAsia="en-GB"/>
          <w14:ligatures w14:val="none"/>
        </w:rPr>
        <w:t xml:space="preserve"> </w:t>
      </w:r>
      <w:hyperlink r:id="rId21" w:history="1">
        <w:r w:rsidRPr="00D776E7">
          <w:rPr>
            <w:rStyle w:val="Hyperlink"/>
            <w:rFonts w:eastAsia="Times New Roman" w:cs="Times New Roman"/>
            <w:kern w:val="0"/>
            <w:szCs w:val="24"/>
            <w:lang w:eastAsia="en-GB"/>
            <w14:ligatures w14:val="none"/>
          </w:rPr>
          <w:t>https://doi.org/10.1007/s43621-026-03180-2</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7DC4A3E4"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Naseer, M.M., Guo, Y. and Zhu, X. (2025). Short-term costs and long-term gains of ESG initiatives in high-risk environments: Evidence from UK firms. </w:t>
      </w:r>
      <w:r w:rsidRPr="00E471BA">
        <w:rPr>
          <w:rFonts w:eastAsia="Times New Roman" w:cs="Times New Roman"/>
          <w:i/>
          <w:iCs/>
          <w:kern w:val="0"/>
          <w:szCs w:val="24"/>
          <w:lang w:eastAsia="en-GB"/>
          <w14:ligatures w14:val="none"/>
        </w:rPr>
        <w:t>Development and sustainability in economics and finance</w:t>
      </w:r>
      <w:r w:rsidRPr="00E471BA">
        <w:rPr>
          <w:rFonts w:eastAsia="Times New Roman" w:cs="Times New Roman"/>
          <w:kern w:val="0"/>
          <w:szCs w:val="24"/>
          <w:lang w:eastAsia="en-GB"/>
          <w14:ligatures w14:val="none"/>
        </w:rPr>
        <w:t>, [online] 7, p.100075. doi:</w:t>
      </w:r>
      <w:r>
        <w:rPr>
          <w:rFonts w:eastAsia="Times New Roman" w:cs="Times New Roman"/>
          <w:kern w:val="0"/>
          <w:szCs w:val="24"/>
          <w:lang w:eastAsia="en-GB"/>
          <w14:ligatures w14:val="none"/>
        </w:rPr>
        <w:t xml:space="preserve"> </w:t>
      </w:r>
      <w:hyperlink r:id="rId22" w:history="1">
        <w:r w:rsidRPr="00D776E7">
          <w:rPr>
            <w:rStyle w:val="Hyperlink"/>
            <w:rFonts w:eastAsia="Times New Roman" w:cs="Times New Roman"/>
            <w:kern w:val="0"/>
            <w:szCs w:val="24"/>
            <w:lang w:eastAsia="en-GB"/>
            <w14:ligatures w14:val="none"/>
          </w:rPr>
          <w:t>https://doi.org/10.1016/j.dsef.2025.100075</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7BD04F4C"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Onifade, M., </w:t>
      </w:r>
      <w:proofErr w:type="spellStart"/>
      <w:r w:rsidRPr="00E471BA">
        <w:rPr>
          <w:rFonts w:eastAsia="Times New Roman" w:cs="Times New Roman"/>
          <w:kern w:val="0"/>
          <w:szCs w:val="24"/>
          <w:lang w:eastAsia="en-GB"/>
          <w14:ligatures w14:val="none"/>
        </w:rPr>
        <w:t>Zvarivadza</w:t>
      </w:r>
      <w:proofErr w:type="spellEnd"/>
      <w:r w:rsidRPr="00E471BA">
        <w:rPr>
          <w:rFonts w:eastAsia="Times New Roman" w:cs="Times New Roman"/>
          <w:kern w:val="0"/>
          <w:szCs w:val="24"/>
          <w:lang w:eastAsia="en-GB"/>
          <w14:ligatures w14:val="none"/>
        </w:rPr>
        <w:t xml:space="preserve">, T., Adebisi, J.A., Said, K.O., Olupona, O.D., Lawal, A.I. and Khandelwal, M. (2024). Advancing toward sustainability: The emergence of green mining technologies and practices. </w:t>
      </w:r>
      <w:r w:rsidRPr="00E471BA">
        <w:rPr>
          <w:rFonts w:eastAsia="Times New Roman" w:cs="Times New Roman"/>
          <w:i/>
          <w:iCs/>
          <w:kern w:val="0"/>
          <w:szCs w:val="24"/>
          <w:lang w:eastAsia="en-GB"/>
          <w14:ligatures w14:val="none"/>
        </w:rPr>
        <w:t>Green and smart mining engineering</w:t>
      </w:r>
      <w:r w:rsidRPr="00E471BA">
        <w:rPr>
          <w:rFonts w:eastAsia="Times New Roman" w:cs="Times New Roman"/>
          <w:kern w:val="0"/>
          <w:szCs w:val="24"/>
          <w:lang w:eastAsia="en-GB"/>
          <w14:ligatures w14:val="none"/>
        </w:rPr>
        <w:t>, 1(2), pp.157–174. doi:</w:t>
      </w:r>
      <w:r>
        <w:rPr>
          <w:rFonts w:eastAsia="Times New Roman" w:cs="Times New Roman"/>
          <w:kern w:val="0"/>
          <w:szCs w:val="24"/>
          <w:lang w:eastAsia="en-GB"/>
          <w14:ligatures w14:val="none"/>
        </w:rPr>
        <w:t xml:space="preserve"> </w:t>
      </w:r>
      <w:hyperlink r:id="rId23" w:history="1">
        <w:r w:rsidRPr="00D776E7">
          <w:rPr>
            <w:rStyle w:val="Hyperlink"/>
            <w:rFonts w:eastAsia="Times New Roman" w:cs="Times New Roman"/>
            <w:kern w:val="0"/>
            <w:szCs w:val="24"/>
            <w:lang w:eastAsia="en-GB"/>
            <w14:ligatures w14:val="none"/>
          </w:rPr>
          <w:t>https://doi.org/10.1016/j.gsme.2024.05.005</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017EFEFD"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Ooze Studios (2020). </w:t>
      </w:r>
      <w:r w:rsidRPr="00E471BA">
        <w:rPr>
          <w:rFonts w:eastAsia="Times New Roman" w:cs="Times New Roman"/>
          <w:i/>
          <w:iCs/>
          <w:kern w:val="0"/>
          <w:szCs w:val="24"/>
          <w:lang w:eastAsia="en-GB"/>
          <w14:ligatures w14:val="none"/>
        </w:rPr>
        <w:t>BHP - UN global compact network Australia</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UN Global Compact Network Australia</w:t>
      </w:r>
      <w:r w:rsidRPr="00E471BA">
        <w:rPr>
          <w:rFonts w:eastAsia="Times New Roman" w:cs="Times New Roman"/>
          <w:kern w:val="0"/>
          <w:szCs w:val="24"/>
          <w:lang w:eastAsia="en-GB"/>
          <w14:ligatures w14:val="none"/>
        </w:rPr>
        <w:t xml:space="preserve">. Available at: </w:t>
      </w:r>
      <w:hyperlink r:id="rId24" w:history="1">
        <w:r w:rsidRPr="00D776E7">
          <w:rPr>
            <w:rStyle w:val="Hyperlink"/>
            <w:rFonts w:eastAsia="Times New Roman" w:cs="Times New Roman"/>
            <w:kern w:val="0"/>
            <w:szCs w:val="24"/>
            <w:lang w:eastAsia="en-GB"/>
            <w14:ligatures w14:val="none"/>
          </w:rPr>
          <w:t>https://unglobalcompact.org.au/our-members/bhp/</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[Accessed 20 July 2026].</w:t>
      </w:r>
    </w:p>
    <w:p w14:paraId="0008E470"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proofErr w:type="spellStart"/>
      <w:r w:rsidRPr="00E471BA">
        <w:rPr>
          <w:rFonts w:eastAsia="Times New Roman" w:cs="Times New Roman"/>
          <w:kern w:val="0"/>
          <w:szCs w:val="24"/>
          <w:lang w:eastAsia="en-GB"/>
          <w14:ligatures w14:val="none"/>
        </w:rPr>
        <w:t>Paovangsa</w:t>
      </w:r>
      <w:proofErr w:type="spellEnd"/>
      <w:r w:rsidRPr="00E471BA">
        <w:rPr>
          <w:rFonts w:eastAsia="Times New Roman" w:cs="Times New Roman"/>
          <w:kern w:val="0"/>
          <w:szCs w:val="24"/>
          <w:lang w:eastAsia="en-GB"/>
          <w14:ligatures w14:val="none"/>
        </w:rPr>
        <w:t xml:space="preserve">, S., Kamil, M., Silisak, D. and Xing, K. (2025). Technological innovation capabilities&amp;#39; effect on innovation performance: Agriculture firms in Laos. </w:t>
      </w:r>
      <w:r w:rsidRPr="00E471BA">
        <w:rPr>
          <w:rFonts w:eastAsia="Times New Roman" w:cs="Times New Roman"/>
          <w:i/>
          <w:iCs/>
          <w:kern w:val="0"/>
          <w:szCs w:val="24"/>
          <w:lang w:eastAsia="en-GB"/>
          <w14:ligatures w14:val="none"/>
        </w:rPr>
        <w:t>Sustainable futures</w:t>
      </w:r>
      <w:r w:rsidRPr="00E471BA">
        <w:rPr>
          <w:rFonts w:eastAsia="Times New Roman" w:cs="Times New Roman"/>
          <w:kern w:val="0"/>
          <w:szCs w:val="24"/>
          <w:lang w:eastAsia="en-GB"/>
          <w14:ligatures w14:val="none"/>
        </w:rPr>
        <w:t>, [online] 10, p.100845. doi:</w:t>
      </w:r>
      <w:r>
        <w:rPr>
          <w:rFonts w:eastAsia="Times New Roman" w:cs="Times New Roman"/>
          <w:kern w:val="0"/>
          <w:szCs w:val="24"/>
          <w:lang w:eastAsia="en-GB"/>
          <w14:ligatures w14:val="none"/>
        </w:rPr>
        <w:t xml:space="preserve"> </w:t>
      </w:r>
      <w:hyperlink r:id="rId25" w:history="1">
        <w:r w:rsidRPr="00D776E7">
          <w:rPr>
            <w:rStyle w:val="Hyperlink"/>
            <w:rFonts w:eastAsia="Times New Roman" w:cs="Times New Roman"/>
            <w:kern w:val="0"/>
            <w:szCs w:val="24"/>
            <w:lang w:eastAsia="en-GB"/>
            <w14:ligatures w14:val="none"/>
          </w:rPr>
          <w:t>https://doi.org/10.1016/j.sftr.2025.100845</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70305CD3"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Ren, G., Zeng, P. and Zhong, X. (2023). Differentiation strategies and firms” environmental, social and governance: The different moderating effects of historical and social performance shortfalls. </w:t>
      </w:r>
      <w:r w:rsidRPr="00E471BA">
        <w:rPr>
          <w:rFonts w:eastAsia="Times New Roman" w:cs="Times New Roman"/>
          <w:i/>
          <w:iCs/>
          <w:kern w:val="0"/>
          <w:szCs w:val="24"/>
          <w:lang w:eastAsia="en-GB"/>
          <w14:ligatures w14:val="none"/>
        </w:rPr>
        <w:t>Corporate social responsibility and environmental management</w:t>
      </w:r>
      <w:r w:rsidRPr="00E471BA">
        <w:rPr>
          <w:rFonts w:eastAsia="Times New Roman" w:cs="Times New Roman"/>
          <w:kern w:val="0"/>
          <w:szCs w:val="24"/>
          <w:lang w:eastAsia="en-GB"/>
          <w14:ligatures w14:val="none"/>
        </w:rPr>
        <w:t>, 31(1). doi:</w:t>
      </w:r>
      <w:r>
        <w:rPr>
          <w:rFonts w:eastAsia="Times New Roman" w:cs="Times New Roman"/>
          <w:kern w:val="0"/>
          <w:szCs w:val="24"/>
          <w:lang w:eastAsia="en-GB"/>
          <w14:ligatures w14:val="none"/>
        </w:rPr>
        <w:t xml:space="preserve"> </w:t>
      </w:r>
      <w:hyperlink r:id="rId26" w:history="1">
        <w:r w:rsidRPr="00D776E7">
          <w:rPr>
            <w:rStyle w:val="Hyperlink"/>
            <w:rFonts w:eastAsia="Times New Roman" w:cs="Times New Roman"/>
            <w:kern w:val="0"/>
            <w:szCs w:val="24"/>
            <w:lang w:eastAsia="en-GB"/>
            <w14:ligatures w14:val="none"/>
          </w:rPr>
          <w:t>https://doi.org/10.1002/csr.2597</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0A660294"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The Strategy Institute (2024). </w:t>
      </w:r>
      <w:r w:rsidRPr="00E471BA">
        <w:rPr>
          <w:rFonts w:eastAsia="Times New Roman" w:cs="Times New Roman"/>
          <w:i/>
          <w:iCs/>
          <w:kern w:val="0"/>
          <w:szCs w:val="24"/>
          <w:lang w:eastAsia="en-GB"/>
          <w14:ligatures w14:val="none"/>
        </w:rPr>
        <w:t xml:space="preserve">The </w:t>
      </w:r>
      <w:proofErr w:type="spellStart"/>
      <w:r w:rsidRPr="00E471BA">
        <w:rPr>
          <w:rFonts w:eastAsia="Times New Roman" w:cs="Times New Roman"/>
          <w:i/>
          <w:iCs/>
          <w:kern w:val="0"/>
          <w:szCs w:val="24"/>
          <w:lang w:eastAsia="en-GB"/>
          <w14:ligatures w14:val="none"/>
        </w:rPr>
        <w:t>ansoff</w:t>
      </w:r>
      <w:proofErr w:type="spellEnd"/>
      <w:r w:rsidRPr="00E471BA">
        <w:rPr>
          <w:rFonts w:eastAsia="Times New Roman" w:cs="Times New Roman"/>
          <w:i/>
          <w:iCs/>
          <w:kern w:val="0"/>
          <w:szCs w:val="24"/>
          <w:lang w:eastAsia="en-GB"/>
          <w14:ligatures w14:val="none"/>
        </w:rPr>
        <w:t xml:space="preserve"> matrix: A powerful tool for business strategy and growth</w:t>
      </w:r>
      <w:r w:rsidRPr="00E471BA">
        <w:rPr>
          <w:rFonts w:eastAsia="Times New Roman" w:cs="Times New Roman"/>
          <w:kern w:val="0"/>
          <w:szCs w:val="24"/>
          <w:lang w:eastAsia="en-GB"/>
          <w14:ligatures w14:val="none"/>
        </w:rPr>
        <w:t xml:space="preserve">. [online] </w:t>
      </w:r>
      <w:r w:rsidRPr="00E471BA">
        <w:rPr>
          <w:rFonts w:eastAsia="Times New Roman" w:cs="Times New Roman"/>
          <w:i/>
          <w:iCs/>
          <w:kern w:val="0"/>
          <w:szCs w:val="24"/>
          <w:lang w:eastAsia="en-GB"/>
          <w14:ligatures w14:val="none"/>
        </w:rPr>
        <w:t>The Strategy Institute</w:t>
      </w:r>
      <w:r w:rsidRPr="00E471BA">
        <w:rPr>
          <w:rFonts w:eastAsia="Times New Roman" w:cs="Times New Roman"/>
          <w:kern w:val="0"/>
          <w:szCs w:val="24"/>
          <w:lang w:eastAsia="en-GB"/>
          <w14:ligatures w14:val="none"/>
        </w:rPr>
        <w:t xml:space="preserve">. Available at: </w:t>
      </w:r>
      <w:hyperlink r:id="rId27" w:history="1">
        <w:r w:rsidRPr="00D776E7">
          <w:rPr>
            <w:rStyle w:val="Hyperlink"/>
            <w:rFonts w:eastAsia="Times New Roman" w:cs="Times New Roman"/>
            <w:kern w:val="0"/>
            <w:szCs w:val="24"/>
            <w:lang w:eastAsia="en-GB"/>
            <w14:ligatures w14:val="none"/>
          </w:rPr>
          <w:t>https://www.thestrategyinstitute.org/insights/the-ansoff-matrix-a-powerful-tool-for-business-strategy-and-growth</w:t>
        </w:r>
      </w:hyperlink>
      <w:r>
        <w:rPr>
          <w:rFonts w:eastAsia="Times New Roman" w:cs="Times New Roman"/>
          <w:kern w:val="0"/>
          <w:szCs w:val="24"/>
          <w:lang w:eastAsia="en-GB"/>
          <w14:ligatures w14:val="none"/>
        </w:rPr>
        <w:t xml:space="preserve"> </w:t>
      </w:r>
      <w:r w:rsidRPr="00E471BA">
        <w:rPr>
          <w:rFonts w:eastAsia="Times New Roman" w:cs="Times New Roman"/>
          <w:kern w:val="0"/>
          <w:szCs w:val="24"/>
          <w:lang w:eastAsia="en-GB"/>
          <w14:ligatures w14:val="none"/>
        </w:rPr>
        <w:t xml:space="preserve"> [Accessed 20 July 2026].</w:t>
      </w:r>
    </w:p>
    <w:p w14:paraId="067D8ECF" w14:textId="77777777" w:rsidR="00E471BA" w:rsidRPr="00E471BA" w:rsidRDefault="00E471BA" w:rsidP="00E471BA">
      <w:pPr>
        <w:spacing w:after="240" w:line="240" w:lineRule="auto"/>
        <w:ind w:left="720" w:hanging="720"/>
        <w:rPr>
          <w:rFonts w:eastAsia="Times New Roman" w:cs="Times New Roman"/>
          <w:kern w:val="0"/>
          <w:szCs w:val="24"/>
          <w:lang w:eastAsia="en-GB"/>
          <w14:ligatures w14:val="none"/>
        </w:rPr>
      </w:pPr>
      <w:r w:rsidRPr="00E471BA">
        <w:rPr>
          <w:rFonts w:eastAsia="Times New Roman" w:cs="Times New Roman"/>
          <w:kern w:val="0"/>
          <w:szCs w:val="24"/>
          <w:lang w:eastAsia="en-GB"/>
          <w14:ligatures w14:val="none"/>
        </w:rPr>
        <w:t xml:space="preserve">Yadav, M., Danso, A., Ameyaw, E.A., Yadav, A., Boateng, A. and Saini, M. (2025). Market integration across green, energy and carbon markets in emerging economies. </w:t>
      </w:r>
      <w:r w:rsidRPr="00E471BA">
        <w:rPr>
          <w:rFonts w:eastAsia="Times New Roman" w:cs="Times New Roman"/>
          <w:i/>
          <w:iCs/>
          <w:kern w:val="0"/>
          <w:szCs w:val="24"/>
          <w:lang w:eastAsia="en-GB"/>
          <w14:ligatures w14:val="none"/>
        </w:rPr>
        <w:t>Energy economics</w:t>
      </w:r>
      <w:r w:rsidRPr="00E471BA">
        <w:rPr>
          <w:rFonts w:eastAsia="Times New Roman" w:cs="Times New Roman"/>
          <w:kern w:val="0"/>
          <w:szCs w:val="24"/>
          <w:lang w:eastAsia="en-GB"/>
          <w14:ligatures w14:val="none"/>
        </w:rPr>
        <w:t>, 153, pp.109053–109053. doi:</w:t>
      </w:r>
      <w:r>
        <w:rPr>
          <w:rFonts w:eastAsia="Times New Roman" w:cs="Times New Roman"/>
          <w:kern w:val="0"/>
          <w:szCs w:val="24"/>
          <w:lang w:eastAsia="en-GB"/>
          <w14:ligatures w14:val="none"/>
        </w:rPr>
        <w:t xml:space="preserve"> </w:t>
      </w:r>
      <w:hyperlink r:id="rId28" w:history="1">
        <w:r w:rsidRPr="00D776E7">
          <w:rPr>
            <w:rStyle w:val="Hyperlink"/>
            <w:rFonts w:eastAsia="Times New Roman" w:cs="Times New Roman"/>
            <w:kern w:val="0"/>
            <w:szCs w:val="24"/>
            <w:lang w:eastAsia="en-GB"/>
            <w14:ligatures w14:val="none"/>
          </w:rPr>
          <w:t>https://doi.org/10.1016/j.eneco.2025.109053</w:t>
        </w:r>
      </w:hyperlink>
      <w:r w:rsidRPr="00E471BA">
        <w:rPr>
          <w:rFonts w:eastAsia="Times New Roman" w:cs="Times New Roman"/>
          <w:kern w:val="0"/>
          <w:szCs w:val="24"/>
          <w:lang w:eastAsia="en-GB"/>
          <w14:ligatures w14:val="none"/>
        </w:rPr>
        <w:t>.</w:t>
      </w:r>
      <w:r>
        <w:rPr>
          <w:rFonts w:eastAsia="Times New Roman" w:cs="Times New Roman"/>
          <w:kern w:val="0"/>
          <w:szCs w:val="24"/>
          <w:lang w:eastAsia="en-GB"/>
          <w14:ligatures w14:val="none"/>
        </w:rPr>
        <w:t xml:space="preserve"> </w:t>
      </w:r>
    </w:p>
    <w:p w14:paraId="19DC40AB" w14:textId="77777777" w:rsidR="00E471BA" w:rsidRPr="00155771" w:rsidRDefault="00E471BA" w:rsidP="00155771"/>
    <w:p w14:paraId="31A98CB4" w14:textId="77777777" w:rsidR="00C04C68" w:rsidRPr="00210679" w:rsidRDefault="00C04C68" w:rsidP="00C04C68">
      <w:pPr>
        <w:spacing w:after="0" w:line="240" w:lineRule="auto"/>
        <w:jc w:val="left"/>
        <w:rPr>
          <w:rFonts w:eastAsia="Times New Roman" w:cs="Times New Roman"/>
          <w:kern w:val="0"/>
          <w:szCs w:val="24"/>
          <w:lang w:val="en-US" w:eastAsia="en-GB"/>
          <w14:ligatures w14:val="none"/>
        </w:rPr>
      </w:pPr>
    </w:p>
    <w:sectPr w:rsidR="00C04C68" w:rsidRPr="00210679">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BA816" w14:textId="77777777" w:rsidR="0017258C" w:rsidRDefault="0017258C" w:rsidP="00E471BA">
      <w:pPr>
        <w:spacing w:after="0" w:line="240" w:lineRule="auto"/>
      </w:pPr>
      <w:r>
        <w:separator/>
      </w:r>
    </w:p>
  </w:endnote>
  <w:endnote w:type="continuationSeparator" w:id="0">
    <w:p w14:paraId="7A776D11" w14:textId="77777777" w:rsidR="0017258C" w:rsidRDefault="0017258C" w:rsidP="00E47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157063"/>
      <w:docPartObj>
        <w:docPartGallery w:val="Page Numbers (Bottom of Page)"/>
        <w:docPartUnique/>
      </w:docPartObj>
    </w:sdtPr>
    <w:sdtEndPr>
      <w:rPr>
        <w:noProof/>
      </w:rPr>
    </w:sdtEndPr>
    <w:sdtContent>
      <w:p w14:paraId="73999585" w14:textId="77777777" w:rsidR="00E471BA" w:rsidRDefault="00E471BA">
        <w:pPr>
          <w:pStyle w:val="Footer"/>
          <w:jc w:val="center"/>
        </w:pPr>
        <w:r>
          <w:fldChar w:fldCharType="begin"/>
        </w:r>
        <w:r>
          <w:instrText xml:space="preserve"> PAGE   \* MERGEFORMAT </w:instrText>
        </w:r>
        <w:r>
          <w:fldChar w:fldCharType="separate"/>
        </w:r>
        <w:r w:rsidR="00B90FCC">
          <w:rPr>
            <w:noProof/>
          </w:rPr>
          <w:t>11</w:t>
        </w:r>
        <w:r>
          <w:rPr>
            <w:noProof/>
          </w:rPr>
          <w:fldChar w:fldCharType="end"/>
        </w:r>
      </w:p>
    </w:sdtContent>
  </w:sdt>
  <w:p w14:paraId="660A1237" w14:textId="77777777" w:rsidR="00E471BA" w:rsidRDefault="00E47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C78E7" w14:textId="77777777" w:rsidR="0017258C" w:rsidRDefault="0017258C" w:rsidP="00E471BA">
      <w:pPr>
        <w:spacing w:after="0" w:line="240" w:lineRule="auto"/>
      </w:pPr>
      <w:r>
        <w:separator/>
      </w:r>
    </w:p>
  </w:footnote>
  <w:footnote w:type="continuationSeparator" w:id="0">
    <w:p w14:paraId="24086171" w14:textId="77777777" w:rsidR="0017258C" w:rsidRDefault="0017258C" w:rsidP="00E471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C68"/>
    <w:rsid w:val="000F3E4E"/>
    <w:rsid w:val="000F4245"/>
    <w:rsid w:val="00155771"/>
    <w:rsid w:val="0017258C"/>
    <w:rsid w:val="001C1F73"/>
    <w:rsid w:val="001D4788"/>
    <w:rsid w:val="00200323"/>
    <w:rsid w:val="00210679"/>
    <w:rsid w:val="00271F7E"/>
    <w:rsid w:val="002732E9"/>
    <w:rsid w:val="002A5BE7"/>
    <w:rsid w:val="002F22E4"/>
    <w:rsid w:val="0031165A"/>
    <w:rsid w:val="00324AC8"/>
    <w:rsid w:val="003C126D"/>
    <w:rsid w:val="0053361A"/>
    <w:rsid w:val="006B013C"/>
    <w:rsid w:val="006E69A8"/>
    <w:rsid w:val="007C4615"/>
    <w:rsid w:val="00812995"/>
    <w:rsid w:val="0081778F"/>
    <w:rsid w:val="008520D4"/>
    <w:rsid w:val="0088479B"/>
    <w:rsid w:val="008C168B"/>
    <w:rsid w:val="00A10209"/>
    <w:rsid w:val="00A75170"/>
    <w:rsid w:val="00B033D9"/>
    <w:rsid w:val="00B90FCC"/>
    <w:rsid w:val="00BA69F3"/>
    <w:rsid w:val="00C04C68"/>
    <w:rsid w:val="00D8387D"/>
    <w:rsid w:val="00E33B03"/>
    <w:rsid w:val="00E471BA"/>
    <w:rsid w:val="00E60366"/>
    <w:rsid w:val="00F1185F"/>
    <w:rsid w:val="00FA3808"/>
    <w:rsid w:val="00FD1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416C5"/>
  <w15:chartTrackingRefBased/>
  <w15:docId w15:val="{D5B756DD-E1AB-47A6-A3E0-72B17D673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C68"/>
    <w:pPr>
      <w:spacing w:line="360" w:lineRule="auto"/>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A75170"/>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2732E9"/>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324AC8"/>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32E9"/>
    <w:rPr>
      <w:rFonts w:ascii="Times New Roman" w:eastAsiaTheme="majorEastAsia" w:hAnsi="Times New Roman" w:cstheme="majorBidi"/>
      <w:b/>
      <w:color w:val="2E74B5" w:themeColor="accent1" w:themeShade="BF"/>
      <w:sz w:val="24"/>
      <w:szCs w:val="26"/>
      <w:lang w:val="en-GB"/>
    </w:rPr>
  </w:style>
  <w:style w:type="character" w:customStyle="1" w:styleId="Heading1Char">
    <w:name w:val="Heading 1 Char"/>
    <w:basedOn w:val="DefaultParagraphFont"/>
    <w:link w:val="Heading1"/>
    <w:uiPriority w:val="9"/>
    <w:rsid w:val="00A75170"/>
    <w:rPr>
      <w:rFonts w:ascii="Times New Roman" w:eastAsiaTheme="majorEastAsia" w:hAnsi="Times New Roman" w:cstheme="majorBidi"/>
      <w:b/>
      <w:color w:val="2E74B5" w:themeColor="accent1" w:themeShade="BF"/>
      <w:sz w:val="28"/>
      <w:szCs w:val="32"/>
      <w:lang w:val="en-GB"/>
    </w:rPr>
  </w:style>
  <w:style w:type="paragraph" w:styleId="Caption">
    <w:name w:val="caption"/>
    <w:basedOn w:val="Normal"/>
    <w:next w:val="Normal"/>
    <w:uiPriority w:val="35"/>
    <w:unhideWhenUsed/>
    <w:qFormat/>
    <w:rsid w:val="0081778F"/>
    <w:pPr>
      <w:spacing w:after="200" w:line="240" w:lineRule="auto"/>
      <w:jc w:val="center"/>
    </w:pPr>
    <w:rPr>
      <w:i/>
      <w:iCs/>
      <w:szCs w:val="18"/>
    </w:rPr>
  </w:style>
  <w:style w:type="paragraph" w:styleId="TOCHeading">
    <w:name w:val="TOC Heading"/>
    <w:basedOn w:val="Heading1"/>
    <w:next w:val="Normal"/>
    <w:uiPriority w:val="39"/>
    <w:unhideWhenUsed/>
    <w:qFormat/>
    <w:rsid w:val="00A75170"/>
    <w:pPr>
      <w:spacing w:line="240" w:lineRule="auto"/>
      <w:jc w:val="left"/>
      <w:outlineLvl w:val="9"/>
    </w:pPr>
    <w:rPr>
      <w:caps/>
      <w:sz w:val="32"/>
      <w:lang w:val="en-US"/>
    </w:rPr>
  </w:style>
  <w:style w:type="character" w:customStyle="1" w:styleId="Heading3Char">
    <w:name w:val="Heading 3 Char"/>
    <w:basedOn w:val="DefaultParagraphFont"/>
    <w:link w:val="Heading3"/>
    <w:uiPriority w:val="9"/>
    <w:rsid w:val="00324AC8"/>
    <w:rPr>
      <w:rFonts w:ascii="Times New Roman" w:eastAsiaTheme="majorEastAsia" w:hAnsi="Times New Roman" w:cstheme="majorBidi"/>
      <w:b/>
      <w:color w:val="1F4D78" w:themeColor="accent1" w:themeShade="7F"/>
      <w:sz w:val="24"/>
      <w:szCs w:val="24"/>
      <w:lang w:val="en-GB"/>
    </w:rPr>
  </w:style>
  <w:style w:type="paragraph" w:customStyle="1" w:styleId="source">
    <w:name w:val="source"/>
    <w:basedOn w:val="Normal"/>
    <w:link w:val="sourceChar"/>
    <w:qFormat/>
    <w:rsid w:val="0081778F"/>
    <w:pPr>
      <w:jc w:val="center"/>
    </w:pPr>
    <w:rPr>
      <w:i/>
    </w:rPr>
  </w:style>
  <w:style w:type="character" w:customStyle="1" w:styleId="sourceChar">
    <w:name w:val="source Char"/>
    <w:basedOn w:val="DefaultParagraphFont"/>
    <w:link w:val="source"/>
    <w:rsid w:val="0081778F"/>
    <w:rPr>
      <w:rFonts w:ascii="Times New Roman" w:hAnsi="Times New Roman"/>
      <w:i/>
      <w:kern w:val="2"/>
      <w:sz w:val="24"/>
      <w:lang w:val="en-GB"/>
      <w14:ligatures w14:val="standardContextual"/>
    </w:rPr>
  </w:style>
  <w:style w:type="paragraph" w:styleId="NormalWeb">
    <w:name w:val="Normal (Web)"/>
    <w:basedOn w:val="Normal"/>
    <w:uiPriority w:val="99"/>
    <w:semiHidden/>
    <w:unhideWhenUsed/>
    <w:rsid w:val="00C04C68"/>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C04C68"/>
    <w:rPr>
      <w:b/>
      <w:bCs/>
    </w:rPr>
  </w:style>
  <w:style w:type="character" w:styleId="Hyperlink">
    <w:name w:val="Hyperlink"/>
    <w:basedOn w:val="DefaultParagraphFont"/>
    <w:uiPriority w:val="99"/>
    <w:unhideWhenUsed/>
    <w:rsid w:val="00E471BA"/>
    <w:rPr>
      <w:color w:val="0563C1" w:themeColor="hyperlink"/>
      <w:u w:val="single"/>
    </w:rPr>
  </w:style>
  <w:style w:type="paragraph" w:styleId="TOC1">
    <w:name w:val="toc 1"/>
    <w:basedOn w:val="Normal"/>
    <w:next w:val="Normal"/>
    <w:autoRedefine/>
    <w:uiPriority w:val="39"/>
    <w:unhideWhenUsed/>
    <w:rsid w:val="00E471BA"/>
    <w:pPr>
      <w:spacing w:after="100"/>
    </w:pPr>
  </w:style>
  <w:style w:type="paragraph" w:styleId="TOC2">
    <w:name w:val="toc 2"/>
    <w:basedOn w:val="Normal"/>
    <w:next w:val="Normal"/>
    <w:autoRedefine/>
    <w:uiPriority w:val="39"/>
    <w:unhideWhenUsed/>
    <w:rsid w:val="00E471BA"/>
    <w:pPr>
      <w:spacing w:after="100"/>
      <w:ind w:left="240"/>
    </w:pPr>
  </w:style>
  <w:style w:type="paragraph" w:styleId="TOC3">
    <w:name w:val="toc 3"/>
    <w:basedOn w:val="Normal"/>
    <w:next w:val="Normal"/>
    <w:autoRedefine/>
    <w:uiPriority w:val="39"/>
    <w:unhideWhenUsed/>
    <w:rsid w:val="00E471BA"/>
    <w:pPr>
      <w:spacing w:after="100"/>
      <w:ind w:left="480"/>
    </w:pPr>
  </w:style>
  <w:style w:type="paragraph" w:styleId="TableofFigures">
    <w:name w:val="table of figures"/>
    <w:basedOn w:val="Normal"/>
    <w:next w:val="Normal"/>
    <w:uiPriority w:val="99"/>
    <w:unhideWhenUsed/>
    <w:rsid w:val="00E471BA"/>
    <w:pPr>
      <w:spacing w:after="0"/>
    </w:pPr>
  </w:style>
  <w:style w:type="paragraph" w:styleId="Header">
    <w:name w:val="header"/>
    <w:basedOn w:val="Normal"/>
    <w:link w:val="HeaderChar"/>
    <w:uiPriority w:val="99"/>
    <w:unhideWhenUsed/>
    <w:rsid w:val="00E471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1BA"/>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E471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1BA"/>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498132">
      <w:bodyDiv w:val="1"/>
      <w:marLeft w:val="0"/>
      <w:marRight w:val="0"/>
      <w:marTop w:val="0"/>
      <w:marBottom w:val="0"/>
      <w:divBdr>
        <w:top w:val="none" w:sz="0" w:space="0" w:color="auto"/>
        <w:left w:val="none" w:sz="0" w:space="0" w:color="auto"/>
        <w:bottom w:val="none" w:sz="0" w:space="0" w:color="auto"/>
        <w:right w:val="none" w:sz="0" w:space="0" w:color="auto"/>
      </w:divBdr>
      <w:divsChild>
        <w:div w:id="1003163144">
          <w:blockQuote w:val="1"/>
          <w:marLeft w:val="720"/>
          <w:marRight w:val="720"/>
          <w:marTop w:val="100"/>
          <w:marBottom w:val="100"/>
          <w:divBdr>
            <w:top w:val="none" w:sz="0" w:space="0" w:color="auto"/>
            <w:left w:val="none" w:sz="0" w:space="0" w:color="auto"/>
            <w:bottom w:val="none" w:sz="0" w:space="0" w:color="auto"/>
            <w:right w:val="none" w:sz="0" w:space="0" w:color="auto"/>
          </w:divBdr>
        </w:div>
        <w:div w:id="1880314870">
          <w:blockQuote w:val="1"/>
          <w:marLeft w:val="720"/>
          <w:marRight w:val="720"/>
          <w:marTop w:val="100"/>
          <w:marBottom w:val="100"/>
          <w:divBdr>
            <w:top w:val="none" w:sz="0" w:space="0" w:color="auto"/>
            <w:left w:val="none" w:sz="0" w:space="0" w:color="auto"/>
            <w:bottom w:val="none" w:sz="0" w:space="0" w:color="auto"/>
            <w:right w:val="none" w:sz="0" w:space="0" w:color="auto"/>
          </w:divBdr>
        </w:div>
        <w:div w:id="669018940">
          <w:blockQuote w:val="1"/>
          <w:marLeft w:val="720"/>
          <w:marRight w:val="720"/>
          <w:marTop w:val="100"/>
          <w:marBottom w:val="100"/>
          <w:divBdr>
            <w:top w:val="none" w:sz="0" w:space="0" w:color="auto"/>
            <w:left w:val="none" w:sz="0" w:space="0" w:color="auto"/>
            <w:bottom w:val="none" w:sz="0" w:space="0" w:color="auto"/>
            <w:right w:val="none" w:sz="0" w:space="0" w:color="auto"/>
          </w:divBdr>
        </w:div>
        <w:div w:id="200828933">
          <w:blockQuote w:val="1"/>
          <w:marLeft w:val="720"/>
          <w:marRight w:val="720"/>
          <w:marTop w:val="100"/>
          <w:marBottom w:val="100"/>
          <w:divBdr>
            <w:top w:val="none" w:sz="0" w:space="0" w:color="auto"/>
            <w:left w:val="none" w:sz="0" w:space="0" w:color="auto"/>
            <w:bottom w:val="none" w:sz="0" w:space="0" w:color="auto"/>
            <w:right w:val="none" w:sz="0" w:space="0" w:color="auto"/>
          </w:divBdr>
        </w:div>
        <w:div w:id="276715474">
          <w:blockQuote w:val="1"/>
          <w:marLeft w:val="720"/>
          <w:marRight w:val="720"/>
          <w:marTop w:val="100"/>
          <w:marBottom w:val="100"/>
          <w:divBdr>
            <w:top w:val="none" w:sz="0" w:space="0" w:color="auto"/>
            <w:left w:val="none" w:sz="0" w:space="0" w:color="auto"/>
            <w:bottom w:val="none" w:sz="0" w:space="0" w:color="auto"/>
            <w:right w:val="none" w:sz="0" w:space="0" w:color="auto"/>
          </w:divBdr>
        </w:div>
        <w:div w:id="1290092945">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400489">
          <w:blockQuote w:val="1"/>
          <w:marLeft w:val="720"/>
          <w:marRight w:val="720"/>
          <w:marTop w:val="100"/>
          <w:marBottom w:val="100"/>
          <w:divBdr>
            <w:top w:val="none" w:sz="0" w:space="0" w:color="auto"/>
            <w:left w:val="none" w:sz="0" w:space="0" w:color="auto"/>
            <w:bottom w:val="none" w:sz="0" w:space="0" w:color="auto"/>
            <w:right w:val="none" w:sz="0" w:space="0" w:color="auto"/>
          </w:divBdr>
        </w:div>
        <w:div w:id="5231745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9569736">
      <w:bodyDiv w:val="1"/>
      <w:marLeft w:val="0"/>
      <w:marRight w:val="0"/>
      <w:marTop w:val="0"/>
      <w:marBottom w:val="0"/>
      <w:divBdr>
        <w:top w:val="none" w:sz="0" w:space="0" w:color="auto"/>
        <w:left w:val="none" w:sz="0" w:space="0" w:color="auto"/>
        <w:bottom w:val="none" w:sz="0" w:space="0" w:color="auto"/>
        <w:right w:val="none" w:sz="0" w:space="0" w:color="auto"/>
      </w:divBdr>
      <w:divsChild>
        <w:div w:id="756094234">
          <w:marLeft w:val="0"/>
          <w:marRight w:val="0"/>
          <w:marTop w:val="0"/>
          <w:marBottom w:val="0"/>
          <w:divBdr>
            <w:top w:val="none" w:sz="0" w:space="0" w:color="auto"/>
            <w:left w:val="none" w:sz="0" w:space="0" w:color="auto"/>
            <w:bottom w:val="none" w:sz="0" w:space="0" w:color="auto"/>
            <w:right w:val="none" w:sz="0" w:space="0" w:color="auto"/>
          </w:divBdr>
        </w:div>
      </w:divsChild>
    </w:div>
    <w:div w:id="922761629">
      <w:bodyDiv w:val="1"/>
      <w:marLeft w:val="0"/>
      <w:marRight w:val="0"/>
      <w:marTop w:val="0"/>
      <w:marBottom w:val="0"/>
      <w:divBdr>
        <w:top w:val="none" w:sz="0" w:space="0" w:color="auto"/>
        <w:left w:val="none" w:sz="0" w:space="0" w:color="auto"/>
        <w:bottom w:val="none" w:sz="0" w:space="0" w:color="auto"/>
        <w:right w:val="none" w:sz="0" w:space="0" w:color="auto"/>
      </w:divBdr>
      <w:divsChild>
        <w:div w:id="15140339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4854489">
      <w:bodyDiv w:val="1"/>
      <w:marLeft w:val="0"/>
      <w:marRight w:val="0"/>
      <w:marTop w:val="0"/>
      <w:marBottom w:val="0"/>
      <w:divBdr>
        <w:top w:val="none" w:sz="0" w:space="0" w:color="auto"/>
        <w:left w:val="none" w:sz="0" w:space="0" w:color="auto"/>
        <w:bottom w:val="none" w:sz="0" w:space="0" w:color="auto"/>
        <w:right w:val="none" w:sz="0" w:space="0" w:color="auto"/>
      </w:divBdr>
      <w:divsChild>
        <w:div w:id="1871261412">
          <w:marLeft w:val="0"/>
          <w:marRight w:val="0"/>
          <w:marTop w:val="0"/>
          <w:marBottom w:val="0"/>
          <w:divBdr>
            <w:top w:val="none" w:sz="0" w:space="0" w:color="auto"/>
            <w:left w:val="none" w:sz="0" w:space="0" w:color="auto"/>
            <w:bottom w:val="none" w:sz="0" w:space="0" w:color="auto"/>
            <w:right w:val="none" w:sz="0" w:space="0" w:color="auto"/>
          </w:divBdr>
          <w:divsChild>
            <w:div w:id="364133867">
              <w:marLeft w:val="0"/>
              <w:marRight w:val="0"/>
              <w:marTop w:val="0"/>
              <w:marBottom w:val="0"/>
              <w:divBdr>
                <w:top w:val="none" w:sz="0" w:space="0" w:color="auto"/>
                <w:left w:val="none" w:sz="0" w:space="0" w:color="auto"/>
                <w:bottom w:val="none" w:sz="0" w:space="0" w:color="auto"/>
                <w:right w:val="none" w:sz="0" w:space="0" w:color="auto"/>
              </w:divBdr>
              <w:divsChild>
                <w:div w:id="669797005">
                  <w:marLeft w:val="0"/>
                  <w:marRight w:val="0"/>
                  <w:marTop w:val="0"/>
                  <w:marBottom w:val="0"/>
                  <w:divBdr>
                    <w:top w:val="none" w:sz="0" w:space="0" w:color="auto"/>
                    <w:left w:val="none" w:sz="0" w:space="0" w:color="auto"/>
                    <w:bottom w:val="none" w:sz="0" w:space="0" w:color="auto"/>
                    <w:right w:val="none" w:sz="0" w:space="0" w:color="auto"/>
                  </w:divBdr>
                  <w:divsChild>
                    <w:div w:id="473835027">
                      <w:marLeft w:val="0"/>
                      <w:marRight w:val="0"/>
                      <w:marTop w:val="0"/>
                      <w:marBottom w:val="0"/>
                      <w:divBdr>
                        <w:top w:val="none" w:sz="0" w:space="0" w:color="auto"/>
                        <w:left w:val="none" w:sz="0" w:space="0" w:color="auto"/>
                        <w:bottom w:val="none" w:sz="0" w:space="0" w:color="auto"/>
                        <w:right w:val="none" w:sz="0" w:space="0" w:color="auto"/>
                      </w:divBdr>
                      <w:divsChild>
                        <w:div w:id="1634562350">
                          <w:marLeft w:val="0"/>
                          <w:marRight w:val="0"/>
                          <w:marTop w:val="0"/>
                          <w:marBottom w:val="0"/>
                          <w:divBdr>
                            <w:top w:val="none" w:sz="0" w:space="0" w:color="auto"/>
                            <w:left w:val="none" w:sz="0" w:space="0" w:color="auto"/>
                            <w:bottom w:val="none" w:sz="0" w:space="0" w:color="auto"/>
                            <w:right w:val="none" w:sz="0" w:space="0" w:color="auto"/>
                          </w:divBdr>
                          <w:divsChild>
                            <w:div w:id="1534223967">
                              <w:marLeft w:val="0"/>
                              <w:marRight w:val="0"/>
                              <w:marTop w:val="0"/>
                              <w:marBottom w:val="0"/>
                              <w:divBdr>
                                <w:top w:val="none" w:sz="0" w:space="0" w:color="auto"/>
                                <w:left w:val="none" w:sz="0" w:space="0" w:color="auto"/>
                                <w:bottom w:val="none" w:sz="0" w:space="0" w:color="auto"/>
                                <w:right w:val="none" w:sz="0" w:space="0" w:color="auto"/>
                              </w:divBdr>
                              <w:divsChild>
                                <w:div w:id="840048472">
                                  <w:marLeft w:val="0"/>
                                  <w:marRight w:val="0"/>
                                  <w:marTop w:val="0"/>
                                  <w:marBottom w:val="0"/>
                                  <w:divBdr>
                                    <w:top w:val="none" w:sz="0" w:space="0" w:color="auto"/>
                                    <w:left w:val="none" w:sz="0" w:space="0" w:color="auto"/>
                                    <w:bottom w:val="none" w:sz="0" w:space="0" w:color="auto"/>
                                    <w:right w:val="none" w:sz="0" w:space="0" w:color="auto"/>
                                  </w:divBdr>
                                  <w:divsChild>
                                    <w:div w:id="2131589653">
                                      <w:marLeft w:val="0"/>
                                      <w:marRight w:val="0"/>
                                      <w:marTop w:val="0"/>
                                      <w:marBottom w:val="0"/>
                                      <w:divBdr>
                                        <w:top w:val="none" w:sz="0" w:space="0" w:color="auto"/>
                                        <w:left w:val="none" w:sz="0" w:space="0" w:color="auto"/>
                                        <w:bottom w:val="none" w:sz="0" w:space="0" w:color="auto"/>
                                        <w:right w:val="none" w:sz="0" w:space="0" w:color="auto"/>
                                      </w:divBdr>
                                      <w:divsChild>
                                        <w:div w:id="1529217714">
                                          <w:marLeft w:val="0"/>
                                          <w:marRight w:val="0"/>
                                          <w:marTop w:val="0"/>
                                          <w:marBottom w:val="0"/>
                                          <w:divBdr>
                                            <w:top w:val="none" w:sz="0" w:space="0" w:color="auto"/>
                                            <w:left w:val="none" w:sz="0" w:space="0" w:color="auto"/>
                                            <w:bottom w:val="none" w:sz="0" w:space="0" w:color="auto"/>
                                            <w:right w:val="none" w:sz="0" w:space="0" w:color="auto"/>
                                          </w:divBdr>
                                          <w:divsChild>
                                            <w:div w:id="1670399517">
                                              <w:marLeft w:val="0"/>
                                              <w:marRight w:val="0"/>
                                              <w:marTop w:val="0"/>
                                              <w:marBottom w:val="0"/>
                                              <w:divBdr>
                                                <w:top w:val="none" w:sz="0" w:space="0" w:color="auto"/>
                                                <w:left w:val="none" w:sz="0" w:space="0" w:color="auto"/>
                                                <w:bottom w:val="none" w:sz="0" w:space="0" w:color="auto"/>
                                                <w:right w:val="none" w:sz="0" w:space="0" w:color="auto"/>
                                              </w:divBdr>
                                              <w:divsChild>
                                                <w:div w:id="1281647932">
                                                  <w:marLeft w:val="0"/>
                                                  <w:marRight w:val="0"/>
                                                  <w:marTop w:val="0"/>
                                                  <w:marBottom w:val="0"/>
                                                  <w:divBdr>
                                                    <w:top w:val="none" w:sz="0" w:space="0" w:color="auto"/>
                                                    <w:left w:val="none" w:sz="0" w:space="0" w:color="auto"/>
                                                    <w:bottom w:val="none" w:sz="0" w:space="0" w:color="auto"/>
                                                    <w:right w:val="none" w:sz="0" w:space="0" w:color="auto"/>
                                                  </w:divBdr>
                                                  <w:divsChild>
                                                    <w:div w:id="1350524660">
                                                      <w:marLeft w:val="0"/>
                                                      <w:marRight w:val="0"/>
                                                      <w:marTop w:val="0"/>
                                                      <w:marBottom w:val="0"/>
                                                      <w:divBdr>
                                                        <w:top w:val="none" w:sz="0" w:space="0" w:color="auto"/>
                                                        <w:left w:val="none" w:sz="0" w:space="0" w:color="auto"/>
                                                        <w:bottom w:val="none" w:sz="0" w:space="0" w:color="auto"/>
                                                        <w:right w:val="none" w:sz="0" w:space="0" w:color="auto"/>
                                                      </w:divBdr>
                                                      <w:divsChild>
                                                        <w:div w:id="1337339409">
                                                          <w:marLeft w:val="0"/>
                                                          <w:marRight w:val="0"/>
                                                          <w:marTop w:val="0"/>
                                                          <w:marBottom w:val="0"/>
                                                          <w:divBdr>
                                                            <w:top w:val="none" w:sz="0" w:space="0" w:color="auto"/>
                                                            <w:left w:val="none" w:sz="0" w:space="0" w:color="auto"/>
                                                            <w:bottom w:val="none" w:sz="0" w:space="0" w:color="auto"/>
                                                            <w:right w:val="none" w:sz="0" w:space="0" w:color="auto"/>
                                                          </w:divBdr>
                                                        </w:div>
                                                        <w:div w:id="134370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99292">
                                  <w:marLeft w:val="0"/>
                                  <w:marRight w:val="0"/>
                                  <w:marTop w:val="0"/>
                                  <w:marBottom w:val="0"/>
                                  <w:divBdr>
                                    <w:top w:val="none" w:sz="0" w:space="0" w:color="auto"/>
                                    <w:left w:val="none" w:sz="0" w:space="0" w:color="auto"/>
                                    <w:bottom w:val="none" w:sz="0" w:space="0" w:color="auto"/>
                                    <w:right w:val="none" w:sz="0" w:space="0" w:color="auto"/>
                                  </w:divBdr>
                                  <w:divsChild>
                                    <w:div w:id="204559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4334483">
          <w:marLeft w:val="0"/>
          <w:marRight w:val="0"/>
          <w:marTop w:val="0"/>
          <w:marBottom w:val="0"/>
          <w:divBdr>
            <w:top w:val="none" w:sz="0" w:space="0" w:color="auto"/>
            <w:left w:val="none" w:sz="0" w:space="0" w:color="auto"/>
            <w:bottom w:val="none" w:sz="0" w:space="0" w:color="auto"/>
            <w:right w:val="none" w:sz="0" w:space="0" w:color="auto"/>
          </w:divBdr>
          <w:divsChild>
            <w:div w:id="539437897">
              <w:marLeft w:val="0"/>
              <w:marRight w:val="0"/>
              <w:marTop w:val="0"/>
              <w:marBottom w:val="0"/>
              <w:divBdr>
                <w:top w:val="none" w:sz="0" w:space="0" w:color="auto"/>
                <w:left w:val="none" w:sz="0" w:space="0" w:color="auto"/>
                <w:bottom w:val="none" w:sz="0" w:space="0" w:color="auto"/>
                <w:right w:val="none" w:sz="0" w:space="0" w:color="auto"/>
              </w:divBdr>
              <w:divsChild>
                <w:div w:id="806357033">
                  <w:marLeft w:val="0"/>
                  <w:marRight w:val="0"/>
                  <w:marTop w:val="0"/>
                  <w:marBottom w:val="0"/>
                  <w:divBdr>
                    <w:top w:val="none" w:sz="0" w:space="0" w:color="auto"/>
                    <w:left w:val="none" w:sz="0" w:space="0" w:color="auto"/>
                    <w:bottom w:val="none" w:sz="0" w:space="0" w:color="auto"/>
                    <w:right w:val="none" w:sz="0" w:space="0" w:color="auto"/>
                  </w:divBdr>
                  <w:divsChild>
                    <w:div w:id="1749646496">
                      <w:marLeft w:val="0"/>
                      <w:marRight w:val="0"/>
                      <w:marTop w:val="0"/>
                      <w:marBottom w:val="0"/>
                      <w:divBdr>
                        <w:top w:val="none" w:sz="0" w:space="0" w:color="auto"/>
                        <w:left w:val="none" w:sz="0" w:space="0" w:color="auto"/>
                        <w:bottom w:val="none" w:sz="0" w:space="0" w:color="auto"/>
                        <w:right w:val="none" w:sz="0" w:space="0" w:color="auto"/>
                      </w:divBdr>
                      <w:divsChild>
                        <w:div w:id="514537258">
                          <w:marLeft w:val="0"/>
                          <w:marRight w:val="0"/>
                          <w:marTop w:val="0"/>
                          <w:marBottom w:val="0"/>
                          <w:divBdr>
                            <w:top w:val="none" w:sz="0" w:space="0" w:color="auto"/>
                            <w:left w:val="none" w:sz="0" w:space="0" w:color="auto"/>
                            <w:bottom w:val="none" w:sz="0" w:space="0" w:color="auto"/>
                            <w:right w:val="none" w:sz="0" w:space="0" w:color="auto"/>
                          </w:divBdr>
                          <w:divsChild>
                            <w:div w:id="1045714170">
                              <w:marLeft w:val="0"/>
                              <w:marRight w:val="0"/>
                              <w:marTop w:val="0"/>
                              <w:marBottom w:val="0"/>
                              <w:divBdr>
                                <w:top w:val="none" w:sz="0" w:space="0" w:color="auto"/>
                                <w:left w:val="none" w:sz="0" w:space="0" w:color="auto"/>
                                <w:bottom w:val="none" w:sz="0" w:space="0" w:color="auto"/>
                                <w:right w:val="none" w:sz="0" w:space="0" w:color="auto"/>
                              </w:divBdr>
                              <w:divsChild>
                                <w:div w:id="1547907457">
                                  <w:marLeft w:val="0"/>
                                  <w:marRight w:val="0"/>
                                  <w:marTop w:val="0"/>
                                  <w:marBottom w:val="0"/>
                                  <w:divBdr>
                                    <w:top w:val="none" w:sz="0" w:space="0" w:color="auto"/>
                                    <w:left w:val="none" w:sz="0" w:space="0" w:color="auto"/>
                                    <w:bottom w:val="none" w:sz="0" w:space="0" w:color="auto"/>
                                    <w:right w:val="none" w:sz="0" w:space="0" w:color="auto"/>
                                  </w:divBdr>
                                  <w:divsChild>
                                    <w:div w:id="521210363">
                                      <w:marLeft w:val="0"/>
                                      <w:marRight w:val="0"/>
                                      <w:marTop w:val="0"/>
                                      <w:marBottom w:val="0"/>
                                      <w:divBdr>
                                        <w:top w:val="none" w:sz="0" w:space="0" w:color="auto"/>
                                        <w:left w:val="none" w:sz="0" w:space="0" w:color="auto"/>
                                        <w:bottom w:val="none" w:sz="0" w:space="0" w:color="auto"/>
                                        <w:right w:val="none" w:sz="0" w:space="0" w:color="auto"/>
                                      </w:divBdr>
                                      <w:divsChild>
                                        <w:div w:id="461651916">
                                          <w:marLeft w:val="0"/>
                                          <w:marRight w:val="0"/>
                                          <w:marTop w:val="0"/>
                                          <w:marBottom w:val="0"/>
                                          <w:divBdr>
                                            <w:top w:val="none" w:sz="0" w:space="0" w:color="auto"/>
                                            <w:left w:val="none" w:sz="0" w:space="0" w:color="auto"/>
                                            <w:bottom w:val="none" w:sz="0" w:space="0" w:color="auto"/>
                                            <w:right w:val="none" w:sz="0" w:space="0" w:color="auto"/>
                                          </w:divBdr>
                                        </w:div>
                                      </w:divsChild>
                                    </w:div>
                                    <w:div w:id="19667679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1318607">
          <w:marLeft w:val="0"/>
          <w:marRight w:val="0"/>
          <w:marTop w:val="0"/>
          <w:marBottom w:val="0"/>
          <w:divBdr>
            <w:top w:val="none" w:sz="0" w:space="0" w:color="auto"/>
            <w:left w:val="none" w:sz="0" w:space="0" w:color="auto"/>
            <w:bottom w:val="none" w:sz="0" w:space="0" w:color="auto"/>
            <w:right w:val="none" w:sz="0" w:space="0" w:color="auto"/>
          </w:divBdr>
          <w:divsChild>
            <w:div w:id="806051293">
              <w:marLeft w:val="0"/>
              <w:marRight w:val="0"/>
              <w:marTop w:val="0"/>
              <w:marBottom w:val="0"/>
              <w:divBdr>
                <w:top w:val="none" w:sz="0" w:space="0" w:color="auto"/>
                <w:left w:val="none" w:sz="0" w:space="0" w:color="auto"/>
                <w:bottom w:val="none" w:sz="0" w:space="0" w:color="auto"/>
                <w:right w:val="none" w:sz="0" w:space="0" w:color="auto"/>
              </w:divBdr>
              <w:divsChild>
                <w:div w:id="2041465629">
                  <w:marLeft w:val="0"/>
                  <w:marRight w:val="0"/>
                  <w:marTop w:val="0"/>
                  <w:marBottom w:val="0"/>
                  <w:divBdr>
                    <w:top w:val="none" w:sz="0" w:space="0" w:color="auto"/>
                    <w:left w:val="none" w:sz="0" w:space="0" w:color="auto"/>
                    <w:bottom w:val="none" w:sz="0" w:space="0" w:color="auto"/>
                    <w:right w:val="none" w:sz="0" w:space="0" w:color="auto"/>
                  </w:divBdr>
                  <w:divsChild>
                    <w:div w:id="993919329">
                      <w:marLeft w:val="0"/>
                      <w:marRight w:val="0"/>
                      <w:marTop w:val="0"/>
                      <w:marBottom w:val="0"/>
                      <w:divBdr>
                        <w:top w:val="none" w:sz="0" w:space="0" w:color="auto"/>
                        <w:left w:val="none" w:sz="0" w:space="0" w:color="auto"/>
                        <w:bottom w:val="none" w:sz="0" w:space="0" w:color="auto"/>
                        <w:right w:val="none" w:sz="0" w:space="0" w:color="auto"/>
                      </w:divBdr>
                      <w:divsChild>
                        <w:div w:id="1109937135">
                          <w:marLeft w:val="0"/>
                          <w:marRight w:val="0"/>
                          <w:marTop w:val="0"/>
                          <w:marBottom w:val="0"/>
                          <w:divBdr>
                            <w:top w:val="none" w:sz="0" w:space="0" w:color="auto"/>
                            <w:left w:val="none" w:sz="0" w:space="0" w:color="auto"/>
                            <w:bottom w:val="none" w:sz="0" w:space="0" w:color="auto"/>
                            <w:right w:val="none" w:sz="0" w:space="0" w:color="auto"/>
                          </w:divBdr>
                          <w:divsChild>
                            <w:div w:id="1884780320">
                              <w:marLeft w:val="0"/>
                              <w:marRight w:val="0"/>
                              <w:marTop w:val="0"/>
                              <w:marBottom w:val="0"/>
                              <w:divBdr>
                                <w:top w:val="none" w:sz="0" w:space="0" w:color="auto"/>
                                <w:left w:val="none" w:sz="0" w:space="0" w:color="auto"/>
                                <w:bottom w:val="none" w:sz="0" w:space="0" w:color="auto"/>
                                <w:right w:val="none" w:sz="0" w:space="0" w:color="auto"/>
                              </w:divBdr>
                              <w:divsChild>
                                <w:div w:id="970093209">
                                  <w:marLeft w:val="0"/>
                                  <w:marRight w:val="0"/>
                                  <w:marTop w:val="0"/>
                                  <w:marBottom w:val="0"/>
                                  <w:divBdr>
                                    <w:top w:val="none" w:sz="0" w:space="0" w:color="auto"/>
                                    <w:left w:val="none" w:sz="0" w:space="0" w:color="auto"/>
                                    <w:bottom w:val="none" w:sz="0" w:space="0" w:color="auto"/>
                                    <w:right w:val="none" w:sz="0" w:space="0" w:color="auto"/>
                                  </w:divBdr>
                                  <w:divsChild>
                                    <w:div w:id="156509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7268791">
          <w:marLeft w:val="0"/>
          <w:marRight w:val="0"/>
          <w:marTop w:val="0"/>
          <w:marBottom w:val="0"/>
          <w:divBdr>
            <w:top w:val="none" w:sz="0" w:space="0" w:color="auto"/>
            <w:left w:val="none" w:sz="0" w:space="0" w:color="auto"/>
            <w:bottom w:val="none" w:sz="0" w:space="0" w:color="auto"/>
            <w:right w:val="none" w:sz="0" w:space="0" w:color="auto"/>
          </w:divBdr>
          <w:divsChild>
            <w:div w:id="511801199">
              <w:marLeft w:val="0"/>
              <w:marRight w:val="0"/>
              <w:marTop w:val="0"/>
              <w:marBottom w:val="0"/>
              <w:divBdr>
                <w:top w:val="none" w:sz="0" w:space="0" w:color="auto"/>
                <w:left w:val="none" w:sz="0" w:space="0" w:color="auto"/>
                <w:bottom w:val="none" w:sz="0" w:space="0" w:color="auto"/>
                <w:right w:val="none" w:sz="0" w:space="0" w:color="auto"/>
              </w:divBdr>
              <w:divsChild>
                <w:div w:id="1831170220">
                  <w:marLeft w:val="0"/>
                  <w:marRight w:val="0"/>
                  <w:marTop w:val="0"/>
                  <w:marBottom w:val="0"/>
                  <w:divBdr>
                    <w:top w:val="none" w:sz="0" w:space="0" w:color="auto"/>
                    <w:left w:val="none" w:sz="0" w:space="0" w:color="auto"/>
                    <w:bottom w:val="none" w:sz="0" w:space="0" w:color="auto"/>
                    <w:right w:val="none" w:sz="0" w:space="0" w:color="auto"/>
                  </w:divBdr>
                  <w:divsChild>
                    <w:div w:id="937298137">
                      <w:marLeft w:val="0"/>
                      <w:marRight w:val="0"/>
                      <w:marTop w:val="0"/>
                      <w:marBottom w:val="0"/>
                      <w:divBdr>
                        <w:top w:val="none" w:sz="0" w:space="0" w:color="auto"/>
                        <w:left w:val="none" w:sz="0" w:space="0" w:color="auto"/>
                        <w:bottom w:val="none" w:sz="0" w:space="0" w:color="auto"/>
                        <w:right w:val="none" w:sz="0" w:space="0" w:color="auto"/>
                      </w:divBdr>
                      <w:divsChild>
                        <w:div w:id="384063782">
                          <w:marLeft w:val="0"/>
                          <w:marRight w:val="0"/>
                          <w:marTop w:val="0"/>
                          <w:marBottom w:val="0"/>
                          <w:divBdr>
                            <w:top w:val="none" w:sz="0" w:space="0" w:color="auto"/>
                            <w:left w:val="none" w:sz="0" w:space="0" w:color="auto"/>
                            <w:bottom w:val="none" w:sz="0" w:space="0" w:color="auto"/>
                            <w:right w:val="none" w:sz="0" w:space="0" w:color="auto"/>
                          </w:divBdr>
                          <w:divsChild>
                            <w:div w:id="1609240080">
                              <w:marLeft w:val="0"/>
                              <w:marRight w:val="0"/>
                              <w:marTop w:val="0"/>
                              <w:marBottom w:val="0"/>
                              <w:divBdr>
                                <w:top w:val="none" w:sz="0" w:space="0" w:color="auto"/>
                                <w:left w:val="none" w:sz="0" w:space="0" w:color="auto"/>
                                <w:bottom w:val="none" w:sz="0" w:space="0" w:color="auto"/>
                                <w:right w:val="none" w:sz="0" w:space="0" w:color="auto"/>
                              </w:divBdr>
                              <w:divsChild>
                                <w:div w:id="307245826">
                                  <w:marLeft w:val="0"/>
                                  <w:marRight w:val="0"/>
                                  <w:marTop w:val="0"/>
                                  <w:marBottom w:val="0"/>
                                  <w:divBdr>
                                    <w:top w:val="none" w:sz="0" w:space="0" w:color="auto"/>
                                    <w:left w:val="none" w:sz="0" w:space="0" w:color="auto"/>
                                    <w:bottom w:val="none" w:sz="0" w:space="0" w:color="auto"/>
                                    <w:right w:val="none" w:sz="0" w:space="0" w:color="auto"/>
                                  </w:divBdr>
                                  <w:divsChild>
                                    <w:div w:id="1291940771">
                                      <w:marLeft w:val="0"/>
                                      <w:marRight w:val="0"/>
                                      <w:marTop w:val="0"/>
                                      <w:marBottom w:val="0"/>
                                      <w:divBdr>
                                        <w:top w:val="none" w:sz="0" w:space="0" w:color="auto"/>
                                        <w:left w:val="none" w:sz="0" w:space="0" w:color="auto"/>
                                        <w:bottom w:val="none" w:sz="0" w:space="0" w:color="auto"/>
                                        <w:right w:val="none" w:sz="0" w:space="0" w:color="auto"/>
                                      </w:divBdr>
                                      <w:divsChild>
                                        <w:div w:id="1335457135">
                                          <w:marLeft w:val="0"/>
                                          <w:marRight w:val="0"/>
                                          <w:marTop w:val="0"/>
                                          <w:marBottom w:val="0"/>
                                          <w:divBdr>
                                            <w:top w:val="none" w:sz="0" w:space="0" w:color="auto"/>
                                            <w:left w:val="none" w:sz="0" w:space="0" w:color="auto"/>
                                            <w:bottom w:val="none" w:sz="0" w:space="0" w:color="auto"/>
                                            <w:right w:val="none" w:sz="0" w:space="0" w:color="auto"/>
                                          </w:divBdr>
                                        </w:div>
                                      </w:divsChild>
                                    </w:div>
                                    <w:div w:id="2005236813">
                                      <w:blockQuote w:val="1"/>
                                      <w:marLeft w:val="720"/>
                                      <w:marRight w:val="720"/>
                                      <w:marTop w:val="100"/>
                                      <w:marBottom w:val="100"/>
                                      <w:divBdr>
                                        <w:top w:val="none" w:sz="0" w:space="0" w:color="auto"/>
                                        <w:left w:val="none" w:sz="0" w:space="0" w:color="auto"/>
                                        <w:bottom w:val="none" w:sz="0" w:space="0" w:color="auto"/>
                                        <w:right w:val="none" w:sz="0" w:space="0" w:color="auto"/>
                                      </w:divBdr>
                                    </w:div>
                                    <w:div w:id="137488429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4353315">
                                      <w:blockQuote w:val="1"/>
                                      <w:marLeft w:val="720"/>
                                      <w:marRight w:val="720"/>
                                      <w:marTop w:val="100"/>
                                      <w:marBottom w:val="100"/>
                                      <w:divBdr>
                                        <w:top w:val="none" w:sz="0" w:space="0" w:color="auto"/>
                                        <w:left w:val="none" w:sz="0" w:space="0" w:color="auto"/>
                                        <w:bottom w:val="none" w:sz="0" w:space="0" w:color="auto"/>
                                        <w:right w:val="none" w:sz="0" w:space="0" w:color="auto"/>
                                      </w:divBdr>
                                    </w:div>
                                    <w:div w:id="1743601112">
                                      <w:blockQuote w:val="1"/>
                                      <w:marLeft w:val="720"/>
                                      <w:marRight w:val="720"/>
                                      <w:marTop w:val="100"/>
                                      <w:marBottom w:val="100"/>
                                      <w:divBdr>
                                        <w:top w:val="none" w:sz="0" w:space="0" w:color="auto"/>
                                        <w:left w:val="none" w:sz="0" w:space="0" w:color="auto"/>
                                        <w:bottom w:val="none" w:sz="0" w:space="0" w:color="auto"/>
                                        <w:right w:val="none" w:sz="0" w:space="0" w:color="auto"/>
                                      </w:divBdr>
                                    </w:div>
                                    <w:div w:id="218907066">
                                      <w:blockQuote w:val="1"/>
                                      <w:marLeft w:val="720"/>
                                      <w:marRight w:val="720"/>
                                      <w:marTop w:val="100"/>
                                      <w:marBottom w:val="100"/>
                                      <w:divBdr>
                                        <w:top w:val="none" w:sz="0" w:space="0" w:color="auto"/>
                                        <w:left w:val="none" w:sz="0" w:space="0" w:color="auto"/>
                                        <w:bottom w:val="none" w:sz="0" w:space="0" w:color="auto"/>
                                        <w:right w:val="none" w:sz="0" w:space="0" w:color="auto"/>
                                      </w:divBdr>
                                    </w:div>
                                    <w:div w:id="1344673297">
                                      <w:blockQuote w:val="1"/>
                                      <w:marLeft w:val="720"/>
                                      <w:marRight w:val="720"/>
                                      <w:marTop w:val="100"/>
                                      <w:marBottom w:val="100"/>
                                      <w:divBdr>
                                        <w:top w:val="none" w:sz="0" w:space="0" w:color="auto"/>
                                        <w:left w:val="none" w:sz="0" w:space="0" w:color="auto"/>
                                        <w:bottom w:val="none" w:sz="0" w:space="0" w:color="auto"/>
                                        <w:right w:val="none" w:sz="0" w:space="0" w:color="auto"/>
                                      </w:divBdr>
                                    </w:div>
                                    <w:div w:id="3415883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876264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p.com/sustainability/climate-change/climate-transition-action-plan" TargetMode="External"/><Relationship Id="rId18" Type="http://schemas.openxmlformats.org/officeDocument/2006/relationships/hyperlink" Target="https://doi.org/10.1007/s10551-024-05778-w" TargetMode="External"/><Relationship Id="rId26" Type="http://schemas.openxmlformats.org/officeDocument/2006/relationships/hyperlink" Target="https://doi.org/10.1002/csr.2597" TargetMode="External"/><Relationship Id="rId3" Type="http://schemas.openxmlformats.org/officeDocument/2006/relationships/settings" Target="settings.xml"/><Relationship Id="rId21" Type="http://schemas.openxmlformats.org/officeDocument/2006/relationships/hyperlink" Target="https://doi.org/10.1007/s43621-026-03180-2" TargetMode="External"/><Relationship Id="rId7" Type="http://schemas.openxmlformats.org/officeDocument/2006/relationships/image" Target="media/image1.png"/><Relationship Id="rId12" Type="http://schemas.openxmlformats.org/officeDocument/2006/relationships/hyperlink" Target="https://www.bhp.com/-/media/documents/investors/annual-reports/2024/240827_bhpannualreport2024" TargetMode="External"/><Relationship Id="rId17" Type="http://schemas.openxmlformats.org/officeDocument/2006/relationships/hyperlink" Target="https://strategicmanagementinsight.com/tools/porters-three-generic-strategies/" TargetMode="External"/><Relationship Id="rId25" Type="http://schemas.openxmlformats.org/officeDocument/2006/relationships/hyperlink" Target="https://doi.org/10.1016/j.sftr.2025.100845" TargetMode="External"/><Relationship Id="rId2" Type="http://schemas.openxmlformats.org/officeDocument/2006/relationships/styles" Target="styles.xml"/><Relationship Id="rId16" Type="http://schemas.openxmlformats.org/officeDocument/2006/relationships/hyperlink" Target="https://boolkah.com/ansoff-matrix/" TargetMode="External"/><Relationship Id="rId20" Type="http://schemas.openxmlformats.org/officeDocument/2006/relationships/hyperlink" Target="https://doi.org/10.1016/j.ijhydene.2026.15507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hp.com/-/media/documents/investors/annual-reports/2020/200910_bhpclimatechangereport2020.pdf" TargetMode="External"/><Relationship Id="rId24" Type="http://schemas.openxmlformats.org/officeDocument/2006/relationships/hyperlink" Target="https://unglobalcompact.org.au/our-members/bhp/" TargetMode="External"/><Relationship Id="rId5" Type="http://schemas.openxmlformats.org/officeDocument/2006/relationships/footnotes" Target="footnotes.xml"/><Relationship Id="rId15" Type="http://schemas.openxmlformats.org/officeDocument/2006/relationships/hyperlink" Target="https://www.bhp.com/news/media-centre/releases/2024/12/bhp-and-hbis-strengthen-partnership-with-new-mou-to-advance-decarbonization-in-steel-value-chain" TargetMode="External"/><Relationship Id="rId23" Type="http://schemas.openxmlformats.org/officeDocument/2006/relationships/hyperlink" Target="https://doi.org/10.1016/j.gsme.2024.05.005" TargetMode="External"/><Relationship Id="rId28" Type="http://schemas.openxmlformats.org/officeDocument/2006/relationships/hyperlink" Target="https://doi.org/10.1016/j.eneco.2025.109053" TargetMode="External"/><Relationship Id="rId10" Type="http://schemas.openxmlformats.org/officeDocument/2006/relationships/image" Target="media/image4.png"/><Relationship Id="rId19" Type="http://schemas.openxmlformats.org/officeDocument/2006/relationships/hyperlink" Target="https://doi.org/10.1016/j.jenvman.2024.12339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hp.com/sustainability/climate-change/transition-to-a-net-zero-economy" TargetMode="External"/><Relationship Id="rId22" Type="http://schemas.openxmlformats.org/officeDocument/2006/relationships/hyperlink" Target="https://doi.org/10.1016/j.dsef.2025.100075" TargetMode="External"/><Relationship Id="rId27" Type="http://schemas.openxmlformats.org/officeDocument/2006/relationships/hyperlink" Target="https://www.thestrategyinstitute.org/insights/the-ansoff-matrix-a-powerful-tool-for-business-strategy-and-growt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64F9B1-E9DA-4371-A166-4A8A83F28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15</Pages>
  <Words>4159</Words>
  <Characters>23709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CHETAN PATIL</cp:lastModifiedBy>
  <cp:revision>27</cp:revision>
  <dcterms:created xsi:type="dcterms:W3CDTF">2026-07-20T10:03:00Z</dcterms:created>
  <dcterms:modified xsi:type="dcterms:W3CDTF">2026-07-22T11:12:00Z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a5e437d9-d2c4-49bc-9007-de6ffff10faa</vt:lpwstr>
  </property>
</Properties>
</file>