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4D041" w14:textId="77777777" w:rsidR="004F0F06" w:rsidRPr="004F0F06" w:rsidRDefault="004F0F06" w:rsidP="004F0F06">
      <w:pPr>
        <w:jc w:val="center"/>
        <w:rPr>
          <w:sz w:val="28"/>
          <w:szCs w:val="28"/>
          <w:u w:val="single"/>
        </w:rPr>
      </w:pPr>
      <w:r w:rsidRPr="004F0F06">
        <w:rPr>
          <w:sz w:val="28"/>
          <w:szCs w:val="28"/>
          <w:u w:val="single"/>
        </w:rPr>
        <w:t>How are diaries and letters useful for understanding society during the Second World War?</w:t>
      </w:r>
    </w:p>
    <w:p w14:paraId="1D815A5A" w14:textId="77777777" w:rsidR="004F0F06" w:rsidRDefault="004F0F06" w:rsidP="004F0F06">
      <w:pPr>
        <w:jc w:val="center"/>
        <w:rPr>
          <w:sz w:val="24"/>
          <w:szCs w:val="24"/>
        </w:rPr>
      </w:pPr>
    </w:p>
    <w:p w14:paraId="2A561A04" w14:textId="77777777" w:rsidR="004F0F06" w:rsidRDefault="004F0F06" w:rsidP="004F0F06">
      <w:pPr>
        <w:rPr>
          <w:sz w:val="24"/>
          <w:szCs w:val="24"/>
        </w:rPr>
      </w:pPr>
    </w:p>
    <w:p w14:paraId="1CE8F6CE" w14:textId="41FDEFF2" w:rsidR="004F0F06" w:rsidRDefault="004F0F06" w:rsidP="004F0F06">
      <w:pPr>
        <w:rPr>
          <w:sz w:val="24"/>
          <w:szCs w:val="24"/>
        </w:rPr>
      </w:pPr>
      <w:r w:rsidRPr="004F0F06">
        <w:rPr>
          <w:sz w:val="24"/>
          <w:szCs w:val="24"/>
        </w:rPr>
        <w:t>The Second World War had a profound impact on societies and the global landscape. Personal diaries and letters provide insights into the societal ramifications and individual encounters during this momentous period. These personal narratives offer a distinct perspective on the human aspect of the war, going beyond official documentation and propaganda. They depict the intricate and frequently contradictory feelings and viewpoints of individuals from diverse backgrounds entangled in a worldwide conflict. This essay posits that the utilisation of diaries and letters aids in comprehending the intricate societal and personal ramifications of World War II, thereby facilitating a more comprehensive and compassionate historical account.</w:t>
      </w:r>
      <w:r w:rsidR="009952BC">
        <w:rPr>
          <w:rStyle w:val="FootnoteReference"/>
          <w:sz w:val="24"/>
          <w:szCs w:val="24"/>
        </w:rPr>
        <w:footnoteReference w:id="1"/>
      </w:r>
    </w:p>
    <w:p w14:paraId="02CF027A" w14:textId="77777777" w:rsidR="004F0F06" w:rsidRPr="004F0F06" w:rsidRDefault="004F0F06" w:rsidP="004F0F06">
      <w:pPr>
        <w:rPr>
          <w:sz w:val="24"/>
          <w:szCs w:val="24"/>
        </w:rPr>
      </w:pPr>
    </w:p>
    <w:p w14:paraId="1DF678C3" w14:textId="3DCC2CA1" w:rsidR="009952BC" w:rsidRDefault="004F0F06" w:rsidP="004F0F06">
      <w:pPr>
        <w:rPr>
          <w:sz w:val="24"/>
          <w:szCs w:val="24"/>
        </w:rPr>
      </w:pPr>
      <w:r w:rsidRPr="004F0F06">
        <w:rPr>
          <w:sz w:val="24"/>
          <w:szCs w:val="24"/>
        </w:rPr>
        <w:t>The diaries and letters from World War II provide insights into the emotions, perspectives, and everyday experiences of individuals amidst a period of worldwide turmoil.</w:t>
      </w:r>
      <w:r w:rsidR="006B6B07">
        <w:rPr>
          <w:rStyle w:val="FootnoteReference"/>
          <w:sz w:val="24"/>
          <w:szCs w:val="24"/>
        </w:rPr>
        <w:footnoteReference w:id="2"/>
      </w:r>
      <w:r w:rsidRPr="004F0F06">
        <w:rPr>
          <w:sz w:val="24"/>
          <w:szCs w:val="24"/>
        </w:rPr>
        <w:t xml:space="preserve"> These personal writings provide an unfiltered and impromptu narrative that stands in stark contrast to official records, newspapers, and propaganda</w:t>
      </w:r>
      <w:r w:rsidR="0025647E">
        <w:rPr>
          <w:sz w:val="24"/>
          <w:szCs w:val="24"/>
        </w:rPr>
        <w:t xml:space="preserve">. </w:t>
      </w:r>
      <w:r w:rsidRPr="004F0F06">
        <w:rPr>
          <w:sz w:val="24"/>
          <w:szCs w:val="24"/>
        </w:rPr>
        <w:t xml:space="preserve">Diaries and letters possess a profound level of intimacy. They capture individuals' spontaneous thoughts and emotions, frequently recorded during moments of </w:t>
      </w:r>
      <w:r w:rsidR="0025647E" w:rsidRPr="004F0F06">
        <w:rPr>
          <w:sz w:val="24"/>
          <w:szCs w:val="24"/>
        </w:rPr>
        <w:t>introspection,</w:t>
      </w:r>
      <w:r w:rsidRPr="004F0F06">
        <w:rPr>
          <w:sz w:val="24"/>
          <w:szCs w:val="24"/>
        </w:rPr>
        <w:t xml:space="preserve"> or heightened emotional states. Providing such personal details offers a unique insight into the desires, anxieties, and ambitions of survivors during wartime.</w:t>
      </w:r>
      <w:r w:rsidR="00347AF5">
        <w:rPr>
          <w:rStyle w:val="FootnoteReference"/>
          <w:sz w:val="24"/>
          <w:szCs w:val="24"/>
        </w:rPr>
        <w:footnoteReference w:id="3"/>
      </w:r>
      <w:r w:rsidRPr="004F0F06">
        <w:rPr>
          <w:sz w:val="24"/>
          <w:szCs w:val="24"/>
        </w:rPr>
        <w:t xml:space="preserve"> Unlike official records, which are tailored for a particular audience or objective, diaries and letters exhibit a greater degree of transparency and candour.</w:t>
      </w:r>
      <w:r w:rsidR="0025647E">
        <w:rPr>
          <w:sz w:val="24"/>
          <w:szCs w:val="24"/>
        </w:rPr>
        <w:t xml:space="preserve"> </w:t>
      </w:r>
      <w:r w:rsidRPr="004F0F06">
        <w:rPr>
          <w:sz w:val="24"/>
          <w:szCs w:val="24"/>
        </w:rPr>
        <w:t xml:space="preserve">The quality of spontaneity effectively captures the experiences and emotions in a superior manner compared to accounts that are based on reflection and hindsight. </w:t>
      </w:r>
    </w:p>
    <w:p w14:paraId="0A99E440" w14:textId="77777777" w:rsidR="00347AF5" w:rsidRDefault="00347AF5" w:rsidP="004F0F06">
      <w:pPr>
        <w:rPr>
          <w:sz w:val="24"/>
          <w:szCs w:val="24"/>
        </w:rPr>
      </w:pPr>
    </w:p>
    <w:p w14:paraId="3E2133E8" w14:textId="13ACAC57" w:rsidR="004F0F06" w:rsidRDefault="00347AF5" w:rsidP="004F0F06">
      <w:pPr>
        <w:rPr>
          <w:sz w:val="24"/>
          <w:szCs w:val="24"/>
        </w:rPr>
      </w:pPr>
      <w:r>
        <w:rPr>
          <w:sz w:val="24"/>
          <w:szCs w:val="24"/>
        </w:rPr>
        <w:t>Personal private d</w:t>
      </w:r>
      <w:r w:rsidR="004F0F06" w:rsidRPr="004F0F06">
        <w:rPr>
          <w:sz w:val="24"/>
          <w:szCs w:val="24"/>
        </w:rPr>
        <w:t>iaries and letters offer a distinct historical viewpoint. Official documents, such as government or military reports, typically present objective information in the form of factual data or a coherent storyline. They lack personal connection and may disregard the human aspect of historical events. Historical newspapers and other media outlets can provide valuable insights into public discourse and propaganda, yet they are susceptible to censorship and manipulation due to political motivations.</w:t>
      </w:r>
      <w:r w:rsidR="009952BC">
        <w:rPr>
          <w:sz w:val="24"/>
          <w:szCs w:val="24"/>
        </w:rPr>
        <w:t xml:space="preserve"> </w:t>
      </w:r>
      <w:r w:rsidR="004F0F06" w:rsidRPr="004F0F06">
        <w:rPr>
          <w:sz w:val="24"/>
          <w:szCs w:val="24"/>
        </w:rPr>
        <w:t xml:space="preserve">Diaries and letters provide a more intricate and detailed account of history. They have the capacity to unveil the personal impact of the war on individuals, the alterations it brought to their everyday existence, and the strategies they employed to overcome their challenges. These accounts demonstrate the </w:t>
      </w:r>
      <w:r w:rsidR="004F0F06" w:rsidRPr="004F0F06">
        <w:rPr>
          <w:sz w:val="24"/>
          <w:szCs w:val="24"/>
        </w:rPr>
        <w:lastRenderedPageBreak/>
        <w:t xml:space="preserve">diverse range of war experiences based on factors such as geographical location, social class, </w:t>
      </w:r>
      <w:r w:rsidR="00621BC9">
        <w:rPr>
          <w:noProof/>
        </w:rPr>
        <w:drawing>
          <wp:anchor distT="0" distB="0" distL="114300" distR="114300" simplePos="0" relativeHeight="251658240" behindDoc="1" locked="0" layoutInCell="1" allowOverlap="1" wp14:anchorId="34AE7822" wp14:editId="2960D235">
            <wp:simplePos x="0" y="0"/>
            <wp:positionH relativeFrom="margin">
              <wp:align>right</wp:align>
            </wp:positionH>
            <wp:positionV relativeFrom="paragraph">
              <wp:posOffset>433388</wp:posOffset>
            </wp:positionV>
            <wp:extent cx="2286000" cy="2980690"/>
            <wp:effectExtent l="0" t="0" r="0" b="0"/>
            <wp:wrapTight wrapText="bothSides">
              <wp:wrapPolygon edited="0">
                <wp:start x="0" y="0"/>
                <wp:lineTo x="0" y="21398"/>
                <wp:lineTo x="21420" y="21398"/>
                <wp:lineTo x="21420" y="0"/>
                <wp:lineTo x="0" y="0"/>
              </wp:wrapPolygon>
            </wp:wrapTight>
            <wp:docPr id="672566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66353"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286000" cy="2980729"/>
                    </a:xfrm>
                    <a:prstGeom prst="rect">
                      <a:avLst/>
                    </a:prstGeom>
                    <a:noFill/>
                    <a:ln>
                      <a:noFill/>
                    </a:ln>
                  </pic:spPr>
                </pic:pic>
              </a:graphicData>
            </a:graphic>
            <wp14:sizeRelH relativeFrom="page">
              <wp14:pctWidth>0</wp14:pctWidth>
            </wp14:sizeRelH>
            <wp14:sizeRelV relativeFrom="page">
              <wp14:pctHeight>0</wp14:pctHeight>
            </wp14:sizeRelV>
          </wp:anchor>
        </w:drawing>
      </w:r>
      <w:r w:rsidR="004F0F06" w:rsidRPr="004F0F06">
        <w:rPr>
          <w:sz w:val="24"/>
          <w:szCs w:val="24"/>
        </w:rPr>
        <w:t>gender, and age.</w:t>
      </w:r>
    </w:p>
    <w:p w14:paraId="2C9F579E" w14:textId="3E13ABA5" w:rsidR="004F0F06" w:rsidRPr="004F0F06" w:rsidRDefault="004F0F06" w:rsidP="004F0F06">
      <w:pPr>
        <w:rPr>
          <w:sz w:val="24"/>
          <w:szCs w:val="24"/>
        </w:rPr>
      </w:pPr>
    </w:p>
    <w:p w14:paraId="7EAB74D1" w14:textId="71DB47EC" w:rsidR="00621BC9" w:rsidRPr="00621BC9" w:rsidRDefault="004F0F06" w:rsidP="00621BC9">
      <w:pPr>
        <w:rPr>
          <w:sz w:val="24"/>
          <w:szCs w:val="24"/>
        </w:rPr>
      </w:pPr>
      <w:r w:rsidRPr="004F0F06">
        <w:rPr>
          <w:sz w:val="24"/>
          <w:szCs w:val="24"/>
        </w:rPr>
        <w:t>The diaries of a young woman in a besieged city would exhibit contrasting characteristics compared to those of a soldier stationed on the front lines. Political leaders and high-ranking military officers exhibit distinct writing styles compared to civilians and low-ranking soldiers. Comprehending the consequences of the war necessitates considering various viewpoints</w:t>
      </w:r>
      <w:r w:rsidR="00621BC9">
        <w:rPr>
          <w:sz w:val="24"/>
          <w:szCs w:val="24"/>
        </w:rPr>
        <w:t xml:space="preserve">. </w:t>
      </w:r>
      <w:r w:rsidR="00621BC9" w:rsidRPr="00621BC9">
        <w:rPr>
          <w:sz w:val="24"/>
          <w:szCs w:val="24"/>
        </w:rPr>
        <w:t>In addition, war diaries are official and regularly updated records kept by military units. They serve the purpose of enhancing the quality of training and tactics employed by the military.</w:t>
      </w:r>
      <w:r w:rsidR="00621BC9">
        <w:rPr>
          <w:sz w:val="24"/>
          <w:szCs w:val="24"/>
        </w:rPr>
        <w:t xml:space="preserve"> To the right is an example of a</w:t>
      </w:r>
      <w:r w:rsidR="00621BC9" w:rsidRPr="00621BC9">
        <w:rPr>
          <w:sz w:val="24"/>
          <w:szCs w:val="24"/>
        </w:rPr>
        <w:t xml:space="preserve"> page from the War Diary of USS Franklin, October 13, 1944.</w:t>
      </w:r>
      <w:r w:rsidR="00621BC9">
        <w:rPr>
          <w:rStyle w:val="FootnoteReference"/>
          <w:sz w:val="24"/>
          <w:szCs w:val="24"/>
        </w:rPr>
        <w:footnoteReference w:id="4"/>
      </w:r>
    </w:p>
    <w:p w14:paraId="622781E4" w14:textId="77777777" w:rsidR="00621BC9" w:rsidRPr="004F0F06" w:rsidRDefault="00621BC9" w:rsidP="004F0F06">
      <w:pPr>
        <w:rPr>
          <w:sz w:val="24"/>
          <w:szCs w:val="24"/>
        </w:rPr>
      </w:pPr>
    </w:p>
    <w:p w14:paraId="6361D541" w14:textId="77777777" w:rsidR="004F0F06" w:rsidRDefault="004F0F06" w:rsidP="004F0F06">
      <w:pPr>
        <w:rPr>
          <w:sz w:val="24"/>
          <w:szCs w:val="24"/>
        </w:rPr>
      </w:pPr>
      <w:r w:rsidRPr="004F0F06">
        <w:rPr>
          <w:sz w:val="24"/>
          <w:szCs w:val="24"/>
        </w:rPr>
        <w:t xml:space="preserve">Correspondence and personal journals offer valuable emotional and cultural understanding. The writer frequently discloses their values, cultural norms, and societal expectations. These documents can demonstrate the impact of the war on individuals' beliefs and capacity to adjust. They </w:t>
      </w:r>
      <w:proofErr w:type="gramStart"/>
      <w:r w:rsidRPr="004F0F06">
        <w:rPr>
          <w:sz w:val="24"/>
          <w:szCs w:val="24"/>
        </w:rPr>
        <w:t>have the ability to</w:t>
      </w:r>
      <w:proofErr w:type="gramEnd"/>
      <w:r w:rsidRPr="004F0F06">
        <w:rPr>
          <w:sz w:val="24"/>
          <w:szCs w:val="24"/>
        </w:rPr>
        <w:t xml:space="preserve"> shed light on evolving gender roles, such as the growing involvement of women in the military and workforce. Additionally, they demonstrate how individuals triumphed over fear, grief, and ambiguity and discovered hope and fortitude.</w:t>
      </w:r>
    </w:p>
    <w:p w14:paraId="360D1788" w14:textId="77777777" w:rsidR="004F0F06" w:rsidRPr="004F0F06" w:rsidRDefault="004F0F06" w:rsidP="004F0F06">
      <w:pPr>
        <w:rPr>
          <w:sz w:val="24"/>
          <w:szCs w:val="24"/>
        </w:rPr>
      </w:pPr>
    </w:p>
    <w:p w14:paraId="7A1BE851" w14:textId="109E70FA" w:rsidR="004F0F06" w:rsidRDefault="004F0F06" w:rsidP="004F0F06">
      <w:pPr>
        <w:rPr>
          <w:sz w:val="24"/>
          <w:szCs w:val="24"/>
        </w:rPr>
      </w:pPr>
      <w:r w:rsidRPr="004F0F06">
        <w:rPr>
          <w:sz w:val="24"/>
          <w:szCs w:val="24"/>
        </w:rPr>
        <w:t>The comprehensive examination of diaries and letters demonstrates their significance in historical investigation. Their individual, impromptu, and close characteristics offer a distinct viewpoint on the past that enhances conventional historical accounts. By engaging with these personal narratives, historians and readers can gain a deeper comprehension of the human experience during one of the most tumultuous epochs in contemporary history.</w:t>
      </w:r>
      <w:r w:rsidR="009952BC">
        <w:rPr>
          <w:sz w:val="24"/>
          <w:szCs w:val="24"/>
        </w:rPr>
        <w:t xml:space="preserve"> </w:t>
      </w:r>
      <w:r w:rsidRPr="004F0F06">
        <w:rPr>
          <w:sz w:val="24"/>
          <w:szCs w:val="24"/>
        </w:rPr>
        <w:t>The diaries and letters from World War II provide an intimate glimpse into the firsthand experiences and profound emotions of individuals who endured the war.</w:t>
      </w:r>
      <w:r w:rsidR="00621BC9">
        <w:rPr>
          <w:sz w:val="24"/>
          <w:szCs w:val="24"/>
        </w:rPr>
        <w:t xml:space="preserve"> Examples of this can include</w:t>
      </w:r>
      <w:r w:rsidRPr="004F0F06">
        <w:rPr>
          <w:sz w:val="24"/>
          <w:szCs w:val="24"/>
        </w:rPr>
        <w:t xml:space="preserve"> </w:t>
      </w:r>
      <w:r w:rsidR="00621BC9">
        <w:rPr>
          <w:sz w:val="24"/>
          <w:szCs w:val="24"/>
        </w:rPr>
        <w:t>t</w:t>
      </w:r>
      <w:r w:rsidRPr="004F0F06">
        <w:rPr>
          <w:sz w:val="24"/>
          <w:szCs w:val="24"/>
        </w:rPr>
        <w:t>he diary of Anne Frank, a Jewish girl in concealment, and the correspondence of soldiers from diverse battlefields illuminate the human condition amidst the intense pressures of war.</w:t>
      </w:r>
    </w:p>
    <w:p w14:paraId="7BE7E534" w14:textId="77777777" w:rsidR="004F0F06" w:rsidRPr="004F0F06" w:rsidRDefault="004F0F06" w:rsidP="004F0F06">
      <w:pPr>
        <w:rPr>
          <w:sz w:val="24"/>
          <w:szCs w:val="24"/>
        </w:rPr>
      </w:pPr>
    </w:p>
    <w:p w14:paraId="1BAC6F01" w14:textId="6E1DB277" w:rsidR="004F0F06" w:rsidRDefault="004F0F06" w:rsidP="004F0F06">
      <w:pPr>
        <w:rPr>
          <w:sz w:val="24"/>
          <w:szCs w:val="24"/>
        </w:rPr>
      </w:pPr>
      <w:r w:rsidRPr="004F0F06">
        <w:rPr>
          <w:sz w:val="24"/>
          <w:szCs w:val="24"/>
        </w:rPr>
        <w:t xml:space="preserve">Anne Frank's diary chronicles the anxieties, aspirations, and day-to-day challenges faced by a juvenile girl and her relatives while in concealment. It symbolises the resilience of the human spirit in the face of intense animosity and oppression that extends beyond individual </w:t>
      </w:r>
      <w:r w:rsidRPr="004F0F06">
        <w:rPr>
          <w:sz w:val="24"/>
          <w:szCs w:val="24"/>
        </w:rPr>
        <w:lastRenderedPageBreak/>
        <w:t>experiences. The diary portrays the mundane aspects of living in concealment while delving into the themes of human nature, optimism, and the ability to endure hardships.</w:t>
      </w:r>
      <w:r w:rsidR="00D51641">
        <w:rPr>
          <w:rStyle w:val="FootnoteReference"/>
          <w:sz w:val="24"/>
          <w:szCs w:val="24"/>
        </w:rPr>
        <w:footnoteReference w:id="5"/>
      </w:r>
    </w:p>
    <w:p w14:paraId="4975261C" w14:textId="77777777" w:rsidR="00D51641" w:rsidRDefault="00D51641" w:rsidP="004F0F06">
      <w:pPr>
        <w:rPr>
          <w:sz w:val="24"/>
          <w:szCs w:val="24"/>
        </w:rPr>
      </w:pPr>
    </w:p>
    <w:p w14:paraId="7AA826ED" w14:textId="63064003" w:rsidR="00D51641" w:rsidRDefault="00D51641" w:rsidP="004F0F06">
      <w:pPr>
        <w:rPr>
          <w:sz w:val="24"/>
          <w:szCs w:val="24"/>
        </w:rPr>
      </w:pPr>
      <w:r>
        <w:rPr>
          <w:sz w:val="24"/>
          <w:szCs w:val="24"/>
        </w:rPr>
        <w:t>Another example of diaries written during World War Two is the diary of Harry S Truman, who became president in 1945. His diary details the heavy decisions he made, such as the decision to drop the atomic bomb on Hiroshima and Nagasaki in that same August.</w:t>
      </w:r>
      <w:r>
        <w:rPr>
          <w:rStyle w:val="FootnoteReference"/>
          <w:sz w:val="24"/>
          <w:szCs w:val="24"/>
        </w:rPr>
        <w:footnoteReference w:id="6"/>
      </w:r>
    </w:p>
    <w:p w14:paraId="618D6353" w14:textId="77777777" w:rsidR="004F0F06" w:rsidRPr="004F0F06" w:rsidRDefault="004F0F06" w:rsidP="004F0F06">
      <w:pPr>
        <w:rPr>
          <w:sz w:val="24"/>
          <w:szCs w:val="24"/>
        </w:rPr>
      </w:pPr>
    </w:p>
    <w:p w14:paraId="412B2B57" w14:textId="735988A1" w:rsidR="004F0F06" w:rsidRPr="004F0F06" w:rsidRDefault="004F0F06" w:rsidP="004F0F06">
      <w:pPr>
        <w:rPr>
          <w:sz w:val="24"/>
          <w:szCs w:val="24"/>
        </w:rPr>
      </w:pPr>
      <w:r w:rsidRPr="004F0F06">
        <w:rPr>
          <w:sz w:val="24"/>
          <w:szCs w:val="24"/>
        </w:rPr>
        <w:t>The correspondence of soldiers reveals the immediate realities and psychological ramifications of combat experienced directly from the front lines. The letters oscillate between the atrocities of war and the longing for peace. They serve as a stark contrast to civilian life, highlighting the immense disparity between the experiences of the battlefield and the comforts of home. These correspondences demonstrate the camaraderie among soldiers and their mechanisms for coping with wartime.</w:t>
      </w:r>
      <w:r w:rsidR="00014781">
        <w:rPr>
          <w:sz w:val="24"/>
          <w:szCs w:val="24"/>
        </w:rPr>
        <w:t xml:space="preserve"> An example for this would be the diary of Frank “Foo” Fujita, a </w:t>
      </w:r>
      <w:proofErr w:type="gramStart"/>
      <w:r w:rsidR="00014781">
        <w:rPr>
          <w:sz w:val="24"/>
          <w:szCs w:val="24"/>
        </w:rPr>
        <w:t>Japanese-American</w:t>
      </w:r>
      <w:proofErr w:type="gramEnd"/>
      <w:r w:rsidR="00014781">
        <w:rPr>
          <w:sz w:val="24"/>
          <w:szCs w:val="24"/>
        </w:rPr>
        <w:t xml:space="preserve"> solider who was captured as a prisoner of war in the pacific theatre, who accounted </w:t>
      </w:r>
      <w:r w:rsidR="0088103E">
        <w:rPr>
          <w:sz w:val="24"/>
          <w:szCs w:val="24"/>
        </w:rPr>
        <w:t>his experience and treatment inside a POW camp, and offers unique insight of being held by Japanese forces.</w:t>
      </w:r>
      <w:r w:rsidR="0088103E">
        <w:rPr>
          <w:rStyle w:val="FootnoteReference"/>
          <w:sz w:val="24"/>
          <w:szCs w:val="24"/>
        </w:rPr>
        <w:footnoteReference w:id="7"/>
      </w:r>
    </w:p>
    <w:p w14:paraId="6ABE36DE" w14:textId="1D51CB82" w:rsidR="004F0F06" w:rsidRDefault="004F0F06" w:rsidP="004F0F06">
      <w:pPr>
        <w:rPr>
          <w:sz w:val="24"/>
          <w:szCs w:val="24"/>
        </w:rPr>
      </w:pPr>
      <w:r w:rsidRPr="004F0F06">
        <w:rPr>
          <w:sz w:val="24"/>
          <w:szCs w:val="24"/>
        </w:rPr>
        <w:br/>
        <w:t xml:space="preserve">These sources provide a wealth of diverse emotional insights. They discuss topics such as anxiety, love, yearning, despair, and optimism. The accounts of non-military individuals who endured the London Blitz or the Leningrad siege demonstrate their remarkable ability to withstand the physical and emotional challenges posed by bombings and scarcity. </w:t>
      </w:r>
      <w:proofErr w:type="gramStart"/>
      <w:r w:rsidRPr="004F0F06">
        <w:rPr>
          <w:sz w:val="24"/>
          <w:szCs w:val="24"/>
        </w:rPr>
        <w:t>Japanese-American</w:t>
      </w:r>
      <w:proofErr w:type="gramEnd"/>
      <w:r w:rsidRPr="004F0F06">
        <w:rPr>
          <w:sz w:val="24"/>
          <w:szCs w:val="24"/>
        </w:rPr>
        <w:t xml:space="preserve"> soldiers, who were engaged in combat in Europe, expressed their profound sentiments through letters regarding their sense of duty and the personal injustice they experienced while their families were confined in internment camps within the United States.</w:t>
      </w:r>
      <w:r w:rsidR="0088103E">
        <w:rPr>
          <w:sz w:val="24"/>
          <w:szCs w:val="24"/>
        </w:rPr>
        <w:t xml:space="preserve"> </w:t>
      </w:r>
      <w:r w:rsidRPr="004F0F06">
        <w:rPr>
          <w:sz w:val="24"/>
          <w:szCs w:val="24"/>
        </w:rPr>
        <w:t>They depict the range of human emotions during a period of intense conflict, shedding light on how individuals managed the challenges of war.</w:t>
      </w:r>
    </w:p>
    <w:p w14:paraId="35867CBF" w14:textId="77777777" w:rsidR="004F0F06" w:rsidRPr="004F0F06" w:rsidRDefault="004F0F06" w:rsidP="004F0F06">
      <w:pPr>
        <w:rPr>
          <w:sz w:val="24"/>
          <w:szCs w:val="24"/>
        </w:rPr>
      </w:pPr>
    </w:p>
    <w:p w14:paraId="5D6D97D8" w14:textId="3C716B79" w:rsidR="004F0F06" w:rsidRDefault="004F0F06" w:rsidP="004F0F06">
      <w:pPr>
        <w:rPr>
          <w:sz w:val="24"/>
          <w:szCs w:val="24"/>
        </w:rPr>
      </w:pPr>
      <w:r w:rsidRPr="004F0F06">
        <w:rPr>
          <w:sz w:val="24"/>
          <w:szCs w:val="24"/>
        </w:rPr>
        <w:t>Personal narratives provide a comprehensive depiction of the impact of World War II on individuals from diverse backgrounds. The writings encompassed a range of experiences that were influenced by factors such as gender, age, social status, and location. Women's diaries and letters frequently depict the evolution of their roles and duties, both in their households and in their professional lives. They demonstrate the impact of the soldiers' absence on family dynamics and societal conventions.</w:t>
      </w:r>
      <w:r w:rsidR="0088103E">
        <w:rPr>
          <w:sz w:val="24"/>
          <w:szCs w:val="24"/>
        </w:rPr>
        <w:t xml:space="preserve"> </w:t>
      </w:r>
      <w:r w:rsidRPr="004F0F06">
        <w:rPr>
          <w:sz w:val="24"/>
          <w:szCs w:val="24"/>
        </w:rPr>
        <w:t xml:space="preserve">Children and adolescents, such as Anne Frank, </w:t>
      </w:r>
      <w:r w:rsidR="0088103E">
        <w:rPr>
          <w:sz w:val="24"/>
          <w:szCs w:val="24"/>
        </w:rPr>
        <w:t xml:space="preserve">also </w:t>
      </w:r>
      <w:r w:rsidRPr="004F0F06">
        <w:rPr>
          <w:sz w:val="24"/>
          <w:szCs w:val="24"/>
        </w:rPr>
        <w:t xml:space="preserve">provide a deeply moving perspective on the war. Their lives influence their writing, which exhibits a combination of innocence and premature maturity. These accounts are </w:t>
      </w:r>
      <w:r w:rsidRPr="004F0F06">
        <w:rPr>
          <w:sz w:val="24"/>
          <w:szCs w:val="24"/>
        </w:rPr>
        <w:lastRenderedPageBreak/>
        <w:t>crucial for comprehending the impact of war on the development and perspective of young individuals.</w:t>
      </w:r>
      <w:r w:rsidR="00FB63D0">
        <w:rPr>
          <w:rStyle w:val="FootnoteReference"/>
          <w:sz w:val="24"/>
          <w:szCs w:val="24"/>
        </w:rPr>
        <w:footnoteReference w:id="8"/>
      </w:r>
    </w:p>
    <w:p w14:paraId="5FCEC88D" w14:textId="77777777" w:rsidR="004F0F06" w:rsidRPr="004F0F06" w:rsidRDefault="004F0F06" w:rsidP="004F0F06">
      <w:pPr>
        <w:rPr>
          <w:sz w:val="24"/>
          <w:szCs w:val="24"/>
        </w:rPr>
      </w:pPr>
    </w:p>
    <w:p w14:paraId="3D64E73F" w14:textId="5E401FE8" w:rsidR="004F0F06" w:rsidRDefault="004F0F06" w:rsidP="004F0F06">
      <w:pPr>
        <w:rPr>
          <w:sz w:val="24"/>
          <w:szCs w:val="24"/>
        </w:rPr>
      </w:pPr>
      <w:r w:rsidRPr="004F0F06">
        <w:rPr>
          <w:sz w:val="24"/>
          <w:szCs w:val="24"/>
        </w:rPr>
        <w:t>Diaries and letters from various social classes and occupations</w:t>
      </w:r>
      <w:r w:rsidR="0088103E">
        <w:rPr>
          <w:sz w:val="24"/>
          <w:szCs w:val="24"/>
        </w:rPr>
        <w:t xml:space="preserve"> also</w:t>
      </w:r>
      <w:r w:rsidRPr="004F0F06">
        <w:rPr>
          <w:sz w:val="24"/>
          <w:szCs w:val="24"/>
        </w:rPr>
        <w:t xml:space="preserve"> provide distinct viewpoints. During the war, individuals employed in factories, engaged in farming, and working as teachers documented the scarcity of labour, the implementation of rationing, and the challenges associated with daily life amidst the chaotic circumstances.</w:t>
      </w:r>
      <w:r w:rsidR="00FB63D0">
        <w:rPr>
          <w:sz w:val="24"/>
          <w:szCs w:val="24"/>
        </w:rPr>
        <w:t xml:space="preserve"> Accounts also provide insight of what it was like for working women in factories, a male dominated space. </w:t>
      </w:r>
      <w:r w:rsidR="00FB63D0">
        <w:rPr>
          <w:rStyle w:val="FootnoteReference"/>
          <w:sz w:val="24"/>
          <w:szCs w:val="24"/>
        </w:rPr>
        <w:footnoteReference w:id="9"/>
      </w:r>
    </w:p>
    <w:p w14:paraId="7893A213" w14:textId="77777777" w:rsidR="0088103E" w:rsidRPr="004F0F06" w:rsidRDefault="0088103E" w:rsidP="004F0F06">
      <w:pPr>
        <w:rPr>
          <w:sz w:val="24"/>
          <w:szCs w:val="24"/>
        </w:rPr>
      </w:pPr>
    </w:p>
    <w:p w14:paraId="10846BB0" w14:textId="77777777" w:rsidR="004F0F06" w:rsidRDefault="004F0F06" w:rsidP="004F0F06">
      <w:pPr>
        <w:rPr>
          <w:sz w:val="24"/>
          <w:szCs w:val="24"/>
        </w:rPr>
      </w:pPr>
      <w:r w:rsidRPr="004F0F06">
        <w:rPr>
          <w:sz w:val="24"/>
          <w:szCs w:val="24"/>
        </w:rPr>
        <w:t>These personal narratives enhance our comprehension of World War II in a more comprehensive and compassionate manner. Diaries and letters provide insight into wartime events and policies, as well as the daily lives and emotions of individuals. This comprehensive strategy ensures the preservation of the perspectives and narratives of war veterans, providing a more comprehensive and humanised portrayal of one of the most significant eras in contemporary history.</w:t>
      </w:r>
    </w:p>
    <w:p w14:paraId="4A58B0E4" w14:textId="77777777" w:rsidR="004F0F06" w:rsidRPr="004F0F06" w:rsidRDefault="004F0F06" w:rsidP="004F0F06">
      <w:pPr>
        <w:rPr>
          <w:sz w:val="24"/>
          <w:szCs w:val="24"/>
        </w:rPr>
      </w:pPr>
    </w:p>
    <w:p w14:paraId="3B8945EE" w14:textId="60FB244E" w:rsidR="00FB63D0" w:rsidRDefault="004F0F06" w:rsidP="004F0F06">
      <w:pPr>
        <w:rPr>
          <w:sz w:val="24"/>
          <w:szCs w:val="24"/>
        </w:rPr>
      </w:pPr>
      <w:r w:rsidRPr="004F0F06">
        <w:rPr>
          <w:sz w:val="24"/>
          <w:szCs w:val="24"/>
        </w:rPr>
        <w:t>Diaries and letters offer valuable perspectives, yet they possess inherent limitations. The inherent partiality and subjectiveness of personal narratives pose a significant concern. Several authors draw inspiration from their personal convictions, encounters, and sentiments. Subjectivity has the potential to alter events; therefore, exercise caution when utilising these sources for historical analysis.</w:t>
      </w:r>
      <w:r w:rsidR="00FB63D0">
        <w:rPr>
          <w:sz w:val="24"/>
          <w:szCs w:val="24"/>
        </w:rPr>
        <w:t xml:space="preserve"> </w:t>
      </w:r>
      <w:r w:rsidRPr="004F0F06">
        <w:rPr>
          <w:sz w:val="24"/>
          <w:szCs w:val="24"/>
        </w:rPr>
        <w:t>These records are lacking information, which is another problem. Wartime diaries and letters were either lost, destroyed, or subjected to censorship, resulting in historical gaps.</w:t>
      </w:r>
      <w:r w:rsidR="00FB63D0">
        <w:rPr>
          <w:sz w:val="24"/>
          <w:szCs w:val="24"/>
        </w:rPr>
        <w:t xml:space="preserve"> Censorship could be in place for various reasons, such as possible military tactic leaks, government propaganda or control of information.</w:t>
      </w:r>
      <w:r w:rsidR="00FB63D0">
        <w:rPr>
          <w:rStyle w:val="FootnoteReference"/>
          <w:sz w:val="24"/>
          <w:szCs w:val="24"/>
        </w:rPr>
        <w:footnoteReference w:id="10"/>
      </w:r>
      <w:r w:rsidR="00FB63D0">
        <w:rPr>
          <w:sz w:val="24"/>
          <w:szCs w:val="24"/>
        </w:rPr>
        <w:t xml:space="preserve"> </w:t>
      </w:r>
      <w:r w:rsidRPr="004F0F06">
        <w:rPr>
          <w:sz w:val="24"/>
          <w:szCs w:val="24"/>
        </w:rPr>
        <w:t xml:space="preserve"> </w:t>
      </w:r>
    </w:p>
    <w:p w14:paraId="3E005F90" w14:textId="77777777" w:rsidR="00FB63D0" w:rsidRDefault="00FB63D0" w:rsidP="004F0F06">
      <w:pPr>
        <w:rPr>
          <w:sz w:val="24"/>
          <w:szCs w:val="24"/>
        </w:rPr>
      </w:pPr>
    </w:p>
    <w:p w14:paraId="05DFF161" w14:textId="45BA8310" w:rsidR="004F0F06" w:rsidRDefault="004F0F06" w:rsidP="004F0F06">
      <w:pPr>
        <w:rPr>
          <w:sz w:val="24"/>
          <w:szCs w:val="24"/>
        </w:rPr>
      </w:pPr>
      <w:r w:rsidRPr="004F0F06">
        <w:rPr>
          <w:sz w:val="24"/>
          <w:szCs w:val="24"/>
        </w:rPr>
        <w:t>These writings frequently provide a superficial overview of an individual's experiences, omitting significant events or thoughts</w:t>
      </w:r>
      <w:r w:rsidR="00FB63D0">
        <w:rPr>
          <w:sz w:val="24"/>
          <w:szCs w:val="24"/>
        </w:rPr>
        <w:t xml:space="preserve">. </w:t>
      </w:r>
      <w:r w:rsidRPr="004F0F06">
        <w:rPr>
          <w:sz w:val="24"/>
          <w:szCs w:val="24"/>
        </w:rPr>
        <w:t xml:space="preserve">Personal narratives, when used as historical sources, pose substantial challenges in interpretation. </w:t>
      </w:r>
      <w:proofErr w:type="gramStart"/>
      <w:r w:rsidRPr="004F0F06">
        <w:rPr>
          <w:sz w:val="24"/>
          <w:szCs w:val="24"/>
        </w:rPr>
        <w:t>In order to</w:t>
      </w:r>
      <w:proofErr w:type="gramEnd"/>
      <w:r w:rsidRPr="004F0F06">
        <w:rPr>
          <w:sz w:val="24"/>
          <w:szCs w:val="24"/>
        </w:rPr>
        <w:t xml:space="preserve"> obtain a precise historical understanding, historians must </w:t>
      </w:r>
      <w:r w:rsidR="0025647E" w:rsidRPr="004F0F06">
        <w:rPr>
          <w:sz w:val="24"/>
          <w:szCs w:val="24"/>
        </w:rPr>
        <w:t>skilfully</w:t>
      </w:r>
      <w:r w:rsidRPr="004F0F06">
        <w:rPr>
          <w:sz w:val="24"/>
          <w:szCs w:val="24"/>
        </w:rPr>
        <w:t xml:space="preserve"> navigate the personal biases and contextual factors present in these writings. It necessitates a nuanced equilibrium between individual viewpoints and constraints imposed by sources.</w:t>
      </w:r>
    </w:p>
    <w:p w14:paraId="2BADE4E4" w14:textId="77777777" w:rsidR="004F0F06" w:rsidRPr="004F0F06" w:rsidRDefault="004F0F06" w:rsidP="004F0F06">
      <w:pPr>
        <w:rPr>
          <w:sz w:val="24"/>
          <w:szCs w:val="24"/>
        </w:rPr>
      </w:pPr>
    </w:p>
    <w:p w14:paraId="7B3BD852" w14:textId="77777777" w:rsidR="004F0F06" w:rsidRDefault="004F0F06" w:rsidP="004F0F06">
      <w:pPr>
        <w:rPr>
          <w:sz w:val="24"/>
          <w:szCs w:val="24"/>
        </w:rPr>
      </w:pPr>
      <w:r w:rsidRPr="004F0F06">
        <w:rPr>
          <w:sz w:val="24"/>
          <w:szCs w:val="24"/>
        </w:rPr>
        <w:t xml:space="preserve">Examination of World War II diaries and correspondence from various nations reveals the extensive worldwide influence of the conflict on society. These individual testimonies from a </w:t>
      </w:r>
      <w:r w:rsidRPr="004F0F06">
        <w:rPr>
          <w:sz w:val="24"/>
          <w:szCs w:val="24"/>
        </w:rPr>
        <w:lastRenderedPageBreak/>
        <w:t>variety of cultural and national origins provide a distinct chance to analyse and juxtapose the experiences and perspectives of both the Axis and Allied powers.</w:t>
      </w:r>
    </w:p>
    <w:p w14:paraId="3B08B3D3" w14:textId="77777777" w:rsidR="004F0F06" w:rsidRPr="004F0F06" w:rsidRDefault="004F0F06" w:rsidP="004F0F06">
      <w:pPr>
        <w:rPr>
          <w:sz w:val="24"/>
          <w:szCs w:val="24"/>
        </w:rPr>
      </w:pPr>
    </w:p>
    <w:p w14:paraId="41E6C9EF" w14:textId="4EFFAA53" w:rsidR="004F0F06" w:rsidRDefault="004F0F06" w:rsidP="004F0F06">
      <w:pPr>
        <w:rPr>
          <w:sz w:val="24"/>
          <w:szCs w:val="24"/>
        </w:rPr>
      </w:pPr>
      <w:r w:rsidRPr="004F0F06">
        <w:rPr>
          <w:sz w:val="24"/>
          <w:szCs w:val="24"/>
        </w:rPr>
        <w:t>US, British, and Soviet diaries exhibit a clear sense of intention and resolve, frequently accompanied by a recognition of their worldwide significance. Diaries from America and Britain frequently depict the experiences of life during wartime, including the implementation of rationing, blackouts, and the anxiety surrounding the potential loss of loved ones serving abroad.</w:t>
      </w:r>
      <w:r w:rsidR="008A0B15">
        <w:rPr>
          <w:rStyle w:val="FootnoteReference"/>
          <w:sz w:val="24"/>
          <w:szCs w:val="24"/>
        </w:rPr>
        <w:footnoteReference w:id="11"/>
      </w:r>
      <w:r w:rsidRPr="004F0F06">
        <w:rPr>
          <w:sz w:val="24"/>
          <w:szCs w:val="24"/>
        </w:rPr>
        <w:t xml:space="preserve"> In contrast, Soviet diaries frequently document the ability to endure and overcome significant challenges, particularly during the Siege of Leningrad and Stalingrad. The accounts of German and Japanese diaries differ from these, as they depict a shift from national pride and triumph to disillusionment, fear, and despair as the war progresses.</w:t>
      </w:r>
      <w:r w:rsidR="008A0B15">
        <w:rPr>
          <w:rStyle w:val="FootnoteReference"/>
          <w:sz w:val="24"/>
          <w:szCs w:val="24"/>
        </w:rPr>
        <w:footnoteReference w:id="12"/>
      </w:r>
    </w:p>
    <w:p w14:paraId="66803D0A" w14:textId="77777777" w:rsidR="004F0F06" w:rsidRPr="004F0F06" w:rsidRDefault="004F0F06" w:rsidP="004F0F06">
      <w:pPr>
        <w:rPr>
          <w:sz w:val="24"/>
          <w:szCs w:val="24"/>
        </w:rPr>
      </w:pPr>
    </w:p>
    <w:p w14:paraId="4CE81B96" w14:textId="73800ED7" w:rsidR="004F0F06" w:rsidRDefault="004F0F06" w:rsidP="004F0F06">
      <w:pPr>
        <w:rPr>
          <w:sz w:val="24"/>
          <w:szCs w:val="24"/>
        </w:rPr>
      </w:pPr>
      <w:r w:rsidRPr="004F0F06">
        <w:rPr>
          <w:sz w:val="24"/>
          <w:szCs w:val="24"/>
        </w:rPr>
        <w:t>The wartime writings of Italy, which transitioned from being part of the Axis powers to joining the Allied forces, as well as the occupied territories of France and Poland, provide valuable insights. The Italian diaries reveal a country deeply divided by internal strife and shifting loyalties, struggling under fascist governance, and subsequently experiencing liberation. Conversely, diaries written in French and Polish frequently delve into topics such as occupation, resistance, and the day-to-day experiences of living under foreign governance. These narratives provide a human perspective on the political and military strategies of the war.</w:t>
      </w:r>
      <w:r w:rsidR="003D3B57">
        <w:rPr>
          <w:sz w:val="24"/>
          <w:szCs w:val="24"/>
        </w:rPr>
        <w:t xml:space="preserve"> </w:t>
      </w:r>
      <w:r w:rsidRPr="004F0F06">
        <w:rPr>
          <w:sz w:val="24"/>
          <w:szCs w:val="24"/>
        </w:rPr>
        <w:t xml:space="preserve">Furthermore, the inclusion of diaries and letters originating from colonised nations such as Africa and Asia </w:t>
      </w:r>
      <w:proofErr w:type="gramStart"/>
      <w:r w:rsidRPr="004F0F06">
        <w:rPr>
          <w:sz w:val="24"/>
          <w:szCs w:val="24"/>
        </w:rPr>
        <w:t>offers</w:t>
      </w:r>
      <w:proofErr w:type="gramEnd"/>
      <w:r w:rsidRPr="004F0F06">
        <w:rPr>
          <w:sz w:val="24"/>
          <w:szCs w:val="24"/>
        </w:rPr>
        <w:t xml:space="preserve"> a distinct and valuable viewpoint on the events of World War II. These accounts illustrate the impact of the war on colonial subjects, who found themselves caught </w:t>
      </w:r>
      <w:proofErr w:type="gramStart"/>
      <w:r w:rsidRPr="004F0F06">
        <w:rPr>
          <w:sz w:val="24"/>
          <w:szCs w:val="24"/>
        </w:rPr>
        <w:t>in the midst of</w:t>
      </w:r>
      <w:proofErr w:type="gramEnd"/>
      <w:r w:rsidRPr="004F0F06">
        <w:rPr>
          <w:sz w:val="24"/>
          <w:szCs w:val="24"/>
        </w:rPr>
        <w:t xml:space="preserve"> colonial powers and the worldwide conflict. Indian diaries from this period demonstrate the clash between endorsing the British Empire and striving for independence.</w:t>
      </w:r>
    </w:p>
    <w:p w14:paraId="7992306C" w14:textId="77777777" w:rsidR="004F0F06" w:rsidRPr="004F0F06" w:rsidRDefault="004F0F06" w:rsidP="004F0F06">
      <w:pPr>
        <w:rPr>
          <w:sz w:val="24"/>
          <w:szCs w:val="24"/>
        </w:rPr>
      </w:pPr>
    </w:p>
    <w:p w14:paraId="7F7714F1" w14:textId="77777777" w:rsidR="004F0F06" w:rsidRDefault="004F0F06" w:rsidP="004F0F06">
      <w:pPr>
        <w:rPr>
          <w:sz w:val="24"/>
          <w:szCs w:val="24"/>
        </w:rPr>
      </w:pPr>
      <w:r w:rsidRPr="004F0F06">
        <w:rPr>
          <w:sz w:val="24"/>
          <w:szCs w:val="24"/>
        </w:rPr>
        <w:t xml:space="preserve">Conducting a comparative analysis of different societies is crucial for comprehending the diverse and intricate experiences of World War II. It also reveals the interconnectedness of human experiences across geographical and political boundaries. Personal accounts from individuals of various backgrounds enhance our comprehension and foster empathy towards the worldwide consequences of the war. They stress that although the war was waged on multiple continents, its impacts were felt in individual lives, surpassing national </w:t>
      </w:r>
      <w:proofErr w:type="gramStart"/>
      <w:r w:rsidRPr="004F0F06">
        <w:rPr>
          <w:sz w:val="24"/>
          <w:szCs w:val="24"/>
        </w:rPr>
        <w:t>borders</w:t>
      </w:r>
      <w:proofErr w:type="gramEnd"/>
      <w:r w:rsidRPr="004F0F06">
        <w:rPr>
          <w:sz w:val="24"/>
          <w:szCs w:val="24"/>
        </w:rPr>
        <w:t xml:space="preserve"> and moulding global history.</w:t>
      </w:r>
    </w:p>
    <w:p w14:paraId="792611CF" w14:textId="77777777" w:rsidR="004F0F06" w:rsidRPr="004F0F06" w:rsidRDefault="004F0F06" w:rsidP="004F0F06">
      <w:pPr>
        <w:rPr>
          <w:sz w:val="24"/>
          <w:szCs w:val="24"/>
        </w:rPr>
      </w:pPr>
    </w:p>
    <w:p w14:paraId="166B5E62" w14:textId="77777777" w:rsidR="004F0F06" w:rsidRDefault="004F0F06" w:rsidP="004F0F06">
      <w:pPr>
        <w:rPr>
          <w:sz w:val="24"/>
          <w:szCs w:val="24"/>
        </w:rPr>
      </w:pPr>
      <w:r w:rsidRPr="004F0F06">
        <w:rPr>
          <w:sz w:val="24"/>
          <w:szCs w:val="24"/>
        </w:rPr>
        <w:t xml:space="preserve">World War II diaries and letters are indispensable for comprehending both society and individuals. Personal narratives provide insights into the emotional, social, and cultural </w:t>
      </w:r>
      <w:r w:rsidRPr="004F0F06">
        <w:rPr>
          <w:sz w:val="24"/>
          <w:szCs w:val="24"/>
        </w:rPr>
        <w:lastRenderedPageBreak/>
        <w:t>dimensions of war that are frequently excluded from official historical accounts. These narratives capture the personal accounts and varied viewpoints that underlie significant historical events.</w:t>
      </w:r>
    </w:p>
    <w:p w14:paraId="6C8A5CAE" w14:textId="77777777" w:rsidR="004F0F06" w:rsidRPr="004F0F06" w:rsidRDefault="004F0F06" w:rsidP="004F0F06">
      <w:pPr>
        <w:rPr>
          <w:sz w:val="24"/>
          <w:szCs w:val="24"/>
        </w:rPr>
      </w:pPr>
    </w:p>
    <w:p w14:paraId="3010A0C2" w14:textId="77777777" w:rsidR="004F0F06" w:rsidRPr="004F0F06" w:rsidRDefault="004F0F06" w:rsidP="004F0F06">
      <w:pPr>
        <w:rPr>
          <w:sz w:val="24"/>
          <w:szCs w:val="24"/>
        </w:rPr>
      </w:pPr>
      <w:r w:rsidRPr="004F0F06">
        <w:rPr>
          <w:sz w:val="24"/>
          <w:szCs w:val="24"/>
        </w:rPr>
        <w:t>Given their function, these documents transcend being mere historical artefacts; they serve as tangible evidence of individuals' fortitude, aspirations, and anxieties amidst one of the most tumultuous periods in history. They play a pivotal role in comprehending historical events and providing direction for future investigations. By delving into these personal writings, we can gain a deeper comprehension of war and its societal impacts, allowing the echoes of the past to persist in our collective memory.</w:t>
      </w:r>
    </w:p>
    <w:p w14:paraId="08F3ED13" w14:textId="77777777" w:rsidR="004F0F06" w:rsidRDefault="004F0F06" w:rsidP="004F0F06">
      <w:pPr>
        <w:pStyle w:val="NormalWeb"/>
        <w:rPr>
          <w:color w:val="252525"/>
        </w:rPr>
      </w:pPr>
      <w:r>
        <w:rPr>
          <w:color w:val="252525"/>
        </w:rPr>
        <w:t> </w:t>
      </w:r>
    </w:p>
    <w:p w14:paraId="5AB195B9" w14:textId="77777777" w:rsidR="003D3B57" w:rsidRDefault="003D3B57" w:rsidP="009952BC">
      <w:pPr>
        <w:rPr>
          <w:sz w:val="24"/>
          <w:szCs w:val="24"/>
          <w:u w:val="single"/>
        </w:rPr>
      </w:pPr>
    </w:p>
    <w:p w14:paraId="7CF58088" w14:textId="77777777" w:rsidR="003D3B57" w:rsidRDefault="003D3B57" w:rsidP="009952BC">
      <w:pPr>
        <w:rPr>
          <w:sz w:val="24"/>
          <w:szCs w:val="24"/>
          <w:u w:val="single"/>
        </w:rPr>
      </w:pPr>
    </w:p>
    <w:p w14:paraId="47E0445A" w14:textId="77777777" w:rsidR="003D3B57" w:rsidRDefault="003D3B57" w:rsidP="009952BC">
      <w:pPr>
        <w:rPr>
          <w:sz w:val="24"/>
          <w:szCs w:val="24"/>
          <w:u w:val="single"/>
        </w:rPr>
      </w:pPr>
    </w:p>
    <w:p w14:paraId="18F104C1" w14:textId="77777777" w:rsidR="003D3B57" w:rsidRDefault="003D3B57" w:rsidP="009952BC">
      <w:pPr>
        <w:rPr>
          <w:sz w:val="24"/>
          <w:szCs w:val="24"/>
          <w:u w:val="single"/>
        </w:rPr>
      </w:pPr>
    </w:p>
    <w:p w14:paraId="2C3400AE" w14:textId="77777777" w:rsidR="003D3B57" w:rsidRDefault="003D3B57" w:rsidP="009952BC">
      <w:pPr>
        <w:rPr>
          <w:sz w:val="24"/>
          <w:szCs w:val="24"/>
          <w:u w:val="single"/>
        </w:rPr>
      </w:pPr>
    </w:p>
    <w:p w14:paraId="58405CE0" w14:textId="77777777" w:rsidR="003D3B57" w:rsidRDefault="003D3B57" w:rsidP="009952BC">
      <w:pPr>
        <w:rPr>
          <w:sz w:val="24"/>
          <w:szCs w:val="24"/>
          <w:u w:val="single"/>
        </w:rPr>
      </w:pPr>
    </w:p>
    <w:p w14:paraId="547E45AA" w14:textId="77777777" w:rsidR="003D3B57" w:rsidRDefault="003D3B57" w:rsidP="009952BC">
      <w:pPr>
        <w:rPr>
          <w:sz w:val="24"/>
          <w:szCs w:val="24"/>
          <w:u w:val="single"/>
        </w:rPr>
      </w:pPr>
    </w:p>
    <w:p w14:paraId="34FE01AB" w14:textId="77777777" w:rsidR="003D3B57" w:rsidRDefault="003D3B57" w:rsidP="009952BC">
      <w:pPr>
        <w:rPr>
          <w:sz w:val="24"/>
          <w:szCs w:val="24"/>
          <w:u w:val="single"/>
        </w:rPr>
      </w:pPr>
    </w:p>
    <w:p w14:paraId="0BBB562B" w14:textId="77777777" w:rsidR="003D3B57" w:rsidRDefault="003D3B57" w:rsidP="009952BC">
      <w:pPr>
        <w:rPr>
          <w:sz w:val="24"/>
          <w:szCs w:val="24"/>
          <w:u w:val="single"/>
        </w:rPr>
      </w:pPr>
    </w:p>
    <w:p w14:paraId="77F1FDEC" w14:textId="77777777" w:rsidR="003D3B57" w:rsidRDefault="003D3B57" w:rsidP="009952BC">
      <w:pPr>
        <w:rPr>
          <w:sz w:val="24"/>
          <w:szCs w:val="24"/>
          <w:u w:val="single"/>
        </w:rPr>
      </w:pPr>
    </w:p>
    <w:p w14:paraId="40568293" w14:textId="77777777" w:rsidR="003D3B57" w:rsidRDefault="003D3B57" w:rsidP="009952BC">
      <w:pPr>
        <w:rPr>
          <w:sz w:val="24"/>
          <w:szCs w:val="24"/>
          <w:u w:val="single"/>
        </w:rPr>
      </w:pPr>
    </w:p>
    <w:p w14:paraId="031F55EF" w14:textId="77777777" w:rsidR="003D3B57" w:rsidRDefault="003D3B57" w:rsidP="009952BC">
      <w:pPr>
        <w:rPr>
          <w:sz w:val="24"/>
          <w:szCs w:val="24"/>
          <w:u w:val="single"/>
        </w:rPr>
      </w:pPr>
    </w:p>
    <w:p w14:paraId="2F1E32FC" w14:textId="77777777" w:rsidR="003D3B57" w:rsidRDefault="003D3B57" w:rsidP="009952BC">
      <w:pPr>
        <w:rPr>
          <w:sz w:val="24"/>
          <w:szCs w:val="24"/>
          <w:u w:val="single"/>
        </w:rPr>
      </w:pPr>
    </w:p>
    <w:p w14:paraId="16917C78" w14:textId="77777777" w:rsidR="003D3B57" w:rsidRDefault="003D3B57" w:rsidP="009952BC">
      <w:pPr>
        <w:rPr>
          <w:sz w:val="24"/>
          <w:szCs w:val="24"/>
          <w:u w:val="single"/>
        </w:rPr>
      </w:pPr>
    </w:p>
    <w:p w14:paraId="28D5A920" w14:textId="77777777" w:rsidR="003D3B57" w:rsidRDefault="003D3B57" w:rsidP="009952BC">
      <w:pPr>
        <w:rPr>
          <w:sz w:val="24"/>
          <w:szCs w:val="24"/>
          <w:u w:val="single"/>
        </w:rPr>
      </w:pPr>
    </w:p>
    <w:p w14:paraId="714D62C4" w14:textId="77777777" w:rsidR="003D3B57" w:rsidRDefault="003D3B57" w:rsidP="009952BC">
      <w:pPr>
        <w:rPr>
          <w:sz w:val="24"/>
          <w:szCs w:val="24"/>
          <w:u w:val="single"/>
        </w:rPr>
      </w:pPr>
    </w:p>
    <w:p w14:paraId="75AEBF71" w14:textId="77777777" w:rsidR="003D3B57" w:rsidRDefault="003D3B57" w:rsidP="009952BC">
      <w:pPr>
        <w:rPr>
          <w:sz w:val="24"/>
          <w:szCs w:val="24"/>
          <w:u w:val="single"/>
        </w:rPr>
      </w:pPr>
    </w:p>
    <w:p w14:paraId="51A72DC6" w14:textId="77777777" w:rsidR="003D3B57" w:rsidRDefault="003D3B57" w:rsidP="009952BC">
      <w:pPr>
        <w:rPr>
          <w:sz w:val="24"/>
          <w:szCs w:val="24"/>
          <w:u w:val="single"/>
        </w:rPr>
      </w:pPr>
    </w:p>
    <w:p w14:paraId="5B339BB6" w14:textId="77777777" w:rsidR="003D3B57" w:rsidRDefault="003D3B57" w:rsidP="009952BC">
      <w:pPr>
        <w:rPr>
          <w:sz w:val="24"/>
          <w:szCs w:val="24"/>
          <w:u w:val="single"/>
        </w:rPr>
      </w:pPr>
    </w:p>
    <w:p w14:paraId="4BE749E9" w14:textId="77777777" w:rsidR="003D3B57" w:rsidRDefault="003D3B57" w:rsidP="009952BC">
      <w:pPr>
        <w:rPr>
          <w:sz w:val="24"/>
          <w:szCs w:val="24"/>
          <w:u w:val="single"/>
        </w:rPr>
      </w:pPr>
    </w:p>
    <w:p w14:paraId="10DAA708" w14:textId="65E98D86" w:rsidR="004F0F06" w:rsidRPr="009952BC" w:rsidRDefault="004F0F06" w:rsidP="009952BC">
      <w:pPr>
        <w:rPr>
          <w:sz w:val="24"/>
          <w:szCs w:val="24"/>
          <w:u w:val="single"/>
        </w:rPr>
      </w:pPr>
      <w:r w:rsidRPr="009952BC">
        <w:rPr>
          <w:sz w:val="24"/>
          <w:szCs w:val="24"/>
          <w:u w:val="single"/>
        </w:rPr>
        <w:lastRenderedPageBreak/>
        <w:t> </w:t>
      </w:r>
      <w:r w:rsidR="009952BC" w:rsidRPr="009952BC">
        <w:rPr>
          <w:sz w:val="24"/>
          <w:szCs w:val="24"/>
          <w:u w:val="single"/>
        </w:rPr>
        <w:t>Bibliography</w:t>
      </w:r>
    </w:p>
    <w:p w14:paraId="086C37B9" w14:textId="77777777" w:rsidR="009952BC" w:rsidRDefault="009952BC" w:rsidP="009952BC">
      <w:pPr>
        <w:rPr>
          <w:sz w:val="24"/>
          <w:szCs w:val="24"/>
        </w:rPr>
      </w:pPr>
    </w:p>
    <w:p w14:paraId="4B96810C" w14:textId="77777777" w:rsidR="009952BC" w:rsidRPr="00FB63D0" w:rsidRDefault="004F0F06" w:rsidP="009952BC">
      <w:pPr>
        <w:pStyle w:val="ListParagraph"/>
        <w:numPr>
          <w:ilvl w:val="0"/>
          <w:numId w:val="2"/>
        </w:numPr>
        <w:rPr>
          <w:rFonts w:cstheme="minorHAnsi"/>
          <w:sz w:val="24"/>
          <w:szCs w:val="24"/>
        </w:rPr>
      </w:pPr>
      <w:r w:rsidRPr="00FB63D0">
        <w:rPr>
          <w:rFonts w:cstheme="minorHAnsi"/>
          <w:color w:val="252525"/>
          <w:sz w:val="24"/>
          <w:szCs w:val="24"/>
        </w:rPr>
        <w:t> </w:t>
      </w:r>
      <w:r w:rsidR="009952BC" w:rsidRPr="00FB63D0">
        <w:rPr>
          <w:rFonts w:cstheme="minorHAnsi"/>
          <w:sz w:val="24"/>
          <w:szCs w:val="24"/>
        </w:rPr>
        <w:t xml:space="preserve">D. (2018, March 6). Mail Call: Letters from the Archives. The National WWII Museum | New Orleans. </w:t>
      </w:r>
      <w:r w:rsidR="009952BC" w:rsidRPr="00FB63D0">
        <w:rPr>
          <w:rFonts w:cstheme="minorHAnsi"/>
          <w:color w:val="4472C4" w:themeColor="accent1"/>
          <w:sz w:val="24"/>
          <w:szCs w:val="24"/>
        </w:rPr>
        <w:t>https://www.nationalww2museum.org/war/articles/mail-call-letters-archives</w:t>
      </w:r>
    </w:p>
    <w:p w14:paraId="2F468911" w14:textId="31E172C5" w:rsidR="004F0F06" w:rsidRPr="00FB63D0" w:rsidRDefault="006B6B07" w:rsidP="009952BC">
      <w:pPr>
        <w:pStyle w:val="ListParagraph"/>
        <w:numPr>
          <w:ilvl w:val="0"/>
          <w:numId w:val="2"/>
        </w:numPr>
        <w:rPr>
          <w:rFonts w:cstheme="minorHAnsi"/>
          <w:sz w:val="24"/>
          <w:szCs w:val="24"/>
        </w:rPr>
      </w:pPr>
      <w:r w:rsidRPr="00FB63D0">
        <w:rPr>
          <w:rFonts w:cstheme="minorHAnsi"/>
          <w:sz w:val="24"/>
          <w:szCs w:val="24"/>
        </w:rPr>
        <w:t xml:space="preserve">König, A. (2021, May 21). Why study war stories? | Visualising War and Peace. </w:t>
      </w:r>
      <w:hyperlink r:id="rId9" w:anchor=":~:text=For%20many%20alive%20today%20%28at%20least%20in%20the,stories%20and%20narratives%20haunt%20our%20understanding%20of%20war" w:history="1">
        <w:r w:rsidR="00347AF5" w:rsidRPr="00FB63D0">
          <w:rPr>
            <w:rStyle w:val="Hyperlink"/>
            <w:rFonts w:cstheme="minorHAnsi"/>
            <w:sz w:val="24"/>
            <w:szCs w:val="24"/>
          </w:rPr>
          <w:t>https://arts.st-andrews.ac.uk/visualising-war/2021/05/why-study-war-stories/#:~:text=For%20many%20alive%20today%20%28at%20least%20in%20the,stories%20and%20narratives%20haunt%20our%20understanding%20of%20war</w:t>
        </w:r>
      </w:hyperlink>
      <w:r w:rsidRPr="00FB63D0">
        <w:rPr>
          <w:rFonts w:cstheme="minorHAnsi"/>
          <w:color w:val="4472C4" w:themeColor="accent1"/>
          <w:sz w:val="24"/>
          <w:szCs w:val="24"/>
        </w:rPr>
        <w:t>.</w:t>
      </w:r>
    </w:p>
    <w:p w14:paraId="276F9A09" w14:textId="63E56068" w:rsidR="00347AF5" w:rsidRPr="00FB63D0" w:rsidRDefault="00347AF5" w:rsidP="009952BC">
      <w:pPr>
        <w:pStyle w:val="ListParagraph"/>
        <w:numPr>
          <w:ilvl w:val="0"/>
          <w:numId w:val="2"/>
        </w:numPr>
        <w:rPr>
          <w:rFonts w:cstheme="minorHAnsi"/>
          <w:sz w:val="24"/>
          <w:szCs w:val="24"/>
        </w:rPr>
      </w:pPr>
      <w:r w:rsidRPr="00FB63D0">
        <w:rPr>
          <w:rFonts w:cstheme="minorHAnsi"/>
          <w:sz w:val="24"/>
          <w:szCs w:val="24"/>
        </w:rPr>
        <w:t xml:space="preserve">A. (2020, November 22). Why are diaries good primary sources? – </w:t>
      </w:r>
      <w:proofErr w:type="spellStart"/>
      <w:r w:rsidRPr="00FB63D0">
        <w:rPr>
          <w:rFonts w:cstheme="minorHAnsi"/>
          <w:sz w:val="24"/>
          <w:szCs w:val="24"/>
        </w:rPr>
        <w:t>MassInitiative</w:t>
      </w:r>
      <w:proofErr w:type="spellEnd"/>
      <w:r w:rsidRPr="00FB63D0">
        <w:rPr>
          <w:rFonts w:cstheme="minorHAnsi"/>
          <w:sz w:val="24"/>
          <w:szCs w:val="24"/>
        </w:rPr>
        <w:t xml:space="preserve">. </w:t>
      </w:r>
      <w:hyperlink r:id="rId10" w:history="1">
        <w:r w:rsidR="00621BC9" w:rsidRPr="00FB63D0">
          <w:rPr>
            <w:rStyle w:val="Hyperlink"/>
            <w:rFonts w:cstheme="minorHAnsi"/>
            <w:sz w:val="24"/>
            <w:szCs w:val="24"/>
          </w:rPr>
          <w:t>https://massinitiative.org/why-are-diaries-good-primary-sources/</w:t>
        </w:r>
      </w:hyperlink>
    </w:p>
    <w:p w14:paraId="5BB38895" w14:textId="657D9EB6" w:rsidR="00621BC9" w:rsidRPr="00FB63D0" w:rsidRDefault="00621BC9" w:rsidP="009952BC">
      <w:pPr>
        <w:pStyle w:val="ListParagraph"/>
        <w:numPr>
          <w:ilvl w:val="0"/>
          <w:numId w:val="2"/>
        </w:numPr>
        <w:rPr>
          <w:rFonts w:cstheme="minorHAnsi"/>
          <w:sz w:val="24"/>
          <w:szCs w:val="24"/>
        </w:rPr>
      </w:pPr>
      <w:r w:rsidRPr="00FB63D0">
        <w:rPr>
          <w:rFonts w:cstheme="minorHAnsi"/>
          <w:sz w:val="24"/>
          <w:szCs w:val="24"/>
        </w:rPr>
        <w:t xml:space="preserve">War diary. (2023, November 6). Wikipedia. </w:t>
      </w:r>
      <w:hyperlink r:id="rId11" w:anchor="cite_note-AWM_War_Diaries-1" w:history="1">
        <w:r w:rsidR="00D51641" w:rsidRPr="00FB63D0">
          <w:rPr>
            <w:rStyle w:val="Hyperlink"/>
            <w:rFonts w:cstheme="minorHAnsi"/>
            <w:sz w:val="24"/>
            <w:szCs w:val="24"/>
          </w:rPr>
          <w:t>https://en.wikipedia.org/wiki/War_diary#cite_note-AWM_War_Diaries-1</w:t>
        </w:r>
      </w:hyperlink>
    </w:p>
    <w:p w14:paraId="4D813DD0" w14:textId="0A496750" w:rsidR="00D51641" w:rsidRPr="00FB63D0" w:rsidRDefault="00D51641" w:rsidP="00D51641">
      <w:pPr>
        <w:pStyle w:val="muitypography-root"/>
        <w:numPr>
          <w:ilvl w:val="0"/>
          <w:numId w:val="2"/>
        </w:numPr>
        <w:rPr>
          <w:rFonts w:asciiTheme="minorHAnsi" w:hAnsiTheme="minorHAnsi" w:cstheme="minorHAnsi"/>
        </w:rPr>
      </w:pPr>
      <w:r w:rsidRPr="00FB63D0">
        <w:rPr>
          <w:rFonts w:asciiTheme="minorHAnsi" w:hAnsiTheme="minorHAnsi" w:cstheme="minorHAnsi"/>
        </w:rPr>
        <w:t xml:space="preserve">History, H. (2018, October 24). </w:t>
      </w:r>
      <w:r w:rsidRPr="00FB63D0">
        <w:rPr>
          <w:rFonts w:asciiTheme="minorHAnsi" w:hAnsiTheme="minorHAnsi" w:cstheme="minorHAnsi"/>
          <w:i/>
          <w:iCs/>
        </w:rPr>
        <w:t>Anne Frank: A Life from Beginning to End</w:t>
      </w:r>
      <w:r w:rsidRPr="00FB63D0">
        <w:rPr>
          <w:rFonts w:asciiTheme="minorHAnsi" w:hAnsiTheme="minorHAnsi" w:cstheme="minorHAnsi"/>
        </w:rPr>
        <w:t xml:space="preserve">. Independently Published. </w:t>
      </w:r>
      <w:hyperlink r:id="rId12" w:history="1">
        <w:r w:rsidRPr="00FB63D0">
          <w:rPr>
            <w:rStyle w:val="Hyperlink"/>
            <w:rFonts w:asciiTheme="minorHAnsi" w:hAnsiTheme="minorHAnsi" w:cstheme="minorHAnsi"/>
          </w:rPr>
          <w:t>http://books.google.ie/books?id=WoagvQEACAAJ&amp;dq=The+Annex,+anne+frank,+1947&amp;hl=&amp;cd=10&amp;source=gbs_api</w:t>
        </w:r>
      </w:hyperlink>
    </w:p>
    <w:p w14:paraId="26D6E345" w14:textId="367E3040" w:rsidR="00D51641" w:rsidRPr="00FB63D0" w:rsidRDefault="0088103E" w:rsidP="0088103E">
      <w:pPr>
        <w:pStyle w:val="muitypography-root"/>
        <w:numPr>
          <w:ilvl w:val="0"/>
          <w:numId w:val="2"/>
        </w:numPr>
        <w:rPr>
          <w:rFonts w:asciiTheme="minorHAnsi" w:hAnsiTheme="minorHAnsi" w:cstheme="minorHAnsi"/>
          <w:color w:val="4472C4" w:themeColor="accent1"/>
        </w:rPr>
      </w:pPr>
      <w:r w:rsidRPr="00FB63D0">
        <w:rPr>
          <w:rFonts w:asciiTheme="minorHAnsi" w:hAnsiTheme="minorHAnsi" w:cstheme="minorHAnsi"/>
        </w:rPr>
        <w:t>C</w:t>
      </w:r>
      <w:r w:rsidR="00D51641" w:rsidRPr="00FB63D0">
        <w:rPr>
          <w:rFonts w:asciiTheme="minorHAnsi" w:hAnsiTheme="minorHAnsi" w:cstheme="minorHAnsi"/>
        </w:rPr>
        <w:t xml:space="preserve">ock-Starkey, C. (2016, July 26). </w:t>
      </w:r>
      <w:r w:rsidR="00D51641" w:rsidRPr="00FB63D0">
        <w:rPr>
          <w:rFonts w:asciiTheme="minorHAnsi" w:hAnsiTheme="minorHAnsi" w:cstheme="minorHAnsi"/>
          <w:i/>
          <w:iCs/>
        </w:rPr>
        <w:t>12 World War II Diaries You Can Read | Mental Floss</w:t>
      </w:r>
      <w:r w:rsidR="00D51641" w:rsidRPr="00FB63D0">
        <w:rPr>
          <w:rFonts w:asciiTheme="minorHAnsi" w:hAnsiTheme="minorHAnsi" w:cstheme="minorHAnsi"/>
        </w:rPr>
        <w:t xml:space="preserve">. Mental Floss. </w:t>
      </w:r>
      <w:r w:rsidR="00D51641" w:rsidRPr="00FB63D0">
        <w:rPr>
          <w:rFonts w:asciiTheme="minorHAnsi" w:hAnsiTheme="minorHAnsi" w:cstheme="minorHAnsi"/>
          <w:color w:val="4472C4" w:themeColor="accent1"/>
        </w:rPr>
        <w:t>https://www.mentalfloss.com/article/83417/12-world-war-ii-diaries-you-can-read</w:t>
      </w:r>
    </w:p>
    <w:p w14:paraId="4E8A1175" w14:textId="54F4B4AE" w:rsidR="00D51641" w:rsidRPr="00FB63D0" w:rsidRDefault="0088103E" w:rsidP="00FB63D0">
      <w:pPr>
        <w:pStyle w:val="muitypography-root"/>
        <w:numPr>
          <w:ilvl w:val="0"/>
          <w:numId w:val="2"/>
        </w:numPr>
        <w:rPr>
          <w:rFonts w:asciiTheme="minorHAnsi" w:hAnsiTheme="minorHAnsi" w:cstheme="minorHAnsi"/>
        </w:rPr>
      </w:pPr>
      <w:r w:rsidRPr="00FB63D0">
        <w:rPr>
          <w:rFonts w:asciiTheme="minorHAnsi" w:hAnsiTheme="minorHAnsi" w:cstheme="minorHAnsi"/>
        </w:rPr>
        <w:t xml:space="preserve">Fujita, F. (1993, January 1). </w:t>
      </w:r>
      <w:r w:rsidRPr="00FB63D0">
        <w:rPr>
          <w:rFonts w:asciiTheme="minorHAnsi" w:hAnsiTheme="minorHAnsi" w:cstheme="minorHAnsi"/>
          <w:i/>
          <w:iCs/>
        </w:rPr>
        <w:t xml:space="preserve">Foo, a </w:t>
      </w:r>
      <w:proofErr w:type="gramStart"/>
      <w:r w:rsidRPr="00FB63D0">
        <w:rPr>
          <w:rFonts w:asciiTheme="minorHAnsi" w:hAnsiTheme="minorHAnsi" w:cstheme="minorHAnsi"/>
          <w:i/>
          <w:iCs/>
        </w:rPr>
        <w:t>Japanese-American</w:t>
      </w:r>
      <w:proofErr w:type="gramEnd"/>
      <w:r w:rsidRPr="00FB63D0">
        <w:rPr>
          <w:rFonts w:asciiTheme="minorHAnsi" w:hAnsiTheme="minorHAnsi" w:cstheme="minorHAnsi"/>
          <w:i/>
          <w:iCs/>
        </w:rPr>
        <w:t xml:space="preserve"> Prisoner of the Rising Sun.</w:t>
      </w:r>
      <w:r w:rsidRPr="00FB63D0">
        <w:rPr>
          <w:rFonts w:asciiTheme="minorHAnsi" w:hAnsiTheme="minorHAnsi" w:cstheme="minorHAnsi"/>
        </w:rPr>
        <w:t xml:space="preserve"> University of North Texas Press.</w:t>
      </w:r>
    </w:p>
    <w:p w14:paraId="6854F22B" w14:textId="11B549AE" w:rsidR="00FB63D0" w:rsidRPr="00FB63D0" w:rsidRDefault="00FB63D0" w:rsidP="00FB63D0">
      <w:pPr>
        <w:pStyle w:val="muitypography-root"/>
        <w:numPr>
          <w:ilvl w:val="0"/>
          <w:numId w:val="2"/>
        </w:numPr>
        <w:rPr>
          <w:rFonts w:asciiTheme="minorHAnsi" w:hAnsiTheme="minorHAnsi" w:cstheme="minorHAnsi"/>
        </w:rPr>
      </w:pPr>
      <w:r w:rsidRPr="00FB63D0">
        <w:rPr>
          <w:rFonts w:asciiTheme="minorHAnsi" w:hAnsiTheme="minorHAnsi" w:cstheme="minorHAnsi"/>
        </w:rPr>
        <w:t xml:space="preserve"> Holliday, L. (2014, February 4). </w:t>
      </w:r>
      <w:r w:rsidRPr="00FB63D0">
        <w:rPr>
          <w:rFonts w:asciiTheme="minorHAnsi" w:hAnsiTheme="minorHAnsi" w:cstheme="minorHAnsi"/>
          <w:i/>
          <w:iCs/>
        </w:rPr>
        <w:t>Children in the Holocaust and World War II</w:t>
      </w:r>
      <w:r w:rsidRPr="00FB63D0">
        <w:rPr>
          <w:rFonts w:asciiTheme="minorHAnsi" w:hAnsiTheme="minorHAnsi" w:cstheme="minorHAnsi"/>
        </w:rPr>
        <w:t xml:space="preserve">. Simon and Schuster. </w:t>
      </w:r>
    </w:p>
    <w:p w14:paraId="55C24154" w14:textId="58C1D601" w:rsidR="00FB63D0" w:rsidRPr="008A0B15" w:rsidRDefault="00FB63D0" w:rsidP="00FB63D0">
      <w:pPr>
        <w:pStyle w:val="muitypography-root"/>
        <w:numPr>
          <w:ilvl w:val="0"/>
          <w:numId w:val="2"/>
        </w:numPr>
        <w:rPr>
          <w:rFonts w:asciiTheme="minorHAnsi" w:hAnsiTheme="minorHAnsi" w:cstheme="minorHAnsi"/>
        </w:rPr>
      </w:pPr>
      <w:proofErr w:type="spellStart"/>
      <w:r w:rsidRPr="008A0B15">
        <w:rPr>
          <w:rFonts w:asciiTheme="minorHAnsi" w:hAnsiTheme="minorHAnsi" w:cstheme="minorHAnsi"/>
        </w:rPr>
        <w:t>Dumenil</w:t>
      </w:r>
      <w:proofErr w:type="spellEnd"/>
      <w:r w:rsidRPr="008A0B15">
        <w:rPr>
          <w:rFonts w:asciiTheme="minorHAnsi" w:hAnsiTheme="minorHAnsi" w:cstheme="minorHAnsi"/>
        </w:rPr>
        <w:t>, L. (2019, October 25). American Working Women in World War II. Macmillan Higher Education.</w:t>
      </w:r>
    </w:p>
    <w:p w14:paraId="6B4F2D8A" w14:textId="4AE8F91F" w:rsidR="00FB63D0" w:rsidRPr="008A0B15" w:rsidRDefault="00FB63D0" w:rsidP="00FB63D0">
      <w:pPr>
        <w:pStyle w:val="muitypography-root"/>
        <w:numPr>
          <w:ilvl w:val="0"/>
          <w:numId w:val="2"/>
        </w:numPr>
        <w:rPr>
          <w:rFonts w:asciiTheme="minorHAnsi" w:hAnsiTheme="minorHAnsi" w:cstheme="minorHAnsi"/>
        </w:rPr>
      </w:pPr>
      <w:r w:rsidRPr="008A0B15">
        <w:rPr>
          <w:rFonts w:asciiTheme="minorHAnsi" w:hAnsiTheme="minorHAnsi" w:cstheme="minorHAnsi"/>
        </w:rPr>
        <w:t xml:space="preserve">Stich, H. F., Stich, W., &amp; Specht, J. (1993, January 1). Civil and Military Censorship During World War II. </w:t>
      </w:r>
    </w:p>
    <w:p w14:paraId="5F91A918" w14:textId="3C20223E" w:rsidR="00FB63D0" w:rsidRPr="008A0B15" w:rsidRDefault="008A0B15" w:rsidP="00FB63D0">
      <w:pPr>
        <w:pStyle w:val="muitypography-root"/>
        <w:numPr>
          <w:ilvl w:val="0"/>
          <w:numId w:val="2"/>
        </w:numPr>
        <w:rPr>
          <w:rFonts w:asciiTheme="minorHAnsi" w:hAnsiTheme="minorHAnsi" w:cstheme="minorHAnsi"/>
        </w:rPr>
      </w:pPr>
      <w:r w:rsidRPr="008A0B15">
        <w:rPr>
          <w:rFonts w:asciiTheme="minorHAnsi" w:hAnsiTheme="minorHAnsi" w:cstheme="minorHAnsi"/>
        </w:rPr>
        <w:t>Gardiner, J. (2004, October 4). Wartime Britain, 1939-1945.</w:t>
      </w:r>
    </w:p>
    <w:p w14:paraId="59051F16" w14:textId="77C2574A" w:rsidR="008A0B15" w:rsidRPr="008A0B15" w:rsidRDefault="008A0B15" w:rsidP="008A0B15">
      <w:pPr>
        <w:pStyle w:val="muitypography-root"/>
        <w:numPr>
          <w:ilvl w:val="0"/>
          <w:numId w:val="2"/>
        </w:numPr>
        <w:rPr>
          <w:rFonts w:asciiTheme="minorHAnsi" w:hAnsiTheme="minorHAnsi" w:cstheme="minorHAnsi"/>
        </w:rPr>
      </w:pPr>
      <w:r w:rsidRPr="008A0B15">
        <w:rPr>
          <w:rFonts w:asciiTheme="minorHAnsi" w:hAnsiTheme="minorHAnsi" w:cstheme="minorHAnsi"/>
        </w:rPr>
        <w:t xml:space="preserve">Goldman, W. Z., &amp; </w:t>
      </w:r>
      <w:proofErr w:type="spellStart"/>
      <w:r w:rsidRPr="008A0B15">
        <w:rPr>
          <w:rFonts w:asciiTheme="minorHAnsi" w:hAnsiTheme="minorHAnsi" w:cstheme="minorHAnsi"/>
        </w:rPr>
        <w:t>Filtzer</w:t>
      </w:r>
      <w:proofErr w:type="spellEnd"/>
      <w:r w:rsidRPr="008A0B15">
        <w:rPr>
          <w:rFonts w:asciiTheme="minorHAnsi" w:hAnsiTheme="minorHAnsi" w:cstheme="minorHAnsi"/>
        </w:rPr>
        <w:t xml:space="preserve">, D. A. (2021, January 1). Fortress Dark and Stern. Oxford University Press. </w:t>
      </w:r>
    </w:p>
    <w:p w14:paraId="4CF569D8" w14:textId="77777777" w:rsidR="008A0B15" w:rsidRPr="008A0B15" w:rsidRDefault="008A0B15" w:rsidP="00744CCA">
      <w:pPr>
        <w:pStyle w:val="muitypography-root"/>
        <w:ind w:left="720"/>
        <w:rPr>
          <w:rFonts w:asciiTheme="minorHAnsi" w:hAnsiTheme="minorHAnsi" w:cstheme="minorHAnsi"/>
          <w:i/>
          <w:iCs/>
        </w:rPr>
      </w:pPr>
    </w:p>
    <w:p w14:paraId="40051CA1" w14:textId="77777777" w:rsidR="004F0F06" w:rsidRDefault="004F0F06" w:rsidP="004F0F06">
      <w:pPr>
        <w:pStyle w:val="NormalWeb"/>
        <w:rPr>
          <w:color w:val="252525"/>
        </w:rPr>
      </w:pPr>
      <w:r>
        <w:rPr>
          <w:color w:val="252525"/>
        </w:rPr>
        <w:t> </w:t>
      </w:r>
    </w:p>
    <w:p w14:paraId="1F2822F5" w14:textId="77777777" w:rsidR="004F0F06" w:rsidRDefault="004F0F06" w:rsidP="004F0F06">
      <w:pPr>
        <w:pStyle w:val="NormalWeb"/>
        <w:rPr>
          <w:color w:val="252525"/>
        </w:rPr>
      </w:pPr>
      <w:r>
        <w:rPr>
          <w:color w:val="252525"/>
        </w:rPr>
        <w:t> </w:t>
      </w:r>
    </w:p>
    <w:p w14:paraId="61D1DC01" w14:textId="77777777" w:rsidR="004F0F06" w:rsidRDefault="004F0F06" w:rsidP="004F0F06">
      <w:pPr>
        <w:pStyle w:val="NormalWeb"/>
        <w:rPr>
          <w:color w:val="252525"/>
        </w:rPr>
      </w:pPr>
      <w:r>
        <w:rPr>
          <w:color w:val="252525"/>
        </w:rPr>
        <w:t> </w:t>
      </w:r>
    </w:p>
    <w:p w14:paraId="4AF20BBF" w14:textId="77777777" w:rsidR="004F0F06" w:rsidRDefault="004F0F06" w:rsidP="004F0F06">
      <w:pPr>
        <w:pStyle w:val="NormalWeb"/>
        <w:rPr>
          <w:color w:val="252525"/>
        </w:rPr>
      </w:pPr>
      <w:r>
        <w:rPr>
          <w:color w:val="252525"/>
        </w:rPr>
        <w:t> </w:t>
      </w:r>
    </w:p>
    <w:p w14:paraId="134D44F1" w14:textId="77777777" w:rsidR="00E33468" w:rsidRDefault="00E33468"/>
    <w:sectPr w:rsidR="00E334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1B18D" w14:textId="77777777" w:rsidR="00DC20CD" w:rsidRDefault="00DC20CD" w:rsidP="009952BC">
      <w:pPr>
        <w:spacing w:after="0" w:line="240" w:lineRule="auto"/>
      </w:pPr>
      <w:r>
        <w:separator/>
      </w:r>
    </w:p>
  </w:endnote>
  <w:endnote w:type="continuationSeparator" w:id="0">
    <w:p w14:paraId="09027852" w14:textId="77777777" w:rsidR="00DC20CD" w:rsidRDefault="00DC20CD" w:rsidP="00995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056CD" w14:textId="77777777" w:rsidR="00DC20CD" w:rsidRDefault="00DC20CD" w:rsidP="009952BC">
      <w:pPr>
        <w:spacing w:after="0" w:line="240" w:lineRule="auto"/>
      </w:pPr>
      <w:r>
        <w:separator/>
      </w:r>
    </w:p>
  </w:footnote>
  <w:footnote w:type="continuationSeparator" w:id="0">
    <w:p w14:paraId="0C0D44C2" w14:textId="77777777" w:rsidR="00DC20CD" w:rsidRDefault="00DC20CD" w:rsidP="009952BC">
      <w:pPr>
        <w:spacing w:after="0" w:line="240" w:lineRule="auto"/>
      </w:pPr>
      <w:r>
        <w:continuationSeparator/>
      </w:r>
    </w:p>
  </w:footnote>
  <w:footnote w:id="1">
    <w:p w14:paraId="45EAE297" w14:textId="72DA8CFE" w:rsidR="009952BC" w:rsidRPr="00347AF5" w:rsidRDefault="009952BC">
      <w:pPr>
        <w:pStyle w:val="FootnoteText"/>
        <w:rPr>
          <w:rFonts w:cstheme="minorHAnsi"/>
        </w:rPr>
      </w:pPr>
      <w:r w:rsidRPr="00347AF5">
        <w:rPr>
          <w:rStyle w:val="FootnoteReference"/>
        </w:rPr>
        <w:footnoteRef/>
      </w:r>
      <w:r w:rsidRPr="00347AF5">
        <w:t xml:space="preserve"> </w:t>
      </w:r>
      <w:r w:rsidR="006B6B07" w:rsidRPr="00347AF5">
        <w:rPr>
          <w:rFonts w:cstheme="minorHAnsi"/>
        </w:rPr>
        <w:t>Mail Call: Letters from the Archives. The National WWII Museum (D, 2018)</w:t>
      </w:r>
    </w:p>
  </w:footnote>
  <w:footnote w:id="2">
    <w:p w14:paraId="36E3A822" w14:textId="4A884AB2" w:rsidR="006B6B07" w:rsidRPr="00347AF5" w:rsidRDefault="006B6B07">
      <w:pPr>
        <w:pStyle w:val="FootnoteText"/>
      </w:pPr>
      <w:r w:rsidRPr="00347AF5">
        <w:rPr>
          <w:rStyle w:val="FootnoteReference"/>
          <w:rFonts w:cstheme="minorHAnsi"/>
        </w:rPr>
        <w:footnoteRef/>
      </w:r>
      <w:r w:rsidRPr="00347AF5">
        <w:rPr>
          <w:rFonts w:cstheme="minorHAnsi"/>
        </w:rPr>
        <w:t xml:space="preserve"> Why study war stories? | Visualising War and Peace. (König, 2021)</w:t>
      </w:r>
    </w:p>
  </w:footnote>
  <w:footnote w:id="3">
    <w:p w14:paraId="4A5D9A3F" w14:textId="5E18B78C" w:rsidR="00347AF5" w:rsidRDefault="00347AF5">
      <w:pPr>
        <w:pStyle w:val="FootnoteText"/>
      </w:pPr>
      <w:r w:rsidRPr="00347AF5">
        <w:rPr>
          <w:rStyle w:val="FootnoteReference"/>
        </w:rPr>
        <w:footnoteRef/>
      </w:r>
      <w:r w:rsidRPr="00347AF5">
        <w:t xml:space="preserve"> Why are diaries good primary sources?</w:t>
      </w:r>
      <w:r>
        <w:t xml:space="preserve"> (A, 2020)</w:t>
      </w:r>
    </w:p>
  </w:footnote>
  <w:footnote w:id="4">
    <w:p w14:paraId="2539FB5A" w14:textId="682C1BE7" w:rsidR="00621BC9" w:rsidRDefault="00621BC9">
      <w:pPr>
        <w:pStyle w:val="FootnoteText"/>
      </w:pPr>
      <w:r>
        <w:rPr>
          <w:rStyle w:val="FootnoteReference"/>
        </w:rPr>
        <w:footnoteRef/>
      </w:r>
      <w:r>
        <w:t xml:space="preserve"> War Diary, Wikipedia (2023)</w:t>
      </w:r>
    </w:p>
  </w:footnote>
  <w:footnote w:id="5">
    <w:p w14:paraId="04546284" w14:textId="43EE5137" w:rsidR="00D51641" w:rsidRPr="0088103E" w:rsidRDefault="00D51641">
      <w:pPr>
        <w:pStyle w:val="FootnoteText"/>
      </w:pPr>
      <w:r w:rsidRPr="0088103E">
        <w:rPr>
          <w:rStyle w:val="FootnoteReference"/>
        </w:rPr>
        <w:footnoteRef/>
      </w:r>
      <w:r w:rsidRPr="0088103E">
        <w:t xml:space="preserve"> </w:t>
      </w:r>
      <w:r w:rsidRPr="0088103E">
        <w:rPr>
          <w:rFonts w:cstheme="minorHAnsi"/>
        </w:rPr>
        <w:t>Anne Frank: A Life from Beginning to End. (H, 2018)</w:t>
      </w:r>
    </w:p>
  </w:footnote>
  <w:footnote w:id="6">
    <w:p w14:paraId="01D2AF40" w14:textId="10DF6363" w:rsidR="00D51641" w:rsidRPr="0088103E" w:rsidRDefault="00D51641">
      <w:pPr>
        <w:pStyle w:val="FootnoteText"/>
      </w:pPr>
      <w:r w:rsidRPr="0088103E">
        <w:rPr>
          <w:rStyle w:val="FootnoteReference"/>
        </w:rPr>
        <w:footnoteRef/>
      </w:r>
      <w:r w:rsidRPr="0088103E">
        <w:t xml:space="preserve"> </w:t>
      </w:r>
      <w:r w:rsidR="00014781" w:rsidRPr="0088103E">
        <w:t>12 World War II Diaries You Can Read (Cock-Starkey, 2016)</w:t>
      </w:r>
    </w:p>
  </w:footnote>
  <w:footnote w:id="7">
    <w:p w14:paraId="4CDB7BA7" w14:textId="1E09BFC0" w:rsidR="0088103E" w:rsidRDefault="0088103E">
      <w:pPr>
        <w:pStyle w:val="FootnoteText"/>
      </w:pPr>
      <w:r w:rsidRPr="0088103E">
        <w:rPr>
          <w:rStyle w:val="FootnoteReference"/>
        </w:rPr>
        <w:footnoteRef/>
      </w:r>
      <w:r w:rsidRPr="0088103E">
        <w:t xml:space="preserve"> Foo, a </w:t>
      </w:r>
      <w:proofErr w:type="gramStart"/>
      <w:r w:rsidRPr="0088103E">
        <w:t>Japanese-American</w:t>
      </w:r>
      <w:proofErr w:type="gramEnd"/>
      <w:r w:rsidRPr="0088103E">
        <w:t xml:space="preserve"> Prisoner of the Rising Sun (Fujita, 1993)</w:t>
      </w:r>
    </w:p>
  </w:footnote>
  <w:footnote w:id="8">
    <w:p w14:paraId="6634C870" w14:textId="6319101D" w:rsidR="00FB63D0" w:rsidRPr="00FB63D0" w:rsidRDefault="00FB63D0">
      <w:pPr>
        <w:pStyle w:val="FootnoteText"/>
      </w:pPr>
      <w:r>
        <w:rPr>
          <w:rStyle w:val="FootnoteReference"/>
        </w:rPr>
        <w:footnoteRef/>
      </w:r>
      <w:r>
        <w:t xml:space="preserve"> </w:t>
      </w:r>
      <w:r w:rsidRPr="00FB63D0">
        <w:rPr>
          <w:rFonts w:cstheme="minorHAnsi"/>
          <w:i/>
          <w:iCs/>
        </w:rPr>
        <w:t>Children in the Holocaust and World War II</w:t>
      </w:r>
      <w:r w:rsidRPr="00FB63D0">
        <w:rPr>
          <w:rFonts w:cstheme="minorHAnsi"/>
        </w:rPr>
        <w:t>. (Holliday, 2014)</w:t>
      </w:r>
    </w:p>
  </w:footnote>
  <w:footnote w:id="9">
    <w:p w14:paraId="5D14E5D7" w14:textId="6C126257" w:rsidR="00FB63D0" w:rsidRDefault="00FB63D0">
      <w:pPr>
        <w:pStyle w:val="FootnoteText"/>
      </w:pPr>
      <w:r w:rsidRPr="00FB63D0">
        <w:rPr>
          <w:rStyle w:val="FootnoteReference"/>
        </w:rPr>
        <w:footnoteRef/>
      </w:r>
      <w:r w:rsidRPr="00FB63D0">
        <w:t xml:space="preserve"> </w:t>
      </w:r>
      <w:r w:rsidRPr="00FB63D0">
        <w:rPr>
          <w:rFonts w:cstheme="minorHAnsi"/>
          <w:i/>
          <w:iCs/>
        </w:rPr>
        <w:t>American Working Women in World War II</w:t>
      </w:r>
      <w:r w:rsidRPr="00FB63D0">
        <w:rPr>
          <w:rFonts w:cstheme="minorHAnsi"/>
        </w:rPr>
        <w:t>. (</w:t>
      </w:r>
      <w:proofErr w:type="spellStart"/>
      <w:r w:rsidRPr="00FB63D0">
        <w:rPr>
          <w:rFonts w:cstheme="minorHAnsi"/>
        </w:rPr>
        <w:t>Dumenil</w:t>
      </w:r>
      <w:proofErr w:type="spellEnd"/>
      <w:r w:rsidRPr="00FB63D0">
        <w:rPr>
          <w:rFonts w:cstheme="minorHAnsi"/>
        </w:rPr>
        <w:t>, 2019)</w:t>
      </w:r>
    </w:p>
  </w:footnote>
  <w:footnote w:id="10">
    <w:p w14:paraId="1DACB4CE" w14:textId="04EB331E" w:rsidR="00FB63D0" w:rsidRDefault="00FB63D0">
      <w:pPr>
        <w:pStyle w:val="FootnoteText"/>
      </w:pPr>
      <w:r>
        <w:rPr>
          <w:rStyle w:val="FootnoteReference"/>
        </w:rPr>
        <w:footnoteRef/>
      </w:r>
      <w:r>
        <w:t xml:space="preserve"> </w:t>
      </w:r>
      <w:r w:rsidR="0086014C">
        <w:t>Civil And Military Censorship During World War II (</w:t>
      </w:r>
      <w:r w:rsidR="0086014C" w:rsidRPr="0086014C">
        <w:t>Stich, H. F., Stich, W., &amp; Specht, J</w:t>
      </w:r>
      <w:r w:rsidR="0086014C">
        <w:t>, 1993)</w:t>
      </w:r>
    </w:p>
  </w:footnote>
  <w:footnote w:id="11">
    <w:p w14:paraId="7E7C6FF7" w14:textId="37CDCD44" w:rsidR="008A0B15" w:rsidRDefault="008A0B15">
      <w:pPr>
        <w:pStyle w:val="FootnoteText"/>
      </w:pPr>
      <w:r>
        <w:rPr>
          <w:rStyle w:val="FootnoteReference"/>
        </w:rPr>
        <w:footnoteRef/>
      </w:r>
      <w:r>
        <w:t xml:space="preserve"> Wartime Britain 1939-1945 (Gardiner, 2004)</w:t>
      </w:r>
    </w:p>
  </w:footnote>
  <w:footnote w:id="12">
    <w:p w14:paraId="41362252" w14:textId="19BB7323" w:rsidR="008A0B15" w:rsidRPr="008A0B15" w:rsidRDefault="008A0B15">
      <w:pPr>
        <w:pStyle w:val="FootnoteText"/>
        <w:rPr>
          <w:rFonts w:cstheme="minorHAnsi"/>
        </w:rPr>
      </w:pPr>
      <w:r>
        <w:rPr>
          <w:rStyle w:val="FootnoteReference"/>
        </w:rPr>
        <w:footnoteRef/>
      </w:r>
      <w:r>
        <w:t xml:space="preserve"> </w:t>
      </w:r>
      <w:r w:rsidRPr="008A0B15">
        <w:rPr>
          <w:rFonts w:cstheme="minorHAnsi"/>
        </w:rPr>
        <w:t>Fortress Dark and Stern</w:t>
      </w:r>
      <w:r>
        <w:rPr>
          <w:rFonts w:cstheme="minorHAnsi"/>
        </w:rPr>
        <w:t xml:space="preserve"> (</w:t>
      </w:r>
      <w:r w:rsidRPr="008A0B15">
        <w:rPr>
          <w:rFonts w:cstheme="minorHAnsi"/>
        </w:rPr>
        <w:t>Goldman</w:t>
      </w:r>
      <w:r>
        <w:rPr>
          <w:rFonts w:cstheme="minorHAnsi"/>
        </w:rPr>
        <w:t xml:space="preserve"> </w:t>
      </w:r>
      <w:r w:rsidRPr="008A0B15">
        <w:rPr>
          <w:rFonts w:cstheme="minorHAnsi"/>
        </w:rPr>
        <w:t xml:space="preserve">&amp; </w:t>
      </w:r>
      <w:proofErr w:type="spellStart"/>
      <w:r w:rsidRPr="008A0B15">
        <w:rPr>
          <w:rFonts w:cstheme="minorHAnsi"/>
        </w:rPr>
        <w:t>Filtzer</w:t>
      </w:r>
      <w:proofErr w:type="spellEnd"/>
      <w:r>
        <w:rPr>
          <w:rFonts w:cstheme="minorHAnsi"/>
        </w:rPr>
        <w:t xml:space="preserve">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61C3F"/>
    <w:multiLevelType w:val="hybridMultilevel"/>
    <w:tmpl w:val="55307276"/>
    <w:lvl w:ilvl="0" w:tplc="7D62A538">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3878D9"/>
    <w:multiLevelType w:val="hybridMultilevel"/>
    <w:tmpl w:val="AFF01336"/>
    <w:lvl w:ilvl="0" w:tplc="8D6A8332">
      <w:start w:val="1"/>
      <w:numFmt w:val="decimal"/>
      <w:lvlText w:val="%1."/>
      <w:lvlJc w:val="left"/>
      <w:pPr>
        <w:ind w:left="720" w:hanging="360"/>
      </w:pPr>
      <w:rPr>
        <w:rFonts w:hint="default"/>
        <w:color w:val="252525"/>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EB1558"/>
    <w:multiLevelType w:val="hybridMultilevel"/>
    <w:tmpl w:val="A97C8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682118"/>
    <w:multiLevelType w:val="hybridMultilevel"/>
    <w:tmpl w:val="E332AA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2009240">
    <w:abstractNumId w:val="3"/>
  </w:num>
  <w:num w:numId="2" w16cid:durableId="822352910">
    <w:abstractNumId w:val="0"/>
  </w:num>
  <w:num w:numId="3" w16cid:durableId="1999843923">
    <w:abstractNumId w:val="1"/>
  </w:num>
  <w:num w:numId="4" w16cid:durableId="3930463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F06"/>
    <w:rsid w:val="00014781"/>
    <w:rsid w:val="0025647E"/>
    <w:rsid w:val="002A3EA5"/>
    <w:rsid w:val="00347AF5"/>
    <w:rsid w:val="003D3B57"/>
    <w:rsid w:val="004F0F06"/>
    <w:rsid w:val="00621BC9"/>
    <w:rsid w:val="006B6B07"/>
    <w:rsid w:val="00744CCA"/>
    <w:rsid w:val="0086014C"/>
    <w:rsid w:val="0088103E"/>
    <w:rsid w:val="008A0B15"/>
    <w:rsid w:val="009952BC"/>
    <w:rsid w:val="00D51641"/>
    <w:rsid w:val="00DC20CD"/>
    <w:rsid w:val="00E33468"/>
    <w:rsid w:val="00F640BA"/>
    <w:rsid w:val="00FB6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583ED"/>
  <w15:chartTrackingRefBased/>
  <w15:docId w15:val="{32EAFEB9-D9BC-4FCE-BC02-A776A4EAC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0F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muitypography-root">
    <w:name w:val="muitypography-root"/>
    <w:basedOn w:val="Normal"/>
    <w:rsid w:val="009952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9952BC"/>
    <w:pPr>
      <w:ind w:left="720"/>
      <w:contextualSpacing/>
    </w:pPr>
  </w:style>
  <w:style w:type="paragraph" w:styleId="FootnoteText">
    <w:name w:val="footnote text"/>
    <w:basedOn w:val="Normal"/>
    <w:link w:val="FootnoteTextChar"/>
    <w:uiPriority w:val="99"/>
    <w:semiHidden/>
    <w:unhideWhenUsed/>
    <w:rsid w:val="009952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2BC"/>
    <w:rPr>
      <w:sz w:val="20"/>
      <w:szCs w:val="20"/>
    </w:rPr>
  </w:style>
  <w:style w:type="character" w:styleId="FootnoteReference">
    <w:name w:val="footnote reference"/>
    <w:basedOn w:val="DefaultParagraphFont"/>
    <w:uiPriority w:val="99"/>
    <w:semiHidden/>
    <w:unhideWhenUsed/>
    <w:rsid w:val="009952BC"/>
    <w:rPr>
      <w:vertAlign w:val="superscript"/>
    </w:rPr>
  </w:style>
  <w:style w:type="character" w:styleId="Hyperlink">
    <w:name w:val="Hyperlink"/>
    <w:basedOn w:val="DefaultParagraphFont"/>
    <w:uiPriority w:val="99"/>
    <w:unhideWhenUsed/>
    <w:rsid w:val="00347AF5"/>
    <w:rPr>
      <w:color w:val="0563C1" w:themeColor="hyperlink"/>
      <w:u w:val="single"/>
    </w:rPr>
  </w:style>
  <w:style w:type="character" w:styleId="UnresolvedMention">
    <w:name w:val="Unresolved Mention"/>
    <w:basedOn w:val="DefaultParagraphFont"/>
    <w:uiPriority w:val="99"/>
    <w:semiHidden/>
    <w:unhideWhenUsed/>
    <w:rsid w:val="00347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2410">
      <w:bodyDiv w:val="1"/>
      <w:marLeft w:val="0"/>
      <w:marRight w:val="0"/>
      <w:marTop w:val="0"/>
      <w:marBottom w:val="0"/>
      <w:divBdr>
        <w:top w:val="none" w:sz="0" w:space="0" w:color="auto"/>
        <w:left w:val="none" w:sz="0" w:space="0" w:color="auto"/>
        <w:bottom w:val="none" w:sz="0" w:space="0" w:color="auto"/>
        <w:right w:val="none" w:sz="0" w:space="0" w:color="auto"/>
      </w:divBdr>
    </w:div>
    <w:div w:id="149562269">
      <w:bodyDiv w:val="1"/>
      <w:marLeft w:val="0"/>
      <w:marRight w:val="0"/>
      <w:marTop w:val="0"/>
      <w:marBottom w:val="0"/>
      <w:divBdr>
        <w:top w:val="none" w:sz="0" w:space="0" w:color="auto"/>
        <w:left w:val="none" w:sz="0" w:space="0" w:color="auto"/>
        <w:bottom w:val="none" w:sz="0" w:space="0" w:color="auto"/>
        <w:right w:val="none" w:sz="0" w:space="0" w:color="auto"/>
      </w:divBdr>
    </w:div>
    <w:div w:id="441846528">
      <w:bodyDiv w:val="1"/>
      <w:marLeft w:val="0"/>
      <w:marRight w:val="0"/>
      <w:marTop w:val="0"/>
      <w:marBottom w:val="0"/>
      <w:divBdr>
        <w:top w:val="none" w:sz="0" w:space="0" w:color="auto"/>
        <w:left w:val="none" w:sz="0" w:space="0" w:color="auto"/>
        <w:bottom w:val="none" w:sz="0" w:space="0" w:color="auto"/>
        <w:right w:val="none" w:sz="0" w:space="0" w:color="auto"/>
      </w:divBdr>
    </w:div>
    <w:div w:id="491683723">
      <w:bodyDiv w:val="1"/>
      <w:marLeft w:val="0"/>
      <w:marRight w:val="0"/>
      <w:marTop w:val="0"/>
      <w:marBottom w:val="0"/>
      <w:divBdr>
        <w:top w:val="none" w:sz="0" w:space="0" w:color="auto"/>
        <w:left w:val="none" w:sz="0" w:space="0" w:color="auto"/>
        <w:bottom w:val="none" w:sz="0" w:space="0" w:color="auto"/>
        <w:right w:val="none" w:sz="0" w:space="0" w:color="auto"/>
      </w:divBdr>
    </w:div>
    <w:div w:id="590697624">
      <w:bodyDiv w:val="1"/>
      <w:marLeft w:val="0"/>
      <w:marRight w:val="0"/>
      <w:marTop w:val="0"/>
      <w:marBottom w:val="0"/>
      <w:divBdr>
        <w:top w:val="none" w:sz="0" w:space="0" w:color="auto"/>
        <w:left w:val="none" w:sz="0" w:space="0" w:color="auto"/>
        <w:bottom w:val="none" w:sz="0" w:space="0" w:color="auto"/>
        <w:right w:val="none" w:sz="0" w:space="0" w:color="auto"/>
      </w:divBdr>
    </w:div>
    <w:div w:id="597641095">
      <w:bodyDiv w:val="1"/>
      <w:marLeft w:val="0"/>
      <w:marRight w:val="0"/>
      <w:marTop w:val="0"/>
      <w:marBottom w:val="0"/>
      <w:divBdr>
        <w:top w:val="none" w:sz="0" w:space="0" w:color="auto"/>
        <w:left w:val="none" w:sz="0" w:space="0" w:color="auto"/>
        <w:bottom w:val="none" w:sz="0" w:space="0" w:color="auto"/>
        <w:right w:val="none" w:sz="0" w:space="0" w:color="auto"/>
      </w:divBdr>
    </w:div>
    <w:div w:id="1106004297">
      <w:bodyDiv w:val="1"/>
      <w:marLeft w:val="0"/>
      <w:marRight w:val="0"/>
      <w:marTop w:val="0"/>
      <w:marBottom w:val="0"/>
      <w:divBdr>
        <w:top w:val="none" w:sz="0" w:space="0" w:color="auto"/>
        <w:left w:val="none" w:sz="0" w:space="0" w:color="auto"/>
        <w:bottom w:val="none" w:sz="0" w:space="0" w:color="auto"/>
        <w:right w:val="none" w:sz="0" w:space="0" w:color="auto"/>
      </w:divBdr>
    </w:div>
    <w:div w:id="1171337275">
      <w:bodyDiv w:val="1"/>
      <w:marLeft w:val="0"/>
      <w:marRight w:val="0"/>
      <w:marTop w:val="0"/>
      <w:marBottom w:val="0"/>
      <w:divBdr>
        <w:top w:val="none" w:sz="0" w:space="0" w:color="auto"/>
        <w:left w:val="none" w:sz="0" w:space="0" w:color="auto"/>
        <w:bottom w:val="none" w:sz="0" w:space="0" w:color="auto"/>
        <w:right w:val="none" w:sz="0" w:space="0" w:color="auto"/>
      </w:divBdr>
    </w:div>
    <w:div w:id="1455253317">
      <w:bodyDiv w:val="1"/>
      <w:marLeft w:val="0"/>
      <w:marRight w:val="0"/>
      <w:marTop w:val="0"/>
      <w:marBottom w:val="0"/>
      <w:divBdr>
        <w:top w:val="none" w:sz="0" w:space="0" w:color="auto"/>
        <w:left w:val="none" w:sz="0" w:space="0" w:color="auto"/>
        <w:bottom w:val="none" w:sz="0" w:space="0" w:color="auto"/>
        <w:right w:val="none" w:sz="0" w:space="0" w:color="auto"/>
      </w:divBdr>
    </w:div>
    <w:div w:id="1730615062">
      <w:bodyDiv w:val="1"/>
      <w:marLeft w:val="0"/>
      <w:marRight w:val="0"/>
      <w:marTop w:val="0"/>
      <w:marBottom w:val="0"/>
      <w:divBdr>
        <w:top w:val="none" w:sz="0" w:space="0" w:color="auto"/>
        <w:left w:val="none" w:sz="0" w:space="0" w:color="auto"/>
        <w:bottom w:val="none" w:sz="0" w:space="0" w:color="auto"/>
        <w:right w:val="none" w:sz="0" w:space="0" w:color="auto"/>
      </w:divBdr>
    </w:div>
    <w:div w:id="1810247250">
      <w:bodyDiv w:val="1"/>
      <w:marLeft w:val="0"/>
      <w:marRight w:val="0"/>
      <w:marTop w:val="0"/>
      <w:marBottom w:val="0"/>
      <w:divBdr>
        <w:top w:val="none" w:sz="0" w:space="0" w:color="auto"/>
        <w:left w:val="none" w:sz="0" w:space="0" w:color="auto"/>
        <w:bottom w:val="none" w:sz="0" w:space="0" w:color="auto"/>
        <w:right w:val="none" w:sz="0" w:space="0" w:color="auto"/>
      </w:divBdr>
    </w:div>
    <w:div w:id="1921715727">
      <w:bodyDiv w:val="1"/>
      <w:marLeft w:val="0"/>
      <w:marRight w:val="0"/>
      <w:marTop w:val="0"/>
      <w:marBottom w:val="0"/>
      <w:divBdr>
        <w:top w:val="none" w:sz="0" w:space="0" w:color="auto"/>
        <w:left w:val="none" w:sz="0" w:space="0" w:color="auto"/>
        <w:bottom w:val="none" w:sz="0" w:space="0" w:color="auto"/>
        <w:right w:val="none" w:sz="0" w:space="0" w:color="auto"/>
      </w:divBdr>
    </w:div>
    <w:div w:id="206609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ooks.google.ie/books?id=WoagvQEACAAJ&amp;dq=The+Annex,+anne+frank,+1947&amp;hl=&amp;cd=10&amp;source=gbs_ap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War_diary" TargetMode="External"/><Relationship Id="rId5" Type="http://schemas.openxmlformats.org/officeDocument/2006/relationships/webSettings" Target="webSettings.xml"/><Relationship Id="rId10" Type="http://schemas.openxmlformats.org/officeDocument/2006/relationships/hyperlink" Target="https://massinitiative.org/why-are-diaries-good-primary-sources/" TargetMode="External"/><Relationship Id="rId4" Type="http://schemas.openxmlformats.org/officeDocument/2006/relationships/settings" Target="settings.xml"/><Relationship Id="rId9" Type="http://schemas.openxmlformats.org/officeDocument/2006/relationships/hyperlink" Target="https://arts.st-andrews.ac.uk/visualising-war/2021/05/why-study-war-stori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E17E9-AC37-4025-9CC9-8D96DA62E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Pages>
  <Words>2363</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2</cp:revision>
  <dcterms:created xsi:type="dcterms:W3CDTF">2024-01-11T12:44:00Z</dcterms:created>
  <dcterms:modified xsi:type="dcterms:W3CDTF">2024-01-13T17:13:00Z</dcterms:modified>
</cp:coreProperties>
</file>