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pPr>
    </w:p>
    <w:p>
      <w:pPr>
        <w:pStyle w:val="Title"/>
      </w:pPr>
    </w:p>
    <w:p>
      <w:pPr>
        <w:pStyle w:val="Title"/>
      </w:pPr>
    </w:p>
    <w:p>
      <w:pPr>
        <w:pStyle w:val="Title"/>
      </w:pPr>
    </w:p>
    <w:p>
      <w:pPr>
        <w:pStyle w:val="Title"/>
      </w:pPr>
    </w:p>
    <w:p>
      <w:pPr>
        <w:pStyle w:val="Title"/>
      </w:pPr>
      <w:r>
        <w:rPr>
          <w:rtl w:val="0"/>
          <w:lang w:val="en-US"/>
        </w:rPr>
        <w:t>Research Skills for Healthcare</w:t>
      </w:r>
    </w:p>
    <w:p>
      <w:pPr>
        <w:pStyle w:val="Title"/>
      </w:pPr>
      <w:r>
        <w:rPr>
          <w:rtl w:val="0"/>
          <w:lang w:val="en-US"/>
        </w:rPr>
        <w:t>Digital Skills and Research Methods</w:t>
      </w:r>
    </w:p>
    <w:p>
      <w:pPr>
        <w:pStyle w:val="Title"/>
      </w:pPr>
      <w:r>
        <w:rPr>
          <w:rtl w:val="0"/>
          <w:lang w:val="en-US"/>
        </w:rPr>
        <w:t>BMSW4003-Koushik Modak</w:t>
      </w:r>
    </w:p>
    <w:p>
      <w:pPr>
        <w:pStyle w:val="Title"/>
      </w:pPr>
      <w:r>
        <w:rPr>
          <w:rtl w:val="0"/>
          <w:lang w:val="en-US"/>
        </w:rPr>
        <w:t>Ion Tudora (2125485)</w:t>
      </w:r>
    </w:p>
    <w:p>
      <w:pPr>
        <w:pStyle w:val="Normal.0"/>
        <w:spacing w:after="200" w:line="276" w:lineRule="auto"/>
        <w:jc w:val="left"/>
      </w:pPr>
      <w:r>
        <w:rPr>
          <w:rFonts w:ascii="Arial Unicode MS" w:cs="Arial Unicode MS" w:hAnsi="Arial Unicode MS" w:eastAsia="Arial Unicode MS"/>
          <w:b w:val="0"/>
          <w:bCs w:val="0"/>
          <w:i w:val="0"/>
          <w:iCs w:val="0"/>
        </w:rPr>
        <w:br w:type="page"/>
      </w:r>
    </w:p>
    <w:p>
      <w:pPr>
        <w:pStyle w:val="Normal.0"/>
        <w:jc w:val="center"/>
        <w:rPr>
          <w:b w:val="1"/>
          <w:bCs w:val="1"/>
        </w:rPr>
      </w:pPr>
      <w:r>
        <w:rPr>
          <w:b w:val="1"/>
          <w:bCs w:val="1"/>
          <w:rtl w:val="0"/>
          <w:lang w:val="en-US"/>
        </w:rPr>
        <w:t>Abstract</w:t>
      </w:r>
    </w:p>
    <w:p>
      <w:pPr>
        <w:pStyle w:val="Normal.0"/>
      </w:pPr>
      <w:r>
        <w:rPr>
          <w:rtl w:val="0"/>
          <w:lang w:val="en-US"/>
        </w:rPr>
        <w:t xml:space="preserve">While the myriad of forces is transforming the facet of modern healthcare, this is evidentially argued that nothing is going to change the way healthcare services are practised more than present advancements in technologies. Indeed, technological innovations are changing the healthcare systems at a warp pace and nowhere this is more evident rather than in hospital settings. In this research, the usage of technological innovations in the modern-day healthcare workplace has been critically reviewed. Furthermore, mixed or combined methods have been applied for analysing the progress in hospitals. </w:t>
      </w:r>
    </w:p>
    <w:p>
      <w:pPr>
        <w:pStyle w:val="Normal.0"/>
      </w:pPr>
    </w:p>
    <w:p>
      <w:pPr>
        <w:pStyle w:val="Normal.0"/>
      </w:pPr>
    </w:p>
    <w:p>
      <w:pPr>
        <w:pStyle w:val="heading 1"/>
      </w:pPr>
    </w:p>
    <w:p>
      <w:pPr>
        <w:pStyle w:val="heading 1"/>
      </w:pPr>
    </w:p>
    <w:p>
      <w:pPr>
        <w:pStyle w:val="Normal.0"/>
        <w:spacing w:after="200" w:line="276" w:lineRule="auto"/>
        <w:jc w:val="left"/>
      </w:pPr>
      <w:r>
        <w:rPr>
          <w:rFonts w:ascii="Arial Unicode MS" w:cs="Arial Unicode MS" w:hAnsi="Arial Unicode MS" w:eastAsia="Arial Unicode MS"/>
          <w:b w:val="0"/>
          <w:bCs w:val="0"/>
          <w:i w:val="0"/>
          <w:iCs w:val="0"/>
        </w:rPr>
        <w:br w:type="page"/>
      </w:r>
    </w:p>
    <w:p>
      <w:pPr>
        <w:pStyle w:val="TOC Heading"/>
        <w:jc w:val="center"/>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Table of Contents</w:t>
      </w:r>
    </w:p>
    <w:p>
      <w:pPr>
        <w:pStyle w:val="Normal.0"/>
      </w:pPr>
      <w:r>
        <w:rPr>
          <w:outline w:val="0"/>
          <w:color w:val="000000"/>
          <w:u w:color="000000"/>
          <w14:textFill>
            <w14:solidFill>
              <w14:srgbClr w14:val="000000"/>
            </w14:solidFill>
          </w14:textFill>
        </w:rPr>
        <w:fldChar w:fldCharType="begin" w:fldLock="0"/>
      </w:r>
      <w:r>
        <w:rPr>
          <w:outline w:val="0"/>
          <w:color w:val="000000"/>
          <w:u w:color="000000"/>
          <w14:textFill>
            <w14:solidFill>
              <w14:srgbClr w14:val="000000"/>
            </w14:solidFill>
          </w14:textFill>
        </w:rPr>
        <w:instrText xml:space="preserve"> TOC \t "heading 1, 1,heading 2, 2"</w:instrText>
      </w:r>
      <w:r>
        <w:rPr>
          <w:outline w:val="0"/>
          <w:color w:val="000000"/>
          <w:u w:color="000000"/>
          <w14:textFill>
            <w14:solidFill>
              <w14:srgbClr w14:val="000000"/>
            </w14:solidFill>
          </w14:textFill>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Rationale</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Research Objectives</w:t>
        <w:tab/>
      </w:r>
      <w:r>
        <w:rPr/>
        <w:fldChar w:fldCharType="begin" w:fldLock="0"/>
      </w:r>
      <w:r>
        <w:instrText xml:space="preserve"> PAGEREF _Toc2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Literature Review</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Research Methodology</w:t>
        <w:tab/>
      </w:r>
      <w:r>
        <w:rPr/>
        <w:fldChar w:fldCharType="begin" w:fldLock="0"/>
      </w:r>
      <w:r>
        <w:instrText xml:space="preserve"> PAGEREF _Toc4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rPr>
        <w:t>Research Method and Methodology</w:t>
        <w:tab/>
      </w:r>
      <w:r>
        <w:rPr/>
        <w:fldChar w:fldCharType="begin" w:fldLock="0"/>
      </w:r>
      <w:r>
        <w:instrText xml:space="preserve"> PAGEREF _Toc5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rPr>
        <w:t>Qualitative, Quantitative and Combined Approach</w:t>
        <w:tab/>
      </w:r>
      <w:r>
        <w:rPr/>
        <w:fldChar w:fldCharType="begin" w:fldLock="0"/>
      </w:r>
      <w:r>
        <w:instrText xml:space="preserve"> PAGEREF _Toc6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rPr>
        <w:t>Primary and Secondary Data</w:t>
        <w:tab/>
      </w:r>
      <w:r>
        <w:rPr/>
        <w:fldChar w:fldCharType="begin" w:fldLock="0"/>
      </w:r>
      <w:r>
        <w:instrText xml:space="preserve"> PAGEREF _Toc7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rPr>
        <w:t>Data Collection</w:t>
        <w:tab/>
      </w:r>
      <w:r>
        <w:rPr/>
        <w:fldChar w:fldCharType="begin" w:fldLock="0"/>
      </w:r>
      <w:r>
        <w:instrText xml:space="preserve"> PAGEREF _Toc8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rPr>
        <w:t>Population, Sample and Sample Size</w:t>
        <w:tab/>
      </w:r>
      <w:r>
        <w:rPr/>
        <w:fldChar w:fldCharType="begin" w:fldLock="0"/>
      </w:r>
      <w:r>
        <w:instrText xml:space="preserve"> PAGEREF _Toc9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rPr>
        <w:t>Ethics in Data Collection and Presentation</w:t>
        <w:tab/>
      </w:r>
      <w:r>
        <w:rPr/>
        <w:fldChar w:fldCharType="begin" w:fldLock="0"/>
      </w:r>
      <w:r>
        <w:instrText xml:space="preserve"> PAGEREF _Toc10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Findings, Analysis and Discussion</w:t>
        <w:tab/>
      </w:r>
      <w:r>
        <w:rPr/>
        <w:fldChar w:fldCharType="begin" w:fldLock="0"/>
      </w:r>
      <w:r>
        <w:instrText xml:space="preserve"> PAGEREF _Toc11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Primary Data Analysis</w:t>
        <w:tab/>
      </w:r>
      <w:r>
        <w:rPr/>
        <w:fldChar w:fldCharType="begin" w:fldLock="0"/>
      </w:r>
      <w:r>
        <w:instrText xml:space="preserve"> PAGEREF _Toc12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Secondary Data Analysis</w:t>
        <w:tab/>
      </w:r>
      <w:r>
        <w:rPr/>
        <w:fldChar w:fldCharType="begin" w:fldLock="0"/>
      </w:r>
      <w:r>
        <w:instrText xml:space="preserve"> PAGEREF _Toc13 \h </w:instrText>
      </w:r>
      <w:r>
        <w:rPr/>
        <w:fldChar w:fldCharType="separate" w:fldLock="0"/>
      </w:r>
      <w:r>
        <w:rPr>
          <w:rFonts w:cs="Arial Unicode MS" w:eastAsia="Arial Unicode MS"/>
          <w:rtl w:val="0"/>
        </w:rPr>
        <w:t>12</w:t>
      </w:r>
      <w:r>
        <w:rPr/>
        <w:fldChar w:fldCharType="end" w:fldLock="0"/>
      </w:r>
    </w:p>
    <w:p>
      <w:pPr>
        <w:pStyle w:val="TOC 2"/>
      </w:pPr>
      <w:r>
        <w:rPr>
          <w:rFonts w:cs="Arial Unicode MS" w:eastAsia="Arial Unicode MS"/>
          <w:rtl w:val="0"/>
        </w:rPr>
        <w:t>Summary of Findings</w:t>
        <w:tab/>
      </w:r>
      <w:r>
        <w:rPr/>
        <w:fldChar w:fldCharType="begin" w:fldLock="0"/>
      </w:r>
      <w:r>
        <w:instrText xml:space="preserve"> PAGEREF _Toc14 \h </w:instrText>
      </w:r>
      <w:r>
        <w:rPr/>
        <w:fldChar w:fldCharType="separate" w:fldLock="0"/>
      </w:r>
      <w:r>
        <w:rPr>
          <w:rFonts w:cs="Arial Unicode MS" w:eastAsia="Arial Unicode MS"/>
          <w:rtl w:val="0"/>
        </w:rPr>
        <w:t>12</w:t>
      </w:r>
      <w:r>
        <w:rPr/>
        <w:fldChar w:fldCharType="end" w:fldLock="0"/>
      </w:r>
    </w:p>
    <w:p>
      <w:pPr>
        <w:pStyle w:val="TOC 1"/>
      </w:pPr>
      <w:r>
        <w:rPr>
          <w:rFonts w:cs="Arial Unicode MS" w:eastAsia="Arial Unicode MS"/>
          <w:rtl w:val="0"/>
        </w:rPr>
        <w:t>Conclusion and Recommendation</w:t>
        <w:tab/>
      </w:r>
      <w:r>
        <w:rPr/>
        <w:fldChar w:fldCharType="begin" w:fldLock="0"/>
      </w:r>
      <w:r>
        <w:instrText xml:space="preserve"> PAGEREF _Toc15 \h </w:instrText>
      </w:r>
      <w:r>
        <w:rPr/>
        <w:fldChar w:fldCharType="separate" w:fldLock="0"/>
      </w:r>
      <w:r>
        <w:rPr>
          <w:rFonts w:cs="Arial Unicode MS" w:eastAsia="Arial Unicode MS"/>
          <w:rtl w:val="0"/>
        </w:rPr>
        <w:t>12</w:t>
      </w:r>
      <w:r>
        <w:rPr/>
        <w:fldChar w:fldCharType="end" w:fldLock="0"/>
      </w:r>
    </w:p>
    <w:p>
      <w:pPr>
        <w:pStyle w:val="TOC 1"/>
      </w:pPr>
      <w:r>
        <w:rPr>
          <w:rFonts w:cs="Arial Unicode MS" w:eastAsia="Arial Unicode MS"/>
          <w:rtl w:val="0"/>
        </w:rPr>
        <w:t>References</w:t>
        <w:tab/>
      </w:r>
      <w:r>
        <w:rPr/>
        <w:fldChar w:fldCharType="begin" w:fldLock="0"/>
      </w:r>
      <w:r>
        <w:instrText xml:space="preserve"> PAGEREF _Toc16 \h </w:instrText>
      </w:r>
      <w:r>
        <w:rPr/>
        <w:fldChar w:fldCharType="separate" w:fldLock="0"/>
      </w:r>
      <w:r>
        <w:rPr>
          <w:rFonts w:cs="Arial Unicode MS" w:eastAsia="Arial Unicode MS"/>
          <w:rtl w:val="0"/>
        </w:rPr>
        <w:t>14</w:t>
      </w:r>
      <w:r>
        <w:rPr/>
        <w:fldChar w:fldCharType="end" w:fldLock="0"/>
      </w:r>
    </w:p>
    <w:p>
      <w:pPr>
        <w:pStyle w:val="Normal.0"/>
      </w:pPr>
      <w:r>
        <w:rPr>
          <w:outline w:val="0"/>
          <w:color w:val="000000"/>
          <w:u w:color="000000"/>
          <w14:textFill>
            <w14:solidFill>
              <w14:srgbClr w14:val="000000"/>
            </w14:solidFill>
          </w14:textFill>
        </w:rPr>
        <w:fldChar w:fldCharType="end" w:fldLock="0"/>
      </w:r>
    </w:p>
    <w:p>
      <w:pPr>
        <w:pStyle w:val="heading 1"/>
      </w:pPr>
    </w:p>
    <w:p>
      <w:pPr>
        <w:pStyle w:val="heading 1"/>
      </w:pPr>
    </w:p>
    <w:p>
      <w:pPr>
        <w:pStyle w:val="heading 1"/>
      </w:pPr>
    </w:p>
    <w:p>
      <w:pPr>
        <w:pStyle w:val="Normal.0"/>
        <w:spacing w:after="200" w:line="276" w:lineRule="auto"/>
        <w:jc w:val="left"/>
      </w:pPr>
      <w:r>
        <w:rPr>
          <w:rFonts w:ascii="Arial Unicode MS" w:cs="Arial Unicode MS" w:hAnsi="Arial Unicode MS" w:eastAsia="Arial Unicode MS"/>
          <w:b w:val="0"/>
          <w:bCs w:val="0"/>
          <w:i w:val="0"/>
          <w:iCs w:val="0"/>
        </w:rPr>
        <w:br w:type="page"/>
      </w:r>
    </w:p>
    <w:p>
      <w:pPr>
        <w:pStyle w:val="heading 1"/>
      </w:pPr>
      <w:bookmarkStart w:name="_Toc" w:id="0"/>
      <w:r>
        <w:rPr>
          <w:rFonts w:cs="Arial Unicode MS" w:eastAsia="Arial Unicode MS"/>
          <w:rtl w:val="0"/>
          <w:lang w:val="en-US"/>
        </w:rPr>
        <w:t>Introduction</w:t>
      </w:r>
      <w:bookmarkEnd w:id="0"/>
    </w:p>
    <w:p>
      <w:pPr>
        <w:pStyle w:val="Normal.0"/>
      </w:pPr>
      <w:r>
        <w:rPr>
          <w:rtl w:val="0"/>
          <w:lang w:val="en-US"/>
        </w:rPr>
        <w:t xml:space="preserve">Dramatic improvisations have been made in information technology, which holds the potential of transforming healthcare delivery. The healthcare industry has prominently outperformed the rest of the national economy and proved to be resilient to numerous downturns over the past couple of decades by bringing in technological innovations. This can help in the prior detection of health issues. This further support in proper integration of data collection from check-ups instantaneously screens the status of the person and then conveys that information to the staff and doctors in no time. This prominently improves the efficacies of the whole hospital system. Technologies such as automation, the Internet of Things and Artificial Intelligence have prominently percolated within almost all aspects of healthcare today (Thilakarathne, Kagita and Gadekallu, 2020). Other effective technological innovations in the healthcare workplace comprise clinical decision support systems, electronic health records, communication technologies, information management, healthcare analytics, public health surveillance and numerous others. </w:t>
      </w:r>
    </w:p>
    <w:p>
      <w:pPr>
        <w:pStyle w:val="heading 1"/>
      </w:pPr>
      <w:bookmarkStart w:name="_Toc1" w:id="1"/>
      <w:r>
        <w:rPr>
          <w:rFonts w:cs="Arial Unicode MS" w:eastAsia="Arial Unicode MS"/>
          <w:rtl w:val="0"/>
          <w:lang w:val="en-US"/>
        </w:rPr>
        <w:t>Rationale</w:t>
      </w:r>
      <w:bookmarkEnd w:id="1"/>
    </w:p>
    <w:p>
      <w:pPr>
        <w:pStyle w:val="Normal.0"/>
      </w:pPr>
      <w:r>
        <w:rPr>
          <w:rtl w:val="0"/>
          <w:lang w:val="en-US"/>
        </w:rPr>
        <w:t xml:space="preserve">Health information technologies that are used in hospitals are inclusive of numerous technologies, which expanded from simplest plotting to progressive level of decision-making and strategic integration with therapeutic technologies. As stated by Alotaibi and Federico (2017), health information technologies offer several opportunities to improvise as well as transform healthcare that include improving clinical outcomes, minimising human errors, improving practice efficacies, tracking data over time and facilitation of care coordination. This research has been intended for properly reviewing and summarising the presently available scientific evidence on the impact of various health information technologies on improving the modern healthcare workplace. This will further opportune in understanding the effectiveness of modern technologies in enlightening patient welfare results. The research would be valuable for hospital policymakers and clinicians while creating evidence-oriented decisions on proper procurement as well as integration of innovative technology to progress hospital workplace and patient safety. </w:t>
      </w:r>
    </w:p>
    <w:p>
      <w:pPr>
        <w:pStyle w:val="heading 1"/>
      </w:pPr>
      <w:bookmarkStart w:name="_Toc2" w:id="2"/>
      <w:r>
        <w:rPr>
          <w:rFonts w:cs="Arial Unicode MS" w:eastAsia="Arial Unicode MS"/>
          <w:rtl w:val="0"/>
          <w:lang w:val="en-US"/>
        </w:rPr>
        <w:t>Research Objectives</w:t>
      </w:r>
      <w:bookmarkEnd w:id="2"/>
    </w:p>
    <w:p>
      <w:pPr>
        <w:pStyle w:val="List Paragraph"/>
        <w:numPr>
          <w:ilvl w:val="0"/>
          <w:numId w:val="2"/>
        </w:numPr>
        <w:bidi w:val="0"/>
        <w:ind w:right="0"/>
        <w:jc w:val="both"/>
        <w:rPr>
          <w:rtl w:val="0"/>
          <w:lang w:val="en-US"/>
        </w:rPr>
      </w:pPr>
      <w:r>
        <w:rPr>
          <w:rtl w:val="0"/>
          <w:lang w:val="en-US"/>
        </w:rPr>
        <w:t>To assess the effect of changes in technology on the hospital workforce of the future</w:t>
      </w:r>
    </w:p>
    <w:p>
      <w:pPr>
        <w:pStyle w:val="List Paragraph"/>
        <w:numPr>
          <w:ilvl w:val="0"/>
          <w:numId w:val="2"/>
        </w:numPr>
        <w:bidi w:val="0"/>
        <w:ind w:right="0"/>
        <w:jc w:val="both"/>
        <w:rPr>
          <w:rtl w:val="0"/>
          <w:lang w:val="en-US"/>
        </w:rPr>
      </w:pPr>
      <w:r>
        <w:rPr>
          <w:rtl w:val="0"/>
          <w:lang w:val="en-US"/>
        </w:rPr>
        <w:t>To analyse the benefits of information technology in healthcare</w:t>
      </w:r>
    </w:p>
    <w:p>
      <w:pPr>
        <w:pStyle w:val="List Paragraph"/>
        <w:numPr>
          <w:ilvl w:val="0"/>
          <w:numId w:val="2"/>
        </w:numPr>
        <w:bidi w:val="0"/>
        <w:ind w:right="0"/>
        <w:jc w:val="both"/>
        <w:rPr>
          <w:rtl w:val="0"/>
          <w:lang w:val="en-US"/>
        </w:rPr>
      </w:pPr>
      <w:r>
        <w:rPr>
          <w:rtl w:val="0"/>
          <w:lang w:val="en-US"/>
        </w:rPr>
        <w:t>To gauge the impacts of AI, Machine Learning, Blockchain and IoT in the hospital workplace</w:t>
      </w:r>
    </w:p>
    <w:p>
      <w:pPr>
        <w:pStyle w:val="heading 1"/>
      </w:pPr>
      <w:bookmarkStart w:name="_Toc3" w:id="3"/>
      <w:r>
        <w:rPr>
          <w:rFonts w:cs="Arial Unicode MS" w:eastAsia="Arial Unicode MS"/>
          <w:rtl w:val="0"/>
          <w:lang w:val="en-US"/>
        </w:rPr>
        <w:t>Literature Review</w:t>
      </w:r>
      <w:bookmarkEnd w:id="3"/>
    </w:p>
    <w:p>
      <w:pPr>
        <w:pStyle w:val="Normal.0"/>
      </w:pPr>
      <w:r>
        <w:rPr>
          <w:rtl w:val="0"/>
          <w:lang w:val="en-US"/>
        </w:rPr>
        <w:t>The application of Artificial Intelligence (AI) has intensified in all hospitals. The unique power of AI is such that this not just complements human skills; however, significantly expands the opportunity for human activity (</w:t>
      </w:r>
      <w:r>
        <w:rPr>
          <w:shd w:val="clear" w:color="auto" w:fill="ffffff"/>
          <w:rtl w:val="0"/>
          <w:lang w:val="en-US"/>
        </w:rPr>
        <w:t xml:space="preserve">Alami </w:t>
      </w:r>
      <w:r>
        <w:rPr>
          <w:i w:val="1"/>
          <w:iCs w:val="1"/>
          <w:shd w:val="clear" w:color="auto" w:fill="ffffff"/>
          <w:rtl w:val="0"/>
          <w:lang w:val="en-US"/>
        </w:rPr>
        <w:t>et al</w:t>
      </w:r>
      <w:r>
        <w:rPr>
          <w:shd w:val="clear" w:color="auto" w:fill="ffffff"/>
          <w:rtl w:val="0"/>
          <w:lang w:val="en-US"/>
        </w:rPr>
        <w:t>., 2020</w:t>
      </w:r>
      <w:r>
        <w:rPr>
          <w:rtl w:val="0"/>
          <w:lang w:val="en-US"/>
        </w:rPr>
        <w:t xml:space="preserve">). Some of the AI-based technologies that are being integrated within the healthcare workplaces are natural language processing, computer vision, expert systems, voice recognition, chatbots, machine learning and intelligent agents. Data processing and management of patients' health records has been one of the most extensively used digital applications of automation and AI. According to </w:t>
      </w:r>
      <w:r>
        <w:rPr>
          <w:shd w:val="clear" w:color="auto" w:fill="ffffff"/>
          <w:rtl w:val="0"/>
          <w:lang w:val="en-US"/>
        </w:rPr>
        <w:t>Horton</w:t>
      </w:r>
      <w:r>
        <w:rPr>
          <w:rtl w:val="0"/>
          <w:lang w:val="en-US"/>
        </w:rPr>
        <w:t xml:space="preserve"> </w:t>
      </w:r>
      <w:r>
        <w:rPr>
          <w:i w:val="1"/>
          <w:iCs w:val="1"/>
          <w:rtl w:val="0"/>
          <w:lang w:val="en-US"/>
        </w:rPr>
        <w:t>et al</w:t>
      </w:r>
      <w:r>
        <w:rPr>
          <w:rtl w:val="0"/>
          <w:lang w:val="en-US"/>
        </w:rPr>
        <w:t>. (2018), in healthcare systems, robots are assigned for collecting, storing, re-formatting and even tracing essential data for providing seamless and faster access to it at any point of time from anywhere.</w:t>
      </w:r>
    </w:p>
    <w:p>
      <w:pPr>
        <w:pStyle w:val="Normal.0"/>
      </w:pPr>
      <w:r>
        <w:rPr>
          <w:rtl w:val="0"/>
          <w:lang w:val="en-US"/>
        </w:rPr>
        <w:t>AI has also been deployed for performing certain repetitive tasks such as analysing laboratory tests, CT scans, X-rays and even data entry. Through the application of primary research strategy, previous authors have identified that AI-based applications have been extremely useful for providing medical consultation depending on patients' medical history and intelligence collected through analytics. The procedure of drug development can even be supported by AI-powered programs that can considerably minimise the cost involved in the development of pharmaceuticals. As opined by Oikonomou, Siddique and Antoniades (2020), precision medicine has been another technological innovation with the application of AI in which AI-powered body scans can prominently spot cancer as well as vascular diseases at an early stage and accordingly predict patients' health issues that might be faced due to their genetics.</w:t>
      </w:r>
    </w:p>
    <w:p>
      <w:pPr>
        <w:pStyle w:val="Normal.0"/>
      </w:pPr>
      <w:r>
        <w:rPr>
          <w:rtl w:val="0"/>
          <w:lang w:val="en-US"/>
        </w:rPr>
        <w:t xml:space="preserve">In the hospital workplace, the Internet of Things (IoT) is all about prominently unleashing the power of connected digital sensors and devices, which are extensively used in this industry. Within 2020, around 50 billion connected devices have been installed across the world. Using quantitative research methods, </w:t>
      </w:r>
      <w:r>
        <w:rPr>
          <w:shd w:val="clear" w:color="auto" w:fill="ffffff"/>
          <w:rtl w:val="0"/>
          <w:lang w:val="en-US"/>
        </w:rPr>
        <w:t>Al-Dulaimi, Cosmas and Abbod (2019) identified that t</w:t>
      </w:r>
      <w:r>
        <w:rPr>
          <w:rtl w:val="0"/>
          <w:lang w:val="en-US"/>
        </w:rPr>
        <w:t>he IoT revolution in the healthcare workplace has been the outcome of replacing disconnected objects with connected ones as well as making those objects more contexts aware and intelligent by using digital sensors. IoT is used for deriving valuable insights from data derived from electrocardiograms, foetal monitors, blood glucose levels and temperature monitors. Smart IoT devices provide necessary health information remotely as well as minimise the necessity of directing physician and patient interaction.</w:t>
      </w:r>
    </w:p>
    <w:p>
      <w:pPr>
        <w:pStyle w:val="Normal.0"/>
      </w:pPr>
      <w:r>
        <w:rPr>
          <w:rtl w:val="0"/>
          <w:lang w:val="en-US"/>
        </w:rPr>
        <w:t xml:space="preserve">In the world of technological advancements with IoT, a variety of distributed devices can be engaged in gathering, communicating and analysing real-time medical information to hybrid, private and open clouds. This is eventually making the process possible to gather, store and assess big data streams in numerous other new formats in order to activate context departmental alarms. With the application of secondary research methods, </w:t>
      </w:r>
      <w:r>
        <w:rPr>
          <w:shd w:val="clear" w:color="auto" w:fill="ffffff"/>
          <w:rtl w:val="0"/>
          <w:lang w:val="en-US"/>
        </w:rPr>
        <w:t xml:space="preserve">Naresh </w:t>
      </w:r>
      <w:r>
        <w:rPr>
          <w:i w:val="1"/>
          <w:iCs w:val="1"/>
          <w:shd w:val="clear" w:color="auto" w:fill="ffffff"/>
          <w:rtl w:val="0"/>
          <w:lang w:val="en-US"/>
        </w:rPr>
        <w:t>et al</w:t>
      </w:r>
      <w:r>
        <w:rPr>
          <w:shd w:val="clear" w:color="auto" w:fill="ffffff"/>
          <w:rtl w:val="0"/>
          <w:lang w:val="en-US"/>
        </w:rPr>
        <w:t>. (2020) have identified that n</w:t>
      </w:r>
      <w:r>
        <w:rPr>
          <w:rtl w:val="0"/>
          <w:lang w:val="en-US"/>
        </w:rPr>
        <w:t>umerous healthcare leaders prefer to invest more money to transform their healthcare services for harnessing the beneficial aspects delivered by IoT, thus flooring the way to integrate Internet of Medical Things (IoMT), a wide-ranging assortment of medicinal sensors and related infrastructure. The health and safety of workers are significant for hospital workplaces; hence, an IoT based network system that can monitor both physiological and environmental can impressively progress workplace safety (</w:t>
      </w:r>
      <w:r>
        <w:rPr>
          <w:shd w:val="clear" w:color="auto" w:fill="ffffff"/>
          <w:rtl w:val="0"/>
          <w:lang w:val="en-US"/>
        </w:rPr>
        <w:t xml:space="preserve">Telkar </w:t>
      </w:r>
      <w:r>
        <w:rPr>
          <w:i w:val="1"/>
          <w:iCs w:val="1"/>
          <w:shd w:val="clear" w:color="auto" w:fill="ffffff"/>
          <w:rtl w:val="0"/>
          <w:lang w:val="en-US"/>
        </w:rPr>
        <w:t>et al.</w:t>
      </w:r>
      <w:r>
        <w:rPr>
          <w:shd w:val="clear" w:color="auto" w:fill="ffffff"/>
          <w:rtl w:val="0"/>
          <w:lang w:val="en-US"/>
        </w:rPr>
        <w:t>, 2020</w:t>
      </w:r>
      <w:r>
        <w:rPr>
          <w:rtl w:val="0"/>
          <w:lang w:val="en-US"/>
        </w:rPr>
        <w:t xml:space="preserve">). Precisely, in the case of health surveillance, IoT can impart a significantly crucial role. </w:t>
      </w:r>
    </w:p>
    <w:p>
      <w:pPr>
        <w:pStyle w:val="Normal.0"/>
      </w:pPr>
      <w:r>
        <w:rPr>
          <w:rtl w:val="0"/>
          <w:lang w:val="en-US"/>
        </w:rPr>
        <w:t xml:space="preserve">From the above discussion, this has been clearly realised that there has been no doubt that the integration of health information technologies is an important tool for bringing in strategic improvisations in hospital safety and care delivery. Hospitals extensively necessitate being selective regarding which technology to make an investment in for the reason that literature shows that some technologies are having extensive evidence to improve hospital workplace and patient safety outcomes. </w:t>
      </w:r>
    </w:p>
    <w:p>
      <w:pPr>
        <w:pStyle w:val="heading 1"/>
      </w:pPr>
      <w:bookmarkStart w:name="_Toc4" w:id="4"/>
      <w:r>
        <w:rPr>
          <w:rFonts w:cs="Arial Unicode MS" w:eastAsia="Arial Unicode MS"/>
          <w:rtl w:val="0"/>
          <w:lang w:val="en-US"/>
        </w:rPr>
        <w:t>Research Methodology</w:t>
      </w:r>
      <w:bookmarkEnd w:id="4"/>
    </w:p>
    <w:p>
      <w:pPr>
        <w:pStyle w:val="heading 2"/>
        <w:rPr>
          <w:rFonts w:ascii="Times New Roman" w:cs="Times New Roman" w:hAnsi="Times New Roman" w:eastAsia="Times New Roman"/>
          <w:outline w:val="0"/>
          <w:color w:val="000000"/>
          <w:sz w:val="24"/>
          <w:szCs w:val="24"/>
          <w:u w:color="000000"/>
          <w14:textFill>
            <w14:solidFill>
              <w14:srgbClr w14:val="000000"/>
            </w14:solidFill>
          </w14:textFill>
        </w:rPr>
      </w:pPr>
      <w:bookmarkStart w:name="_Toc5" w:id="5"/>
      <w:r>
        <w:rPr>
          <w:rFonts w:ascii="Times New Roman" w:hAnsi="Times New Roman"/>
          <w:outline w:val="0"/>
          <w:color w:val="000000"/>
          <w:sz w:val="24"/>
          <w:szCs w:val="24"/>
          <w:u w:color="000000"/>
          <w:rtl w:val="0"/>
          <w:lang w:val="en-US"/>
          <w14:textFill>
            <w14:solidFill>
              <w14:srgbClr w14:val="000000"/>
            </w14:solidFill>
          </w14:textFill>
        </w:rPr>
        <w:t>Research Method and Methodology</w:t>
      </w:r>
      <w:bookmarkEnd w:id="5"/>
    </w:p>
    <w:p>
      <w:pPr>
        <w:pStyle w:val="Normal.0"/>
      </w:pPr>
      <w:r>
        <w:rPr>
          <w:rtl w:val="0"/>
          <w:lang w:val="en-US"/>
        </w:rPr>
        <w:t>Research methods are effective strategies, techniques and processes that are being utilised in the data or evidence collection for proper analysis with the intention of uncovering new information and creating a better understanding of the concerned topic. Research methodology is the set of techniques or processes that are being enforced for identifying, selecting, processing and analysing information about the research theme (</w:t>
      </w:r>
      <w:r>
        <w:rPr>
          <w:outline w:val="0"/>
          <w:color w:val="222222"/>
          <w:u w:color="222222"/>
          <w:shd w:val="clear" w:color="auto" w:fill="ffffff"/>
          <w:rtl w:val="0"/>
          <w:lang w:val="en-US"/>
          <w14:textFill>
            <w14:solidFill>
              <w14:srgbClr w14:val="222222"/>
            </w14:solidFill>
          </w14:textFill>
        </w:rPr>
        <w:t>Goundar, 2012</w:t>
      </w:r>
      <w:r>
        <w:rPr>
          <w:rtl w:val="0"/>
          <w:lang w:val="en-US"/>
        </w:rPr>
        <w:t>). Research methodology provides research legitimacy as well as provides scientifically sound findings (Salking, 2010). In this research selection of appropriate research, methodologies have provided the detailed planning which helps in keeping the researcher on right track, making research progress smooth, manageable and effective.</w:t>
      </w:r>
    </w:p>
    <w:p>
      <w:pPr>
        <w:pStyle w:val="heading 2"/>
        <w:rPr>
          <w:rFonts w:ascii="Times New Roman" w:cs="Times New Roman" w:hAnsi="Times New Roman" w:eastAsia="Times New Roman"/>
          <w:outline w:val="0"/>
          <w:color w:val="000000"/>
          <w:sz w:val="24"/>
          <w:szCs w:val="24"/>
          <w:u w:color="000000"/>
          <w14:textFill>
            <w14:solidFill>
              <w14:srgbClr w14:val="000000"/>
            </w14:solidFill>
          </w14:textFill>
        </w:rPr>
      </w:pPr>
      <w:bookmarkStart w:name="_Toc6" w:id="6"/>
      <w:r>
        <w:rPr>
          <w:rFonts w:ascii="Times New Roman" w:hAnsi="Times New Roman"/>
          <w:outline w:val="0"/>
          <w:color w:val="000000"/>
          <w:sz w:val="24"/>
          <w:szCs w:val="24"/>
          <w:u w:color="000000"/>
          <w:rtl w:val="0"/>
          <w:lang w:val="en-US"/>
          <w14:textFill>
            <w14:solidFill>
              <w14:srgbClr w14:val="000000"/>
            </w14:solidFill>
          </w14:textFill>
        </w:rPr>
        <w:t>Qualitative, Quantitative and Combined Approach</w:t>
      </w:r>
      <w:bookmarkEnd w:id="6"/>
    </w:p>
    <w:p>
      <w:pPr>
        <w:pStyle w:val="Normal.0"/>
      </w:pPr>
      <w:r>
        <w:rPr>
          <w:rtl w:val="0"/>
          <w:lang w:val="en-US"/>
        </w:rPr>
        <w:t>Qualitative research collects information about lived experiences, behaviours or emotions and the meaning individuals are attached to them. This research approach assists in enabling the researchers in gaining a thorough understanding of the complicated concepts, cultural phenomena and social interactions (</w:t>
      </w:r>
      <w:r>
        <w:rPr>
          <w:shd w:val="clear" w:color="auto" w:fill="ffffff"/>
          <w:rtl w:val="0"/>
          <w:lang w:val="en-US"/>
        </w:rPr>
        <w:t xml:space="preserve">Noyes </w:t>
      </w:r>
      <w:r>
        <w:rPr>
          <w:i w:val="1"/>
          <w:iCs w:val="1"/>
          <w:shd w:val="clear" w:color="auto" w:fill="ffffff"/>
          <w:rtl w:val="0"/>
          <w:lang w:val="en-US"/>
        </w:rPr>
        <w:t>et al.</w:t>
      </w:r>
      <w:r>
        <w:rPr>
          <w:shd w:val="clear" w:color="auto" w:fill="ffffff"/>
          <w:rtl w:val="0"/>
          <w:lang w:val="en-US"/>
        </w:rPr>
        <w:t>, 2019</w:t>
      </w:r>
      <w:r>
        <w:rPr>
          <w:rtl w:val="0"/>
          <w:lang w:val="en-US"/>
        </w:rPr>
        <w:t>). This research approach is very useful in the due exploration of why or how things have happened, describing actions and interpreting events.</w:t>
      </w:r>
    </w:p>
    <w:p>
      <w:pPr>
        <w:pStyle w:val="Normal.0"/>
      </w:pPr>
      <w:r>
        <w:rPr>
          <w:rtl w:val="0"/>
          <w:lang w:val="en-US"/>
        </w:rPr>
        <w:t>Quantitative Research collects numerical information that can easily be ranked, categorised or measured through numerical analysis. This approach assists in tactically uncovering all relationships or patterns and making generalisations (</w:t>
      </w:r>
      <w:r>
        <w:rPr>
          <w:shd w:val="clear" w:color="auto" w:fill="ffffff"/>
          <w:rtl w:val="0"/>
          <w:lang w:val="en-US"/>
        </w:rPr>
        <w:t>Roberts, Dowell and Nie, 2019</w:t>
      </w:r>
      <w:r>
        <w:rPr>
          <w:rtl w:val="0"/>
          <w:lang w:val="en-US"/>
        </w:rPr>
        <w:t>). This category of research approach is valuable to find out how much, how many, to what extent or how often queries.</w:t>
      </w:r>
    </w:p>
    <w:p>
      <w:pPr>
        <w:pStyle w:val="Normal.0"/>
      </w:pPr>
      <w:r>
        <w:rPr>
          <w:rtl w:val="0"/>
          <w:lang w:val="en-US"/>
        </w:rPr>
        <w:t>Combined methods' can be defined as the research approach by application of which researchers gather and evaluate both qualitative data and quantitative in the same study (</w:t>
      </w:r>
      <w:r>
        <w:rPr>
          <w:shd w:val="clear" w:color="auto" w:fill="ffffff"/>
          <w:rtl w:val="0"/>
          <w:lang w:val="en-US"/>
        </w:rPr>
        <w:t xml:space="preserve">Pollock </w:t>
      </w:r>
      <w:r>
        <w:rPr>
          <w:i w:val="1"/>
          <w:iCs w:val="1"/>
          <w:shd w:val="clear" w:color="auto" w:fill="ffffff"/>
          <w:rtl w:val="0"/>
          <w:lang w:val="en-US"/>
        </w:rPr>
        <w:t>et al</w:t>
      </w:r>
      <w:r>
        <w:rPr>
          <w:shd w:val="clear" w:color="auto" w:fill="ffffff"/>
          <w:rtl w:val="0"/>
          <w:lang w:val="en-US"/>
        </w:rPr>
        <w:t>., 2020</w:t>
      </w:r>
      <w:r>
        <w:rPr>
          <w:rtl w:val="0"/>
          <w:lang w:val="en-US"/>
        </w:rPr>
        <w:t>). In this research study, the combined method has been chosen. Progress of combined methods research in healthcare and nursing-related research works has occurred at the time of internationally growing complications in the delivery of hospital services.</w:t>
      </w:r>
    </w:p>
    <w:p>
      <w:pPr>
        <w:pStyle w:val="heading 2"/>
        <w:rPr>
          <w:rFonts w:ascii="Times New Roman" w:cs="Times New Roman" w:hAnsi="Times New Roman" w:eastAsia="Times New Roman"/>
          <w:outline w:val="0"/>
          <w:color w:val="000000"/>
          <w:sz w:val="24"/>
          <w:szCs w:val="24"/>
          <w:u w:color="000000"/>
          <w14:textFill>
            <w14:solidFill>
              <w14:srgbClr w14:val="000000"/>
            </w14:solidFill>
          </w14:textFill>
        </w:rPr>
      </w:pPr>
      <w:bookmarkStart w:name="_Toc7" w:id="7"/>
      <w:r>
        <w:rPr>
          <w:rFonts w:ascii="Times New Roman" w:hAnsi="Times New Roman"/>
          <w:outline w:val="0"/>
          <w:color w:val="000000"/>
          <w:sz w:val="24"/>
          <w:szCs w:val="24"/>
          <w:u w:color="000000"/>
          <w:rtl w:val="0"/>
          <w:lang w:val="en-US"/>
          <w14:textFill>
            <w14:solidFill>
              <w14:srgbClr w14:val="000000"/>
            </w14:solidFill>
          </w14:textFill>
        </w:rPr>
        <w:t>Primary and Secondary Data</w:t>
      </w:r>
      <w:bookmarkEnd w:id="7"/>
    </w:p>
    <w:p>
      <w:pPr>
        <w:pStyle w:val="Normal.0"/>
      </w:pPr>
      <w:r>
        <w:rPr>
          <w:rtl w:val="0"/>
          <w:lang w:val="en-US"/>
        </w:rPr>
        <w:t xml:space="preserve">Research data is the information, which has been gathered, perceived, generated or developed for validation of original research outcomes appropriately. Primary data indicates first-hand information collected by the researcher. As stated by </w:t>
      </w:r>
      <w:r>
        <w:rPr>
          <w:shd w:val="clear" w:color="auto" w:fill="ffffff"/>
          <w:rtl w:val="0"/>
          <w:lang w:val="en-US"/>
        </w:rPr>
        <w:t>Ajayi (2017), s</w:t>
      </w:r>
      <w:r>
        <w:rPr>
          <w:rtl w:val="0"/>
          <w:lang w:val="en-US"/>
        </w:rPr>
        <w:t>econdary data signifies data gathered by someone else earlier. Surveys, experiments, observations, personal interviews, questionnaires, etc. are primary data. Government publications, books, websites, internal records, journal articles, etc. are considered secondary data (Clark, Vicki</w:t>
      </w:r>
      <w:r>
        <w:rPr>
          <w:rtl w:val="0"/>
          <w:lang w:val="en-US"/>
        </w:rPr>
        <w:t> </w:t>
      </w:r>
      <w:r>
        <w:rPr>
          <w:rtl w:val="0"/>
          <w:lang w:val="en-US"/>
        </w:rPr>
        <w:t>and</w:t>
      </w:r>
      <w:r>
        <w:rPr>
          <w:rtl w:val="0"/>
          <w:lang w:val="en-US"/>
        </w:rPr>
        <w:t> </w:t>
      </w:r>
      <w:r>
        <w:rPr>
          <w:rtl w:val="0"/>
          <w:lang w:val="en-US"/>
        </w:rPr>
        <w:t xml:space="preserve">Nataliya, 2015). In this research, both primary and secondary data have been taken into account. </w:t>
      </w:r>
    </w:p>
    <w:p>
      <w:pPr>
        <w:pStyle w:val="heading 2"/>
        <w:rPr>
          <w:rFonts w:ascii="Times New Roman" w:cs="Times New Roman" w:hAnsi="Times New Roman" w:eastAsia="Times New Roman"/>
          <w:outline w:val="0"/>
          <w:color w:val="000000"/>
          <w:sz w:val="24"/>
          <w:szCs w:val="24"/>
          <w:u w:color="000000"/>
          <w14:textFill>
            <w14:solidFill>
              <w14:srgbClr w14:val="000000"/>
            </w14:solidFill>
          </w14:textFill>
        </w:rPr>
      </w:pPr>
      <w:bookmarkStart w:name="_Toc8" w:id="8"/>
      <w:r>
        <w:rPr>
          <w:rFonts w:ascii="Times New Roman" w:hAnsi="Times New Roman"/>
          <w:outline w:val="0"/>
          <w:color w:val="000000"/>
          <w:sz w:val="24"/>
          <w:szCs w:val="24"/>
          <w:u w:color="000000"/>
          <w:rtl w:val="0"/>
          <w:lang w:val="en-US"/>
          <w14:textFill>
            <w14:solidFill>
              <w14:srgbClr w14:val="000000"/>
            </w14:solidFill>
          </w14:textFill>
        </w:rPr>
        <w:t>Data Collection</w:t>
      </w:r>
      <w:bookmarkEnd w:id="8"/>
    </w:p>
    <w:p>
      <w:pPr>
        <w:pStyle w:val="Normal.0"/>
      </w:pPr>
      <w:r>
        <w:rPr>
          <w:rtl w:val="0"/>
          <w:lang w:val="en-US"/>
        </w:rPr>
        <w:t xml:space="preserve">Data collection is the procedure of collecting as well as measuring information on interested variables, in a well-established and systematic manner, which enables the researcher to address stated research objectives and research questions for testing hypotheses to evaluate results with acute perfection (Parveen and Showkat, 2017). In this research for collecting primary data, a survey process is followed. For the survey, a questionnaire has been formed which has been circulated through e-mail to chosen respondents. For collecting secondary data, the researcher has accessed the internet, Google Scholar and relevant other secondary sources of information. </w:t>
      </w:r>
    </w:p>
    <w:p>
      <w:pPr>
        <w:pStyle w:val="heading 2"/>
        <w:rPr>
          <w:rFonts w:ascii="Times New Roman" w:cs="Times New Roman" w:hAnsi="Times New Roman" w:eastAsia="Times New Roman"/>
          <w:outline w:val="0"/>
          <w:color w:val="000000"/>
          <w:sz w:val="24"/>
          <w:szCs w:val="24"/>
          <w:u w:color="000000"/>
          <w14:textFill>
            <w14:solidFill>
              <w14:srgbClr w14:val="000000"/>
            </w14:solidFill>
          </w14:textFill>
        </w:rPr>
      </w:pPr>
      <w:bookmarkStart w:name="_Toc9" w:id="9"/>
      <w:r>
        <w:rPr>
          <w:rFonts w:ascii="Times New Roman" w:hAnsi="Times New Roman"/>
          <w:outline w:val="0"/>
          <w:color w:val="000000"/>
          <w:sz w:val="24"/>
          <w:szCs w:val="24"/>
          <w:u w:color="000000"/>
          <w:rtl w:val="0"/>
          <w:lang w:val="en-US"/>
          <w14:textFill>
            <w14:solidFill>
              <w14:srgbClr w14:val="000000"/>
            </w14:solidFill>
          </w14:textFill>
        </w:rPr>
        <w:t>Population, Sample and Sample Size</w:t>
      </w:r>
      <w:bookmarkEnd w:id="9"/>
    </w:p>
    <w:p>
      <w:pPr>
        <w:pStyle w:val="Normal.0"/>
      </w:pPr>
      <w:r>
        <w:rPr>
          <w:rtl w:val="0"/>
          <w:lang w:val="en-US"/>
        </w:rPr>
        <w:t xml:space="preserve">For this research, a convenience sampling technique has been applied. As discussed by </w:t>
      </w:r>
      <w:r>
        <w:rPr>
          <w:shd w:val="clear" w:color="auto" w:fill="ffffff"/>
          <w:rtl w:val="0"/>
          <w:lang w:val="en-US"/>
        </w:rPr>
        <w:t>Stratton (2021), t</w:t>
      </w:r>
      <w:r>
        <w:rPr>
          <w:rtl w:val="0"/>
          <w:lang w:val="en-US"/>
        </w:rPr>
        <w:t xml:space="preserve">his is a method to collect samples by taking samples, which are conveniently present around the location and internet service. The researcher has requested around 50 members to partake in the survey however ultimately only 25 persons have been chosen as respondents. All participants are chosen from family, friends and relatives. </w:t>
      </w:r>
    </w:p>
    <w:p>
      <w:pPr>
        <w:pStyle w:val="heading 2"/>
        <w:rPr>
          <w:rFonts w:ascii="Times New Roman" w:cs="Times New Roman" w:hAnsi="Times New Roman" w:eastAsia="Times New Roman"/>
          <w:outline w:val="0"/>
          <w:color w:val="000000"/>
          <w:sz w:val="24"/>
          <w:szCs w:val="24"/>
          <w:u w:color="000000"/>
          <w14:textFill>
            <w14:solidFill>
              <w14:srgbClr w14:val="000000"/>
            </w14:solidFill>
          </w14:textFill>
        </w:rPr>
      </w:pPr>
      <w:bookmarkStart w:name="_Toc10" w:id="10"/>
      <w:r>
        <w:rPr>
          <w:rFonts w:ascii="Times New Roman" w:hAnsi="Times New Roman"/>
          <w:outline w:val="0"/>
          <w:color w:val="000000"/>
          <w:sz w:val="24"/>
          <w:szCs w:val="24"/>
          <w:u w:color="000000"/>
          <w:rtl w:val="0"/>
          <w:lang w:val="en-US"/>
          <w14:textFill>
            <w14:solidFill>
              <w14:srgbClr w14:val="000000"/>
            </w14:solidFill>
          </w14:textFill>
        </w:rPr>
        <w:t>Ethics in Data Collection and Presentation</w:t>
      </w:r>
      <w:bookmarkEnd w:id="10"/>
    </w:p>
    <w:p>
      <w:pPr>
        <w:pStyle w:val="Normal.0"/>
      </w:pPr>
      <w:r>
        <w:rPr>
          <w:rtl w:val="0"/>
          <w:lang w:val="en-US"/>
        </w:rPr>
        <w:t xml:space="preserve">While collecting data, the researcher has proficiently prioritised ethical considerations. The names and identities of the participants have been kept anonymous. The research outcomes have been perfectly kept in the computer with password protection. In addition, there has been no falsifying or misinterpretation of data and fabrication to promote truth and minimise error. </w:t>
      </w:r>
    </w:p>
    <w:p>
      <w:pPr>
        <w:pStyle w:val="heading 1"/>
      </w:pPr>
      <w:bookmarkStart w:name="_Toc11" w:id="11"/>
      <w:r>
        <w:rPr>
          <w:rFonts w:cs="Arial Unicode MS" w:eastAsia="Arial Unicode MS"/>
          <w:rtl w:val="0"/>
          <w:lang w:val="en-US"/>
        </w:rPr>
        <w:t>Findings, Analysis and Discussion</w:t>
      </w:r>
      <w:bookmarkEnd w:id="11"/>
    </w:p>
    <w:p>
      <w:pPr>
        <w:pStyle w:val="heading 2"/>
        <w:rPr>
          <w:rFonts w:ascii="Times New Roman" w:cs="Times New Roman" w:hAnsi="Times New Roman" w:eastAsia="Times New Roman"/>
          <w:outline w:val="0"/>
          <w:color w:val="000000"/>
          <w:sz w:val="24"/>
          <w:szCs w:val="24"/>
          <w:u w:color="000000"/>
          <w14:textFill>
            <w14:solidFill>
              <w14:srgbClr w14:val="000000"/>
            </w14:solidFill>
          </w14:textFill>
        </w:rPr>
      </w:pPr>
      <w:bookmarkStart w:name="_Toc12" w:id="12"/>
      <w:r>
        <w:rPr>
          <w:rFonts w:ascii="Times New Roman" w:hAnsi="Times New Roman"/>
          <w:outline w:val="0"/>
          <w:color w:val="000000"/>
          <w:sz w:val="24"/>
          <w:szCs w:val="24"/>
          <w:u w:color="000000"/>
          <w:rtl w:val="0"/>
          <w:lang w:val="en-US"/>
          <w14:textFill>
            <w14:solidFill>
              <w14:srgbClr w14:val="000000"/>
            </w14:solidFill>
          </w14:textFill>
        </w:rPr>
        <w:t>Primary Data Analysis</w:t>
      </w:r>
      <w:bookmarkEnd w:id="12"/>
    </w:p>
    <w:p>
      <w:pPr>
        <w:pStyle w:val="Normal.0"/>
        <w:rPr>
          <w:b w:val="1"/>
          <w:bCs w:val="1"/>
        </w:rPr>
      </w:pPr>
      <w:r>
        <w:rPr>
          <w:b w:val="1"/>
          <w:bCs w:val="1"/>
          <w:rtl w:val="0"/>
          <w:lang w:val="en-US"/>
        </w:rPr>
        <w:t>Q1. Which healthcare applications are based on IoT Technology Applications?</w:t>
      </w:r>
    </w:p>
    <w:tbl>
      <w:tblPr>
        <w:tblW w:w="924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080"/>
        <w:gridCol w:w="3081"/>
        <w:gridCol w:w="3081"/>
      </w:tblGrid>
      <w:tr>
        <w:tblPrEx>
          <w:shd w:val="clear" w:color="auto" w:fill="ced7e7"/>
        </w:tblPrEx>
        <w:trPr>
          <w:trHeight w:val="310" w:hRule="atLeast"/>
        </w:trPr>
        <w:tc>
          <w:tcPr>
            <w:tcW w:type="dxa" w:w="30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b w:val="1"/>
                <w:bCs w:val="1"/>
                <w:shd w:val="nil" w:color="auto" w:fill="auto"/>
                <w:rtl w:val="0"/>
                <w:lang w:val="en-US"/>
              </w:rPr>
              <w:t>Choices</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b w:val="1"/>
                <w:bCs w:val="1"/>
                <w:shd w:val="nil" w:color="auto" w:fill="auto"/>
                <w:rtl w:val="0"/>
                <w:lang w:val="en-US"/>
              </w:rPr>
              <w:t>Number of Respondents</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b w:val="1"/>
                <w:bCs w:val="1"/>
                <w:shd w:val="nil" w:color="auto" w:fill="auto"/>
                <w:rtl w:val="0"/>
                <w:lang w:val="en-US"/>
              </w:rPr>
              <w:t>Percentage of Respondents</w:t>
            </w:r>
          </w:p>
        </w:tc>
      </w:tr>
      <w:tr>
        <w:tblPrEx>
          <w:shd w:val="clear" w:color="auto" w:fill="ced7e7"/>
        </w:tblPrEx>
        <w:trPr>
          <w:trHeight w:val="310" w:hRule="atLeast"/>
        </w:trPr>
        <w:tc>
          <w:tcPr>
            <w:tcW w:type="dxa" w:w="30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Remote Patient Monitoring</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9</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36%</w:t>
            </w:r>
          </w:p>
        </w:tc>
      </w:tr>
      <w:tr>
        <w:tblPrEx>
          <w:shd w:val="clear" w:color="auto" w:fill="ced7e7"/>
        </w:tblPrEx>
        <w:trPr>
          <w:trHeight w:val="310" w:hRule="atLeast"/>
        </w:trPr>
        <w:tc>
          <w:tcPr>
            <w:tcW w:type="dxa" w:w="30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Patient Tracking</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6</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24%</w:t>
            </w:r>
          </w:p>
        </w:tc>
      </w:tr>
      <w:tr>
        <w:tblPrEx>
          <w:shd w:val="clear" w:color="auto" w:fill="ced7e7"/>
        </w:tblPrEx>
        <w:trPr>
          <w:trHeight w:val="310" w:hRule="atLeast"/>
        </w:trPr>
        <w:tc>
          <w:tcPr>
            <w:tcW w:type="dxa" w:w="30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Fighting Covid-19 Pandemic</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10</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40%</w:t>
            </w:r>
          </w:p>
        </w:tc>
      </w:tr>
    </w:tbl>
    <w:p>
      <w:pPr>
        <w:pStyle w:val="Normal.0"/>
        <w:widowControl w:val="0"/>
        <w:spacing w:line="240" w:lineRule="auto"/>
        <w:ind w:left="108" w:hanging="108"/>
        <w:jc w:val="left"/>
        <w:rPr>
          <w:b w:val="1"/>
          <w:bCs w:val="1"/>
        </w:rPr>
      </w:pPr>
    </w:p>
    <w:p>
      <w:pPr>
        <w:pStyle w:val="Normal.0"/>
        <w:widowControl w:val="0"/>
        <w:spacing w:line="240" w:lineRule="auto"/>
        <w:rPr>
          <w:b w:val="1"/>
          <w:bCs w:val="1"/>
        </w:rPr>
      </w:pPr>
    </w:p>
    <w:p>
      <w:pPr>
        <w:pStyle w:val="Normal.0"/>
      </w:pPr>
    </w:p>
    <w:p>
      <w:pPr>
        <w:pStyle w:val="Normal.0"/>
        <w:jc w:val="center"/>
      </w:pPr>
      <w:r>
        <w:drawing xmlns:a="http://schemas.openxmlformats.org/drawingml/2006/main">
          <wp:inline distT="0" distB="0" distL="0" distR="0">
            <wp:extent cx="6881465" cy="6243938"/>
            <wp:effectExtent l="0" t="0" r="0" b="0"/>
            <wp:docPr id="1073741825" name="officeArt object"/>
            <wp:cNvGraphicFramePr/>
            <a:graphic xmlns:a="http://schemas.openxmlformats.org/drawingml/2006/main">
              <a:graphicData uri="http://schemas.openxmlformats.org/drawingml/2006/chart">
                <c:chart xmlns:c="http://schemas.openxmlformats.org/drawingml/2006/chart" r:id="rId4"/>
              </a:graphicData>
            </a:graphic>
          </wp:inline>
        </w:drawing>
      </w:r>
    </w:p>
    <w:p>
      <w:pPr>
        <w:pStyle w:val="Normal.0"/>
        <w:rPr>
          <w:b w:val="1"/>
          <w:bCs w:val="1"/>
        </w:rPr>
      </w:pPr>
      <w:r>
        <w:rPr>
          <w:b w:val="1"/>
          <w:bCs w:val="1"/>
          <w:rtl w:val="0"/>
          <w:lang w:val="en-US"/>
        </w:rPr>
        <w:t>Q2. Which is a healthcare application based on Machine Learning technology that is mostly used in the hospital workplace for patient safety?</w:t>
      </w:r>
    </w:p>
    <w:tbl>
      <w:tblPr>
        <w:tblW w:w="924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080"/>
        <w:gridCol w:w="3081"/>
        <w:gridCol w:w="3081"/>
      </w:tblGrid>
      <w:tr>
        <w:tblPrEx>
          <w:shd w:val="clear" w:color="auto" w:fill="ced7e7"/>
        </w:tblPrEx>
        <w:trPr>
          <w:trHeight w:val="310" w:hRule="atLeast"/>
        </w:trPr>
        <w:tc>
          <w:tcPr>
            <w:tcW w:type="dxa" w:w="30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b w:val="1"/>
                <w:bCs w:val="1"/>
                <w:shd w:val="nil" w:color="auto" w:fill="auto"/>
                <w:rtl w:val="0"/>
                <w:lang w:val="en-US"/>
              </w:rPr>
              <w:t>Choices</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b w:val="1"/>
                <w:bCs w:val="1"/>
                <w:shd w:val="nil" w:color="auto" w:fill="auto"/>
                <w:rtl w:val="0"/>
                <w:lang w:val="en-US"/>
              </w:rPr>
              <w:t>Number of Respondents</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b w:val="1"/>
                <w:bCs w:val="1"/>
                <w:shd w:val="nil" w:color="auto" w:fill="auto"/>
                <w:rtl w:val="0"/>
                <w:lang w:val="en-US"/>
              </w:rPr>
              <w:t>Percentage of Respondents</w:t>
            </w:r>
          </w:p>
        </w:tc>
      </w:tr>
      <w:tr>
        <w:tblPrEx>
          <w:shd w:val="clear" w:color="auto" w:fill="ced7e7"/>
        </w:tblPrEx>
        <w:trPr>
          <w:trHeight w:val="310" w:hRule="atLeast"/>
        </w:trPr>
        <w:tc>
          <w:tcPr>
            <w:tcW w:type="dxa" w:w="30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Heart Disease Detection</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7</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28%</w:t>
            </w:r>
          </w:p>
        </w:tc>
      </w:tr>
      <w:tr>
        <w:tblPrEx>
          <w:shd w:val="clear" w:color="auto" w:fill="ced7e7"/>
        </w:tblPrEx>
        <w:trPr>
          <w:trHeight w:val="310" w:hRule="atLeast"/>
        </w:trPr>
        <w:tc>
          <w:tcPr>
            <w:tcW w:type="dxa" w:w="30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Diabetic Disease Analysis</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10</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40%</w:t>
            </w:r>
          </w:p>
        </w:tc>
      </w:tr>
      <w:tr>
        <w:tblPrEx>
          <w:shd w:val="clear" w:color="auto" w:fill="ced7e7"/>
        </w:tblPrEx>
        <w:trPr>
          <w:trHeight w:val="310" w:hRule="atLeast"/>
        </w:trPr>
        <w:tc>
          <w:tcPr>
            <w:tcW w:type="dxa" w:w="30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Thyroid Disorder Diagnosis</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8</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32%</w:t>
            </w:r>
          </w:p>
        </w:tc>
      </w:tr>
    </w:tbl>
    <w:p>
      <w:pPr>
        <w:pStyle w:val="Normal.0"/>
        <w:widowControl w:val="0"/>
        <w:spacing w:line="240" w:lineRule="auto"/>
        <w:ind w:left="108" w:hanging="108"/>
        <w:jc w:val="left"/>
        <w:rPr>
          <w:b w:val="1"/>
          <w:bCs w:val="1"/>
        </w:rPr>
      </w:pPr>
    </w:p>
    <w:p>
      <w:pPr>
        <w:pStyle w:val="Normal.0"/>
        <w:widowControl w:val="0"/>
        <w:spacing w:line="240" w:lineRule="auto"/>
        <w:rPr>
          <w:b w:val="1"/>
          <w:bCs w:val="1"/>
        </w:rPr>
      </w:pPr>
    </w:p>
    <w:p>
      <w:pPr>
        <w:pStyle w:val="Normal.0"/>
      </w:pPr>
    </w:p>
    <w:p>
      <w:pPr>
        <w:pStyle w:val="Normal.0"/>
        <w:jc w:val="center"/>
      </w:pPr>
      <w:r>
        <w:drawing xmlns:a="http://schemas.openxmlformats.org/drawingml/2006/main">
          <wp:inline distT="0" distB="0" distL="0" distR="0">
            <wp:extent cx="4835406" cy="2455658"/>
            <wp:effectExtent l="0" t="0" r="0" b="0"/>
            <wp:docPr id="1073741826" name="officeArt object"/>
            <wp:cNvGraphicFramePr/>
            <a:graphic xmlns:a="http://schemas.openxmlformats.org/drawingml/2006/main">
              <a:graphicData uri="http://schemas.openxmlformats.org/drawingml/2006/chart">
                <c:chart xmlns:c="http://schemas.openxmlformats.org/drawingml/2006/chart" r:id="rId5"/>
              </a:graphicData>
            </a:graphic>
          </wp:inline>
        </w:drawing>
      </w:r>
    </w:p>
    <w:p>
      <w:pPr>
        <w:pStyle w:val="Normal.0"/>
        <w:rPr>
          <w:b w:val="1"/>
          <w:bCs w:val="1"/>
        </w:rPr>
      </w:pPr>
      <w:r>
        <w:rPr>
          <w:b w:val="1"/>
          <w:bCs w:val="1"/>
          <w:rtl w:val="0"/>
          <w:lang w:val="en-US"/>
        </w:rPr>
        <w:t>Q3. Mention the highly used blockchain application in the hospital workplace.</w:t>
      </w:r>
    </w:p>
    <w:tbl>
      <w:tblPr>
        <w:tblW w:w="924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080"/>
        <w:gridCol w:w="3081"/>
        <w:gridCol w:w="3081"/>
      </w:tblGrid>
      <w:tr>
        <w:tblPrEx>
          <w:shd w:val="clear" w:color="auto" w:fill="ced7e7"/>
        </w:tblPrEx>
        <w:trPr>
          <w:trHeight w:val="310" w:hRule="atLeast"/>
        </w:trPr>
        <w:tc>
          <w:tcPr>
            <w:tcW w:type="dxa" w:w="30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b w:val="1"/>
                <w:bCs w:val="1"/>
                <w:shd w:val="nil" w:color="auto" w:fill="auto"/>
                <w:rtl w:val="0"/>
                <w:lang w:val="en-US"/>
              </w:rPr>
              <w:t>Choices</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b w:val="1"/>
                <w:bCs w:val="1"/>
                <w:shd w:val="nil" w:color="auto" w:fill="auto"/>
                <w:rtl w:val="0"/>
                <w:lang w:val="en-US"/>
              </w:rPr>
              <w:t>Number of Respondents</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b w:val="1"/>
                <w:bCs w:val="1"/>
                <w:shd w:val="nil" w:color="auto" w:fill="auto"/>
                <w:rtl w:val="0"/>
                <w:lang w:val="en-US"/>
              </w:rPr>
              <w:t>Percentage of Respondents</w:t>
            </w:r>
          </w:p>
        </w:tc>
      </w:tr>
      <w:tr>
        <w:tblPrEx>
          <w:shd w:val="clear" w:color="auto" w:fill="ced7e7"/>
        </w:tblPrEx>
        <w:trPr>
          <w:trHeight w:val="755" w:hRule="atLeast"/>
        </w:trPr>
        <w:tc>
          <w:tcPr>
            <w:tcW w:type="dxa" w:w="30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Electronic Medical Report Management</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11</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44%</w:t>
            </w:r>
          </w:p>
        </w:tc>
      </w:tr>
      <w:tr>
        <w:tblPrEx>
          <w:shd w:val="clear" w:color="auto" w:fill="ced7e7"/>
        </w:tblPrEx>
        <w:trPr>
          <w:trHeight w:val="310" w:hRule="atLeast"/>
        </w:trPr>
        <w:tc>
          <w:tcPr>
            <w:tcW w:type="dxa" w:w="30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Drug Traceability</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5</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20%</w:t>
            </w:r>
          </w:p>
        </w:tc>
      </w:tr>
      <w:tr>
        <w:tblPrEx>
          <w:shd w:val="clear" w:color="auto" w:fill="ced7e7"/>
        </w:tblPrEx>
        <w:trPr>
          <w:trHeight w:val="310" w:hRule="atLeast"/>
        </w:trPr>
        <w:tc>
          <w:tcPr>
            <w:tcW w:type="dxa" w:w="30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Tracking Infectious Disease</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9</w:t>
            </w:r>
          </w:p>
        </w:tc>
        <w:tc>
          <w:tcPr>
            <w:tcW w:type="dxa" w:w="30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shd w:val="nil" w:color="auto" w:fill="auto"/>
                <w:rtl w:val="0"/>
                <w:lang w:val="en-US"/>
              </w:rPr>
              <w:t>36%</w:t>
            </w:r>
          </w:p>
        </w:tc>
      </w:tr>
    </w:tbl>
    <w:p>
      <w:pPr>
        <w:pStyle w:val="Normal.0"/>
        <w:widowControl w:val="0"/>
        <w:spacing w:line="240" w:lineRule="auto"/>
        <w:ind w:left="108" w:hanging="108"/>
        <w:jc w:val="left"/>
        <w:rPr>
          <w:b w:val="1"/>
          <w:bCs w:val="1"/>
        </w:rPr>
      </w:pPr>
    </w:p>
    <w:p>
      <w:pPr>
        <w:pStyle w:val="Normal.0"/>
        <w:widowControl w:val="0"/>
        <w:spacing w:line="240" w:lineRule="auto"/>
        <w:rPr>
          <w:b w:val="1"/>
          <w:bCs w:val="1"/>
        </w:rPr>
      </w:pPr>
    </w:p>
    <w:p>
      <w:pPr>
        <w:pStyle w:val="Normal.0"/>
      </w:pPr>
    </w:p>
    <w:p>
      <w:pPr>
        <w:pStyle w:val="Normal.0"/>
        <w:jc w:val="center"/>
      </w:pPr>
      <w:r>
        <w:drawing xmlns:a="http://schemas.openxmlformats.org/drawingml/2006/main">
          <wp:inline distT="0" distB="0" distL="0" distR="0">
            <wp:extent cx="5422615" cy="3060857"/>
            <wp:effectExtent l="0" t="0" r="0" b="0"/>
            <wp:docPr id="1073741827" name="officeArt object"/>
            <wp:cNvGraphicFramePr/>
            <a:graphic xmlns:a="http://schemas.openxmlformats.org/drawingml/2006/main">
              <a:graphicData uri="http://schemas.openxmlformats.org/drawingml/2006/chart">
                <c:chart xmlns:c="http://schemas.openxmlformats.org/drawingml/2006/chart" r:id="rId6"/>
              </a:graphicData>
            </a:graphic>
          </wp:inline>
        </w:drawing>
      </w:r>
    </w:p>
    <w:p>
      <w:pPr>
        <w:pStyle w:val="heading 2"/>
        <w:rPr>
          <w:rFonts w:ascii="Times New Roman" w:cs="Times New Roman" w:hAnsi="Times New Roman" w:eastAsia="Times New Roman"/>
          <w:outline w:val="0"/>
          <w:color w:val="000000"/>
          <w:sz w:val="24"/>
          <w:szCs w:val="24"/>
          <w:u w:color="000000"/>
          <w14:textFill>
            <w14:solidFill>
              <w14:srgbClr w14:val="000000"/>
            </w14:solidFill>
          </w14:textFill>
        </w:rPr>
      </w:pPr>
      <w:bookmarkStart w:name="_Toc13" w:id="13"/>
      <w:r>
        <w:rPr>
          <w:rFonts w:ascii="Times New Roman" w:hAnsi="Times New Roman"/>
          <w:outline w:val="0"/>
          <w:color w:val="000000"/>
          <w:sz w:val="24"/>
          <w:szCs w:val="24"/>
          <w:u w:color="000000"/>
          <w:rtl w:val="0"/>
          <w:lang w:val="en-US"/>
          <w14:textFill>
            <w14:solidFill>
              <w14:srgbClr w14:val="000000"/>
            </w14:solidFill>
          </w14:textFill>
        </w:rPr>
        <w:t>Secondary Data Analysis</w:t>
      </w:r>
      <w:bookmarkEnd w:id="13"/>
    </w:p>
    <w:p>
      <w:pPr>
        <w:pStyle w:val="Normal.0"/>
        <w:rPr>
          <w:b w:val="1"/>
          <w:bCs w:val="1"/>
        </w:rPr>
      </w:pPr>
      <w:r>
        <w:rPr>
          <w:b w:val="1"/>
          <w:bCs w:val="1"/>
          <w:rtl w:val="0"/>
          <w:lang w:val="en-US"/>
        </w:rPr>
        <w:t>Importance of using technology for caregivers in the modern healthcare workplace</w:t>
      </w:r>
    </w:p>
    <w:p>
      <w:pPr>
        <w:pStyle w:val="Normal.0"/>
      </w:pPr>
      <w:r>
        <w:rPr>
          <w:rtl w:val="0"/>
          <w:lang w:val="en-US"/>
        </w:rPr>
        <w:t>Health information technologies are permitting the doctors and nurses in collecting real-time information for use in quality management, public health disease reporting and surveillance and health results reports generation (</w:t>
      </w:r>
      <w:r>
        <w:rPr>
          <w:shd w:val="clear" w:color="auto" w:fill="ffffff"/>
          <w:rtl w:val="0"/>
          <w:lang w:val="en-US"/>
        </w:rPr>
        <w:t xml:space="preserve">Cutler </w:t>
      </w:r>
      <w:r>
        <w:rPr>
          <w:i w:val="1"/>
          <w:iCs w:val="1"/>
          <w:shd w:val="clear" w:color="auto" w:fill="ffffff"/>
          <w:rtl w:val="0"/>
          <w:lang w:val="en-US"/>
        </w:rPr>
        <w:t>et al</w:t>
      </w:r>
      <w:r>
        <w:rPr>
          <w:shd w:val="clear" w:color="auto" w:fill="ffffff"/>
          <w:rtl w:val="0"/>
          <w:lang w:val="en-US"/>
        </w:rPr>
        <w:t>., 2019</w:t>
      </w:r>
      <w:r>
        <w:rPr>
          <w:rtl w:val="0"/>
          <w:lang w:val="en-US"/>
        </w:rPr>
        <w:t xml:space="preserve">). However, such improvement is necessary will all health information technologies, particularly in terms of designing, integration and implementation between platforms within the healthcare workplace environment. Data is used for therapeutic interventions. </w:t>
      </w:r>
      <w:r>
        <w:rPr>
          <w:shd w:val="clear" w:color="auto" w:fill="ffffff"/>
          <w:rtl w:val="0"/>
          <w:lang w:val="en-US"/>
        </w:rPr>
        <w:t>Indra and Urmela (2018) argued that the r</w:t>
      </w:r>
      <w:r>
        <w:rPr>
          <w:rtl w:val="0"/>
          <w:lang w:val="en-US"/>
        </w:rPr>
        <w:t xml:space="preserve">obustness of interoperability is crucial for delivering safe care; however, the goal is proven elusive. Prominent patient safety concerns have already been identified which is important for keeping patient care quality and safety as the prime focus. </w:t>
      </w:r>
    </w:p>
    <w:p>
      <w:pPr>
        <w:pStyle w:val="heading 2"/>
        <w:rPr>
          <w:rFonts w:ascii="Times New Roman" w:cs="Times New Roman" w:hAnsi="Times New Roman" w:eastAsia="Times New Roman"/>
          <w:outline w:val="0"/>
          <w:color w:val="000000"/>
          <w:sz w:val="24"/>
          <w:szCs w:val="24"/>
          <w:u w:color="000000"/>
          <w14:textFill>
            <w14:solidFill>
              <w14:srgbClr w14:val="000000"/>
            </w14:solidFill>
          </w14:textFill>
        </w:rPr>
      </w:pPr>
      <w:bookmarkStart w:name="_Toc14" w:id="14"/>
      <w:r>
        <w:rPr>
          <w:rFonts w:ascii="Times New Roman" w:hAnsi="Times New Roman"/>
          <w:outline w:val="0"/>
          <w:color w:val="000000"/>
          <w:sz w:val="24"/>
          <w:szCs w:val="24"/>
          <w:u w:color="000000"/>
          <w:rtl w:val="0"/>
          <w:lang w:val="en-US"/>
          <w14:textFill>
            <w14:solidFill>
              <w14:srgbClr w14:val="000000"/>
            </w14:solidFill>
          </w14:textFill>
        </w:rPr>
        <w:t>Summary of Findings</w:t>
      </w:r>
      <w:bookmarkEnd w:id="14"/>
    </w:p>
    <w:p>
      <w:pPr>
        <w:pStyle w:val="Normal.0"/>
      </w:pPr>
      <w:r>
        <w:rPr>
          <w:rtl w:val="0"/>
          <w:lang w:val="en-US"/>
        </w:rPr>
        <w:t xml:space="preserve">The survey outcomes clearly indicate that at present time, there has been accelerated improvement in hospital services due to the evolution of innovative equipment through IoT, Machine Learning and Blockchain. Until today, the modern state of the art technologies is presenting different endeavours on the adaptableness of machine learning and blockchain. Such technological innovations are benefiting healthcare systems through the prediction of diseases, tracing drugs, tracking patients and even opposing the deadliest Covid-19 pandemic. Moreover, network and IoT application security are addressed by using blockchain technology. Machine learning programs focusing on an enormous quantity of information composed of medicinal devices and sensors are utilised for classifying besides predicting various health diseases. Machine learning technicalities combined with AI detect patterns of ailments and health situations. For example, IoT empowered applications integrated with blockchain expertise and machine learning frameworks prominently assist the hospital staff and doctors in medicinal report management, infectious disease tracking, drug traceability etc. </w:t>
      </w:r>
    </w:p>
    <w:p>
      <w:pPr>
        <w:pStyle w:val="heading 1"/>
      </w:pPr>
      <w:bookmarkStart w:name="_Toc15" w:id="15"/>
      <w:r>
        <w:rPr>
          <w:rFonts w:cs="Arial Unicode MS" w:eastAsia="Arial Unicode MS"/>
          <w:rtl w:val="0"/>
          <w:lang w:val="en-US"/>
        </w:rPr>
        <w:t>Conclusion and Recommendation</w:t>
      </w:r>
      <w:bookmarkEnd w:id="15"/>
    </w:p>
    <w:p>
      <w:pPr>
        <w:pStyle w:val="Normal.0"/>
      </w:pPr>
      <w:r>
        <w:rPr>
          <w:rtl w:val="0"/>
          <w:lang w:val="en-US"/>
        </w:rPr>
        <w:t xml:space="preserve">While drawing the inferences this is earnest to mention that technology has imparted a significant role in shaping overall care delivery in healthcare systems. However, certain recommendations are of utmost essential to be focused on prior. Organisations are facing difficulties in making economic decisions about whether to prioritise short-term monetary gains in relevance to long-term advantages in which cost saving is associated with ensuring quality improvement. In this regards strategic investment is inevitable for improving care delivery in modern healthcare systems. Additionally, the nurses and caregivers must be given extensive training in using technologically innovative systems to deliver the best care. </w:t>
      </w:r>
    </w:p>
    <w:p>
      <w:pPr>
        <w:pStyle w:val="heading 1"/>
      </w:pPr>
    </w:p>
    <w:p>
      <w:pPr>
        <w:pStyle w:val="Normal.0"/>
        <w:spacing w:after="200" w:line="276" w:lineRule="auto"/>
        <w:jc w:val="left"/>
      </w:pPr>
      <w:r>
        <w:rPr>
          <w:rFonts w:ascii="Arial Unicode MS" w:cs="Arial Unicode MS" w:hAnsi="Arial Unicode MS" w:eastAsia="Arial Unicode MS"/>
          <w:b w:val="0"/>
          <w:bCs w:val="0"/>
          <w:i w:val="0"/>
          <w:iCs w:val="0"/>
        </w:rPr>
        <w:br w:type="page"/>
      </w:r>
    </w:p>
    <w:p>
      <w:pPr>
        <w:pStyle w:val="heading 1"/>
      </w:pPr>
      <w:bookmarkStart w:name="_Toc16" w:id="16"/>
      <w:r>
        <w:rPr>
          <w:rFonts w:cs="Arial Unicode MS" w:eastAsia="Arial Unicode MS"/>
          <w:rtl w:val="0"/>
          <w:lang w:val="en-US"/>
        </w:rPr>
        <w:t>References</w:t>
      </w:r>
      <w:bookmarkEnd w:id="16"/>
    </w:p>
    <w:p>
      <w:pPr>
        <w:pStyle w:val="Normal.0"/>
      </w:pPr>
      <w:r>
        <w:rPr>
          <w:outline w:val="0"/>
          <w:color w:val="222222"/>
          <w:u w:color="222222"/>
          <w:shd w:val="clear" w:color="auto" w:fill="ffffff"/>
          <w:rtl w:val="0"/>
          <w:lang w:val="en-US"/>
          <w14:textFill>
            <w14:solidFill>
              <w14:srgbClr w14:val="222222"/>
            </w14:solidFill>
          </w14:textFill>
        </w:rPr>
        <w:t>Ajayi, V.O., 2017. Primary sources of data and secondary sources of data.</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Benue State University</w:t>
      </w:r>
      <w:r>
        <w:rPr>
          <w:outline w:val="0"/>
          <w:color w:val="222222"/>
          <w:u w:color="222222"/>
          <w:shd w:val="clear" w:color="auto" w:fill="ffffff"/>
          <w:rtl w:val="0"/>
          <w:lang w:val="en-US"/>
          <w14:textFill>
            <w14:solidFill>
              <w14:srgbClr w14:val="222222"/>
            </w14:solidFill>
          </w14:textFill>
        </w:rPr>
        <w:t>,</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1</w:t>
      </w:r>
      <w:r>
        <w:rPr>
          <w:outline w:val="0"/>
          <w:color w:val="222222"/>
          <w:u w:color="222222"/>
          <w:shd w:val="clear" w:color="auto" w:fill="ffffff"/>
          <w:rtl w:val="0"/>
          <w:lang w:val="en-US"/>
          <w14:textFill>
            <w14:solidFill>
              <w14:srgbClr w14:val="222222"/>
            </w14:solidFill>
          </w14:textFill>
        </w:rPr>
        <w:t>(1), pp.1-6.</w:t>
      </w:r>
      <w:r>
        <w:rPr>
          <w:rtl w:val="0"/>
          <w:lang w:val="en-US"/>
        </w:rPr>
        <w:t xml:space="preserve"> </w:t>
      </w:r>
    </w:p>
    <w:p>
      <w:pPr>
        <w:pStyle w:val="Normal.0"/>
        <w:rPr>
          <w:outline w:val="0"/>
          <w:color w:val="222222"/>
          <w:u w:color="222222"/>
          <w:shd w:val="clear" w:color="auto" w:fill="ffffff"/>
          <w14:textFill>
            <w14:solidFill>
              <w14:srgbClr w14:val="222222"/>
            </w14:solidFill>
          </w14:textFill>
        </w:rPr>
      </w:pPr>
      <w:r>
        <w:rPr>
          <w:outline w:val="0"/>
          <w:color w:val="222222"/>
          <w:u w:color="222222"/>
          <w:shd w:val="clear" w:color="auto" w:fill="ffffff"/>
          <w:rtl w:val="0"/>
          <w:lang w:val="en-US"/>
          <w14:textFill>
            <w14:solidFill>
              <w14:srgbClr w14:val="222222"/>
            </w14:solidFill>
          </w14:textFill>
        </w:rPr>
        <w:t>Alami, H., Lehoux, P., Denis, J.L., Motulsky, A., Petitgand, C., Savoldelli, M., Rouquet, R., Gagnon, M.P., Roy, D. and Fortin, J.P., 2020. Organizational readiness for artificial intelligence in health care: insights for decision-making and practice.</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Journal of Health Organization and Management</w:t>
      </w:r>
      <w:r>
        <w:rPr>
          <w:outline w:val="0"/>
          <w:color w:val="222222"/>
          <w:u w:color="222222"/>
          <w:shd w:val="clear" w:color="auto" w:fill="ffffff"/>
          <w:rtl w:val="0"/>
          <w:lang w:val="en-US"/>
          <w14:textFill>
            <w14:solidFill>
              <w14:srgbClr w14:val="222222"/>
            </w14:solidFill>
          </w14:textFill>
        </w:rPr>
        <w:t>.</w:t>
      </w:r>
    </w:p>
    <w:p>
      <w:pPr>
        <w:pStyle w:val="Normal.0"/>
        <w:rPr>
          <w:outline w:val="0"/>
          <w:color w:val="222222"/>
          <w:u w:color="222222"/>
          <w:shd w:val="clear" w:color="auto" w:fill="ffffff"/>
          <w14:textFill>
            <w14:solidFill>
              <w14:srgbClr w14:val="222222"/>
            </w14:solidFill>
          </w14:textFill>
        </w:rPr>
      </w:pPr>
      <w:r>
        <w:rPr>
          <w:outline w:val="0"/>
          <w:color w:val="222222"/>
          <w:u w:color="222222"/>
          <w:shd w:val="clear" w:color="auto" w:fill="ffffff"/>
          <w:rtl w:val="0"/>
          <w:lang w:val="en-US"/>
          <w14:textFill>
            <w14:solidFill>
              <w14:srgbClr w14:val="222222"/>
            </w14:solidFill>
          </w14:textFill>
        </w:rPr>
        <w:t>Al-Dulaimi, J., Cosmas, J. and Abbod, M., 2019. Smart Health and Safety Equipment Monitoring System for Distributed Workplaces.</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Computers</w:t>
      </w:r>
      <w:r>
        <w:rPr>
          <w:outline w:val="0"/>
          <w:color w:val="222222"/>
          <w:u w:color="222222"/>
          <w:shd w:val="clear" w:color="auto" w:fill="ffffff"/>
          <w:rtl w:val="0"/>
          <w:lang w:val="en-US"/>
          <w14:textFill>
            <w14:solidFill>
              <w14:srgbClr w14:val="222222"/>
            </w14:solidFill>
          </w14:textFill>
        </w:rPr>
        <w:t>,</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8</w:t>
      </w:r>
      <w:r>
        <w:rPr>
          <w:outline w:val="0"/>
          <w:color w:val="222222"/>
          <w:u w:color="222222"/>
          <w:shd w:val="clear" w:color="auto" w:fill="ffffff"/>
          <w:rtl w:val="0"/>
          <w:lang w:val="en-US"/>
          <w14:textFill>
            <w14:solidFill>
              <w14:srgbClr w14:val="222222"/>
            </w14:solidFill>
          </w14:textFill>
        </w:rPr>
        <w:t>(4), p.82.</w:t>
      </w:r>
    </w:p>
    <w:p>
      <w:pPr>
        <w:pStyle w:val="Normal.0"/>
        <w:rPr>
          <w:outline w:val="0"/>
          <w:color w:val="222222"/>
          <w:u w:color="222222"/>
          <w:shd w:val="clear" w:color="auto" w:fill="ffffff"/>
          <w14:textFill>
            <w14:solidFill>
              <w14:srgbClr w14:val="222222"/>
            </w14:solidFill>
          </w14:textFill>
        </w:rPr>
      </w:pPr>
      <w:r>
        <w:rPr>
          <w:outline w:val="0"/>
          <w:color w:val="222222"/>
          <w:u w:color="222222"/>
          <w:shd w:val="clear" w:color="auto" w:fill="ffffff"/>
          <w:rtl w:val="0"/>
          <w:lang w:val="en-US"/>
          <w14:textFill>
            <w14:solidFill>
              <w14:srgbClr w14:val="222222"/>
            </w14:solidFill>
          </w14:textFill>
        </w:rPr>
        <w:t>Alotaibi, Y.K. and Federico, F., 2017. The impact of health information technology on patient safety.</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Saudi medical journal</w:t>
      </w:r>
      <w:r>
        <w:rPr>
          <w:outline w:val="0"/>
          <w:color w:val="222222"/>
          <w:u w:color="222222"/>
          <w:shd w:val="clear" w:color="auto" w:fill="ffffff"/>
          <w:rtl w:val="0"/>
          <w:lang w:val="en-US"/>
          <w14:textFill>
            <w14:solidFill>
              <w14:srgbClr w14:val="222222"/>
            </w14:solidFill>
          </w14:textFill>
        </w:rPr>
        <w:t>,</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38</w:t>
      </w:r>
      <w:r>
        <w:rPr>
          <w:outline w:val="0"/>
          <w:color w:val="222222"/>
          <w:u w:color="222222"/>
          <w:shd w:val="clear" w:color="auto" w:fill="ffffff"/>
          <w:rtl w:val="0"/>
          <w:lang w:val="en-US"/>
          <w14:textFill>
            <w14:solidFill>
              <w14:srgbClr w14:val="222222"/>
            </w14:solidFill>
          </w14:textFill>
        </w:rPr>
        <w:t>(12), p.1173.</w:t>
      </w:r>
    </w:p>
    <w:p>
      <w:pPr>
        <w:pStyle w:val="Normal.0"/>
        <w:rPr>
          <w:outline w:val="0"/>
          <w:color w:val="222222"/>
          <w:u w:color="222222"/>
          <w:shd w:val="clear" w:color="auto" w:fill="ffffff"/>
          <w14:textFill>
            <w14:solidFill>
              <w14:srgbClr w14:val="222222"/>
            </w14:solidFill>
          </w14:textFill>
        </w:rPr>
      </w:pPr>
      <w:r>
        <w:rPr>
          <w:outline w:val="0"/>
          <w:color w:val="222222"/>
          <w:u w:color="222222"/>
          <w:shd w:val="clear" w:color="auto" w:fill="ffffff"/>
          <w:rtl w:val="0"/>
          <w:lang w:val="en-US"/>
          <w14:textFill>
            <w14:solidFill>
              <w14:srgbClr w14:val="222222"/>
            </w14:solidFill>
          </w14:textFill>
        </w:rPr>
        <w:t>Cutler, S., Morecroft, C., Carey, P. and Kennedy, T., 2019. Are interprofessional healthcare teams meeting patient expectations? An exploration of the perceptions of patients and informal caregivers.</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Journal of interprofessional care</w:t>
      </w:r>
      <w:r>
        <w:rPr>
          <w:outline w:val="0"/>
          <w:color w:val="222222"/>
          <w:u w:color="222222"/>
          <w:shd w:val="clear" w:color="auto" w:fill="ffffff"/>
          <w:rtl w:val="0"/>
          <w:lang w:val="en-US"/>
          <w14:textFill>
            <w14:solidFill>
              <w14:srgbClr w14:val="222222"/>
            </w14:solidFill>
          </w14:textFill>
        </w:rPr>
        <w:t>,</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33</w:t>
      </w:r>
      <w:r>
        <w:rPr>
          <w:outline w:val="0"/>
          <w:color w:val="222222"/>
          <w:u w:color="222222"/>
          <w:shd w:val="clear" w:color="auto" w:fill="ffffff"/>
          <w:rtl w:val="0"/>
          <w:lang w:val="en-US"/>
          <w14:textFill>
            <w14:solidFill>
              <w14:srgbClr w14:val="222222"/>
            </w14:solidFill>
          </w14:textFill>
        </w:rPr>
        <w:t>(1), pp.66-75.</w:t>
      </w:r>
    </w:p>
    <w:p>
      <w:pPr>
        <w:pStyle w:val="Normal.0"/>
        <w:rPr>
          <w:outline w:val="0"/>
          <w:color w:val="222222"/>
          <w:u w:color="222222"/>
          <w:shd w:val="clear" w:color="auto" w:fill="ffffff"/>
          <w14:textFill>
            <w14:solidFill>
              <w14:srgbClr w14:val="222222"/>
            </w14:solidFill>
          </w14:textFill>
        </w:rPr>
      </w:pPr>
      <w:r>
        <w:rPr>
          <w:outline w:val="0"/>
          <w:color w:val="222222"/>
          <w:u w:color="222222"/>
          <w:shd w:val="clear" w:color="auto" w:fill="ffffff"/>
          <w:rtl w:val="0"/>
          <w:lang w:val="en-US"/>
          <w14:textFill>
            <w14:solidFill>
              <w14:srgbClr w14:val="222222"/>
            </w14:solidFill>
          </w14:textFill>
        </w:rPr>
        <w:t>Goundar S. (2012). Research methodology and research method Available at:https://prallagon.com/wp-content/uploads/2021/05/Research-Methodology-A2.pdf [Accesseded:26April].</w:t>
      </w:r>
    </w:p>
    <w:p>
      <w:pPr>
        <w:pStyle w:val="Normal.0"/>
      </w:pPr>
      <w:r>
        <w:rPr>
          <w:outline w:val="0"/>
          <w:color w:val="222222"/>
          <w:u w:color="222222"/>
          <w:shd w:val="clear" w:color="auto" w:fill="ffffff"/>
          <w:rtl w:val="0"/>
          <w:lang w:val="en-US"/>
          <w14:textFill>
            <w14:solidFill>
              <w14:srgbClr w14:val="222222"/>
            </w14:solidFill>
          </w14:textFill>
        </w:rPr>
        <w:t>Horton, J., Cameron, A., Devaraj, D., Hanson, R.T. and Hajkowicz, S.A., 2018. Workplace Safety Futures: The impact of emerging technologies and platforms on work health and safety and workers</w:t>
      </w:r>
      <w:r>
        <w:rPr>
          <w:outline w:val="0"/>
          <w:color w:val="222222"/>
          <w:u w:color="222222"/>
          <w:shd w:val="clear" w:color="auto" w:fill="ffffff"/>
          <w:rtl w:val="0"/>
          <w:lang w:val="en-US"/>
          <w14:textFill>
            <w14:solidFill>
              <w14:srgbClr w14:val="222222"/>
            </w14:solidFill>
          </w14:textFill>
        </w:rPr>
        <w:t xml:space="preserve">’ </w:t>
      </w:r>
      <w:r>
        <w:rPr>
          <w:outline w:val="0"/>
          <w:color w:val="222222"/>
          <w:u w:color="222222"/>
          <w:shd w:val="clear" w:color="auto" w:fill="ffffff"/>
          <w:rtl w:val="0"/>
          <w:lang w:val="en-US"/>
          <w14:textFill>
            <w14:solidFill>
              <w14:srgbClr w14:val="222222"/>
            </w14:solidFill>
          </w14:textFill>
        </w:rPr>
        <w:t>compensation over the next 20 years.</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Canberra, ACT, Australia: CSIRO</w:t>
      </w:r>
      <w:r>
        <w:rPr>
          <w:outline w:val="0"/>
          <w:color w:val="222222"/>
          <w:u w:color="222222"/>
          <w:shd w:val="clear" w:color="auto" w:fill="ffffff"/>
          <w:rtl w:val="0"/>
          <w:lang w:val="en-US"/>
          <w14:textFill>
            <w14:solidFill>
              <w14:srgbClr w14:val="222222"/>
            </w14:solidFill>
          </w14:textFill>
        </w:rPr>
        <w:t>.</w:t>
      </w:r>
    </w:p>
    <w:p>
      <w:pPr>
        <w:pStyle w:val="Normal.0"/>
      </w:pPr>
      <w:r>
        <w:rPr>
          <w:outline w:val="0"/>
          <w:color w:val="222222"/>
          <w:u w:color="222222"/>
          <w:shd w:val="clear" w:color="auto" w:fill="ffffff"/>
          <w:rtl w:val="0"/>
          <w:lang w:val="en-US"/>
          <w14:textFill>
            <w14:solidFill>
              <w14:srgbClr w14:val="222222"/>
            </w14:solidFill>
          </w14:textFill>
        </w:rPr>
        <w:t>Indra, V. and Urmela, S., 2018. Technology can help Nurses Improve Patient Care.</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International Journal of Nursing Education and Research</w:t>
      </w:r>
      <w:r>
        <w:rPr>
          <w:outline w:val="0"/>
          <w:color w:val="222222"/>
          <w:u w:color="222222"/>
          <w:shd w:val="clear" w:color="auto" w:fill="ffffff"/>
          <w:rtl w:val="0"/>
          <w:lang w:val="en-US"/>
          <w14:textFill>
            <w14:solidFill>
              <w14:srgbClr w14:val="222222"/>
            </w14:solidFill>
          </w14:textFill>
        </w:rPr>
        <w:t>,</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6</w:t>
      </w:r>
      <w:r>
        <w:rPr>
          <w:outline w:val="0"/>
          <w:color w:val="222222"/>
          <w:u w:color="222222"/>
          <w:shd w:val="clear" w:color="auto" w:fill="ffffff"/>
          <w:rtl w:val="0"/>
          <w:lang w:val="en-US"/>
          <w14:textFill>
            <w14:solidFill>
              <w14:srgbClr w14:val="222222"/>
            </w14:solidFill>
          </w14:textFill>
        </w:rPr>
        <w:t>(3), pp.303-306.</w:t>
      </w:r>
    </w:p>
    <w:p>
      <w:pPr>
        <w:pStyle w:val="Normal.0"/>
        <w:rPr>
          <w:outline w:val="0"/>
          <w:color w:val="222222"/>
          <w:u w:color="222222"/>
          <w:shd w:val="clear" w:color="auto" w:fill="ffffff"/>
          <w14:textFill>
            <w14:solidFill>
              <w14:srgbClr w14:val="222222"/>
            </w14:solidFill>
          </w14:textFill>
        </w:rPr>
      </w:pPr>
      <w:r>
        <w:rPr>
          <w:outline w:val="0"/>
          <w:color w:val="222222"/>
          <w:u w:color="222222"/>
          <w:shd w:val="clear" w:color="auto" w:fill="ffffff"/>
          <w:rtl w:val="0"/>
          <w:lang w:val="en-US"/>
          <w14:textFill>
            <w14:solidFill>
              <w14:srgbClr w14:val="222222"/>
            </w14:solidFill>
          </w14:textFill>
        </w:rPr>
        <w:t>Nagaraj Telkar, P., Jogar, S., Naik, P., Gunjal, N., Satenahalli, S., Tayammanavar, S. and Badi, T.S., 2020. Wearable Sensor Network System for Safety and Healthy Applications in Industrial Workplace.</w:t>
      </w:r>
    </w:p>
    <w:p>
      <w:pPr>
        <w:pStyle w:val="Normal.0"/>
      </w:pPr>
      <w:r>
        <w:rPr>
          <w:outline w:val="0"/>
          <w:color w:val="222222"/>
          <w:u w:color="222222"/>
          <w:shd w:val="clear" w:color="auto" w:fill="ffffff"/>
          <w:rtl w:val="0"/>
          <w:lang w:val="en-US"/>
          <w14:textFill>
            <w14:solidFill>
              <w14:srgbClr w14:val="222222"/>
            </w14:solidFill>
          </w14:textFill>
        </w:rPr>
        <w:t>Naresh, V.S., Pericherla, S.S., Murty, P.S.R. and Sivaranjani, R., 2020. Internet of Things in Healthcare: Architecture, Applications, Challenges, and Solutions.</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Comput. Syst. Sci. Eng.</w:t>
      </w:r>
      <w:r>
        <w:rPr>
          <w:outline w:val="0"/>
          <w:color w:val="222222"/>
          <w:u w:color="222222"/>
          <w:shd w:val="clear" w:color="auto" w:fill="ffffff"/>
          <w:rtl w:val="0"/>
          <w:lang w:val="en-US"/>
          <w14:textFill>
            <w14:solidFill>
              <w14:srgbClr w14:val="222222"/>
            </w14:solidFill>
          </w14:textFill>
        </w:rPr>
        <w:t>,</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35</w:t>
      </w:r>
      <w:r>
        <w:rPr>
          <w:outline w:val="0"/>
          <w:color w:val="222222"/>
          <w:u w:color="222222"/>
          <w:shd w:val="clear" w:color="auto" w:fill="ffffff"/>
          <w:rtl w:val="0"/>
          <w:lang w:val="en-US"/>
          <w14:textFill>
            <w14:solidFill>
              <w14:srgbClr w14:val="222222"/>
            </w14:solidFill>
          </w14:textFill>
        </w:rPr>
        <w:t>(6), pp.411-421.</w:t>
      </w:r>
    </w:p>
    <w:p>
      <w:pPr>
        <w:pStyle w:val="Normal.0"/>
        <w:rPr>
          <w:outline w:val="0"/>
          <w:color w:val="222222"/>
          <w:u w:color="222222"/>
          <w:shd w:val="clear" w:color="auto" w:fill="ffffff"/>
          <w14:textFill>
            <w14:solidFill>
              <w14:srgbClr w14:val="222222"/>
            </w14:solidFill>
          </w14:textFill>
        </w:rPr>
      </w:pPr>
      <w:r>
        <w:rPr>
          <w:outline w:val="0"/>
          <w:color w:val="222222"/>
          <w:u w:color="222222"/>
          <w:shd w:val="clear" w:color="auto" w:fill="ffffff"/>
          <w:rtl w:val="0"/>
          <w:lang w:val="en-US"/>
          <w14:textFill>
            <w14:solidFill>
              <w14:srgbClr w14:val="222222"/>
            </w14:solidFill>
          </w14:textFill>
        </w:rPr>
        <w:t>Noyes, J., Booth, A., Moore, G., Flemming, K., Tun</w:t>
      </w:r>
      <w:r>
        <w:rPr>
          <w:outline w:val="0"/>
          <w:color w:val="222222"/>
          <w:u w:color="222222"/>
          <w:shd w:val="clear" w:color="auto" w:fill="ffffff"/>
          <w:rtl w:val="0"/>
          <w:lang w:val="en-US"/>
          <w14:textFill>
            <w14:solidFill>
              <w14:srgbClr w14:val="222222"/>
            </w14:solidFill>
          </w14:textFill>
        </w:rPr>
        <w:t>ç</w:t>
      </w:r>
      <w:r>
        <w:rPr>
          <w:outline w:val="0"/>
          <w:color w:val="222222"/>
          <w:u w:color="222222"/>
          <w:shd w:val="clear" w:color="auto" w:fill="ffffff"/>
          <w:rtl w:val="0"/>
          <w:lang w:val="en-US"/>
          <w14:textFill>
            <w14:solidFill>
              <w14:srgbClr w14:val="222222"/>
            </w14:solidFill>
          </w14:textFill>
        </w:rPr>
        <w:t xml:space="preserve">alp, </w:t>
      </w:r>
      <w:r>
        <w:rPr>
          <w:outline w:val="0"/>
          <w:color w:val="222222"/>
          <w:u w:color="222222"/>
          <w:shd w:val="clear" w:color="auto" w:fill="ffffff"/>
          <w:rtl w:val="0"/>
          <w:lang w:val="en-US"/>
          <w14:textFill>
            <w14:solidFill>
              <w14:srgbClr w14:val="222222"/>
            </w14:solidFill>
          </w14:textFill>
        </w:rPr>
        <w:t>Ö</w:t>
      </w:r>
      <w:r>
        <w:rPr>
          <w:outline w:val="0"/>
          <w:color w:val="222222"/>
          <w:u w:color="222222"/>
          <w:shd w:val="clear" w:color="auto" w:fill="ffffff"/>
          <w:rtl w:val="0"/>
          <w:lang w:val="en-US"/>
          <w14:textFill>
            <w14:solidFill>
              <w14:srgbClr w14:val="222222"/>
            </w14:solidFill>
          </w14:textFill>
        </w:rPr>
        <w:t>. and Shakibazadeh, E., 2019. Synthesising quantitative and qualitative evidence to inform guidelines on complex interventions: clarifying the purposes, designs and outlining some methods.</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BMJ global health</w:t>
      </w:r>
      <w:r>
        <w:rPr>
          <w:outline w:val="0"/>
          <w:color w:val="222222"/>
          <w:u w:color="222222"/>
          <w:shd w:val="clear" w:color="auto" w:fill="ffffff"/>
          <w:rtl w:val="0"/>
          <w:lang w:val="en-US"/>
          <w14:textFill>
            <w14:solidFill>
              <w14:srgbClr w14:val="222222"/>
            </w14:solidFill>
          </w14:textFill>
        </w:rPr>
        <w:t>,</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4</w:t>
      </w:r>
      <w:r>
        <w:rPr>
          <w:outline w:val="0"/>
          <w:color w:val="222222"/>
          <w:u w:color="222222"/>
          <w:shd w:val="clear" w:color="auto" w:fill="ffffff"/>
          <w:rtl w:val="0"/>
          <w:lang w:val="en-US"/>
          <w14:textFill>
            <w14:solidFill>
              <w14:srgbClr w14:val="222222"/>
            </w14:solidFill>
          </w14:textFill>
        </w:rPr>
        <w:t>(Suppl 1), p.e000893.</w:t>
      </w:r>
    </w:p>
    <w:p>
      <w:pPr>
        <w:pStyle w:val="Normal.0"/>
        <w:rPr>
          <w:outline w:val="0"/>
          <w:color w:val="222222"/>
          <w:u w:color="222222"/>
          <w:shd w:val="clear" w:color="auto" w:fill="ffffff"/>
          <w14:textFill>
            <w14:solidFill>
              <w14:srgbClr w14:val="222222"/>
            </w14:solidFill>
          </w14:textFill>
        </w:rPr>
      </w:pPr>
      <w:r>
        <w:rPr>
          <w:outline w:val="0"/>
          <w:color w:val="222222"/>
          <w:u w:color="222222"/>
          <w:shd w:val="clear" w:color="auto" w:fill="ffffff"/>
          <w:rtl w:val="0"/>
          <w:lang w:val="en-US"/>
          <w14:textFill>
            <w14:solidFill>
              <w14:srgbClr w14:val="222222"/>
            </w14:solidFill>
          </w14:textFill>
        </w:rPr>
        <w:t>Oikonomou, E.K., Siddique, M. and Antoniades, C., 2020. Artificial intelligence in medical imaging: a radiomic guide to precision phenotyping of cardiovascular disease.</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Cardiovascular Research</w:t>
      </w:r>
      <w:r>
        <w:rPr>
          <w:outline w:val="0"/>
          <w:color w:val="222222"/>
          <w:u w:color="222222"/>
          <w:shd w:val="clear" w:color="auto" w:fill="ffffff"/>
          <w:rtl w:val="0"/>
          <w:lang w:val="en-US"/>
          <w14:textFill>
            <w14:solidFill>
              <w14:srgbClr w14:val="222222"/>
            </w14:solidFill>
          </w14:textFill>
        </w:rPr>
        <w:t>,</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116</w:t>
      </w:r>
      <w:r>
        <w:rPr>
          <w:outline w:val="0"/>
          <w:color w:val="222222"/>
          <w:u w:color="222222"/>
          <w:shd w:val="clear" w:color="auto" w:fill="ffffff"/>
          <w:rtl w:val="0"/>
          <w:lang w:val="en-US"/>
          <w14:textFill>
            <w14:solidFill>
              <w14:srgbClr w14:val="222222"/>
            </w14:solidFill>
          </w14:textFill>
        </w:rPr>
        <w:t>(13), pp.2040-2054.</w:t>
      </w:r>
    </w:p>
    <w:p>
      <w:pPr>
        <w:pStyle w:val="Normal.0"/>
      </w:pPr>
      <w:r>
        <w:rPr>
          <w:rtl w:val="0"/>
          <w:lang w:val="en-US"/>
        </w:rPr>
        <w:t>Parveen and Showkat (2017)</w:t>
      </w:r>
      <w:r>
        <w:rPr>
          <w:rtl w:val="0"/>
          <w:lang w:val="en-US"/>
        </w:rPr>
        <w:t>’</w:t>
      </w:r>
      <w:r>
        <w:rPr>
          <w:rtl w:val="0"/>
          <w:lang w:val="en-US"/>
        </w:rPr>
        <w:t>Data collection</w:t>
      </w:r>
      <w:r>
        <w:rPr>
          <w:rtl w:val="0"/>
          <w:lang w:val="en-US"/>
        </w:rPr>
        <w:t xml:space="preserve">’ </w:t>
      </w:r>
      <w:r>
        <w:rPr>
          <w:rtl w:val="0"/>
          <w:lang w:val="en-US"/>
        </w:rPr>
        <w:t xml:space="preserve">Researchgate.net Available at: </w:t>
      </w:r>
      <w:r>
        <w:rPr>
          <w:rStyle w:val="Hyperlink.0"/>
        </w:rPr>
        <w:fldChar w:fldCharType="begin" w:fldLock="0"/>
      </w:r>
      <w:r>
        <w:rPr>
          <w:rStyle w:val="Hyperlink.0"/>
        </w:rPr>
        <w:instrText xml:space="preserve"> HYPERLINK "https://www.researchgate.net/publication/319128325_Data_Collection"</w:instrText>
      </w:r>
      <w:r>
        <w:rPr>
          <w:rStyle w:val="Hyperlink.0"/>
        </w:rPr>
        <w:fldChar w:fldCharType="separate" w:fldLock="0"/>
      </w:r>
      <w:r>
        <w:rPr>
          <w:rStyle w:val="Hyperlink.0"/>
          <w:rtl w:val="0"/>
        </w:rPr>
        <w:t>https://www.researchgate.net/publication/319128325_Data_Collection</w:t>
      </w:r>
      <w:r>
        <w:rPr/>
        <w:fldChar w:fldCharType="end" w:fldLock="0"/>
      </w:r>
      <w:r>
        <w:rPr>
          <w:rStyle w:val="Nimic"/>
          <w:rtl w:val="0"/>
          <w:lang w:val="en-US"/>
        </w:rPr>
        <w:t xml:space="preserve"> [Accesseded:27April].</w:t>
      </w:r>
    </w:p>
    <w:p>
      <w:pPr>
        <w:pStyle w:val="Normal.0"/>
      </w:pPr>
      <w:r>
        <w:rPr>
          <w:rStyle w:val="Nimic"/>
          <w:outline w:val="0"/>
          <w:color w:val="222222"/>
          <w:u w:color="222222"/>
          <w:shd w:val="clear" w:color="auto" w:fill="ffffff"/>
          <w:rtl w:val="0"/>
          <w:lang w:val="en-US"/>
          <w14:textFill>
            <w14:solidFill>
              <w14:srgbClr w14:val="222222"/>
            </w14:solidFill>
          </w14:textFill>
        </w:rPr>
        <w:t>Plano Clark,</w:t>
      </w:r>
      <w:r>
        <w:rPr>
          <w:rStyle w:val="Nimic"/>
          <w:outline w:val="0"/>
          <w:color w:val="222222"/>
          <w:u w:color="222222"/>
          <w:shd w:val="clear" w:color="auto" w:fill="ffffff"/>
          <w:rtl w:val="0"/>
          <w:lang w:val="en-US"/>
          <w14:textFill>
            <w14:solidFill>
              <w14:srgbClr w14:val="222222"/>
            </w14:solidFill>
          </w14:textFill>
        </w:rPr>
        <w:t> </w:t>
      </w:r>
      <w:r>
        <w:rPr>
          <w:rStyle w:val="Nimic"/>
          <w:outline w:val="0"/>
          <w:color w:val="222222"/>
          <w:u w:color="222222"/>
          <w:shd w:val="clear" w:color="auto" w:fill="ffffff"/>
          <w:rtl w:val="0"/>
          <w:lang w:val="en-US"/>
          <w14:textFill>
            <w14:solidFill>
              <w14:srgbClr w14:val="222222"/>
            </w14:solidFill>
          </w14:textFill>
        </w:rPr>
        <w:t>Vicki L.,</w:t>
      </w:r>
      <w:r>
        <w:rPr>
          <w:rStyle w:val="Nimic"/>
          <w:outline w:val="0"/>
          <w:color w:val="222222"/>
          <w:u w:color="222222"/>
          <w:shd w:val="clear" w:color="auto" w:fill="ffffff"/>
          <w:rtl w:val="0"/>
          <w:lang w:val="en-US"/>
          <w14:textFill>
            <w14:solidFill>
              <w14:srgbClr w14:val="222222"/>
            </w14:solidFill>
          </w14:textFill>
        </w:rPr>
        <w:t> </w:t>
      </w:r>
      <w:r>
        <w:rPr>
          <w:rStyle w:val="Nimic"/>
          <w:outline w:val="0"/>
          <w:color w:val="222222"/>
          <w:u w:color="222222"/>
          <w:shd w:val="clear" w:color="auto" w:fill="ffffff"/>
          <w:rtl w:val="0"/>
          <w:lang w:val="en-US"/>
          <w14:textFill>
            <w14:solidFill>
              <w14:srgbClr w14:val="222222"/>
            </w14:solidFill>
          </w14:textFill>
        </w:rPr>
        <w:t>and</w:t>
      </w:r>
      <w:r>
        <w:rPr>
          <w:rStyle w:val="Nimic"/>
          <w:outline w:val="0"/>
          <w:color w:val="222222"/>
          <w:u w:color="222222"/>
          <w:shd w:val="clear" w:color="auto" w:fill="ffffff"/>
          <w:rtl w:val="0"/>
          <w:lang w:val="en-US"/>
          <w14:textFill>
            <w14:solidFill>
              <w14:srgbClr w14:val="222222"/>
            </w14:solidFill>
          </w14:textFill>
        </w:rPr>
        <w:t> </w:t>
      </w:r>
      <w:r>
        <w:rPr>
          <w:rStyle w:val="Nimic"/>
          <w:outline w:val="0"/>
          <w:color w:val="222222"/>
          <w:u w:color="222222"/>
          <w:shd w:val="clear" w:color="auto" w:fill="ffffff"/>
          <w:rtl w:val="0"/>
          <w:lang w:val="en-US"/>
          <w14:textFill>
            <w14:solidFill>
              <w14:srgbClr w14:val="222222"/>
            </w14:solidFill>
          </w14:textFill>
        </w:rPr>
        <w:t>Ivankova,</w:t>
      </w:r>
      <w:r>
        <w:rPr>
          <w:rStyle w:val="Nimic"/>
          <w:outline w:val="0"/>
          <w:color w:val="222222"/>
          <w:u w:color="222222"/>
          <w:shd w:val="clear" w:color="auto" w:fill="ffffff"/>
          <w:rtl w:val="0"/>
          <w:lang w:val="en-US"/>
          <w14:textFill>
            <w14:solidFill>
              <w14:srgbClr w14:val="222222"/>
            </w14:solidFill>
          </w14:textFill>
        </w:rPr>
        <w:t> </w:t>
      </w:r>
      <w:r>
        <w:rPr>
          <w:rStyle w:val="Nimic"/>
          <w:outline w:val="0"/>
          <w:color w:val="222222"/>
          <w:u w:color="222222"/>
          <w:shd w:val="clear" w:color="auto" w:fill="ffffff"/>
          <w:rtl w:val="0"/>
          <w:lang w:val="en-US"/>
          <w14:textFill>
            <w14:solidFill>
              <w14:srgbClr w14:val="222222"/>
            </w14:solidFill>
          </w14:textFill>
        </w:rPr>
        <w:t>Nataliya V.</w:t>
      </w:r>
      <w:r>
        <w:rPr>
          <w:rStyle w:val="Nimic"/>
          <w:outline w:val="0"/>
          <w:color w:val="222222"/>
          <w:u w:color="222222"/>
          <w:shd w:val="clear" w:color="auto" w:fill="ffffff"/>
          <w:rtl w:val="0"/>
          <w:lang w:val="en-US"/>
          <w14:textFill>
            <w14:solidFill>
              <w14:srgbClr w14:val="222222"/>
            </w14:solidFill>
          </w14:textFill>
        </w:rPr>
        <w:t> </w:t>
      </w:r>
      <w:r>
        <w:rPr>
          <w:rStyle w:val="Nimic"/>
          <w:outline w:val="0"/>
          <w:color w:val="222222"/>
          <w:u w:color="222222"/>
          <w:shd w:val="clear" w:color="auto" w:fill="ffffff"/>
          <w:rtl w:val="0"/>
          <w:lang w:val="en-US"/>
          <w14:textFill>
            <w14:solidFill>
              <w14:srgbClr w14:val="222222"/>
            </w14:solidFill>
          </w14:textFill>
        </w:rPr>
        <w:t>Mixed Methods Research: A Guide to the Field.</w:t>
      </w:r>
      <w:r>
        <w:rPr>
          <w:rStyle w:val="Nimic"/>
          <w:outline w:val="0"/>
          <w:color w:val="222222"/>
          <w:u w:color="222222"/>
          <w:shd w:val="clear" w:color="auto" w:fill="ffffff"/>
          <w:rtl w:val="0"/>
          <w:lang w:val="en-US"/>
          <w14:textFill>
            <w14:solidFill>
              <w14:srgbClr w14:val="222222"/>
            </w14:solidFill>
          </w14:textFill>
        </w:rPr>
        <w:t> </w:t>
      </w:r>
      <w:r>
        <w:rPr>
          <w:rStyle w:val="Nimic"/>
          <w:outline w:val="0"/>
          <w:color w:val="222222"/>
          <w:u w:color="222222"/>
          <w:shd w:val="clear" w:color="auto" w:fill="ffffff"/>
          <w:rtl w:val="0"/>
          <w:lang w:val="en-US"/>
          <w14:textFill>
            <w14:solidFill>
              <w14:srgbClr w14:val="222222"/>
            </w14:solidFill>
          </w14:textFill>
        </w:rPr>
        <w:t>United States,</w:t>
      </w:r>
      <w:r>
        <w:rPr>
          <w:rStyle w:val="Nimic"/>
          <w:outline w:val="0"/>
          <w:color w:val="222222"/>
          <w:u w:color="222222"/>
          <w:shd w:val="clear" w:color="auto" w:fill="ffffff"/>
          <w:rtl w:val="0"/>
          <w:lang w:val="en-US"/>
          <w14:textFill>
            <w14:solidFill>
              <w14:srgbClr w14:val="222222"/>
            </w14:solidFill>
          </w14:textFill>
        </w:rPr>
        <w:t> </w:t>
      </w:r>
      <w:r>
        <w:rPr>
          <w:rStyle w:val="Nimic"/>
          <w:outline w:val="0"/>
          <w:color w:val="222222"/>
          <w:u w:color="222222"/>
          <w:shd w:val="clear" w:color="auto" w:fill="ffffff"/>
          <w:rtl w:val="0"/>
          <w:lang w:val="en-US"/>
          <w14:textFill>
            <w14:solidFill>
              <w14:srgbClr w14:val="222222"/>
            </w14:solidFill>
          </w14:textFill>
        </w:rPr>
        <w:t>SAGE Publications,</w:t>
      </w:r>
      <w:r>
        <w:rPr>
          <w:rStyle w:val="Nimic"/>
          <w:outline w:val="0"/>
          <w:color w:val="222222"/>
          <w:u w:color="222222"/>
          <w:shd w:val="clear" w:color="auto" w:fill="ffffff"/>
          <w:rtl w:val="0"/>
          <w:lang w:val="en-US"/>
          <w14:textFill>
            <w14:solidFill>
              <w14:srgbClr w14:val="222222"/>
            </w14:solidFill>
          </w14:textFill>
        </w:rPr>
        <w:t> </w:t>
      </w:r>
      <w:r>
        <w:rPr>
          <w:rStyle w:val="Nimic"/>
          <w:outline w:val="0"/>
          <w:color w:val="222222"/>
          <w:u w:color="222222"/>
          <w:shd w:val="clear" w:color="auto" w:fill="ffffff"/>
          <w:rtl w:val="0"/>
          <w:lang w:val="en-US"/>
          <w14:textFill>
            <w14:solidFill>
              <w14:srgbClr w14:val="222222"/>
            </w14:solidFill>
          </w14:textFill>
        </w:rPr>
        <w:t>2015. Available at: https://www.google.co.uk/books/edition/Mixed_Methods_Research/DatiCgAAQBAJ?hl=en&amp;amp;gbpv=1[Accesseded:28April].</w:t>
      </w:r>
    </w:p>
    <w:p>
      <w:pPr>
        <w:pStyle w:val="Normal.0"/>
      </w:pPr>
      <w:r>
        <w:rPr>
          <w:rStyle w:val="Nimic"/>
          <w:outline w:val="0"/>
          <w:color w:val="222222"/>
          <w:u w:color="222222"/>
          <w:shd w:val="clear" w:color="auto" w:fill="ffffff"/>
          <w:rtl w:val="0"/>
          <w:lang w:val="en-US"/>
          <w14:textFill>
            <w14:solidFill>
              <w14:srgbClr w14:val="222222"/>
            </w14:solidFill>
          </w14:textFill>
        </w:rPr>
        <w:t>Pollock, A., Campbell, P., Cheyne, J., Cowie, J., Davis, B., McCallum, J., McGill, K., Elders, A., Hagen, S., McClurg, D. and Torrens, C., 2020. Interventions to support the resilience and mental health of frontline health and social care professionals during and after a disease outbreak, epidemic or pandemic: a mixed methods systematic review.</w:t>
      </w:r>
      <w:r>
        <w:rPr>
          <w:rStyle w:val="Nimic"/>
          <w:outline w:val="0"/>
          <w:color w:val="222222"/>
          <w:u w:color="222222"/>
          <w:shd w:val="clear" w:color="auto" w:fill="ffffff"/>
          <w:rtl w:val="0"/>
          <w:lang w:val="en-US"/>
          <w14:textFill>
            <w14:solidFill>
              <w14:srgbClr w14:val="222222"/>
            </w14:solidFill>
          </w14:textFill>
        </w:rPr>
        <w:t> </w:t>
      </w:r>
      <w:r>
        <w:rPr>
          <w:rStyle w:val="Nimic"/>
          <w:i w:val="1"/>
          <w:iCs w:val="1"/>
          <w:outline w:val="0"/>
          <w:color w:val="222222"/>
          <w:u w:color="222222"/>
          <w:shd w:val="clear" w:color="auto" w:fill="ffffff"/>
          <w:rtl w:val="0"/>
          <w:lang w:val="en-US"/>
          <w14:textFill>
            <w14:solidFill>
              <w14:srgbClr w14:val="222222"/>
            </w14:solidFill>
          </w14:textFill>
        </w:rPr>
        <w:t>Cochrane Database of Systematic Reviews</w:t>
      </w:r>
      <w:r>
        <w:rPr>
          <w:rStyle w:val="Nimic"/>
          <w:outline w:val="0"/>
          <w:color w:val="222222"/>
          <w:u w:color="222222"/>
          <w:shd w:val="clear" w:color="auto" w:fill="ffffff"/>
          <w:rtl w:val="0"/>
          <w:lang w:val="en-US"/>
          <w14:textFill>
            <w14:solidFill>
              <w14:srgbClr w14:val="222222"/>
            </w14:solidFill>
          </w14:textFill>
        </w:rPr>
        <w:t>, (11).</w:t>
      </w:r>
    </w:p>
    <w:p>
      <w:pPr>
        <w:pStyle w:val="Normal.0"/>
        <w:rPr>
          <w:rStyle w:val="Nimic"/>
          <w:outline w:val="0"/>
          <w:color w:val="222222"/>
          <w:u w:color="222222"/>
          <w:shd w:val="clear" w:color="auto" w:fill="ffffff"/>
          <w14:textFill>
            <w14:solidFill>
              <w14:srgbClr w14:val="222222"/>
            </w14:solidFill>
          </w14:textFill>
        </w:rPr>
      </w:pPr>
      <w:r>
        <w:rPr>
          <w:rStyle w:val="Nimic"/>
          <w:outline w:val="0"/>
          <w:color w:val="222222"/>
          <w:u w:color="222222"/>
          <w:shd w:val="clear" w:color="auto" w:fill="ffffff"/>
          <w:rtl w:val="0"/>
          <w:lang w:val="en-US"/>
          <w14:textFill>
            <w14:solidFill>
              <w14:srgbClr w14:val="222222"/>
            </w14:solidFill>
          </w14:textFill>
        </w:rPr>
        <w:t>Roberts, K., Dowell, A. and Nie, J.B., 2019. Attempting rigour and replicability in thematic analysis of qualitative research data; a case study of codebook development.</w:t>
      </w:r>
      <w:r>
        <w:rPr>
          <w:rStyle w:val="Nimic"/>
          <w:outline w:val="0"/>
          <w:color w:val="222222"/>
          <w:u w:color="222222"/>
          <w:shd w:val="clear" w:color="auto" w:fill="ffffff"/>
          <w:rtl w:val="0"/>
          <w:lang w:val="en-US"/>
          <w14:textFill>
            <w14:solidFill>
              <w14:srgbClr w14:val="222222"/>
            </w14:solidFill>
          </w14:textFill>
        </w:rPr>
        <w:t> </w:t>
      </w:r>
      <w:r>
        <w:rPr>
          <w:rStyle w:val="Nimic"/>
          <w:i w:val="1"/>
          <w:iCs w:val="1"/>
          <w:outline w:val="0"/>
          <w:color w:val="222222"/>
          <w:u w:color="222222"/>
          <w:shd w:val="clear" w:color="auto" w:fill="ffffff"/>
          <w:rtl w:val="0"/>
          <w:lang w:val="en-US"/>
          <w14:textFill>
            <w14:solidFill>
              <w14:srgbClr w14:val="222222"/>
            </w14:solidFill>
          </w14:textFill>
        </w:rPr>
        <w:t>BMC medical research methodology</w:t>
      </w:r>
      <w:r>
        <w:rPr>
          <w:rStyle w:val="Nimic"/>
          <w:outline w:val="0"/>
          <w:color w:val="222222"/>
          <w:u w:color="222222"/>
          <w:shd w:val="clear" w:color="auto" w:fill="ffffff"/>
          <w:rtl w:val="0"/>
          <w:lang w:val="en-US"/>
          <w14:textFill>
            <w14:solidFill>
              <w14:srgbClr w14:val="222222"/>
            </w14:solidFill>
          </w14:textFill>
        </w:rPr>
        <w:t>,</w:t>
      </w:r>
      <w:r>
        <w:rPr>
          <w:rStyle w:val="Nimic"/>
          <w:outline w:val="0"/>
          <w:color w:val="222222"/>
          <w:u w:color="222222"/>
          <w:shd w:val="clear" w:color="auto" w:fill="ffffff"/>
          <w:rtl w:val="0"/>
          <w:lang w:val="en-US"/>
          <w14:textFill>
            <w14:solidFill>
              <w14:srgbClr w14:val="222222"/>
            </w14:solidFill>
          </w14:textFill>
        </w:rPr>
        <w:t> </w:t>
      </w:r>
      <w:r>
        <w:rPr>
          <w:rStyle w:val="Nimic"/>
          <w:i w:val="1"/>
          <w:iCs w:val="1"/>
          <w:outline w:val="0"/>
          <w:color w:val="222222"/>
          <w:u w:color="222222"/>
          <w:shd w:val="clear" w:color="auto" w:fill="ffffff"/>
          <w:rtl w:val="0"/>
          <w:lang w:val="en-US"/>
          <w14:textFill>
            <w14:solidFill>
              <w14:srgbClr w14:val="222222"/>
            </w14:solidFill>
          </w14:textFill>
        </w:rPr>
        <w:t>19</w:t>
      </w:r>
      <w:r>
        <w:rPr>
          <w:rStyle w:val="Nimic"/>
          <w:outline w:val="0"/>
          <w:color w:val="222222"/>
          <w:u w:color="222222"/>
          <w:shd w:val="clear" w:color="auto" w:fill="ffffff"/>
          <w:rtl w:val="0"/>
          <w:lang w:val="en-US"/>
          <w14:textFill>
            <w14:solidFill>
              <w14:srgbClr w14:val="222222"/>
            </w14:solidFill>
          </w14:textFill>
        </w:rPr>
        <w:t>(1), pp.1-8.</w:t>
      </w:r>
    </w:p>
    <w:p>
      <w:pPr>
        <w:pStyle w:val="Normal.0"/>
      </w:pPr>
      <w:r>
        <w:rPr>
          <w:rStyle w:val="Nimic"/>
          <w:rtl w:val="0"/>
          <w:lang w:val="en-US"/>
        </w:rPr>
        <w:t>Salking J. (2010) Encyclopaedia of Research Design.</w:t>
      </w:r>
      <w:r>
        <w:rPr>
          <w:rStyle w:val="Nimic"/>
          <w:rtl w:val="0"/>
          <w:lang w:val="en-US"/>
        </w:rPr>
        <w:t> </w:t>
      </w:r>
      <w:r>
        <w:rPr>
          <w:rStyle w:val="Nimic"/>
          <w:rtl w:val="0"/>
          <w:lang w:val="en-US"/>
        </w:rPr>
        <w:t>India,</w:t>
      </w:r>
      <w:r>
        <w:rPr>
          <w:rStyle w:val="Nimic"/>
          <w:rtl w:val="0"/>
          <w:lang w:val="en-US"/>
        </w:rPr>
        <w:t> </w:t>
      </w:r>
      <w:r>
        <w:rPr>
          <w:rStyle w:val="Nimic"/>
          <w:rtl w:val="0"/>
          <w:lang w:val="en-US"/>
        </w:rPr>
        <w:t>Sage,</w:t>
      </w:r>
      <w:r>
        <w:rPr>
          <w:rStyle w:val="Nimic"/>
          <w:rtl w:val="0"/>
          <w:lang w:val="en-US"/>
        </w:rPr>
        <w:t> </w:t>
      </w:r>
      <w:r>
        <w:rPr>
          <w:rStyle w:val="Nimic"/>
          <w:rtl w:val="0"/>
          <w:lang w:val="en-US"/>
        </w:rPr>
        <w:t>2010,Available at:.https://www.google.co.uk/books/edition/Encyclopedia_of_Research_Design/HVmsxuaQl2oC?hl=en&amp;amp;gbpv=1[Accesseded:27April].</w:t>
      </w:r>
    </w:p>
    <w:p>
      <w:pPr>
        <w:pStyle w:val="Normal.0"/>
      </w:pPr>
      <w:r>
        <w:rPr>
          <w:rStyle w:val="Nimic"/>
          <w:outline w:val="0"/>
          <w:color w:val="222222"/>
          <w:u w:color="222222"/>
          <w:shd w:val="clear" w:color="auto" w:fill="ffffff"/>
          <w:rtl w:val="0"/>
          <w:lang w:val="en-US"/>
          <w14:textFill>
            <w14:solidFill>
              <w14:srgbClr w14:val="222222"/>
            </w14:solidFill>
          </w14:textFill>
        </w:rPr>
        <w:t>Stratton, S.J., 2021. Population research: convenience sampling strategies.</w:t>
      </w:r>
      <w:r>
        <w:rPr>
          <w:rStyle w:val="Nimic"/>
          <w:outline w:val="0"/>
          <w:color w:val="222222"/>
          <w:u w:color="222222"/>
          <w:shd w:val="clear" w:color="auto" w:fill="ffffff"/>
          <w:rtl w:val="0"/>
          <w:lang w:val="en-US"/>
          <w14:textFill>
            <w14:solidFill>
              <w14:srgbClr w14:val="222222"/>
            </w14:solidFill>
          </w14:textFill>
        </w:rPr>
        <w:t> </w:t>
      </w:r>
      <w:r>
        <w:rPr>
          <w:rStyle w:val="Nimic"/>
          <w:i w:val="1"/>
          <w:iCs w:val="1"/>
          <w:outline w:val="0"/>
          <w:color w:val="222222"/>
          <w:u w:color="222222"/>
          <w:shd w:val="clear" w:color="auto" w:fill="ffffff"/>
          <w:rtl w:val="0"/>
          <w:lang w:val="en-US"/>
          <w14:textFill>
            <w14:solidFill>
              <w14:srgbClr w14:val="222222"/>
            </w14:solidFill>
          </w14:textFill>
        </w:rPr>
        <w:t>Prehospital and disaster Medicine</w:t>
      </w:r>
      <w:r>
        <w:rPr>
          <w:rStyle w:val="Nimic"/>
          <w:outline w:val="0"/>
          <w:color w:val="222222"/>
          <w:u w:color="222222"/>
          <w:shd w:val="clear" w:color="auto" w:fill="ffffff"/>
          <w:rtl w:val="0"/>
          <w:lang w:val="en-US"/>
          <w14:textFill>
            <w14:solidFill>
              <w14:srgbClr w14:val="222222"/>
            </w14:solidFill>
          </w14:textFill>
        </w:rPr>
        <w:t>,</w:t>
      </w:r>
      <w:r>
        <w:rPr>
          <w:rStyle w:val="Nimic"/>
          <w:outline w:val="0"/>
          <w:color w:val="222222"/>
          <w:u w:color="222222"/>
          <w:shd w:val="clear" w:color="auto" w:fill="ffffff"/>
          <w:rtl w:val="0"/>
          <w:lang w:val="en-US"/>
          <w14:textFill>
            <w14:solidFill>
              <w14:srgbClr w14:val="222222"/>
            </w14:solidFill>
          </w14:textFill>
        </w:rPr>
        <w:t> </w:t>
      </w:r>
      <w:r>
        <w:rPr>
          <w:rStyle w:val="Nimic"/>
          <w:i w:val="1"/>
          <w:iCs w:val="1"/>
          <w:outline w:val="0"/>
          <w:color w:val="222222"/>
          <w:u w:color="222222"/>
          <w:shd w:val="clear" w:color="auto" w:fill="ffffff"/>
          <w:rtl w:val="0"/>
          <w:lang w:val="en-US"/>
          <w14:textFill>
            <w14:solidFill>
              <w14:srgbClr w14:val="222222"/>
            </w14:solidFill>
          </w14:textFill>
        </w:rPr>
        <w:t>36</w:t>
      </w:r>
      <w:r>
        <w:rPr>
          <w:rStyle w:val="Nimic"/>
          <w:outline w:val="0"/>
          <w:color w:val="222222"/>
          <w:u w:color="222222"/>
          <w:shd w:val="clear" w:color="auto" w:fill="ffffff"/>
          <w:rtl w:val="0"/>
          <w:lang w:val="en-US"/>
          <w14:textFill>
            <w14:solidFill>
              <w14:srgbClr w14:val="222222"/>
            </w14:solidFill>
          </w14:textFill>
        </w:rPr>
        <w:t>(4), pp.373-374.</w:t>
      </w:r>
    </w:p>
    <w:p>
      <w:pPr>
        <w:pStyle w:val="Normal.0"/>
      </w:pPr>
      <w:r>
        <w:rPr>
          <w:rStyle w:val="Nimic"/>
          <w:outline w:val="0"/>
          <w:color w:val="222222"/>
          <w:u w:color="222222"/>
          <w:shd w:val="clear" w:color="auto" w:fill="ffffff"/>
          <w:rtl w:val="0"/>
          <w:lang w:val="en-US"/>
          <w14:textFill>
            <w14:solidFill>
              <w14:srgbClr w14:val="222222"/>
            </w14:solidFill>
          </w14:textFill>
        </w:rPr>
        <w:t>Thilakarathne, N.N., Kagita, M.K. and Gadekallu, T.R., 2020. The role of the internet of things in health care: a systematic and comprehensive study.</w:t>
      </w:r>
      <w:r>
        <w:rPr>
          <w:rStyle w:val="Nimic"/>
          <w:outline w:val="0"/>
          <w:color w:val="222222"/>
          <w:u w:color="222222"/>
          <w:shd w:val="clear" w:color="auto" w:fill="ffffff"/>
          <w:rtl w:val="0"/>
          <w:lang w:val="en-US"/>
          <w14:textFill>
            <w14:solidFill>
              <w14:srgbClr w14:val="222222"/>
            </w14:solidFill>
          </w14:textFill>
        </w:rPr>
        <w:t> </w:t>
      </w:r>
      <w:r>
        <w:rPr>
          <w:rStyle w:val="Nimic"/>
          <w:i w:val="1"/>
          <w:iCs w:val="1"/>
          <w:outline w:val="0"/>
          <w:color w:val="222222"/>
          <w:u w:color="222222"/>
          <w:shd w:val="clear" w:color="auto" w:fill="ffffff"/>
          <w:rtl w:val="0"/>
          <w:lang w:val="en-US"/>
          <w14:textFill>
            <w14:solidFill>
              <w14:srgbClr w14:val="222222"/>
            </w14:solidFill>
          </w14:textFill>
        </w:rPr>
        <w:t>Available at SSRN 3690815</w:t>
      </w:r>
      <w:r>
        <w:rPr>
          <w:rStyle w:val="Nimic"/>
          <w:outline w:val="0"/>
          <w:color w:val="222222"/>
          <w:u w:color="222222"/>
          <w:shd w:val="clear" w:color="auto" w:fill="ffffff"/>
          <w:rtl w:val="0"/>
          <w:lang w:val="en-US"/>
          <w14:textFill>
            <w14:solidFill>
              <w14:srgbClr w14:val="222222"/>
            </w14:solidFill>
          </w14:textFill>
        </w:rPr>
        <w:t>.</w:t>
      </w:r>
    </w:p>
    <w:sectPr>
      <w:headerReference w:type="default" r:id="rId7"/>
      <w:footerReference w:type="default" r:id="rId8"/>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Antet și subsol"/>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Antet și subsol"/>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Stil importat 1"/>
  </w:abstractNum>
  <w:abstractNum w:abstractNumId="1">
    <w:multiLevelType w:val="hybridMultilevel"/>
    <w:styleLink w:val="Stil importat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română" w:val="‘“(〔[{〈《「『【⦅〘〖«〝︵︷︹︻︽︿﹁﹃﹇﹙﹛﹝｢"/>
  <w:noLineBreaksBefore w:lang="română"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Antet și subsol">
    <w:name w:val="Antet și subsol"/>
    <w:next w:val="Antet și subsol"/>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Title">
    <w:name w:val="Title"/>
    <w:next w:val="Normal.0"/>
    <w:pPr>
      <w:keepNext w:val="0"/>
      <w:keepLines w:val="0"/>
      <w:pageBreakBefore w:val="0"/>
      <w:widowControl w:val="1"/>
      <w:pBdr>
        <w:top w:val="nil"/>
        <w:left w:val="nil"/>
        <w:bottom w:val="single" w:color="4f81bd" w:sz="8" w:space="0" w:shadow="0" w:frame="0"/>
        <w:right w:val="nil"/>
      </w:pBdr>
      <w:shd w:val="clear" w:color="auto" w:fill="auto"/>
      <w:suppressAutoHyphens w:val="0"/>
      <w:bidi w:val="0"/>
      <w:spacing w:before="0" w:after="300" w:line="360" w:lineRule="auto"/>
      <w:ind w:left="0" w:right="0" w:firstLine="0"/>
      <w:jc w:val="center"/>
      <w:outlineLvl w:val="9"/>
    </w:pPr>
    <w:rPr>
      <w:rFonts w:ascii="Times New Roman" w:cs="Arial Unicode MS" w:hAnsi="Times New Roman" w:eastAsia="Arial Unicode MS"/>
      <w:b w:val="1"/>
      <w:bCs w:val="1"/>
      <w:i w:val="0"/>
      <w:iCs w:val="0"/>
      <w:caps w:val="0"/>
      <w:smallCaps w:val="0"/>
      <w:strike w:val="0"/>
      <w:dstrike w:val="0"/>
      <w:outline w:val="0"/>
      <w:color w:val="000000"/>
      <w:spacing w:val="5"/>
      <w:kern w:val="28"/>
      <w:position w:val="0"/>
      <w:sz w:val="40"/>
      <w:szCs w:val="40"/>
      <w:u w:val="none" w:color="000000"/>
      <w:shd w:val="nil" w:color="auto" w:fill="auto"/>
      <w:vertAlign w:val="baseline"/>
      <w:lang w:val="en-US"/>
      <w14:textFill>
        <w14:solidFill>
          <w14:srgbClr w14:val="000000"/>
        </w14:solidFill>
      </w14:textFill>
    </w:rPr>
  </w:style>
  <w:style w:type="paragraph" w:styleId="Normal.0">
    <w:name w:val="Normal"/>
    <w:next w:val="Normal.0"/>
    <w:pPr>
      <w:keepNext w:val="0"/>
      <w:keepLines w:val="0"/>
      <w:pageBreakBefore w:val="0"/>
      <w:widowControl w:val="1"/>
      <w:shd w:val="clear" w:color="auto" w:fill="auto"/>
      <w:suppressAutoHyphens w:val="0"/>
      <w:bidi w:val="0"/>
      <w:spacing w:before="0" w:after="160" w:line="36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heading 1">
    <w:name w:val="heading 1"/>
    <w:next w:val="Normal.0"/>
    <w:pPr>
      <w:keepNext w:val="1"/>
      <w:keepLines w:val="1"/>
      <w:pageBreakBefore w:val="0"/>
      <w:widowControl w:val="1"/>
      <w:shd w:val="clear" w:color="auto" w:fill="auto"/>
      <w:suppressAutoHyphens w:val="0"/>
      <w:bidi w:val="0"/>
      <w:spacing w:before="480" w:after="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TOC Heading">
    <w:name w:val="TOC Heading"/>
    <w:next w:val="Normal.0"/>
    <w:pPr>
      <w:keepNext w:val="1"/>
      <w:keepLines w:val="1"/>
      <w:pageBreakBefore w:val="0"/>
      <w:widowControl w:val="1"/>
      <w:shd w:val="clear" w:color="auto" w:fill="auto"/>
      <w:suppressAutoHyphens w:val="0"/>
      <w:bidi w:val="0"/>
      <w:spacing w:before="480" w:after="0" w:line="276" w:lineRule="auto"/>
      <w:ind w:left="0" w:right="0" w:firstLine="0"/>
      <w:jc w:val="left"/>
      <w:outlineLvl w:val="9"/>
    </w:pPr>
    <w:rPr>
      <w:rFonts w:ascii="Cambria" w:cs="Arial Unicode MS" w:hAnsi="Cambria" w:eastAsia="Arial Unicode MS"/>
      <w:b w:val="1"/>
      <w:bCs w:val="1"/>
      <w:i w:val="0"/>
      <w:iCs w:val="0"/>
      <w:caps w:val="0"/>
      <w:smallCaps w:val="0"/>
      <w:strike w:val="0"/>
      <w:dstrike w:val="0"/>
      <w:outline w:val="0"/>
      <w:color w:val="365f91"/>
      <w:spacing w:val="0"/>
      <w:kern w:val="0"/>
      <w:position w:val="0"/>
      <w:sz w:val="28"/>
      <w:szCs w:val="28"/>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360" w:lineRule="auto"/>
      <w:ind w:left="24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Normal.0"/>
    <w:pPr>
      <w:keepNext w:val="1"/>
      <w:keepLines w:val="1"/>
      <w:pageBreakBefore w:val="0"/>
      <w:widowControl w:val="1"/>
      <w:shd w:val="clear" w:color="auto" w:fill="auto"/>
      <w:suppressAutoHyphens w:val="0"/>
      <w:bidi w:val="0"/>
      <w:spacing w:before="200" w:after="0" w:line="360" w:lineRule="auto"/>
      <w:ind w:left="0" w:right="0" w:firstLine="0"/>
      <w:jc w:val="both"/>
      <w:outlineLvl w:val="1"/>
    </w:pPr>
    <w:rPr>
      <w:rFonts w:ascii="Cambria" w:cs="Cambria" w:hAnsi="Cambria" w:eastAsia="Cambria"/>
      <w:b w:val="1"/>
      <w:bCs w:val="1"/>
      <w:i w:val="0"/>
      <w:iCs w:val="0"/>
      <w:caps w:val="0"/>
      <w:smallCaps w:val="0"/>
      <w:strike w:val="0"/>
      <w:dstrike w:val="0"/>
      <w:outline w:val="0"/>
      <w:color w:val="4f81bd"/>
      <w:spacing w:val="0"/>
      <w:kern w:val="0"/>
      <w:position w:val="0"/>
      <w:sz w:val="26"/>
      <w:szCs w:val="26"/>
      <w:u w:val="none" w:color="4f81bd"/>
      <w:shd w:val="nil" w:color="auto" w:fill="auto"/>
      <w:vertAlign w:val="baseline"/>
      <w:lang w:val="en-US"/>
      <w14:textFill>
        <w14:solidFill>
          <w14:srgbClr w14:val="4F81BD"/>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360" w:lineRule="auto"/>
      <w:ind w:left="72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numbering" w:styleId="Stil importat 1">
    <w:name w:val="Stil importat 1"/>
    <w:pPr>
      <w:numPr>
        <w:numId w:val="1"/>
      </w:numPr>
    </w:pPr>
  </w:style>
  <w:style w:type="character" w:styleId="Nimic">
    <w:name w:val="Nimic"/>
  </w:style>
  <w:style w:type="character" w:styleId="Hyperlink.0">
    <w:name w:val="Hyperlink.0"/>
    <w:basedOn w:val="Nimic"/>
    <w:next w:val="Hyperlink.0"/>
    <w:rPr>
      <w:outline w:val="0"/>
      <w:color w:val="0000ff"/>
      <w:u w:val="single" w:color="0000ff"/>
      <w14:textFill>
        <w14:solidFill>
          <w14:srgbClr w14:val="0000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chart" Target="charts/chart1.xml"/><Relationship Id="rId5" Type="http://schemas.openxmlformats.org/officeDocument/2006/relationships/chart" Target="charts/chart2.xml"/><Relationship Id="rId6" Type="http://schemas.openxmlformats.org/officeDocument/2006/relationships/chart" Target="charts/chart3.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numbering" Target="numbering.xml"/><Relationship Id="rId10" Type="http://schemas.openxmlformats.org/officeDocument/2006/relationships/theme" Target="theme/theme1.xml"/></Relationships>

</file>

<file path=word/charts/_rels/chart1.xml.rels><?xml version="1.0" encoding="UTF-8"?>
<Relationships xmlns="http://schemas.openxmlformats.org/package/2006/relationships"><Relationship Id="rId1" Type="http://schemas.openxmlformats.org/officeDocument/2006/relationships/package" Target="../embeddings/Microsoft_Excel_Sheet1.xlsx"/></Relationships>

</file>

<file path=word/charts/_rels/chart2.xml.rels><?xml version="1.0" encoding="UTF-8"?>
<Relationships xmlns="http://schemas.openxmlformats.org/package/2006/relationships"><Relationship Id="rId1" Type="http://schemas.openxmlformats.org/officeDocument/2006/relationships/package" Target="../embeddings/Microsoft_Excel_Sheet2.xlsx"/></Relationships>

</file>

<file path=word/charts/_rels/chart3.xml.rels><?xml version="1.0" encoding="UTF-8"?>
<Relationships xmlns="http://schemas.openxmlformats.org/package/2006/relationships"><Relationship Id="rId1" Type="http://schemas.openxmlformats.org/officeDocument/2006/relationships/package" Target="../embeddings/Microsoft_Excel_Sheet3.xlsx"/></Relationships>

</file>

<file path=word/charts/chart1.xml><?xml version="1.0" encoding="utf-8"?>
<c:chartSpace xmlns:c="http://schemas.openxmlformats.org/drawingml/2006/chart" xmlns:a="http://schemas.openxmlformats.org/drawingml/2006/main" xmlns:r="http://schemas.openxmlformats.org/officeDocument/2006/relationships">
  <c:date1904 val="1"/>
  <c:roundedCorners val="0"/>
  <c:chart>
    <c:autoTitleDeleted val="1"/>
    <c:plotArea>
      <c:layout>
        <c:manualLayout>
          <c:layoutTarget val="inner"/>
          <c:xMode val="edge"/>
          <c:yMode val="edge"/>
          <c:x val="0.24866"/>
          <c:y val="0.274049"/>
          <c:w val="0.410036"/>
          <c:h val="0.439402"/>
        </c:manualLayout>
      </c:layout>
      <c:pieChart>
        <c:varyColors val="0"/>
        <c:ser>
          <c:idx val="0"/>
          <c:order val="0"/>
          <c:tx>
            <c:strRef>
              <c:f>Sheet1!$A$2</c:f>
              <c:strCache>
                <c:ptCount val="1"/>
                <c:pt idx="0">
                  <c:v>Number of Respondents</c:v>
                </c:pt>
              </c:strCache>
            </c:strRef>
          </c:tx>
          <c:spPr>
            <a:solidFill>
              <a:schemeClr val="accent1"/>
            </a:solidFill>
            <a:ln w="12700" cap="flat">
              <a:noFill/>
              <a:miter lim="400000"/>
            </a:ln>
            <a:effectLst/>
          </c:spPr>
          <c:explosion val="0"/>
          <c:dPt>
            <c:idx val="0"/>
            <c:explosion val="0"/>
            <c:spPr>
              <a:solidFill>
                <a:schemeClr val="accent1"/>
              </a:solidFill>
              <a:ln w="12700" cap="flat">
                <a:noFill/>
                <a:miter lim="400000"/>
              </a:ln>
              <a:effectLst/>
            </c:spPr>
          </c:dPt>
          <c:dPt>
            <c:idx val="1"/>
            <c:explosion val="0"/>
            <c:spPr>
              <a:solidFill>
                <a:schemeClr val="accent2"/>
              </a:solidFill>
              <a:ln w="12700" cap="flat">
                <a:noFill/>
                <a:miter lim="400000"/>
              </a:ln>
              <a:effectLst/>
            </c:spPr>
          </c:dPt>
          <c:dPt>
            <c:idx val="2"/>
            <c:explosion val="0"/>
            <c:spPr>
              <a:solidFill>
                <a:schemeClr val="accent3"/>
              </a:solidFill>
              <a:ln w="12700" cap="flat">
                <a:noFill/>
                <a:miter lim="400000"/>
              </a:ln>
              <a:effectLst/>
            </c:spPr>
          </c:dPt>
          <c:dLbls>
            <c:dLbl>
              <c:idx val="0"/>
              <c:numFmt formatCode="0%" sourceLinked="0"/>
              <c:txPr>
                <a:bodyPr/>
                <a:lstStyle/>
                <a:p>
                  <a:pPr>
                    <a:defRPr b="0" i="0" strike="noStrike" sz="1100" u="none">
                      <a:solidFill>
                        <a:srgbClr val="000000"/>
                      </a:solidFill>
                      <a:latin typeface="Times New Roman"/>
                    </a:defRPr>
                  </a:pPr>
                </a:p>
              </c:txPr>
              <c:dLblPos val="outEnd"/>
              <c:showLegendKey val="0"/>
              <c:showVal val="0"/>
              <c:showCatName val="1"/>
              <c:showSerName val="0"/>
              <c:showPercent val="1"/>
              <c:showBubbleSize val="0"/>
            </c:dLbl>
            <c:dLbl>
              <c:idx val="1"/>
              <c:numFmt formatCode="0%" sourceLinked="0"/>
              <c:txPr>
                <a:bodyPr/>
                <a:lstStyle/>
                <a:p>
                  <a:pPr>
                    <a:defRPr b="0" i="0" strike="noStrike" sz="1100" u="none">
                      <a:solidFill>
                        <a:srgbClr val="000000"/>
                      </a:solidFill>
                      <a:latin typeface="Times New Roman"/>
                    </a:defRPr>
                  </a:pPr>
                </a:p>
              </c:txPr>
              <c:dLblPos val="ctr"/>
              <c:showLegendKey val="0"/>
              <c:showVal val="0"/>
              <c:showCatName val="1"/>
              <c:showSerName val="0"/>
              <c:showPercent val="1"/>
              <c:showBubbleSize val="0"/>
            </c:dLbl>
            <c:dLbl>
              <c:idx val="2"/>
              <c:numFmt formatCode="0%" sourceLinked="0"/>
              <c:txPr>
                <a:bodyPr/>
                <a:lstStyle/>
                <a:p>
                  <a:pPr>
                    <a:defRPr b="0" i="0" strike="noStrike" sz="1100" u="none">
                      <a:solidFill>
                        <a:srgbClr val="000000"/>
                      </a:solidFill>
                      <a:latin typeface="Times New Roman"/>
                    </a:defRPr>
                  </a:pPr>
                </a:p>
              </c:txPr>
              <c:dLblPos val="outEnd"/>
              <c:showLegendKey val="0"/>
              <c:showVal val="0"/>
              <c:showCatName val="1"/>
              <c:showSerName val="0"/>
              <c:showPercent val="1"/>
              <c:showBubbleSize val="0"/>
            </c:dLbl>
            <c:numFmt formatCode="0%" sourceLinked="0"/>
            <c:txPr>
              <a:bodyPr/>
              <a:lstStyle/>
              <a:p>
                <a:pPr>
                  <a:defRPr b="0" i="0" strike="noStrike" sz="1100" u="none">
                    <a:solidFill>
                      <a:srgbClr val="000000"/>
                    </a:solidFill>
                    <a:latin typeface="Times New Roman"/>
                  </a:defRPr>
                </a:pPr>
              </a:p>
            </c:txPr>
            <c:dLblPos val="outEnd"/>
            <c:showLegendKey val="0"/>
            <c:showVal val="0"/>
            <c:showCatName val="1"/>
            <c:showSerName val="0"/>
            <c:showPercent val="1"/>
            <c:showBubbleSize val="0"/>
            <c:showLeaderLines val="1"/>
            <c:leaderLines>
              <c:spPr>
                <a:noFill/>
                <a:ln w="6350" cap="flat">
                  <a:solidFill>
                    <a:srgbClr val="000000"/>
                  </a:solidFill>
                  <a:prstDash val="solid"/>
                  <a:miter lim="400000"/>
                </a:ln>
                <a:effectLst/>
              </c:spPr>
            </c:leaderLines>
          </c:dLbls>
          <c:cat>
            <c:strRef>
              <c:f>Sheet1!$B$1:$D$1</c:f>
              <c:strCache>
                <c:ptCount val="3"/>
                <c:pt idx="0">
                  <c:v>Remote Patient Monitoring</c:v>
                </c:pt>
                <c:pt idx="1">
                  <c:v>Patient Tracking</c:v>
                </c:pt>
                <c:pt idx="2">
                  <c:v>Fighting Covid-19 Pandemic</c:v>
                </c:pt>
              </c:strCache>
            </c:strRef>
          </c:cat>
          <c:val>
            <c:numRef>
              <c:f>Sheet1!$B$2:$D$2</c:f>
              <c:numCache>
                <c:ptCount val="3"/>
                <c:pt idx="0">
                  <c:v>9.000000</c:v>
                </c:pt>
                <c:pt idx="1">
                  <c:v>6.000000</c:v>
                </c:pt>
                <c:pt idx="2">
                  <c:v>10.000000</c:v>
                </c:pt>
              </c:numCache>
            </c:numRef>
          </c:val>
        </c:ser>
        <c:ser>
          <c:idx val="0"/>
          <c:order val="1"/>
          <c:tx>
            <c:strRef>
              <c:f>Sheet1!$A$3</c:f>
              <c:strCache>
                <c:ptCount val="1"/>
                <c:pt idx="1">
                  <c:v>Percentage of Respondents</c:v>
                </c:pt>
              </c:strCache>
            </c:strRef>
          </c:tx>
          <c:spPr>
            <a:solidFill>
              <a:schemeClr val="accent1"/>
            </a:solidFill>
            <a:ln w="12700" cap="flat">
              <a:noFill/>
              <a:miter lim="400000"/>
            </a:ln>
            <a:effectLst/>
          </c:spPr>
          <c:explosion val="0"/>
          <c:dPt>
            <c:idx val="0"/>
            <c:explosion val="0"/>
            <c:spPr>
              <a:solidFill>
                <a:schemeClr val="accent1"/>
              </a:solidFill>
              <a:ln w="12700" cap="flat">
                <a:noFill/>
                <a:miter lim="400000"/>
              </a:ln>
              <a:effectLst/>
            </c:spPr>
          </c:dPt>
          <c:dPt>
            <c:idx val="1"/>
            <c:explosion val="0"/>
            <c:spPr>
              <a:solidFill>
                <a:schemeClr val="accent2"/>
              </a:solidFill>
              <a:ln w="12700" cap="flat">
                <a:noFill/>
                <a:miter lim="400000"/>
              </a:ln>
              <a:effectLst/>
            </c:spPr>
          </c:dPt>
          <c:dPt>
            <c:idx val="2"/>
            <c:explosion val="0"/>
            <c:spPr>
              <a:solidFill>
                <a:schemeClr val="accent3"/>
              </a:solidFill>
              <a:ln w="12700" cap="flat">
                <a:noFill/>
                <a:miter lim="400000"/>
              </a:ln>
              <a:effectLst/>
            </c:spPr>
          </c:dPt>
          <c:dLbls>
            <c:dLbl>
              <c:idx val="0"/>
              <c:numFmt formatCode="0%" sourceLinked="0"/>
              <c:txPr>
                <a:bodyPr/>
                <a:lstStyle/>
                <a:p>
                  <a:pPr>
                    <a:defRPr b="0" i="0" strike="noStrike" sz="1100" u="none">
                      <a:solidFill>
                        <a:srgbClr val="000000"/>
                      </a:solidFill>
                      <a:latin typeface="Times New Roman"/>
                    </a:defRPr>
                  </a:pPr>
                </a:p>
              </c:txPr>
              <c:dLblPos val="outEnd"/>
              <c:showLegendKey val="0"/>
              <c:showVal val="0"/>
              <c:showCatName val="1"/>
              <c:showSerName val="0"/>
              <c:showPercent val="1"/>
              <c:showBubbleSize val="0"/>
            </c:dLbl>
            <c:dLbl>
              <c:idx val="1"/>
              <c:numFmt formatCode="0%" sourceLinked="0"/>
              <c:txPr>
                <a:bodyPr/>
                <a:lstStyle/>
                <a:p>
                  <a:pPr>
                    <a:defRPr b="0" i="0" strike="noStrike" sz="1100" u="none">
                      <a:solidFill>
                        <a:srgbClr val="000000"/>
                      </a:solidFill>
                      <a:latin typeface="Times New Roman"/>
                    </a:defRPr>
                  </a:pPr>
                </a:p>
              </c:txPr>
              <c:dLblPos val="ctr"/>
              <c:showLegendKey val="0"/>
              <c:showVal val="0"/>
              <c:showCatName val="1"/>
              <c:showSerName val="0"/>
              <c:showPercent val="1"/>
              <c:showBubbleSize val="0"/>
            </c:dLbl>
            <c:dLbl>
              <c:idx val="2"/>
              <c:numFmt formatCode="0%" sourceLinked="0"/>
              <c:txPr>
                <a:bodyPr/>
                <a:lstStyle/>
                <a:p>
                  <a:pPr>
                    <a:defRPr b="0" i="0" strike="noStrike" sz="1100" u="none">
                      <a:solidFill>
                        <a:srgbClr val="000000"/>
                      </a:solidFill>
                      <a:latin typeface="Times New Roman"/>
                    </a:defRPr>
                  </a:pPr>
                </a:p>
              </c:txPr>
              <c:dLblPos val="outEnd"/>
              <c:showLegendKey val="0"/>
              <c:showVal val="0"/>
              <c:showCatName val="1"/>
              <c:showSerName val="0"/>
              <c:showPercent val="1"/>
              <c:showBubbleSize val="0"/>
            </c:dLbl>
            <c:numFmt formatCode="0%" sourceLinked="0"/>
            <c:txPr>
              <a:bodyPr/>
              <a:lstStyle/>
              <a:p>
                <a:pPr>
                  <a:defRPr b="0" i="0" strike="noStrike" sz="1100" u="none">
                    <a:solidFill>
                      <a:srgbClr val="000000"/>
                    </a:solidFill>
                    <a:latin typeface="Times New Roman"/>
                  </a:defRPr>
                </a:pPr>
              </a:p>
            </c:txPr>
            <c:dLblPos val="outEnd"/>
            <c:showLegendKey val="0"/>
            <c:showVal val="0"/>
            <c:showCatName val="1"/>
            <c:showSerName val="0"/>
            <c:showPercent val="1"/>
            <c:showBubbleSize val="0"/>
            <c:showLeaderLines val="1"/>
            <c:leaderLines>
              <c:spPr>
                <a:noFill/>
                <a:ln w="6350" cap="flat">
                  <a:solidFill>
                    <a:srgbClr val="000000"/>
                  </a:solidFill>
                  <a:prstDash val="solid"/>
                  <a:miter lim="400000"/>
                </a:ln>
                <a:effectLst/>
              </c:spPr>
            </c:leaderLines>
          </c:dLbls>
          <c:cat>
            <c:strRef>
              <c:f>Sheet1!$B$1:$D$1</c:f>
              <c:strCache>
                <c:ptCount val="3"/>
                <c:pt idx="0">
                  <c:v>Remote Patient Monitoring</c:v>
                </c:pt>
                <c:pt idx="1">
                  <c:v>Patient Tracking</c:v>
                </c:pt>
                <c:pt idx="2">
                  <c:v>Fighting Covid-19 Pandemic</c:v>
                </c:pt>
              </c:strCache>
            </c:strRef>
          </c:cat>
          <c:val>
            <c:numRef>
              <c:f>Sheet1!$B$3:$D$3</c:f>
              <c:numCache>
                <c:ptCount val="3"/>
                <c:pt idx="0">
                  <c:v>0.360000</c:v>
                </c:pt>
                <c:pt idx="1">
                  <c:v>0.240000</c:v>
                </c:pt>
                <c:pt idx="2">
                  <c:v>0.400000</c:v>
                </c:pt>
              </c:numCache>
            </c:numRef>
          </c:val>
        </c:ser>
        <c:firstSliceAng val="0"/>
      </c:pieChart>
      <c:spPr>
        <a:solidFill>
          <a:srgbClr val="FFFFFF"/>
        </a:solidFill>
        <a:ln w="12700" cap="flat">
          <a:noFill/>
          <a:miter lim="400000"/>
        </a:ln>
        <a:effectLst/>
      </c:spPr>
    </c:plotArea>
    <c:legend>
      <c:legendPos val="r"/>
      <c:layout>
        <c:manualLayout>
          <c:xMode val="edge"/>
          <c:yMode val="edge"/>
          <c:x val="0.699177"/>
          <c:y val="0.393613"/>
          <c:w val="0.300823"/>
          <c:h val="0.0953717"/>
        </c:manualLayout>
      </c:layout>
      <c:overlay val="1"/>
      <c:spPr>
        <a:noFill/>
        <a:ln w="12700" cap="flat">
          <a:noFill/>
          <a:miter lim="400000"/>
        </a:ln>
        <a:effectLst/>
      </c:spPr>
      <c:txPr>
        <a:bodyPr rot="0"/>
        <a:lstStyle/>
        <a:p>
          <a:pPr>
            <a:defRPr b="0" i="0" strike="noStrike" sz="1100" u="none">
              <a:solidFill>
                <a:srgbClr val="000000"/>
              </a:solidFill>
              <a:latin typeface="Times New Roman"/>
            </a:defRPr>
          </a:pPr>
        </a:p>
      </c:txPr>
    </c:legend>
    <c:plotVisOnly val="1"/>
    <c:dispBlanksAs val="gap"/>
  </c:chart>
  <c:spPr>
    <a:solidFill>
      <a:srgbClr val="FFFFFF"/>
    </a:solidFill>
    <a:ln w="12700" cap="flat">
      <a:solidFill>
        <a:srgbClr val="888888"/>
      </a:solidFill>
      <a:prstDash val="solid"/>
      <a:round/>
    </a:ln>
    <a:effectLst/>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1"/>
  <c:roundedCorners val="0"/>
  <c:chart>
    <c:autoTitleDeleted val="1"/>
    <c:plotArea>
      <c:layout>
        <c:manualLayout>
          <c:layoutTarget val="inner"/>
          <c:xMode val="edge"/>
          <c:yMode val="edge"/>
          <c:x val="0.005"/>
          <c:y val="0.005"/>
          <c:w val="0.507849"/>
          <c:h val="0.9875"/>
        </c:manualLayout>
      </c:layout>
      <c:doughnutChart>
        <c:varyColors val="0"/>
        <c:ser>
          <c:idx val="0"/>
          <c:order val="0"/>
          <c:tx>
            <c:strRef>
              <c:f>Sheet1!$A$2</c:f>
              <c:strCache>
                <c:ptCount val="1"/>
                <c:pt idx="0">
                  <c:v>Number of Respondents</c:v>
                </c:pt>
              </c:strCache>
            </c:strRef>
          </c:tx>
          <c:spPr>
            <a:solidFill>
              <a:schemeClr val="accent1"/>
            </a:solidFill>
            <a:ln w="12700" cap="flat">
              <a:noFill/>
              <a:miter lim="400000"/>
            </a:ln>
            <a:effectLst/>
          </c:spPr>
          <c:explosion val="0"/>
          <c:dPt>
            <c:idx val="0"/>
            <c:explosion val="0"/>
            <c:spPr>
              <a:solidFill>
                <a:schemeClr val="accent1"/>
              </a:solidFill>
              <a:ln w="12700" cap="flat">
                <a:noFill/>
                <a:miter lim="400000"/>
              </a:ln>
              <a:effectLst/>
            </c:spPr>
          </c:dPt>
          <c:dPt>
            <c:idx val="1"/>
            <c:explosion val="0"/>
            <c:spPr>
              <a:solidFill>
                <a:schemeClr val="accent2"/>
              </a:solidFill>
              <a:ln w="12700" cap="flat">
                <a:noFill/>
                <a:miter lim="400000"/>
              </a:ln>
              <a:effectLst/>
            </c:spPr>
          </c:dPt>
          <c:dPt>
            <c:idx val="2"/>
            <c:explosion val="0"/>
            <c:spPr>
              <a:solidFill>
                <a:schemeClr val="accent3"/>
              </a:solidFill>
              <a:ln w="12700" cap="flat">
                <a:noFill/>
                <a:miter lim="400000"/>
              </a:ln>
              <a:effectLst/>
            </c:spPr>
          </c:dPt>
          <c:dLbls>
            <c:dLbl>
              <c:idx val="0"/>
              <c:numFmt formatCode="0.#" sourceLinked="0"/>
              <c:txPr>
                <a:bodyPr/>
                <a:lstStyle/>
                <a:p>
                  <a:pPr>
                    <a:defRPr b="0" i="0" strike="noStrike" sz="1100" u="none">
                      <a:solidFill>
                        <a:srgbClr val="000000"/>
                      </a:solidFill>
                      <a:latin typeface="Times New Roman"/>
                    </a:defRPr>
                  </a:pPr>
                </a:p>
              </c:txPr>
              <c:showLegendKey val="0"/>
              <c:showVal val="1"/>
              <c:showCatName val="0"/>
              <c:showSerName val="0"/>
              <c:showPercent val="0"/>
              <c:showBubbleSize val="0"/>
            </c:dLbl>
            <c:dLbl>
              <c:idx val="1"/>
              <c:numFmt formatCode="0.#" sourceLinked="0"/>
              <c:txPr>
                <a:bodyPr/>
                <a:lstStyle/>
                <a:p>
                  <a:pPr>
                    <a:defRPr b="0" i="0" strike="noStrike" sz="1100" u="none">
                      <a:solidFill>
                        <a:srgbClr val="000000"/>
                      </a:solidFill>
                      <a:latin typeface="Times New Roman"/>
                    </a:defRPr>
                  </a:pPr>
                </a:p>
              </c:txPr>
              <c:showLegendKey val="0"/>
              <c:showVal val="1"/>
              <c:showCatName val="0"/>
              <c:showSerName val="0"/>
              <c:showPercent val="0"/>
              <c:showBubbleSize val="0"/>
            </c:dLbl>
            <c:dLbl>
              <c:idx val="2"/>
              <c:numFmt formatCode="0.#" sourceLinked="0"/>
              <c:txPr>
                <a:bodyPr/>
                <a:lstStyle/>
                <a:p>
                  <a:pPr>
                    <a:defRPr b="0" i="0" strike="noStrike" sz="1100" u="none">
                      <a:solidFill>
                        <a:srgbClr val="000000"/>
                      </a:solidFill>
                      <a:latin typeface="Times New Roman"/>
                    </a:defRPr>
                  </a:pPr>
                </a:p>
              </c:txPr>
              <c:showLegendKey val="0"/>
              <c:showVal val="1"/>
              <c:showCatName val="0"/>
              <c:showSerName val="0"/>
              <c:showPercent val="0"/>
              <c:showBubbleSize val="0"/>
            </c:dLbl>
            <c:numFmt formatCode="0.#" sourceLinked="0"/>
            <c:txPr>
              <a:bodyPr/>
              <a:lstStyle/>
              <a:p>
                <a:pPr>
                  <a:defRPr b="0" i="0" strike="noStrike" sz="1100" u="none">
                    <a:solidFill>
                      <a:srgbClr val="000000"/>
                    </a:solidFill>
                    <a:latin typeface="Times New Roman"/>
                  </a:defRPr>
                </a:pPr>
              </a:p>
            </c:txPr>
            <c:showLegendKey val="0"/>
            <c:showVal val="1"/>
            <c:showCatName val="0"/>
            <c:showSerName val="0"/>
            <c:showPercent val="0"/>
            <c:showBubbleSize val="0"/>
            <c:showLeaderLines val="1"/>
            <c:leaderLines>
              <c:spPr>
                <a:noFill/>
                <a:ln w="6350" cap="flat">
                  <a:solidFill>
                    <a:srgbClr val="000000"/>
                  </a:solidFill>
                  <a:prstDash val="solid"/>
                  <a:miter lim="400000"/>
                </a:ln>
                <a:effectLst/>
              </c:spPr>
            </c:leaderLines>
          </c:dLbls>
          <c:cat>
            <c:strRef>
              <c:f>Sheet1!$B$1:$D$1</c:f>
              <c:strCache>
                <c:ptCount val="3"/>
                <c:pt idx="0">
                  <c:v>Heart Disease Detection</c:v>
                </c:pt>
                <c:pt idx="1">
                  <c:v>Diabetic Disease Analysis</c:v>
                </c:pt>
                <c:pt idx="2">
                  <c:v>Thyroid Disorder Diagnosis</c:v>
                </c:pt>
              </c:strCache>
            </c:strRef>
          </c:cat>
          <c:val>
            <c:numRef>
              <c:f>Sheet1!$B$2:$D$2</c:f>
              <c:numCache>
                <c:ptCount val="3"/>
                <c:pt idx="0">
                  <c:v>7.000000</c:v>
                </c:pt>
                <c:pt idx="1">
                  <c:v>10.000000</c:v>
                </c:pt>
                <c:pt idx="2">
                  <c:v>8.000000</c:v>
                </c:pt>
              </c:numCache>
            </c:numRef>
          </c:val>
        </c:ser>
        <c:ser>
          <c:idx val="0"/>
          <c:order val="1"/>
          <c:tx>
            <c:strRef>
              <c:f>Sheet1!$A$3</c:f>
              <c:strCache>
                <c:ptCount val="1"/>
                <c:pt idx="1">
                  <c:v>Percentage of Respondents</c:v>
                </c:pt>
              </c:strCache>
            </c:strRef>
          </c:tx>
          <c:spPr>
            <a:solidFill>
              <a:schemeClr val="accent1"/>
            </a:solidFill>
            <a:ln w="12700" cap="flat">
              <a:noFill/>
              <a:miter lim="400000"/>
            </a:ln>
            <a:effectLst/>
          </c:spPr>
          <c:explosion val="0"/>
          <c:dPt>
            <c:idx val="0"/>
            <c:explosion val="0"/>
            <c:spPr>
              <a:solidFill>
                <a:schemeClr val="accent1"/>
              </a:solidFill>
              <a:ln w="12700" cap="flat">
                <a:noFill/>
                <a:miter lim="400000"/>
              </a:ln>
              <a:effectLst/>
            </c:spPr>
          </c:dPt>
          <c:dPt>
            <c:idx val="1"/>
            <c:explosion val="0"/>
            <c:spPr>
              <a:solidFill>
                <a:schemeClr val="accent2"/>
              </a:solidFill>
              <a:ln w="12700" cap="flat">
                <a:noFill/>
                <a:miter lim="400000"/>
              </a:ln>
              <a:effectLst/>
            </c:spPr>
          </c:dPt>
          <c:dPt>
            <c:idx val="2"/>
            <c:explosion val="0"/>
            <c:spPr>
              <a:solidFill>
                <a:schemeClr val="accent3"/>
              </a:solidFill>
              <a:ln w="12700" cap="flat">
                <a:noFill/>
                <a:miter lim="400000"/>
              </a:ln>
              <a:effectLst/>
            </c:spPr>
          </c:dPt>
          <c:dLbls>
            <c:dLbl>
              <c:idx val="0"/>
              <c:numFmt formatCode="0.#" sourceLinked="0"/>
              <c:txPr>
                <a:bodyPr/>
                <a:lstStyle/>
                <a:p>
                  <a:pPr>
                    <a:defRPr b="0" i="0" strike="noStrike" sz="1100" u="none">
                      <a:solidFill>
                        <a:srgbClr val="000000"/>
                      </a:solidFill>
                      <a:latin typeface="Times New Roman"/>
                    </a:defRPr>
                  </a:pPr>
                </a:p>
              </c:txPr>
              <c:showLegendKey val="0"/>
              <c:showVal val="1"/>
              <c:showCatName val="0"/>
              <c:showSerName val="0"/>
              <c:showPercent val="0"/>
              <c:showBubbleSize val="0"/>
            </c:dLbl>
            <c:dLbl>
              <c:idx val="1"/>
              <c:numFmt formatCode="0.#" sourceLinked="0"/>
              <c:txPr>
                <a:bodyPr/>
                <a:lstStyle/>
                <a:p>
                  <a:pPr>
                    <a:defRPr b="0" i="0" strike="noStrike" sz="1100" u="none">
                      <a:solidFill>
                        <a:srgbClr val="000000"/>
                      </a:solidFill>
                      <a:latin typeface="Times New Roman"/>
                    </a:defRPr>
                  </a:pPr>
                </a:p>
              </c:txPr>
              <c:showLegendKey val="0"/>
              <c:showVal val="1"/>
              <c:showCatName val="0"/>
              <c:showSerName val="0"/>
              <c:showPercent val="0"/>
              <c:showBubbleSize val="0"/>
            </c:dLbl>
            <c:dLbl>
              <c:idx val="2"/>
              <c:numFmt formatCode="0.#" sourceLinked="0"/>
              <c:txPr>
                <a:bodyPr/>
                <a:lstStyle/>
                <a:p>
                  <a:pPr>
                    <a:defRPr b="0" i="0" strike="noStrike" sz="1100" u="none">
                      <a:solidFill>
                        <a:srgbClr val="000000"/>
                      </a:solidFill>
                      <a:latin typeface="Times New Roman"/>
                    </a:defRPr>
                  </a:pPr>
                </a:p>
              </c:txPr>
              <c:showLegendKey val="0"/>
              <c:showVal val="1"/>
              <c:showCatName val="0"/>
              <c:showSerName val="0"/>
              <c:showPercent val="0"/>
              <c:showBubbleSize val="0"/>
            </c:dLbl>
            <c:numFmt formatCode="0.#" sourceLinked="0"/>
            <c:txPr>
              <a:bodyPr/>
              <a:lstStyle/>
              <a:p>
                <a:pPr>
                  <a:defRPr b="0" i="0" strike="noStrike" sz="1100" u="none">
                    <a:solidFill>
                      <a:srgbClr val="000000"/>
                    </a:solidFill>
                    <a:latin typeface="Times New Roman"/>
                  </a:defRPr>
                </a:pPr>
              </a:p>
            </c:txPr>
            <c:showLegendKey val="0"/>
            <c:showVal val="1"/>
            <c:showCatName val="0"/>
            <c:showSerName val="0"/>
            <c:showPercent val="0"/>
            <c:showBubbleSize val="0"/>
            <c:showLeaderLines val="1"/>
            <c:leaderLines>
              <c:spPr>
                <a:noFill/>
                <a:ln w="6350" cap="flat">
                  <a:solidFill>
                    <a:srgbClr val="000000"/>
                  </a:solidFill>
                  <a:prstDash val="solid"/>
                  <a:miter lim="400000"/>
                </a:ln>
                <a:effectLst/>
              </c:spPr>
            </c:leaderLines>
          </c:dLbls>
          <c:cat>
            <c:strRef>
              <c:f>Sheet1!$B$1:$D$1</c:f>
              <c:strCache>
                <c:ptCount val="3"/>
                <c:pt idx="0">
                  <c:v>Heart Disease Detection</c:v>
                </c:pt>
                <c:pt idx="1">
                  <c:v>Diabetic Disease Analysis</c:v>
                </c:pt>
                <c:pt idx="2">
                  <c:v>Thyroid Disorder Diagnosis</c:v>
                </c:pt>
              </c:strCache>
            </c:strRef>
          </c:cat>
          <c:val>
            <c:numRef>
              <c:f>Sheet1!$B$3:$D$3</c:f>
              <c:numCache>
                <c:ptCount val="3"/>
                <c:pt idx="0">
                  <c:v>0.280000</c:v>
                </c:pt>
                <c:pt idx="1">
                  <c:v>0.400000</c:v>
                </c:pt>
                <c:pt idx="2">
                  <c:v>0.320000</c:v>
                </c:pt>
              </c:numCache>
            </c:numRef>
          </c:val>
        </c:ser>
        <c:firstSliceAng val="0"/>
        <c:holeSize val="50"/>
      </c:doughnutChart>
      <c:spPr>
        <a:solidFill>
          <a:srgbClr val="FFFFFF"/>
        </a:solidFill>
        <a:ln w="12700" cap="flat">
          <a:noFill/>
          <a:miter lim="400000"/>
        </a:ln>
        <a:effectLst/>
      </c:spPr>
    </c:plotArea>
    <c:legend>
      <c:legendPos val="r"/>
      <c:layout>
        <c:manualLayout>
          <c:xMode val="edge"/>
          <c:yMode val="edge"/>
          <c:x val="0.577345"/>
          <c:y val="0.23754"/>
          <c:w val="0.422655"/>
          <c:h val="0.203932"/>
        </c:manualLayout>
      </c:layout>
      <c:overlay val="1"/>
      <c:spPr>
        <a:noFill/>
        <a:ln w="12700" cap="flat">
          <a:noFill/>
          <a:miter lim="400000"/>
        </a:ln>
        <a:effectLst/>
      </c:spPr>
      <c:txPr>
        <a:bodyPr rot="0"/>
        <a:lstStyle/>
        <a:p>
          <a:pPr>
            <a:defRPr b="0" i="0" strike="noStrike" sz="1100" u="none">
              <a:solidFill>
                <a:srgbClr val="000000"/>
              </a:solidFill>
              <a:latin typeface="Times New Roman"/>
            </a:defRPr>
          </a:pPr>
        </a:p>
      </c:txPr>
    </c:legend>
    <c:plotVisOnly val="1"/>
    <c:dispBlanksAs val="gap"/>
  </c:chart>
  <c:spPr>
    <a:solidFill>
      <a:srgbClr val="FFFFFF"/>
    </a:solidFill>
    <a:ln w="12700" cap="flat">
      <a:solidFill>
        <a:srgbClr val="888888"/>
      </a:solidFill>
      <a:prstDash val="solid"/>
      <a:round/>
    </a:ln>
    <a:effectLst/>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1"/>
  <c:roundedCorners val="0"/>
  <c:chart>
    <c:autoTitleDeleted val="1"/>
    <c:plotArea>
      <c:layout>
        <c:manualLayout>
          <c:layoutTarget val="inner"/>
          <c:xMode val="edge"/>
          <c:yMode val="edge"/>
          <c:x val="0.12293"/>
          <c:y val="0.0478511"/>
          <c:w val="0.682675"/>
          <c:h val="0.862377"/>
        </c:manualLayout>
      </c:layout>
      <c:barChart>
        <c:barDir val="col"/>
        <c:grouping val="clustered"/>
        <c:varyColors val="0"/>
        <c:ser>
          <c:idx val="0"/>
          <c:order val="0"/>
          <c:tx>
            <c:strRef>
              <c:f>Sheet1!$B$1</c:f>
              <c:strCache>
                <c:ptCount val="1"/>
                <c:pt idx="0">
                  <c:v>Number of Respondents</c:v>
                </c:pt>
              </c:strCache>
            </c:strRef>
          </c:tx>
          <c:spPr>
            <a:solidFill>
              <a:schemeClr val="accent1"/>
            </a:solidFill>
            <a:ln w="12700" cap="flat">
              <a:noFill/>
              <a:miter lim="400000"/>
            </a:ln>
            <a:effectLst/>
          </c:spPr>
          <c:invertIfNegative val="0"/>
          <c:dLbls>
            <c:numFmt formatCode="0" sourceLinked="0"/>
            <c:txPr>
              <a:bodyPr/>
              <a:lstStyle/>
              <a:p>
                <a:pPr>
                  <a:defRPr b="0" i="0" strike="noStrike" sz="1100" u="none">
                    <a:solidFill>
                      <a:srgbClr val="000000"/>
                    </a:solidFill>
                    <a:latin typeface="Times New Roman"/>
                  </a:defRPr>
                </a:pPr>
              </a:p>
            </c:txPr>
            <c:dLblPos val="outEnd"/>
            <c:showLegendKey val="0"/>
            <c:showVal val="1"/>
            <c:showCatName val="0"/>
            <c:showSerName val="0"/>
            <c:showPercent val="0"/>
            <c:showBubbleSize val="0"/>
            <c:showLeaderLines val="0"/>
          </c:dLbls>
          <c:cat>
            <c:strRef>
              <c:f>Sheet1!$A$2:$A$5</c:f>
              <c:strCache>
                <c:ptCount val="4"/>
                <c:pt idx="0">
                  <c:v>Electronic Medical Report Management</c:v>
                </c:pt>
                <c:pt idx="1">
                  <c:v>Drug Traceability</c:v>
                </c:pt>
                <c:pt idx="2">
                  <c:v>Tracking Infectious Disease</c:v>
                </c:pt>
                <c:pt idx="3">
                  <c:v/>
                </c:pt>
              </c:strCache>
            </c:strRef>
          </c:cat>
          <c:val>
            <c:numRef>
              <c:f>Sheet1!$B$2:$B$5</c:f>
              <c:numCache>
                <c:ptCount val="3"/>
                <c:pt idx="0">
                  <c:v>11.000000</c:v>
                </c:pt>
                <c:pt idx="1">
                  <c:v>5.000000</c:v>
                </c:pt>
                <c:pt idx="2">
                  <c:v>9.000000</c:v>
                </c:pt>
              </c:numCache>
            </c:numRef>
          </c:val>
        </c:ser>
        <c:ser>
          <c:idx val="1"/>
          <c:order val="1"/>
          <c:tx>
            <c:strRef>
              <c:f>Sheet1!$C$1</c:f>
              <c:strCache>
                <c:ptCount val="1"/>
                <c:pt idx="0">
                  <c:v>Percentage of Respondents</c:v>
                </c:pt>
              </c:strCache>
            </c:strRef>
          </c:tx>
          <c:spPr>
            <a:solidFill>
              <a:schemeClr val="accent2"/>
            </a:solidFill>
            <a:ln w="12700" cap="flat">
              <a:noFill/>
              <a:miter lim="400000"/>
            </a:ln>
            <a:effectLst/>
          </c:spPr>
          <c:invertIfNegative val="0"/>
          <c:dLbls>
            <c:numFmt formatCode="0%" sourceLinked="0"/>
            <c:txPr>
              <a:bodyPr/>
              <a:lstStyle/>
              <a:p>
                <a:pPr>
                  <a:defRPr b="0" i="0" strike="noStrike" sz="1100" u="none">
                    <a:solidFill>
                      <a:srgbClr val="000000"/>
                    </a:solidFill>
                    <a:latin typeface="Times New Roman"/>
                  </a:defRPr>
                </a:pPr>
              </a:p>
            </c:txPr>
            <c:dLblPos val="outEnd"/>
            <c:showLegendKey val="0"/>
            <c:showVal val="1"/>
            <c:showCatName val="0"/>
            <c:showSerName val="0"/>
            <c:showPercent val="0"/>
            <c:showBubbleSize val="0"/>
            <c:showLeaderLines val="0"/>
          </c:dLbls>
          <c:cat>
            <c:strRef>
              <c:f>Sheet1!$A$2:$A$5</c:f>
              <c:strCache>
                <c:ptCount val="4"/>
                <c:pt idx="0">
                  <c:v>Electronic Medical Report Management</c:v>
                </c:pt>
                <c:pt idx="1">
                  <c:v>Drug Traceability</c:v>
                </c:pt>
                <c:pt idx="2">
                  <c:v>Tracking Infectious Disease</c:v>
                </c:pt>
                <c:pt idx="3">
                  <c:v/>
                </c:pt>
              </c:strCache>
            </c:strRef>
          </c:cat>
          <c:val>
            <c:numRef>
              <c:f>Sheet1!$C$2:$C$5</c:f>
              <c:numCache>
                <c:ptCount val="3"/>
                <c:pt idx="0">
                  <c:v>0.440000</c:v>
                </c:pt>
                <c:pt idx="1">
                  <c:v>0.200000</c:v>
                </c:pt>
                <c:pt idx="2">
                  <c:v>0.360000</c:v>
                </c:pt>
              </c:numCache>
            </c:numRef>
          </c:val>
        </c:ser>
        <c:ser>
          <c:idx val="2"/>
          <c:order val="2"/>
          <c:tx>
            <c:strRef>
              <c:f>Sheet1!$D$1</c:f>
              <c:strCache>
                <c:ptCount val="1"/>
                <c:pt idx="0">
                  <c:v>Column1</c:v>
                </c:pt>
              </c:strCache>
            </c:strRef>
          </c:tx>
          <c:spPr>
            <a:solidFill>
              <a:schemeClr val="accent3"/>
            </a:solidFill>
            <a:ln w="12700" cap="flat">
              <a:noFill/>
              <a:miter lim="400000"/>
            </a:ln>
            <a:effectLst/>
          </c:spPr>
          <c:invertIfNegative val="0"/>
          <c:dLbls>
            <c:numFmt formatCode="0" sourceLinked="0"/>
            <c:txPr>
              <a:bodyPr/>
              <a:lstStyle/>
              <a:p>
                <a:pPr>
                  <a:defRPr b="0" i="0" strike="noStrike" sz="1100" u="none">
                    <a:solidFill>
                      <a:srgbClr val="000000"/>
                    </a:solidFill>
                    <a:latin typeface="Times New Roman"/>
                  </a:defRPr>
                </a:pPr>
              </a:p>
            </c:txPr>
            <c:dLblPos val="outEnd"/>
            <c:showLegendKey val="0"/>
            <c:showVal val="0"/>
            <c:showCatName val="0"/>
            <c:showSerName val="0"/>
            <c:showPercent val="0"/>
            <c:showBubbleSize val="0"/>
            <c:showLeaderLines val="0"/>
          </c:dLbls>
          <c:cat>
            <c:strRef>
              <c:f>Sheet1!$A$2:$A$5</c:f>
              <c:strCache>
                <c:ptCount val="4"/>
                <c:pt idx="0">
                  <c:v>Electronic Medical Report Management</c:v>
                </c:pt>
                <c:pt idx="1">
                  <c:v>Drug Traceability</c:v>
                </c:pt>
                <c:pt idx="2">
                  <c:v>Tracking Infectious Disease</c:v>
                </c:pt>
                <c:pt idx="3">
                  <c:v/>
                </c:pt>
              </c:strCache>
            </c:strRef>
          </c:cat>
          <c:val>
            <c:numRef>
              <c:f>Sheet1!$D$2:$D$5</c:f>
              <c:numCache>
                <c:ptCount val="0"/>
              </c:numCache>
            </c:numRef>
          </c:val>
        </c:ser>
        <c:gapWidth val="150"/>
        <c:overlap val="0"/>
        <c:axId val="2094734552"/>
        <c:axId val="2094734553"/>
      </c:barChart>
      <c:catAx>
        <c:axId val="2094734552"/>
        <c:scaling>
          <c:orientation val="minMax"/>
        </c:scaling>
        <c:delete val="0"/>
        <c:axPos val="b"/>
        <c:numFmt formatCode="General" sourceLinked="0"/>
        <c:majorTickMark val="out"/>
        <c:minorTickMark val="none"/>
        <c:tickLblPos val="low"/>
        <c:spPr>
          <a:ln w="12700" cap="flat">
            <a:solidFill>
              <a:srgbClr val="888888"/>
            </a:solidFill>
            <a:prstDash val="solid"/>
            <a:round/>
          </a:ln>
        </c:spPr>
        <c:txPr>
          <a:bodyPr rot="0"/>
          <a:lstStyle/>
          <a:p>
            <a:pPr>
              <a:defRPr b="0" i="0" strike="noStrike" sz="1100" u="none">
                <a:solidFill>
                  <a:srgbClr val="000000"/>
                </a:solidFill>
                <a:latin typeface="Times New Roman"/>
              </a:defRPr>
            </a:pPr>
          </a:p>
        </c:txPr>
        <c:crossAx val="2094734553"/>
        <c:crosses val="autoZero"/>
        <c:auto val="1"/>
        <c:lblAlgn val="ctr"/>
        <c:noMultiLvlLbl val="1"/>
      </c:catAx>
      <c:valAx>
        <c:axId val="2094734553"/>
        <c:scaling>
          <c:orientation val="minMax"/>
        </c:scaling>
        <c:delete val="0"/>
        <c:axPos val="l"/>
        <c:majorGridlines>
          <c:spPr>
            <a:ln w="12700" cap="flat">
              <a:solidFill>
                <a:srgbClr val="888888"/>
              </a:solidFill>
              <a:prstDash val="solid"/>
              <a:round/>
            </a:ln>
          </c:spPr>
        </c:majorGridlines>
        <c:numFmt formatCode="0.##" sourceLinked="0"/>
        <c:majorTickMark val="out"/>
        <c:minorTickMark val="none"/>
        <c:tickLblPos val="nextTo"/>
        <c:spPr>
          <a:ln w="12700" cap="flat">
            <a:solidFill>
              <a:srgbClr val="888888"/>
            </a:solidFill>
            <a:prstDash val="solid"/>
            <a:round/>
          </a:ln>
        </c:spPr>
        <c:txPr>
          <a:bodyPr rot="0"/>
          <a:lstStyle/>
          <a:p>
            <a:pPr>
              <a:defRPr b="0" i="0" strike="noStrike" sz="1100" u="none">
                <a:solidFill>
                  <a:srgbClr val="000000"/>
                </a:solidFill>
                <a:latin typeface="Times New Roman"/>
              </a:defRPr>
            </a:pPr>
          </a:p>
        </c:txPr>
        <c:crossAx val="2094734552"/>
        <c:crosses val="autoZero"/>
        <c:crossBetween val="between"/>
        <c:majorUnit val="3"/>
        <c:minorUnit val="1.5"/>
      </c:valAx>
      <c:spPr>
        <a:solidFill>
          <a:srgbClr val="FFFFFF"/>
        </a:solidFill>
        <a:ln w="12700" cap="flat">
          <a:noFill/>
          <a:miter lim="400000"/>
        </a:ln>
        <a:effectLst/>
      </c:spPr>
    </c:plotArea>
    <c:legend>
      <c:legendPos val="r"/>
      <c:layout>
        <c:manualLayout>
          <c:xMode val="edge"/>
          <c:yMode val="edge"/>
          <c:x val="0.639325"/>
          <c:y val="0.408048"/>
          <c:w val="0.360675"/>
          <c:h val="0.168553"/>
        </c:manualLayout>
      </c:layout>
      <c:overlay val="1"/>
      <c:spPr>
        <a:noFill/>
        <a:ln w="12700" cap="flat">
          <a:noFill/>
          <a:miter lim="400000"/>
        </a:ln>
        <a:effectLst/>
      </c:spPr>
      <c:txPr>
        <a:bodyPr rot="0"/>
        <a:lstStyle/>
        <a:p>
          <a:pPr>
            <a:defRPr b="0" i="0" strike="noStrike" sz="1100" u="none">
              <a:solidFill>
                <a:srgbClr val="000000"/>
              </a:solidFill>
              <a:latin typeface="Times New Roman"/>
            </a:defRPr>
          </a:pPr>
        </a:p>
      </c:txPr>
    </c:legend>
    <c:plotVisOnly val="1"/>
    <c:dispBlanksAs val="gap"/>
  </c:chart>
  <c:spPr>
    <a:solidFill>
      <a:srgbClr val="FFFFFF"/>
    </a:solidFill>
    <a:ln w="12700" cap="flat">
      <a:solidFill>
        <a:srgbClr val="888888"/>
      </a:solidFill>
      <a:prstDash val="solid"/>
      <a:round/>
    </a:ln>
    <a:effectLst/>
  </c:spPr>
  <c:externalData r:id="rId1">
    <c:autoUpdate val="0"/>
  </c:externalData>
</c:chartSpace>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