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rPr>
        <w:id w:val="1684392943"/>
        <w:docPartObj>
          <w:docPartGallery w:val="Cover Pages"/>
          <w:docPartUnique/>
        </w:docPartObj>
      </w:sdtPr>
      <w:sdtEndPr>
        <w:rPr>
          <w:rFonts w:asciiTheme="minorHAnsi" w:eastAsiaTheme="minorHAnsi" w:hAnsiTheme="minorHAnsi" w:cstheme="minorBidi"/>
        </w:rPr>
      </w:sdtEndPr>
      <w:sdtContent>
        <w:p w:rsidR="00065B51" w:rsidRPr="00065B51" w:rsidRDefault="00065B51" w:rsidP="00377679">
          <w:pPr>
            <w:rPr>
              <w:shd w:val="clear" w:color="auto" w:fill="FFFFFF"/>
            </w:rPr>
          </w:pPr>
          <w:r>
            <w:rPr>
              <w:b/>
              <w:noProof/>
              <w:lang w:val="de-DE" w:eastAsia="de-DE"/>
            </w:rPr>
            <w:drawing>
              <wp:inline distT="0" distB="0" distL="0" distR="0">
                <wp:extent cx="5443855" cy="2147570"/>
                <wp:effectExtent l="0" t="0" r="4445" b="5080"/>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fik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43855" cy="2147570"/>
                        </a:xfrm>
                        <a:prstGeom prst="rect">
                          <a:avLst/>
                        </a:prstGeom>
                        <a:noFill/>
                        <a:ln>
                          <a:noFill/>
                        </a:ln>
                      </pic:spPr>
                    </pic:pic>
                  </a:graphicData>
                </a:graphic>
              </wp:inline>
            </w:drawing>
          </w:r>
        </w:p>
        <w:sdt>
          <w:sdtPr>
            <w:rPr>
              <w:rFonts w:asciiTheme="majorHAnsi" w:eastAsiaTheme="majorEastAsia" w:hAnsiTheme="majorHAnsi" w:cstheme="majorBidi"/>
              <w:color w:val="4F81BD" w:themeColor="accent1"/>
              <w:sz w:val="36"/>
              <w:szCs w:val="36"/>
            </w:rPr>
            <w:alias w:val="Title"/>
            <w:id w:val="-1275321673"/>
            <w:dataBinding w:prefixMappings="xmlns:ns0='http://schemas.openxmlformats.org/package/2006/metadata/core-properties' xmlns:ns1='http://purl.org/dc/elements/1.1/'" w:xpath="/ns0:coreProperties[1]/ns1:title[1]" w:storeItemID="{6C3C8BC8-F283-45AE-878A-BAB7291924A1}"/>
            <w:text/>
          </w:sdtPr>
          <w:sdtContent>
            <w:p w:rsidR="00065B51" w:rsidRPr="00065B51" w:rsidRDefault="00E2283A" w:rsidP="00065B51">
              <w:pPr>
                <w:pStyle w:val="KeinLeerraum"/>
                <w:rPr>
                  <w:rFonts w:asciiTheme="majorHAnsi" w:eastAsiaTheme="majorEastAsia" w:hAnsiTheme="majorHAnsi" w:cstheme="majorBidi"/>
                  <w:color w:val="4F81BD" w:themeColor="accent1"/>
                  <w:sz w:val="36"/>
                  <w:szCs w:val="36"/>
                </w:rPr>
              </w:pPr>
              <w:r>
                <w:rPr>
                  <w:rFonts w:asciiTheme="majorHAnsi" w:eastAsiaTheme="majorEastAsia" w:hAnsiTheme="majorHAnsi" w:cstheme="majorBidi"/>
                  <w:color w:val="4F81BD" w:themeColor="accent1"/>
                  <w:sz w:val="36"/>
                  <w:szCs w:val="36"/>
                </w:rPr>
                <w:t>The Impact of E-banking Services on Customer Satisfaction during the Pandemic: Case of Lebanese Banks</w:t>
              </w:r>
            </w:p>
          </w:sdtContent>
        </w:sdt>
        <w:p w:rsidR="00065B51" w:rsidRDefault="00065B51" w:rsidP="00065B51">
          <w:pPr>
            <w:spacing w:line="600" w:lineRule="auto"/>
            <w:jc w:val="center"/>
            <w:rPr>
              <w:rFonts w:cs="Times New Roman"/>
              <w:szCs w:val="24"/>
              <w:shd w:val="clear" w:color="auto" w:fill="FFFFFF"/>
            </w:rPr>
          </w:pPr>
        </w:p>
        <w:p w:rsidR="00065B51" w:rsidRPr="00065B51" w:rsidRDefault="00065B51" w:rsidP="00065B51">
          <w:pPr>
            <w:spacing w:line="600" w:lineRule="auto"/>
            <w:jc w:val="center"/>
            <w:rPr>
              <w:rFonts w:cs="Times New Roman"/>
              <w:sz w:val="28"/>
              <w:szCs w:val="28"/>
              <w:shd w:val="clear" w:color="auto" w:fill="FFFFFF"/>
            </w:rPr>
          </w:pPr>
          <w:r w:rsidRPr="00065B51">
            <w:rPr>
              <w:rFonts w:cs="Times New Roman"/>
              <w:sz w:val="28"/>
              <w:szCs w:val="28"/>
              <w:shd w:val="clear" w:color="auto" w:fill="FFFFFF"/>
            </w:rPr>
            <w:t xml:space="preserve"> Amir El Khalil</w:t>
          </w:r>
        </w:p>
        <w:p w:rsidR="00065B51" w:rsidRPr="00065B51" w:rsidRDefault="00065B51" w:rsidP="00065B51">
          <w:pPr>
            <w:spacing w:line="600" w:lineRule="auto"/>
            <w:jc w:val="center"/>
            <w:rPr>
              <w:rFonts w:cs="Times New Roman"/>
              <w:sz w:val="28"/>
              <w:szCs w:val="28"/>
              <w:shd w:val="clear" w:color="auto" w:fill="FFFFFF"/>
            </w:rPr>
          </w:pPr>
          <w:r w:rsidRPr="00065B51">
            <w:rPr>
              <w:rFonts w:cs="Times New Roman"/>
              <w:sz w:val="28"/>
              <w:szCs w:val="28"/>
              <w:shd w:val="clear" w:color="auto" w:fill="FFFFFF"/>
            </w:rPr>
            <w:t>ID Number: 1808710</w:t>
          </w:r>
        </w:p>
        <w:p w:rsidR="00065B51" w:rsidRPr="00065B51" w:rsidRDefault="00065B51" w:rsidP="00065B51">
          <w:pPr>
            <w:spacing w:line="600" w:lineRule="auto"/>
            <w:jc w:val="center"/>
            <w:rPr>
              <w:rFonts w:cs="Times New Roman"/>
              <w:sz w:val="28"/>
              <w:szCs w:val="28"/>
              <w:shd w:val="clear" w:color="auto" w:fill="FFFFFF"/>
            </w:rPr>
          </w:pPr>
          <w:r w:rsidRPr="00065B51">
            <w:rPr>
              <w:rFonts w:cs="Times New Roman"/>
              <w:sz w:val="28"/>
              <w:szCs w:val="28"/>
              <w:shd w:val="clear" w:color="auto" w:fill="FFFFFF"/>
            </w:rPr>
            <w:t>University of Wales Trinity Saint David</w:t>
          </w:r>
        </w:p>
        <w:p w:rsidR="00065B51" w:rsidRPr="00065B51" w:rsidRDefault="00065B51" w:rsidP="00065B51">
          <w:pPr>
            <w:spacing w:line="600" w:lineRule="auto"/>
            <w:jc w:val="center"/>
            <w:rPr>
              <w:rFonts w:cstheme="minorHAnsi"/>
              <w:sz w:val="28"/>
              <w:szCs w:val="28"/>
              <w:shd w:val="clear" w:color="auto" w:fill="FFFFFF"/>
            </w:rPr>
          </w:pPr>
          <w:r w:rsidRPr="00065B51">
            <w:rPr>
              <w:rFonts w:cstheme="minorHAnsi"/>
              <w:sz w:val="28"/>
              <w:szCs w:val="28"/>
              <w:shd w:val="clear" w:color="auto" w:fill="FFFFFF"/>
            </w:rPr>
            <w:t xml:space="preserve">Dr. </w:t>
          </w:r>
          <w:r w:rsidRPr="00065B51">
            <w:rPr>
              <w:rFonts w:cstheme="minorHAnsi"/>
              <w:sz w:val="28"/>
              <w:szCs w:val="28"/>
            </w:rPr>
            <w:t>Roisin Mullins</w:t>
          </w:r>
        </w:p>
        <w:p w:rsidR="00065B51" w:rsidRPr="00065B51" w:rsidRDefault="0083422B" w:rsidP="0083422B">
          <w:pPr>
            <w:spacing w:line="600" w:lineRule="auto"/>
            <w:jc w:val="center"/>
            <w:rPr>
              <w:rFonts w:cs="Times New Roman"/>
              <w:sz w:val="28"/>
              <w:szCs w:val="28"/>
              <w:shd w:val="clear" w:color="auto" w:fill="FFFFFF"/>
            </w:rPr>
          </w:pPr>
          <w:r>
            <w:rPr>
              <w:rFonts w:cs="Times New Roman"/>
              <w:sz w:val="28"/>
              <w:szCs w:val="28"/>
              <w:shd w:val="clear" w:color="auto" w:fill="FFFFFF"/>
            </w:rPr>
            <w:t>Date: 04</w:t>
          </w:r>
          <w:r w:rsidR="00065B51" w:rsidRPr="00065B51">
            <w:rPr>
              <w:rFonts w:cs="Times New Roman"/>
              <w:sz w:val="28"/>
              <w:szCs w:val="28"/>
              <w:shd w:val="clear" w:color="auto" w:fill="FFFFFF"/>
            </w:rPr>
            <w:t>.0</w:t>
          </w:r>
          <w:r>
            <w:rPr>
              <w:rFonts w:cs="Times New Roman"/>
              <w:sz w:val="28"/>
              <w:szCs w:val="28"/>
              <w:shd w:val="clear" w:color="auto" w:fill="FFFFFF"/>
            </w:rPr>
            <w:t>6</w:t>
          </w:r>
          <w:r w:rsidR="00065B51" w:rsidRPr="00065B51">
            <w:rPr>
              <w:rFonts w:cs="Times New Roman"/>
              <w:sz w:val="28"/>
              <w:szCs w:val="28"/>
              <w:shd w:val="clear" w:color="auto" w:fill="FFFFFF"/>
            </w:rPr>
            <w:t>.2021</w:t>
          </w:r>
        </w:p>
        <w:p w:rsidR="00065B51" w:rsidRDefault="00065B51" w:rsidP="00065B51">
          <w:pPr>
            <w:spacing w:line="600" w:lineRule="auto"/>
            <w:jc w:val="center"/>
            <w:rPr>
              <w:rFonts w:cs="Times New Roman"/>
              <w:szCs w:val="24"/>
              <w:shd w:val="clear" w:color="auto" w:fill="FFFFFF"/>
            </w:rPr>
          </w:pPr>
        </w:p>
        <w:p w:rsidR="00252038" w:rsidRDefault="00252038" w:rsidP="00065B51">
          <w:pPr>
            <w:spacing w:line="600" w:lineRule="auto"/>
            <w:jc w:val="center"/>
            <w:rPr>
              <w:rFonts w:cs="Times New Roman"/>
              <w:szCs w:val="24"/>
              <w:shd w:val="clear" w:color="auto" w:fill="FFFFFF"/>
            </w:rPr>
          </w:pPr>
        </w:p>
        <w:p w:rsidR="0083422B" w:rsidRDefault="00496BDC" w:rsidP="0083422B">
          <w:pPr>
            <w:spacing w:line="600" w:lineRule="auto"/>
          </w:pPr>
        </w:p>
      </w:sdtContent>
    </w:sdt>
    <w:bookmarkStart w:id="0" w:name="_Toc481582365" w:displacedByCustomXml="prev"/>
    <w:bookmarkStart w:id="1" w:name="_Toc450327105" w:displacedByCustomXml="prev"/>
    <w:p w:rsidR="00D84BB3" w:rsidRPr="0083422B" w:rsidRDefault="00D84BB3" w:rsidP="0083422B">
      <w:pPr>
        <w:spacing w:line="600" w:lineRule="auto"/>
        <w:jc w:val="center"/>
        <w:rPr>
          <w:rFonts w:cs="Times New Roman"/>
          <w:szCs w:val="24"/>
          <w:shd w:val="clear" w:color="auto" w:fill="FFFFFF"/>
        </w:rPr>
      </w:pPr>
      <w:r w:rsidRPr="00D84BB3">
        <w:rPr>
          <w:rFonts w:asciiTheme="majorBidi" w:hAnsiTheme="majorBidi" w:cstheme="majorBidi"/>
          <w:b/>
          <w:bCs/>
          <w:sz w:val="32"/>
          <w:szCs w:val="32"/>
          <w:lang w:val="en-GB"/>
        </w:rPr>
        <w:lastRenderedPageBreak/>
        <w:t>Declaration</w:t>
      </w:r>
      <w:bookmarkEnd w:id="1"/>
      <w:bookmarkEnd w:id="0"/>
    </w:p>
    <w:p w:rsidR="00EB5787" w:rsidRPr="00992330" w:rsidRDefault="00D84BB3" w:rsidP="0083422B">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This work has not previously been accepted in substance for any degree and is not being concurrently submitted in candidature for any degree</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 xml:space="preserve">Signed: </w:t>
      </w:r>
      <w:r w:rsidRPr="00992330">
        <w:rPr>
          <w:rFonts w:asciiTheme="majorBidi" w:hAnsiTheme="majorBidi" w:cstheme="majorBidi"/>
          <w:sz w:val="24"/>
          <w:szCs w:val="24"/>
          <w:lang w:val="de-DE"/>
        </w:rPr>
        <w:t>Amir Mohammad Kheir El Khalil</w:t>
      </w:r>
    </w:p>
    <w:p w:rsidR="00EB5787" w:rsidRPr="00EB5787" w:rsidRDefault="00D84BB3" w:rsidP="0083422B">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Date: 28/05/2021</w:t>
      </w:r>
    </w:p>
    <w:p w:rsidR="00D84BB3" w:rsidRPr="00992330" w:rsidRDefault="00D84BB3" w:rsidP="00992330">
      <w:pPr>
        <w:spacing w:line="480" w:lineRule="auto"/>
        <w:jc w:val="both"/>
        <w:rPr>
          <w:rFonts w:asciiTheme="majorBidi" w:hAnsiTheme="majorBidi" w:cstheme="majorBidi"/>
          <w:b/>
          <w:sz w:val="24"/>
          <w:szCs w:val="24"/>
          <w:lang w:val="en-GB"/>
        </w:rPr>
      </w:pPr>
      <w:r w:rsidRPr="00992330">
        <w:rPr>
          <w:rFonts w:asciiTheme="majorBidi" w:hAnsiTheme="majorBidi" w:cstheme="majorBidi"/>
          <w:b/>
          <w:sz w:val="24"/>
          <w:szCs w:val="24"/>
          <w:lang w:val="en-GB"/>
        </w:rPr>
        <w:t xml:space="preserve">STATEMENT 1 </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This dissertation is being submitted in partial fulfil</w:t>
      </w:r>
      <w:r w:rsidR="00BC0353">
        <w:rPr>
          <w:rFonts w:asciiTheme="majorBidi" w:hAnsiTheme="majorBidi" w:cstheme="majorBidi"/>
          <w:sz w:val="24"/>
          <w:szCs w:val="24"/>
          <w:lang w:val="en-GB"/>
        </w:rPr>
        <w:t>l</w:t>
      </w:r>
      <w:r w:rsidRPr="00992330">
        <w:rPr>
          <w:rFonts w:asciiTheme="majorBidi" w:hAnsiTheme="majorBidi" w:cstheme="majorBidi"/>
          <w:sz w:val="24"/>
          <w:szCs w:val="24"/>
          <w:lang w:val="en-GB"/>
        </w:rPr>
        <w:t xml:space="preserve">ment of the requirements for the degree of </w:t>
      </w:r>
      <w:r w:rsidR="00306C9E">
        <w:rPr>
          <w:rFonts w:asciiTheme="majorBidi" w:hAnsiTheme="majorBidi" w:cstheme="majorBidi"/>
          <w:sz w:val="24"/>
          <w:szCs w:val="24"/>
          <w:lang w:val="en-GB"/>
        </w:rPr>
        <w:t>MBA.</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 xml:space="preserve">Signed: </w:t>
      </w:r>
      <w:r w:rsidRPr="00992330">
        <w:rPr>
          <w:rFonts w:asciiTheme="majorBidi" w:hAnsiTheme="majorBidi" w:cstheme="majorBidi"/>
          <w:sz w:val="24"/>
          <w:szCs w:val="24"/>
          <w:lang w:val="de-DE"/>
        </w:rPr>
        <w:t>Amir Mohammad Kheir El Khalil</w:t>
      </w:r>
    </w:p>
    <w:p w:rsidR="00D84BB3" w:rsidRDefault="00D84BB3" w:rsidP="0083422B">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Date: 28/05/2021</w:t>
      </w:r>
    </w:p>
    <w:p w:rsidR="0083422B" w:rsidRPr="00992330" w:rsidRDefault="0083422B" w:rsidP="0083422B">
      <w:pPr>
        <w:spacing w:line="480" w:lineRule="auto"/>
        <w:jc w:val="both"/>
        <w:rPr>
          <w:rFonts w:asciiTheme="majorBidi" w:hAnsiTheme="majorBidi" w:cstheme="majorBidi"/>
          <w:sz w:val="24"/>
          <w:szCs w:val="24"/>
          <w:lang w:val="en-GB"/>
        </w:rPr>
      </w:pPr>
    </w:p>
    <w:p w:rsidR="00D84BB3" w:rsidRPr="00992330" w:rsidRDefault="00D84BB3" w:rsidP="00992330">
      <w:pPr>
        <w:spacing w:line="480" w:lineRule="auto"/>
        <w:jc w:val="both"/>
        <w:rPr>
          <w:rFonts w:asciiTheme="majorBidi" w:hAnsiTheme="majorBidi" w:cstheme="majorBidi"/>
          <w:b/>
          <w:sz w:val="24"/>
          <w:szCs w:val="24"/>
          <w:lang w:val="en-GB"/>
        </w:rPr>
      </w:pPr>
      <w:r w:rsidRPr="00992330">
        <w:rPr>
          <w:rFonts w:asciiTheme="majorBidi" w:hAnsiTheme="majorBidi" w:cstheme="majorBidi"/>
          <w:b/>
          <w:sz w:val="24"/>
          <w:szCs w:val="24"/>
          <w:lang w:val="en-GB"/>
        </w:rPr>
        <w:t>STATEMENT 2</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This dissertation is the result of my own independent work/investigation, except where otherwise stated.</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Other sources are acknowledged by footnotes giving explicit references.  A bibliography is appended.</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 xml:space="preserve">Signed: </w:t>
      </w:r>
      <w:r w:rsidRPr="00992330">
        <w:rPr>
          <w:rFonts w:asciiTheme="majorBidi" w:hAnsiTheme="majorBidi" w:cstheme="majorBidi"/>
          <w:sz w:val="24"/>
          <w:szCs w:val="24"/>
          <w:lang w:val="de-DE"/>
        </w:rPr>
        <w:t>Amir Mohammad Kheir El Khalil</w:t>
      </w:r>
    </w:p>
    <w:p w:rsidR="00D84BB3" w:rsidRPr="00992330" w:rsidRDefault="00D84BB3" w:rsidP="0083422B">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 xml:space="preserve">Date: 28/05/2021 </w:t>
      </w:r>
    </w:p>
    <w:p w:rsidR="00D84BB3" w:rsidRPr="00992330" w:rsidRDefault="00D84BB3" w:rsidP="00992330">
      <w:pPr>
        <w:spacing w:line="480" w:lineRule="auto"/>
        <w:jc w:val="both"/>
        <w:rPr>
          <w:rFonts w:asciiTheme="majorBidi" w:hAnsiTheme="majorBidi" w:cstheme="majorBidi"/>
          <w:b/>
          <w:sz w:val="24"/>
          <w:szCs w:val="24"/>
          <w:lang w:val="en-GB"/>
        </w:rPr>
      </w:pPr>
      <w:r w:rsidRPr="00992330">
        <w:rPr>
          <w:rFonts w:asciiTheme="majorBidi" w:hAnsiTheme="majorBidi" w:cstheme="majorBidi"/>
          <w:b/>
          <w:sz w:val="24"/>
          <w:szCs w:val="24"/>
          <w:lang w:val="en-GB"/>
        </w:rPr>
        <w:lastRenderedPageBreak/>
        <w:t>STATEMENT 3</w:t>
      </w:r>
    </w:p>
    <w:p w:rsidR="00D84BB3" w:rsidRPr="00992330" w:rsidRDefault="00D84BB3" w:rsidP="00BC0353">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I hereby give consent for my dissertation, if accepted, to be available for photocopying and interlibrary loan, and for the title and summary to be made available to outside organisations.</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 xml:space="preserve">Signed: </w:t>
      </w:r>
      <w:r w:rsidRPr="00992330">
        <w:rPr>
          <w:rFonts w:asciiTheme="majorBidi" w:hAnsiTheme="majorBidi" w:cstheme="majorBidi"/>
          <w:sz w:val="24"/>
          <w:szCs w:val="24"/>
          <w:lang w:val="de-DE"/>
        </w:rPr>
        <w:t>Amir Mohammad Kheir El Khalil</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Date: 28/05/2021</w:t>
      </w:r>
    </w:p>
    <w:p w:rsidR="00D84BB3" w:rsidRPr="00992330" w:rsidRDefault="00D84BB3" w:rsidP="00992330">
      <w:pPr>
        <w:spacing w:line="480" w:lineRule="auto"/>
        <w:jc w:val="both"/>
        <w:rPr>
          <w:rFonts w:asciiTheme="majorBidi" w:hAnsiTheme="majorBidi" w:cstheme="majorBidi"/>
          <w:sz w:val="24"/>
          <w:szCs w:val="24"/>
          <w:lang w:val="en-GB"/>
        </w:rPr>
      </w:pPr>
    </w:p>
    <w:p w:rsidR="00D84BB3" w:rsidRPr="00992330" w:rsidRDefault="00D84BB3" w:rsidP="00992330">
      <w:pPr>
        <w:spacing w:line="480" w:lineRule="auto"/>
        <w:jc w:val="both"/>
        <w:rPr>
          <w:rFonts w:asciiTheme="majorBidi" w:hAnsiTheme="majorBidi" w:cstheme="majorBidi"/>
          <w:b/>
          <w:sz w:val="24"/>
          <w:szCs w:val="24"/>
          <w:lang w:val="en-GB"/>
        </w:rPr>
      </w:pPr>
      <w:r w:rsidRPr="00992330">
        <w:rPr>
          <w:rFonts w:asciiTheme="majorBidi" w:hAnsiTheme="majorBidi" w:cstheme="majorBidi"/>
          <w:b/>
          <w:sz w:val="24"/>
          <w:szCs w:val="24"/>
          <w:lang w:val="en-GB"/>
        </w:rPr>
        <w:t>STATEMENT 4</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I hereby give consent for my dissertation, if accepted, to be available on the university’s IT system to those who have consent</w:t>
      </w:r>
      <w:r w:rsidR="00BC0353">
        <w:rPr>
          <w:rFonts w:asciiTheme="majorBidi" w:hAnsiTheme="majorBidi" w:cstheme="majorBidi"/>
          <w:sz w:val="24"/>
          <w:szCs w:val="24"/>
          <w:lang w:val="en-GB"/>
        </w:rPr>
        <w:t>ed</w:t>
      </w:r>
      <w:r w:rsidRPr="00992330">
        <w:rPr>
          <w:rFonts w:asciiTheme="majorBidi" w:hAnsiTheme="majorBidi" w:cstheme="majorBidi"/>
          <w:sz w:val="24"/>
          <w:szCs w:val="24"/>
          <w:lang w:val="en-GB"/>
        </w:rPr>
        <w:t xml:space="preserve"> to use the system.</w:t>
      </w:r>
    </w:p>
    <w:p w:rsidR="00D84BB3" w:rsidRPr="00992330" w:rsidRDefault="00D84BB3" w:rsidP="00992330">
      <w:pPr>
        <w:spacing w:line="480" w:lineRule="auto"/>
        <w:jc w:val="both"/>
        <w:rPr>
          <w:rFonts w:asciiTheme="majorBidi" w:hAnsiTheme="majorBidi" w:cstheme="majorBidi"/>
          <w:sz w:val="24"/>
          <w:szCs w:val="24"/>
          <w:lang w:val="en-GB"/>
        </w:rPr>
      </w:pP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 xml:space="preserve">Signed: </w:t>
      </w:r>
      <w:r w:rsidRPr="00992330">
        <w:rPr>
          <w:rFonts w:asciiTheme="majorBidi" w:hAnsiTheme="majorBidi" w:cstheme="majorBidi"/>
          <w:sz w:val="24"/>
          <w:szCs w:val="24"/>
          <w:lang w:val="de-DE"/>
        </w:rPr>
        <w:t>Amir Mohammad Kheir El Khalil</w:t>
      </w:r>
    </w:p>
    <w:p w:rsidR="00D84BB3" w:rsidRPr="00992330" w:rsidRDefault="00D84BB3" w:rsidP="00992330">
      <w:pPr>
        <w:spacing w:line="480" w:lineRule="auto"/>
        <w:jc w:val="both"/>
        <w:rPr>
          <w:rFonts w:asciiTheme="majorBidi" w:hAnsiTheme="majorBidi" w:cstheme="majorBidi"/>
          <w:sz w:val="24"/>
          <w:szCs w:val="24"/>
          <w:lang w:val="en-GB"/>
        </w:rPr>
      </w:pPr>
      <w:r w:rsidRPr="00992330">
        <w:rPr>
          <w:rFonts w:asciiTheme="majorBidi" w:hAnsiTheme="majorBidi" w:cstheme="majorBidi"/>
          <w:sz w:val="24"/>
          <w:szCs w:val="24"/>
          <w:lang w:val="en-GB"/>
        </w:rPr>
        <w:t>Date: 28/05/2021</w:t>
      </w:r>
    </w:p>
    <w:p w:rsidR="00D84BB3" w:rsidRDefault="00D84BB3" w:rsidP="00992330">
      <w:pPr>
        <w:spacing w:line="480" w:lineRule="auto"/>
        <w:rPr>
          <w:rFonts w:asciiTheme="majorBidi" w:hAnsiTheme="majorBidi" w:cstheme="majorBidi"/>
          <w:b/>
          <w:bCs/>
          <w:sz w:val="32"/>
          <w:szCs w:val="32"/>
          <w:lang w:val="en-GB"/>
        </w:rPr>
      </w:pPr>
      <w:bookmarkStart w:id="2" w:name="_Toc481582366"/>
      <w:bookmarkStart w:id="3" w:name="_Toc450327106"/>
    </w:p>
    <w:p w:rsidR="00D84BB3" w:rsidRDefault="00D84BB3" w:rsidP="00D84BB3">
      <w:pPr>
        <w:spacing w:line="480" w:lineRule="auto"/>
        <w:ind w:left="1080"/>
        <w:jc w:val="center"/>
        <w:rPr>
          <w:rFonts w:asciiTheme="majorBidi" w:hAnsiTheme="majorBidi" w:cstheme="majorBidi"/>
          <w:b/>
          <w:bCs/>
          <w:sz w:val="32"/>
          <w:szCs w:val="32"/>
          <w:lang w:val="en-GB"/>
        </w:rPr>
      </w:pPr>
    </w:p>
    <w:p w:rsidR="00A14F37" w:rsidRDefault="00A14F37" w:rsidP="0083422B">
      <w:pPr>
        <w:spacing w:line="480" w:lineRule="auto"/>
        <w:ind w:left="1080"/>
        <w:rPr>
          <w:rFonts w:asciiTheme="majorBidi" w:hAnsiTheme="majorBidi" w:cstheme="majorBidi"/>
          <w:b/>
          <w:bCs/>
          <w:sz w:val="32"/>
          <w:szCs w:val="32"/>
          <w:lang w:val="en-GB"/>
        </w:rPr>
      </w:pPr>
    </w:p>
    <w:p w:rsidR="0083422B" w:rsidRDefault="0083422B" w:rsidP="0083422B">
      <w:pPr>
        <w:spacing w:line="480" w:lineRule="auto"/>
        <w:ind w:left="1080"/>
        <w:rPr>
          <w:rFonts w:asciiTheme="majorBidi" w:hAnsiTheme="majorBidi" w:cstheme="majorBidi"/>
          <w:b/>
          <w:bCs/>
          <w:sz w:val="32"/>
          <w:szCs w:val="32"/>
          <w:lang w:val="en-GB"/>
        </w:rPr>
      </w:pPr>
    </w:p>
    <w:p w:rsidR="003D31BA" w:rsidRDefault="003D31BA" w:rsidP="00EB5787">
      <w:pPr>
        <w:spacing w:line="480" w:lineRule="auto"/>
        <w:ind w:left="1080"/>
        <w:jc w:val="center"/>
        <w:rPr>
          <w:rFonts w:asciiTheme="majorBidi" w:hAnsiTheme="majorBidi" w:cstheme="majorBidi"/>
          <w:b/>
          <w:bCs/>
          <w:sz w:val="32"/>
          <w:szCs w:val="32"/>
          <w:lang w:val="en-GB"/>
        </w:rPr>
      </w:pPr>
    </w:p>
    <w:p w:rsidR="00D84BB3" w:rsidRPr="00992330" w:rsidRDefault="00BC0353" w:rsidP="00EB5787">
      <w:pPr>
        <w:spacing w:line="480" w:lineRule="auto"/>
        <w:ind w:left="1080"/>
        <w:jc w:val="center"/>
        <w:rPr>
          <w:rFonts w:asciiTheme="majorBidi" w:hAnsiTheme="majorBidi" w:cstheme="majorBidi"/>
          <w:b/>
          <w:bCs/>
          <w:sz w:val="32"/>
          <w:szCs w:val="32"/>
          <w:lang w:val="en-GB"/>
        </w:rPr>
      </w:pPr>
      <w:r>
        <w:rPr>
          <w:rFonts w:asciiTheme="majorBidi" w:hAnsiTheme="majorBidi" w:cstheme="majorBidi"/>
          <w:b/>
          <w:bCs/>
          <w:sz w:val="32"/>
          <w:szCs w:val="32"/>
          <w:lang w:val="en-GB"/>
        </w:rPr>
        <w:lastRenderedPageBreak/>
        <w:t>Acknowledg</w:t>
      </w:r>
      <w:r w:rsidR="00D84BB3" w:rsidRPr="00D84BB3">
        <w:rPr>
          <w:rFonts w:asciiTheme="majorBidi" w:hAnsiTheme="majorBidi" w:cstheme="majorBidi"/>
          <w:b/>
          <w:bCs/>
          <w:sz w:val="32"/>
          <w:szCs w:val="32"/>
          <w:lang w:val="en-GB"/>
        </w:rPr>
        <w:t>ments</w:t>
      </w:r>
      <w:bookmarkEnd w:id="2"/>
      <w:bookmarkEnd w:id="3"/>
    </w:p>
    <w:p w:rsidR="00992330" w:rsidRPr="00992330" w:rsidRDefault="00992330" w:rsidP="00992330">
      <w:pPr>
        <w:spacing w:line="480" w:lineRule="auto"/>
        <w:jc w:val="both"/>
        <w:rPr>
          <w:rFonts w:asciiTheme="majorBidi" w:hAnsiTheme="majorBidi" w:cstheme="majorBidi"/>
          <w:sz w:val="24"/>
          <w:szCs w:val="24"/>
        </w:rPr>
      </w:pPr>
      <w:r w:rsidRPr="00992330">
        <w:rPr>
          <w:rFonts w:asciiTheme="majorBidi" w:hAnsiTheme="majorBidi" w:cstheme="majorBidi"/>
          <w:sz w:val="24"/>
          <w:szCs w:val="24"/>
        </w:rPr>
        <w:t xml:space="preserve">I would like to offer and express my sincerest gratitude to all those who have helped me on this journey to achieving another milestone in my academic and professional career. </w:t>
      </w:r>
    </w:p>
    <w:p w:rsidR="00992330" w:rsidRPr="00992330" w:rsidRDefault="00992330" w:rsidP="00992330">
      <w:pPr>
        <w:spacing w:line="480" w:lineRule="auto"/>
        <w:jc w:val="both"/>
        <w:rPr>
          <w:rFonts w:asciiTheme="majorBidi" w:hAnsiTheme="majorBidi" w:cstheme="majorBidi"/>
          <w:sz w:val="24"/>
          <w:szCs w:val="24"/>
        </w:rPr>
      </w:pPr>
      <w:r w:rsidRPr="00992330">
        <w:rPr>
          <w:rFonts w:asciiTheme="majorBidi" w:hAnsiTheme="majorBidi" w:cstheme="majorBidi"/>
          <w:sz w:val="24"/>
          <w:szCs w:val="24"/>
        </w:rPr>
        <w:t xml:space="preserve">It has been extremely challenging to navigate the ramifications of COVID-19 with all its psychological and logistic burdens. I consider myself blessed to have been surrounded by individuals who managed to propel me further to this achievement. </w:t>
      </w:r>
    </w:p>
    <w:p w:rsidR="00992330" w:rsidRPr="00992330" w:rsidRDefault="00992330" w:rsidP="00992330">
      <w:pPr>
        <w:spacing w:line="480" w:lineRule="auto"/>
        <w:jc w:val="both"/>
        <w:rPr>
          <w:rFonts w:asciiTheme="majorBidi" w:hAnsiTheme="majorBidi" w:cstheme="majorBidi"/>
          <w:sz w:val="24"/>
          <w:szCs w:val="24"/>
        </w:rPr>
      </w:pPr>
      <w:r w:rsidRPr="00992330">
        <w:rPr>
          <w:rFonts w:asciiTheme="majorBidi" w:hAnsiTheme="majorBidi" w:cstheme="majorBidi"/>
          <w:sz w:val="24"/>
          <w:szCs w:val="24"/>
        </w:rPr>
        <w:t xml:space="preserve">I would like to acknowledge and dedicate this work to my family in Lebanon that has supported my dreams since infancy. Their unadulterated trust in me and my capabilities always gave me the motivation to press on with my dreams. I hope that I shall be able to always make them proud. </w:t>
      </w:r>
    </w:p>
    <w:p w:rsidR="00992330" w:rsidRPr="00992330" w:rsidRDefault="00992330" w:rsidP="00992330">
      <w:pPr>
        <w:spacing w:line="480" w:lineRule="auto"/>
        <w:jc w:val="both"/>
        <w:rPr>
          <w:rFonts w:asciiTheme="majorBidi" w:hAnsiTheme="majorBidi" w:cstheme="majorBidi"/>
          <w:sz w:val="24"/>
          <w:szCs w:val="24"/>
        </w:rPr>
      </w:pPr>
      <w:r w:rsidRPr="00992330">
        <w:rPr>
          <w:rFonts w:asciiTheme="majorBidi" w:hAnsiTheme="majorBidi" w:cstheme="majorBidi"/>
          <w:sz w:val="24"/>
          <w:szCs w:val="24"/>
        </w:rPr>
        <w:t xml:space="preserve">Furthermore, I wish to thank the entire university staff especially my instructor Dr. Roisin Mullins for her calm and efficient leadership throughout this pursuit. </w:t>
      </w:r>
    </w:p>
    <w:p w:rsidR="00992330" w:rsidRPr="00992330" w:rsidRDefault="00992330" w:rsidP="00992330">
      <w:pPr>
        <w:spacing w:line="480" w:lineRule="auto"/>
        <w:jc w:val="both"/>
        <w:rPr>
          <w:rFonts w:asciiTheme="majorBidi" w:hAnsiTheme="majorBidi" w:cstheme="majorBidi"/>
          <w:sz w:val="24"/>
          <w:szCs w:val="24"/>
        </w:rPr>
      </w:pPr>
      <w:r w:rsidRPr="00992330">
        <w:rPr>
          <w:rFonts w:asciiTheme="majorBidi" w:hAnsiTheme="majorBidi" w:cstheme="majorBidi"/>
          <w:sz w:val="24"/>
          <w:szCs w:val="24"/>
        </w:rPr>
        <w:t>I dedicate this work to everyone who had ever helped me or even lent a sympathetic ear to listen to my concerns. I thank you all from the bottom of my heart and wish you all the best.</w:t>
      </w:r>
    </w:p>
    <w:p w:rsidR="00992330" w:rsidRDefault="00992330" w:rsidP="00992330">
      <w:pPr>
        <w:spacing w:line="480" w:lineRule="auto"/>
        <w:rPr>
          <w:rFonts w:asciiTheme="majorBidi" w:hAnsiTheme="majorBidi" w:cstheme="majorBidi"/>
          <w:b/>
          <w:bCs/>
          <w:sz w:val="32"/>
          <w:szCs w:val="32"/>
        </w:rPr>
      </w:pPr>
    </w:p>
    <w:p w:rsidR="00992330" w:rsidRDefault="00992330" w:rsidP="00992330">
      <w:pPr>
        <w:spacing w:line="480" w:lineRule="auto"/>
        <w:rPr>
          <w:rFonts w:asciiTheme="majorBidi" w:hAnsiTheme="majorBidi" w:cstheme="majorBidi"/>
          <w:b/>
          <w:bCs/>
          <w:sz w:val="32"/>
          <w:szCs w:val="32"/>
        </w:rPr>
      </w:pPr>
    </w:p>
    <w:p w:rsidR="00992330" w:rsidRDefault="00992330" w:rsidP="00992330">
      <w:pPr>
        <w:spacing w:line="480" w:lineRule="auto"/>
        <w:rPr>
          <w:rFonts w:asciiTheme="majorBidi" w:hAnsiTheme="majorBidi" w:cstheme="majorBidi"/>
          <w:b/>
          <w:bCs/>
          <w:sz w:val="32"/>
          <w:szCs w:val="32"/>
        </w:rPr>
      </w:pPr>
    </w:p>
    <w:p w:rsidR="00992330" w:rsidRPr="00992330" w:rsidRDefault="00992330" w:rsidP="00992330">
      <w:pPr>
        <w:spacing w:line="480" w:lineRule="auto"/>
        <w:rPr>
          <w:rFonts w:asciiTheme="majorBidi" w:hAnsiTheme="majorBidi" w:cstheme="majorBidi"/>
          <w:b/>
          <w:bCs/>
          <w:sz w:val="32"/>
          <w:szCs w:val="32"/>
        </w:rPr>
      </w:pPr>
    </w:p>
    <w:p w:rsidR="00D84BB3" w:rsidRDefault="00D84BB3" w:rsidP="00D84BB3">
      <w:pPr>
        <w:spacing w:line="480" w:lineRule="auto"/>
        <w:rPr>
          <w:rFonts w:asciiTheme="majorBidi" w:hAnsiTheme="majorBidi" w:cstheme="majorBidi"/>
          <w:b/>
          <w:bCs/>
          <w:sz w:val="32"/>
          <w:szCs w:val="32"/>
        </w:rPr>
      </w:pPr>
    </w:p>
    <w:p w:rsidR="00BA77EA" w:rsidRDefault="00BA77EA" w:rsidP="00BA77EA">
      <w:pPr>
        <w:spacing w:line="480" w:lineRule="auto"/>
        <w:jc w:val="center"/>
        <w:rPr>
          <w:rFonts w:asciiTheme="majorBidi" w:hAnsiTheme="majorBidi" w:cstheme="majorBidi"/>
          <w:b/>
          <w:bCs/>
          <w:sz w:val="32"/>
          <w:szCs w:val="32"/>
        </w:rPr>
      </w:pPr>
      <w:r w:rsidRPr="00747554">
        <w:rPr>
          <w:rFonts w:asciiTheme="majorBidi" w:hAnsiTheme="majorBidi" w:cstheme="majorBidi"/>
          <w:b/>
          <w:bCs/>
          <w:sz w:val="32"/>
          <w:szCs w:val="32"/>
        </w:rPr>
        <w:lastRenderedPageBreak/>
        <w:t xml:space="preserve">Abstract </w:t>
      </w:r>
    </w:p>
    <w:p w:rsidR="000E0CC0" w:rsidRDefault="00B6791E" w:rsidP="00B6791E">
      <w:pPr>
        <w:spacing w:line="480" w:lineRule="auto"/>
        <w:jc w:val="both"/>
        <w:rPr>
          <w:rFonts w:asciiTheme="majorBidi" w:hAnsiTheme="majorBidi" w:cstheme="majorBidi"/>
          <w:sz w:val="24"/>
          <w:szCs w:val="24"/>
        </w:rPr>
      </w:pPr>
      <w:r w:rsidRPr="00B6791E">
        <w:rPr>
          <w:rFonts w:asciiTheme="majorBidi" w:hAnsiTheme="majorBidi" w:cstheme="majorBidi"/>
          <w:sz w:val="24"/>
          <w:szCs w:val="24"/>
        </w:rPr>
        <w:t>Lebanon has long depended on its open service industry to sustain its economy, but the recent events of the financial crisis and</w:t>
      </w:r>
      <w:r w:rsidR="00BC0353">
        <w:rPr>
          <w:rFonts w:asciiTheme="majorBidi" w:hAnsiTheme="majorBidi" w:cstheme="majorBidi"/>
          <w:sz w:val="24"/>
          <w:szCs w:val="24"/>
        </w:rPr>
        <w:t xml:space="preserve"> the</w:t>
      </w:r>
      <w:r w:rsidRPr="00B6791E">
        <w:rPr>
          <w:rFonts w:asciiTheme="majorBidi" w:hAnsiTheme="majorBidi" w:cstheme="majorBidi"/>
          <w:sz w:val="24"/>
          <w:szCs w:val="24"/>
        </w:rPr>
        <w:t xml:space="preserve"> onset of COVID in 2019 have shaken the foundation of satisfaction between Lebanese banks and their clients. Because of that, the banks need to strive to restore that satisfaction and restore their reputation of excellence. One method to achieve this is to use online banking or e-banking to enhance the quality of the services they offer and reclaim their position. The literature showed that e-banking is an important element in the success of any bank in the modern world. It also offered several elements that contribute to the success of e-banking. The study gains its importance from the urgency of finding new ways to negate the negative effects of the last couple of years. The following research question was asked: What is the impact of providing exemplary online customer service on the level of satisfaction of bank clients during COVID-19 in Lebanon? A questionnaire derived from various sources in the literature was distributed, and 153 respondents gave complete answers. The study showed that trust, efficiency, and reliability can help boost customer satisfaction. There was no statistically significant evidence that supported security and communications are essential for satisfaction. The study is an early exploration of e-banking satisfaction in Lebanon, and it can serve as a precursor in expanding the understanding of e-banking especially if future studies focused on demographics and the nature of the services provided by the banks.</w:t>
      </w:r>
    </w:p>
    <w:p w:rsidR="000E0CC0" w:rsidRPr="00805E4E" w:rsidRDefault="00805E4E" w:rsidP="000E0CC0">
      <w:pPr>
        <w:spacing w:line="480" w:lineRule="auto"/>
        <w:rPr>
          <w:rFonts w:asciiTheme="majorBidi" w:hAnsiTheme="majorBidi" w:cstheme="majorBidi"/>
          <w:sz w:val="24"/>
          <w:szCs w:val="24"/>
        </w:rPr>
      </w:pPr>
      <w:r>
        <w:rPr>
          <w:rFonts w:asciiTheme="majorBidi" w:hAnsiTheme="majorBidi" w:cstheme="majorBidi"/>
          <w:b/>
          <w:bCs/>
          <w:i/>
          <w:iCs/>
          <w:sz w:val="24"/>
          <w:szCs w:val="24"/>
        </w:rPr>
        <w:t xml:space="preserve">Keywords: </w:t>
      </w:r>
      <w:r>
        <w:rPr>
          <w:rFonts w:asciiTheme="majorBidi" w:hAnsiTheme="majorBidi" w:cstheme="majorBidi"/>
          <w:sz w:val="24"/>
          <w:szCs w:val="24"/>
        </w:rPr>
        <w:t>satisfaction, e-banking, banks, Lebanon, financial crisis, COVID-19</w:t>
      </w:r>
    </w:p>
    <w:p w:rsidR="004276BF" w:rsidRDefault="004276BF" w:rsidP="000E0CC0">
      <w:pPr>
        <w:spacing w:line="480" w:lineRule="auto"/>
        <w:rPr>
          <w:rFonts w:asciiTheme="majorBidi" w:hAnsiTheme="majorBidi" w:cstheme="majorBidi"/>
          <w:sz w:val="24"/>
          <w:szCs w:val="24"/>
        </w:rPr>
      </w:pPr>
    </w:p>
    <w:p w:rsidR="00830BBB" w:rsidRDefault="00830BBB" w:rsidP="002B2B24">
      <w:pPr>
        <w:spacing w:line="480" w:lineRule="auto"/>
        <w:rPr>
          <w:rFonts w:asciiTheme="majorBidi" w:hAnsiTheme="majorBidi" w:cstheme="majorBidi"/>
          <w:b/>
          <w:bCs/>
          <w:sz w:val="32"/>
          <w:szCs w:val="32"/>
        </w:rPr>
      </w:pPr>
    </w:p>
    <w:p w:rsidR="002B2B24" w:rsidRDefault="002B2B24" w:rsidP="002B2B24">
      <w:pPr>
        <w:spacing w:line="480" w:lineRule="auto"/>
        <w:jc w:val="center"/>
        <w:rPr>
          <w:rFonts w:asciiTheme="majorBidi" w:hAnsiTheme="majorBidi" w:cstheme="majorBidi"/>
          <w:b/>
          <w:bCs/>
          <w:sz w:val="32"/>
          <w:szCs w:val="32"/>
        </w:rPr>
      </w:pPr>
      <w:r>
        <w:rPr>
          <w:rFonts w:asciiTheme="majorBidi" w:hAnsiTheme="majorBidi" w:cstheme="majorBidi"/>
          <w:b/>
          <w:bCs/>
          <w:sz w:val="32"/>
          <w:szCs w:val="32"/>
        </w:rPr>
        <w:lastRenderedPageBreak/>
        <w:t xml:space="preserve">Table of Content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Declaration …………………………………………………………………………….……..….. 1</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Acknowledgment ……………………………………………………………………………,.…. 3</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Abstract …………………………………………………………………………………,…….… 4</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Table of Content ………………………………………………………………………………… 5</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List of Figures …………………………………………………………………………,…….….. 7</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List of Tables ……………………………………………………………………………….….…8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1. Introduction ……………………………………………………………………….……….…...9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2. Literature Review ……………………………………………………………………….…….16</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2.1 Lebanese Banking System …………………………………………………………….…… 16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2.1.1 Lebanon ……………………………………………………………………………….….. 16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2.1.2 Brief History of Banks in Lebanon …………………………………………………….… 16</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2.1.3 Role of Banks in Lebanese Economy ………………………………………………….… 17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2.2 Theories in Banking ……………………………………………………………………..…. 20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2.2.1 Early Forms of Banking ………………………………………………………………..… 20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2.2.2 Three Major Theories of Banking ……………………………………………………..…. 21 </w:t>
      </w:r>
    </w:p>
    <w:p w:rsidR="002B2B24" w:rsidRDefault="002B2B24" w:rsidP="002B2B24">
      <w:pPr>
        <w:spacing w:line="240" w:lineRule="auto"/>
        <w:jc w:val="both"/>
        <w:rPr>
          <w:rFonts w:asciiTheme="majorBidi" w:hAnsiTheme="majorBidi" w:cstheme="majorBidi"/>
          <w:sz w:val="24"/>
          <w:szCs w:val="24"/>
        </w:rPr>
      </w:pPr>
      <w:r w:rsidRPr="004276BF">
        <w:rPr>
          <w:rFonts w:asciiTheme="majorBidi" w:hAnsiTheme="majorBidi" w:cstheme="majorBidi"/>
          <w:sz w:val="24"/>
          <w:szCs w:val="24"/>
        </w:rPr>
        <w:t xml:space="preserve">2.2.3 Theories in Customer Satisfaction </w:t>
      </w:r>
      <w:r>
        <w:rPr>
          <w:rFonts w:asciiTheme="majorBidi" w:hAnsiTheme="majorBidi" w:cstheme="majorBidi"/>
          <w:sz w:val="24"/>
          <w:szCs w:val="24"/>
        </w:rPr>
        <w:t>…………………………………………………..…… 22</w:t>
      </w:r>
    </w:p>
    <w:p w:rsidR="002B2B24" w:rsidRDefault="002B2B24" w:rsidP="002B2B2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 xml:space="preserve">2.2.4 Models of Customer Satisfaction Measurements </w:t>
      </w:r>
      <w:r>
        <w:rPr>
          <w:rFonts w:asciiTheme="majorBidi" w:hAnsiTheme="majorBidi" w:cstheme="majorBidi"/>
          <w:sz w:val="24"/>
          <w:szCs w:val="24"/>
        </w:rPr>
        <w:t xml:space="preserve">…………………………………..……. 27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3. Research Methodology ……………………………………………………………….…..…. 31</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3.1 Hypothesis Development ………………………………………………………….…..…… 31 </w:t>
      </w:r>
    </w:p>
    <w:p w:rsidR="002B2B24" w:rsidRPr="00C0692A" w:rsidRDefault="002B2B24" w:rsidP="002B2B2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 xml:space="preserve">3.2 Methodology </w:t>
      </w:r>
      <w:r>
        <w:rPr>
          <w:rFonts w:asciiTheme="majorBidi" w:hAnsiTheme="majorBidi" w:cstheme="majorBidi"/>
          <w:sz w:val="24"/>
          <w:szCs w:val="24"/>
        </w:rPr>
        <w:t xml:space="preserve">……………………………………………………………………………….. 35 </w:t>
      </w:r>
    </w:p>
    <w:p w:rsidR="002B2B24" w:rsidRDefault="002B2B24" w:rsidP="002B2B2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 xml:space="preserve">3.2.1 Quantitative vs. Qualitative </w:t>
      </w:r>
      <w:r>
        <w:rPr>
          <w:rFonts w:asciiTheme="majorBidi" w:hAnsiTheme="majorBidi" w:cstheme="majorBidi"/>
          <w:sz w:val="24"/>
          <w:szCs w:val="24"/>
        </w:rPr>
        <w:t xml:space="preserve">………………………………………………………,,,,…… 35 </w:t>
      </w:r>
    </w:p>
    <w:p w:rsidR="002B2B24" w:rsidRDefault="002B2B24" w:rsidP="002B2B2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 xml:space="preserve">3.2.2 Inductive vs. Deductive </w:t>
      </w:r>
      <w:r>
        <w:rPr>
          <w:rFonts w:asciiTheme="majorBidi" w:hAnsiTheme="majorBidi" w:cstheme="majorBidi"/>
          <w:sz w:val="24"/>
          <w:szCs w:val="24"/>
        </w:rPr>
        <w:t xml:space="preserve">……………………………………………………………,,,,…. .36 </w:t>
      </w:r>
    </w:p>
    <w:p w:rsidR="002B2B24" w:rsidRDefault="002B2B24" w:rsidP="002B2B2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 xml:space="preserve">3.2.3 Dependent and Independent Variables </w:t>
      </w:r>
      <w:r>
        <w:rPr>
          <w:rFonts w:asciiTheme="majorBidi" w:hAnsiTheme="majorBidi" w:cstheme="majorBidi"/>
          <w:sz w:val="24"/>
          <w:szCs w:val="24"/>
        </w:rPr>
        <w:t xml:space="preserve">……………………………………………,,,,,…. .37 </w:t>
      </w:r>
    </w:p>
    <w:p w:rsidR="002B2B24" w:rsidRDefault="002B2B24" w:rsidP="002B2B2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 xml:space="preserve">3.2.4 Population and Sampling </w:t>
      </w:r>
      <w:r>
        <w:rPr>
          <w:rFonts w:asciiTheme="majorBidi" w:hAnsiTheme="majorBidi" w:cstheme="majorBidi"/>
          <w:sz w:val="24"/>
          <w:szCs w:val="24"/>
        </w:rPr>
        <w:t>……………………………………………………………,,,,… 37</w:t>
      </w:r>
    </w:p>
    <w:p w:rsidR="002B2B24" w:rsidRDefault="002B2B24" w:rsidP="002B2B2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 xml:space="preserve">3.2.5 Questionnaire </w:t>
      </w:r>
      <w:r>
        <w:rPr>
          <w:rFonts w:asciiTheme="majorBidi" w:hAnsiTheme="majorBidi" w:cstheme="majorBidi"/>
          <w:sz w:val="24"/>
          <w:szCs w:val="24"/>
        </w:rPr>
        <w:t xml:space="preserve">………………………………………………………………………,,,,,…. 38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3.2.6 Analysis …………………………………………………………………………,,,,,……...39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4. Results ……………………………………………………………………………,,,,……….. 41 </w:t>
      </w:r>
    </w:p>
    <w:p w:rsidR="002B2B24" w:rsidRDefault="002B2B24" w:rsidP="002B2B24">
      <w:pPr>
        <w:spacing w:line="240" w:lineRule="auto"/>
        <w:jc w:val="both"/>
        <w:rPr>
          <w:rFonts w:asciiTheme="majorBidi" w:hAnsiTheme="majorBidi" w:cstheme="majorBidi"/>
          <w:sz w:val="24"/>
          <w:szCs w:val="24"/>
        </w:rPr>
      </w:pPr>
      <w:r w:rsidRPr="009B587A">
        <w:rPr>
          <w:rFonts w:asciiTheme="majorBidi" w:hAnsiTheme="majorBidi" w:cstheme="majorBidi"/>
          <w:sz w:val="24"/>
          <w:szCs w:val="24"/>
        </w:rPr>
        <w:t xml:space="preserve">4.1 Descriptive Analysis </w:t>
      </w:r>
      <w:r>
        <w:rPr>
          <w:rFonts w:asciiTheme="majorBidi" w:hAnsiTheme="majorBidi" w:cstheme="majorBidi"/>
          <w:sz w:val="24"/>
          <w:szCs w:val="24"/>
        </w:rPr>
        <w:t xml:space="preserve">……………………………………………………………,,,,,,……… 41 </w:t>
      </w:r>
    </w:p>
    <w:p w:rsidR="002B2B24" w:rsidRDefault="002B2B24" w:rsidP="002B2B24">
      <w:pPr>
        <w:spacing w:line="240" w:lineRule="auto"/>
        <w:jc w:val="both"/>
        <w:rPr>
          <w:rFonts w:asciiTheme="majorBidi" w:hAnsiTheme="majorBidi" w:cstheme="majorBidi"/>
          <w:sz w:val="24"/>
          <w:szCs w:val="24"/>
        </w:rPr>
      </w:pPr>
      <w:r w:rsidRPr="009B587A">
        <w:rPr>
          <w:rFonts w:asciiTheme="majorBidi" w:hAnsiTheme="majorBidi" w:cstheme="majorBidi"/>
          <w:sz w:val="24"/>
          <w:szCs w:val="24"/>
        </w:rPr>
        <w:t>4.1.1 Demographic Data</w:t>
      </w:r>
      <w:r>
        <w:rPr>
          <w:rFonts w:asciiTheme="majorBidi" w:hAnsiTheme="majorBidi" w:cstheme="majorBidi"/>
          <w:sz w:val="24"/>
          <w:szCs w:val="24"/>
        </w:rPr>
        <w:t xml:space="preserve"> ……………………………………………………………………..… 42 </w:t>
      </w:r>
    </w:p>
    <w:p w:rsidR="002B2B24" w:rsidRDefault="002B2B24" w:rsidP="002B2B24">
      <w:pPr>
        <w:spacing w:line="240" w:lineRule="auto"/>
        <w:jc w:val="both"/>
        <w:rPr>
          <w:rFonts w:asciiTheme="majorBidi" w:hAnsiTheme="majorBidi" w:cstheme="majorBidi"/>
          <w:sz w:val="24"/>
          <w:szCs w:val="24"/>
        </w:rPr>
      </w:pPr>
      <w:r w:rsidRPr="009B587A">
        <w:rPr>
          <w:rFonts w:asciiTheme="majorBidi" w:hAnsiTheme="majorBidi" w:cstheme="majorBidi"/>
          <w:sz w:val="24"/>
          <w:szCs w:val="24"/>
        </w:rPr>
        <w:t>4.2 In-Depth Analysis</w:t>
      </w:r>
      <w:r>
        <w:rPr>
          <w:rFonts w:asciiTheme="majorBidi" w:hAnsiTheme="majorBidi" w:cstheme="majorBidi"/>
          <w:sz w:val="24"/>
          <w:szCs w:val="24"/>
        </w:rPr>
        <w:t>………………………………………………………………………..…. 46</w:t>
      </w:r>
    </w:p>
    <w:p w:rsidR="002B2B24" w:rsidRDefault="002B2B24" w:rsidP="002B2B24">
      <w:pPr>
        <w:spacing w:line="240" w:lineRule="auto"/>
        <w:jc w:val="both"/>
        <w:rPr>
          <w:rFonts w:asciiTheme="majorBidi" w:hAnsiTheme="majorBidi" w:cstheme="majorBidi"/>
          <w:sz w:val="24"/>
          <w:szCs w:val="24"/>
        </w:rPr>
      </w:pPr>
      <w:r w:rsidRPr="00DB18AA">
        <w:rPr>
          <w:rFonts w:asciiTheme="majorBidi" w:hAnsiTheme="majorBidi" w:cstheme="majorBidi"/>
          <w:sz w:val="24"/>
          <w:szCs w:val="24"/>
        </w:rPr>
        <w:t xml:space="preserve">4.2.1 E-banking and satisfaction </w:t>
      </w:r>
      <w:r>
        <w:rPr>
          <w:rFonts w:asciiTheme="majorBidi" w:hAnsiTheme="majorBidi" w:cstheme="majorBidi"/>
          <w:sz w:val="24"/>
          <w:szCs w:val="24"/>
        </w:rPr>
        <w:t>…………………………………………………………..…… 46</w:t>
      </w:r>
    </w:p>
    <w:p w:rsidR="002B2B24" w:rsidRDefault="002B2B24" w:rsidP="002B2B24">
      <w:pPr>
        <w:spacing w:line="240" w:lineRule="auto"/>
        <w:jc w:val="both"/>
        <w:rPr>
          <w:rFonts w:asciiTheme="majorBidi" w:hAnsiTheme="majorBidi" w:cstheme="majorBidi"/>
          <w:sz w:val="24"/>
          <w:szCs w:val="24"/>
        </w:rPr>
      </w:pPr>
      <w:r w:rsidRPr="00DB18AA">
        <w:rPr>
          <w:rFonts w:asciiTheme="majorBidi" w:hAnsiTheme="majorBidi" w:cstheme="majorBidi"/>
          <w:sz w:val="24"/>
          <w:szCs w:val="24"/>
        </w:rPr>
        <w:t xml:space="preserve">4.2.2 Efficiency of E-banking </w:t>
      </w:r>
      <w:r>
        <w:rPr>
          <w:rFonts w:asciiTheme="majorBidi" w:hAnsiTheme="majorBidi" w:cstheme="majorBidi"/>
          <w:sz w:val="24"/>
          <w:szCs w:val="24"/>
        </w:rPr>
        <w:t xml:space="preserve">…………………………………………………………..……… 53 </w:t>
      </w:r>
    </w:p>
    <w:p w:rsidR="002B2B24" w:rsidRDefault="002B2B24" w:rsidP="002B2B24">
      <w:pPr>
        <w:spacing w:line="240" w:lineRule="auto"/>
        <w:jc w:val="both"/>
        <w:rPr>
          <w:rFonts w:asciiTheme="majorBidi" w:hAnsiTheme="majorBidi" w:cstheme="majorBidi"/>
          <w:sz w:val="24"/>
          <w:szCs w:val="24"/>
        </w:rPr>
      </w:pPr>
      <w:r w:rsidRPr="00DB18AA">
        <w:rPr>
          <w:rFonts w:asciiTheme="majorBidi" w:hAnsiTheme="majorBidi" w:cstheme="majorBidi"/>
          <w:sz w:val="24"/>
          <w:szCs w:val="24"/>
        </w:rPr>
        <w:t xml:space="preserve">4.2.3. Reliability of e-banking </w:t>
      </w:r>
      <w:r>
        <w:rPr>
          <w:rFonts w:asciiTheme="majorBidi" w:hAnsiTheme="majorBidi" w:cstheme="majorBidi"/>
          <w:sz w:val="24"/>
          <w:szCs w:val="24"/>
        </w:rPr>
        <w:t>……………………………………………………….………… 56</w:t>
      </w:r>
    </w:p>
    <w:p w:rsidR="002B2B24" w:rsidRDefault="002B2B24" w:rsidP="002B2B24">
      <w:pPr>
        <w:spacing w:line="240" w:lineRule="auto"/>
        <w:jc w:val="both"/>
        <w:rPr>
          <w:rFonts w:asciiTheme="majorBidi" w:hAnsiTheme="majorBidi" w:cstheme="majorBidi"/>
          <w:sz w:val="24"/>
          <w:szCs w:val="24"/>
        </w:rPr>
      </w:pPr>
      <w:r w:rsidRPr="00DB18AA">
        <w:rPr>
          <w:rFonts w:asciiTheme="majorBidi" w:hAnsiTheme="majorBidi" w:cstheme="majorBidi"/>
          <w:sz w:val="24"/>
          <w:szCs w:val="24"/>
        </w:rPr>
        <w:t xml:space="preserve">4.2.4 Security of e-banking </w:t>
      </w:r>
      <w:r>
        <w:rPr>
          <w:rFonts w:asciiTheme="majorBidi" w:hAnsiTheme="majorBidi" w:cstheme="majorBidi"/>
          <w:sz w:val="24"/>
          <w:szCs w:val="24"/>
        </w:rPr>
        <w:t xml:space="preserve">……………………………………………………………..……… 58 </w:t>
      </w:r>
    </w:p>
    <w:p w:rsidR="002B2B24" w:rsidRDefault="002B2B24" w:rsidP="002B2B24">
      <w:pPr>
        <w:spacing w:line="240" w:lineRule="auto"/>
        <w:jc w:val="both"/>
        <w:rPr>
          <w:rFonts w:asciiTheme="majorBidi" w:hAnsiTheme="majorBidi" w:cstheme="majorBidi"/>
          <w:sz w:val="24"/>
          <w:szCs w:val="24"/>
        </w:rPr>
      </w:pPr>
      <w:r w:rsidRPr="009B587A">
        <w:rPr>
          <w:rFonts w:asciiTheme="majorBidi" w:hAnsiTheme="majorBidi" w:cstheme="majorBidi"/>
          <w:sz w:val="24"/>
          <w:szCs w:val="24"/>
        </w:rPr>
        <w:t xml:space="preserve">4.2.5 Communication in E-banking </w:t>
      </w:r>
      <w:r>
        <w:rPr>
          <w:rFonts w:asciiTheme="majorBidi" w:hAnsiTheme="majorBidi" w:cstheme="majorBidi"/>
          <w:sz w:val="24"/>
          <w:szCs w:val="24"/>
        </w:rPr>
        <w:t>……………………………………………………..………59</w:t>
      </w:r>
    </w:p>
    <w:p w:rsidR="002B2B24" w:rsidRDefault="002B2B24" w:rsidP="002B2B24">
      <w:pPr>
        <w:spacing w:line="240" w:lineRule="auto"/>
        <w:jc w:val="both"/>
        <w:rPr>
          <w:rFonts w:asciiTheme="majorBidi" w:hAnsiTheme="majorBidi" w:cstheme="majorBidi"/>
          <w:sz w:val="24"/>
          <w:szCs w:val="24"/>
        </w:rPr>
      </w:pPr>
      <w:r w:rsidRPr="000337D4">
        <w:rPr>
          <w:rFonts w:asciiTheme="majorBidi" w:hAnsiTheme="majorBidi" w:cstheme="majorBidi"/>
          <w:sz w:val="24"/>
          <w:szCs w:val="24"/>
        </w:rPr>
        <w:t xml:space="preserve">4.2.6 Future of E-banking </w:t>
      </w:r>
      <w:r>
        <w:rPr>
          <w:rFonts w:asciiTheme="majorBidi" w:hAnsiTheme="majorBidi" w:cstheme="majorBidi"/>
          <w:sz w:val="24"/>
          <w:szCs w:val="24"/>
        </w:rPr>
        <w:t xml:space="preserve">…………………………………………………………………..….. 60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5. Discussion ………………………………………………………………………………...…. 62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Conclusion …………………………………………………………………………………...… 66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Limitations …………………………………………………………………………………...… 66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Recommendations …………………………………………………………………………...…. 68 </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References …………………………………………………………………………………...…. 69</w:t>
      </w:r>
    </w:p>
    <w:p w:rsidR="002B2B24" w:rsidRDefault="002B2B24" w:rsidP="002B2B24">
      <w:pPr>
        <w:spacing w:line="240" w:lineRule="auto"/>
        <w:jc w:val="both"/>
        <w:rPr>
          <w:rFonts w:asciiTheme="majorBidi" w:hAnsiTheme="majorBidi" w:cstheme="majorBidi"/>
          <w:sz w:val="24"/>
          <w:szCs w:val="24"/>
        </w:rPr>
      </w:pPr>
      <w:r>
        <w:rPr>
          <w:rFonts w:asciiTheme="majorBidi" w:hAnsiTheme="majorBidi" w:cstheme="majorBidi"/>
          <w:sz w:val="24"/>
          <w:szCs w:val="24"/>
        </w:rPr>
        <w:t>Appendices …………………………………………………………………………………...… 79</w:t>
      </w:r>
    </w:p>
    <w:p w:rsidR="00C0692A" w:rsidRPr="00C0692A" w:rsidRDefault="00C0692A" w:rsidP="00C0692A">
      <w:pPr>
        <w:spacing w:line="360" w:lineRule="auto"/>
        <w:jc w:val="both"/>
        <w:rPr>
          <w:rFonts w:asciiTheme="majorBidi" w:hAnsiTheme="majorBidi" w:cstheme="majorBidi"/>
          <w:sz w:val="24"/>
          <w:szCs w:val="24"/>
        </w:rPr>
      </w:pPr>
    </w:p>
    <w:p w:rsidR="00C0692A" w:rsidRPr="00C0692A" w:rsidRDefault="00C0692A" w:rsidP="00C0692A">
      <w:pPr>
        <w:spacing w:line="360" w:lineRule="auto"/>
        <w:jc w:val="both"/>
        <w:rPr>
          <w:rFonts w:asciiTheme="majorBidi" w:hAnsiTheme="majorBidi" w:cstheme="majorBidi"/>
          <w:sz w:val="24"/>
          <w:szCs w:val="24"/>
        </w:rPr>
      </w:pPr>
    </w:p>
    <w:p w:rsidR="00C0692A" w:rsidRPr="00C0692A" w:rsidRDefault="00C0692A" w:rsidP="00C0692A">
      <w:pPr>
        <w:spacing w:line="360" w:lineRule="auto"/>
        <w:jc w:val="both"/>
        <w:rPr>
          <w:rFonts w:asciiTheme="majorBidi" w:hAnsiTheme="majorBidi" w:cstheme="majorBidi"/>
          <w:sz w:val="24"/>
          <w:szCs w:val="24"/>
        </w:rPr>
      </w:pPr>
    </w:p>
    <w:p w:rsidR="00C0692A" w:rsidRDefault="00C0692A" w:rsidP="00C0692A">
      <w:pPr>
        <w:spacing w:line="360" w:lineRule="auto"/>
        <w:jc w:val="both"/>
        <w:rPr>
          <w:rFonts w:asciiTheme="majorBidi" w:hAnsiTheme="majorBidi" w:cstheme="majorBidi"/>
          <w:sz w:val="24"/>
          <w:szCs w:val="24"/>
        </w:rPr>
      </w:pPr>
    </w:p>
    <w:p w:rsidR="00C0692A" w:rsidRPr="00C0692A" w:rsidRDefault="00C0692A" w:rsidP="00C0692A">
      <w:pPr>
        <w:spacing w:line="360" w:lineRule="auto"/>
        <w:jc w:val="both"/>
        <w:rPr>
          <w:rFonts w:asciiTheme="majorBidi" w:hAnsiTheme="majorBidi" w:cstheme="majorBidi"/>
          <w:sz w:val="24"/>
          <w:szCs w:val="24"/>
        </w:rPr>
      </w:pPr>
    </w:p>
    <w:p w:rsidR="00C0692A" w:rsidRPr="00C0692A" w:rsidRDefault="00C0692A" w:rsidP="00C0692A">
      <w:pPr>
        <w:spacing w:line="480" w:lineRule="auto"/>
        <w:rPr>
          <w:rFonts w:asciiTheme="majorBidi" w:hAnsiTheme="majorBidi" w:cstheme="majorBidi"/>
          <w:sz w:val="24"/>
          <w:szCs w:val="24"/>
        </w:rPr>
      </w:pPr>
    </w:p>
    <w:p w:rsidR="00EB7AB8" w:rsidRDefault="00EB7AB8" w:rsidP="002B2B24">
      <w:pPr>
        <w:spacing w:line="480" w:lineRule="auto"/>
        <w:rPr>
          <w:rFonts w:asciiTheme="majorBidi" w:hAnsiTheme="majorBidi" w:cstheme="majorBidi"/>
          <w:b/>
          <w:bCs/>
          <w:sz w:val="32"/>
          <w:szCs w:val="32"/>
        </w:rPr>
      </w:pPr>
    </w:p>
    <w:p w:rsidR="000E0CC0" w:rsidRDefault="000E0CC0" w:rsidP="00BA77EA">
      <w:pPr>
        <w:spacing w:line="480" w:lineRule="auto"/>
        <w:jc w:val="center"/>
        <w:rPr>
          <w:rFonts w:asciiTheme="majorBidi" w:hAnsiTheme="majorBidi" w:cstheme="majorBidi"/>
          <w:b/>
          <w:bCs/>
          <w:sz w:val="32"/>
          <w:szCs w:val="32"/>
        </w:rPr>
      </w:pPr>
      <w:r>
        <w:rPr>
          <w:rFonts w:asciiTheme="majorBidi" w:hAnsiTheme="majorBidi" w:cstheme="majorBidi"/>
          <w:b/>
          <w:bCs/>
          <w:sz w:val="32"/>
          <w:szCs w:val="32"/>
        </w:rPr>
        <w:lastRenderedPageBreak/>
        <w:t xml:space="preserve">List of Figures </w:t>
      </w:r>
    </w:p>
    <w:p w:rsidR="004276BF" w:rsidRDefault="004276BF" w:rsidP="00B6791E">
      <w:pPr>
        <w:spacing w:line="240" w:lineRule="auto"/>
        <w:jc w:val="both"/>
        <w:rPr>
          <w:rFonts w:asciiTheme="majorBidi" w:hAnsiTheme="majorBidi" w:cstheme="majorBidi"/>
          <w:sz w:val="24"/>
          <w:szCs w:val="24"/>
        </w:rPr>
      </w:pPr>
      <w:r>
        <w:rPr>
          <w:rFonts w:asciiTheme="majorBidi" w:hAnsiTheme="majorBidi" w:cstheme="majorBidi"/>
          <w:sz w:val="24"/>
          <w:szCs w:val="24"/>
        </w:rPr>
        <w:t>Fig. 1 Levels and layers of e-commerce ………………………………</w:t>
      </w:r>
      <w:r w:rsidR="00AD39E7">
        <w:rPr>
          <w:rFonts w:asciiTheme="majorBidi" w:hAnsiTheme="majorBidi" w:cstheme="majorBidi"/>
          <w:sz w:val="24"/>
          <w:szCs w:val="24"/>
        </w:rPr>
        <w:t>………...</w:t>
      </w:r>
      <w:r>
        <w:rPr>
          <w:rFonts w:asciiTheme="majorBidi" w:hAnsiTheme="majorBidi" w:cstheme="majorBidi"/>
          <w:sz w:val="24"/>
          <w:szCs w:val="24"/>
        </w:rPr>
        <w:t>………………..</w:t>
      </w:r>
      <w:r w:rsidR="00C3213C">
        <w:rPr>
          <w:rFonts w:asciiTheme="majorBidi" w:hAnsiTheme="majorBidi" w:cstheme="majorBidi"/>
          <w:sz w:val="24"/>
          <w:szCs w:val="24"/>
        </w:rPr>
        <w:t>9</w:t>
      </w:r>
    </w:p>
    <w:p w:rsidR="004276BF" w:rsidRDefault="004276BF" w:rsidP="00496BDC">
      <w:pPr>
        <w:spacing w:line="240" w:lineRule="auto"/>
        <w:jc w:val="both"/>
        <w:rPr>
          <w:rFonts w:asciiTheme="majorBidi" w:hAnsiTheme="majorBidi" w:cstheme="majorBidi"/>
          <w:sz w:val="24"/>
          <w:szCs w:val="24"/>
        </w:rPr>
      </w:pPr>
      <w:r>
        <w:rPr>
          <w:rFonts w:asciiTheme="majorBidi" w:hAnsiTheme="majorBidi" w:cstheme="majorBidi"/>
          <w:sz w:val="24"/>
          <w:szCs w:val="24"/>
        </w:rPr>
        <w:t xml:space="preserve">Fig. 2 </w:t>
      </w:r>
      <w:r w:rsidRPr="004276BF">
        <w:rPr>
          <w:rFonts w:asciiTheme="majorBidi" w:hAnsiTheme="majorBidi" w:cstheme="majorBidi"/>
          <w:sz w:val="24"/>
          <w:szCs w:val="24"/>
        </w:rPr>
        <w:t xml:space="preserve">The Annual growth of </w:t>
      </w:r>
      <w:r w:rsidR="00BC0353">
        <w:rPr>
          <w:rFonts w:asciiTheme="majorBidi" w:hAnsiTheme="majorBidi" w:cstheme="majorBidi"/>
          <w:sz w:val="24"/>
          <w:szCs w:val="24"/>
        </w:rPr>
        <w:t>Lebanon’s Gross Debt in billion-</w:t>
      </w:r>
      <w:r w:rsidRPr="004276BF">
        <w:rPr>
          <w:rFonts w:asciiTheme="majorBidi" w:hAnsiTheme="majorBidi" w:cstheme="majorBidi"/>
          <w:sz w:val="24"/>
          <w:szCs w:val="24"/>
        </w:rPr>
        <w:t>dollar between 1993 and 2018 as retrieved from Blominvest (2019)</w:t>
      </w:r>
      <w:r>
        <w:rPr>
          <w:rFonts w:asciiTheme="majorBidi" w:hAnsiTheme="majorBidi" w:cstheme="majorBidi"/>
          <w:sz w:val="24"/>
          <w:szCs w:val="24"/>
        </w:rPr>
        <w:t xml:space="preserve"> ………………………………………………</w:t>
      </w:r>
      <w:r w:rsidR="00AD39E7">
        <w:rPr>
          <w:rFonts w:asciiTheme="majorBidi" w:hAnsiTheme="majorBidi" w:cstheme="majorBidi"/>
          <w:sz w:val="24"/>
          <w:szCs w:val="24"/>
        </w:rPr>
        <w:t>……...</w:t>
      </w:r>
      <w:r>
        <w:rPr>
          <w:rFonts w:asciiTheme="majorBidi" w:hAnsiTheme="majorBidi" w:cstheme="majorBidi"/>
          <w:sz w:val="24"/>
          <w:szCs w:val="24"/>
        </w:rPr>
        <w:t>………</w:t>
      </w:r>
      <w:r w:rsidR="00BD36DF">
        <w:rPr>
          <w:rFonts w:asciiTheme="majorBidi" w:hAnsiTheme="majorBidi" w:cstheme="majorBidi"/>
          <w:sz w:val="24"/>
          <w:szCs w:val="24"/>
        </w:rPr>
        <w:t xml:space="preserve"> 1</w:t>
      </w:r>
      <w:r w:rsidR="00496BDC">
        <w:rPr>
          <w:rFonts w:asciiTheme="majorBidi" w:hAnsiTheme="majorBidi" w:cstheme="majorBidi"/>
          <w:sz w:val="24"/>
          <w:szCs w:val="24"/>
        </w:rPr>
        <w:t>9</w:t>
      </w:r>
    </w:p>
    <w:p w:rsidR="00C0692A" w:rsidRPr="00C0692A" w:rsidRDefault="00C0692A" w:rsidP="00137494">
      <w:pPr>
        <w:spacing w:line="240" w:lineRule="auto"/>
        <w:jc w:val="both"/>
        <w:rPr>
          <w:rFonts w:asciiTheme="majorBidi" w:hAnsiTheme="majorBidi" w:cstheme="majorBidi"/>
          <w:sz w:val="24"/>
          <w:szCs w:val="24"/>
        </w:rPr>
      </w:pPr>
      <w:r w:rsidRPr="00C0692A">
        <w:rPr>
          <w:rFonts w:asciiTheme="majorBidi" w:hAnsiTheme="majorBidi" w:cstheme="majorBidi"/>
          <w:sz w:val="24"/>
          <w:szCs w:val="24"/>
        </w:rPr>
        <w:t>Fig. 3 The Kano Model as extracted from Kano et al. (1996)</w:t>
      </w:r>
      <w:r>
        <w:rPr>
          <w:rFonts w:asciiTheme="majorBidi" w:hAnsiTheme="majorBidi" w:cstheme="majorBidi"/>
          <w:sz w:val="24"/>
          <w:szCs w:val="24"/>
        </w:rPr>
        <w:t xml:space="preserve"> ……………………</w:t>
      </w:r>
      <w:r w:rsidR="00AD39E7">
        <w:rPr>
          <w:rFonts w:asciiTheme="majorBidi" w:hAnsiTheme="majorBidi" w:cstheme="majorBidi"/>
          <w:sz w:val="24"/>
          <w:szCs w:val="24"/>
        </w:rPr>
        <w:t>………</w:t>
      </w:r>
      <w:r>
        <w:rPr>
          <w:rFonts w:asciiTheme="majorBidi" w:hAnsiTheme="majorBidi" w:cstheme="majorBidi"/>
          <w:sz w:val="24"/>
          <w:szCs w:val="24"/>
        </w:rPr>
        <w:t>…….</w:t>
      </w:r>
      <w:r w:rsidR="00BD36DF">
        <w:rPr>
          <w:rFonts w:asciiTheme="majorBidi" w:hAnsiTheme="majorBidi" w:cstheme="majorBidi"/>
          <w:sz w:val="24"/>
          <w:szCs w:val="24"/>
        </w:rPr>
        <w:t xml:space="preserve"> 2</w:t>
      </w:r>
      <w:r w:rsidR="00137494">
        <w:rPr>
          <w:rFonts w:asciiTheme="majorBidi" w:hAnsiTheme="majorBidi" w:cstheme="majorBidi"/>
          <w:sz w:val="24"/>
          <w:szCs w:val="24"/>
        </w:rPr>
        <w:t>9</w:t>
      </w:r>
    </w:p>
    <w:p w:rsidR="004276BF" w:rsidRDefault="004276BF"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Default="00B6791E" w:rsidP="004276BF">
      <w:pPr>
        <w:spacing w:line="480" w:lineRule="auto"/>
        <w:rPr>
          <w:rFonts w:asciiTheme="majorBidi" w:hAnsiTheme="majorBidi" w:cstheme="majorBidi"/>
          <w:sz w:val="24"/>
          <w:szCs w:val="24"/>
        </w:rPr>
      </w:pPr>
    </w:p>
    <w:p w:rsidR="00B6791E" w:rsidRPr="004276BF" w:rsidRDefault="00B6791E" w:rsidP="004276BF">
      <w:pPr>
        <w:spacing w:line="480" w:lineRule="auto"/>
        <w:rPr>
          <w:rFonts w:asciiTheme="majorBidi" w:hAnsiTheme="majorBidi" w:cstheme="majorBidi"/>
          <w:sz w:val="24"/>
          <w:szCs w:val="24"/>
        </w:rPr>
      </w:pPr>
    </w:p>
    <w:p w:rsidR="00346F44" w:rsidRDefault="00346F44" w:rsidP="00BA77EA">
      <w:pPr>
        <w:spacing w:line="480" w:lineRule="auto"/>
        <w:jc w:val="center"/>
        <w:rPr>
          <w:rFonts w:asciiTheme="majorBidi" w:hAnsiTheme="majorBidi" w:cstheme="majorBidi"/>
          <w:b/>
          <w:bCs/>
          <w:sz w:val="32"/>
          <w:szCs w:val="32"/>
        </w:rPr>
      </w:pPr>
    </w:p>
    <w:p w:rsidR="000E0CC0" w:rsidRDefault="000E0CC0" w:rsidP="00BA77EA">
      <w:pPr>
        <w:spacing w:line="480" w:lineRule="auto"/>
        <w:jc w:val="center"/>
        <w:rPr>
          <w:rFonts w:asciiTheme="majorBidi" w:hAnsiTheme="majorBidi" w:cstheme="majorBidi"/>
          <w:b/>
          <w:bCs/>
          <w:sz w:val="32"/>
          <w:szCs w:val="32"/>
        </w:rPr>
      </w:pPr>
      <w:r>
        <w:rPr>
          <w:rFonts w:asciiTheme="majorBidi" w:hAnsiTheme="majorBidi" w:cstheme="majorBidi"/>
          <w:b/>
          <w:bCs/>
          <w:sz w:val="32"/>
          <w:szCs w:val="32"/>
        </w:rPr>
        <w:lastRenderedPageBreak/>
        <w:t xml:space="preserve">List of Tables </w:t>
      </w:r>
    </w:p>
    <w:p w:rsidR="000760A7" w:rsidRDefault="000760A7" w:rsidP="000760A7">
      <w:pPr>
        <w:spacing w:line="240" w:lineRule="auto"/>
        <w:rPr>
          <w:rFonts w:asciiTheme="majorBidi" w:hAnsiTheme="majorBidi" w:cstheme="majorBidi"/>
          <w:sz w:val="24"/>
          <w:szCs w:val="24"/>
        </w:rPr>
      </w:pPr>
      <w:r w:rsidRPr="00A47736">
        <w:rPr>
          <w:rFonts w:asciiTheme="majorBidi" w:hAnsiTheme="majorBidi" w:cstheme="majorBidi"/>
          <w:sz w:val="24"/>
          <w:szCs w:val="24"/>
        </w:rPr>
        <w:t>Table 1 Gender distribution of participants</w:t>
      </w:r>
      <w:r>
        <w:rPr>
          <w:rFonts w:asciiTheme="majorBidi" w:hAnsiTheme="majorBidi" w:cstheme="majorBidi"/>
          <w:sz w:val="24"/>
          <w:szCs w:val="24"/>
        </w:rPr>
        <w:t xml:space="preserve"> ………………………………………………..……42</w:t>
      </w:r>
    </w:p>
    <w:p w:rsidR="000760A7"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Table 2 Age distribution of participants</w:t>
      </w:r>
      <w:r>
        <w:rPr>
          <w:rFonts w:asciiTheme="majorBidi" w:hAnsiTheme="majorBidi" w:cstheme="majorBidi"/>
          <w:sz w:val="24"/>
          <w:szCs w:val="24"/>
        </w:rPr>
        <w:t xml:space="preserve"> ………………………………………………….……..42</w:t>
      </w:r>
    </w:p>
    <w:p w:rsidR="000760A7"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Table 3 Educational level of participants</w:t>
      </w:r>
      <w:r>
        <w:rPr>
          <w:rFonts w:asciiTheme="majorBidi" w:hAnsiTheme="majorBidi" w:cstheme="majorBidi"/>
          <w:sz w:val="24"/>
          <w:szCs w:val="24"/>
        </w:rPr>
        <w:t>……………………………………………...…………43</w:t>
      </w:r>
    </w:p>
    <w:p w:rsidR="000760A7"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Table 4 Income of participants</w:t>
      </w:r>
      <w:r>
        <w:rPr>
          <w:rFonts w:asciiTheme="majorBidi" w:hAnsiTheme="majorBidi" w:cstheme="majorBidi"/>
          <w:sz w:val="24"/>
          <w:szCs w:val="24"/>
        </w:rPr>
        <w:t>…………………………………………………………………..44</w:t>
      </w:r>
    </w:p>
    <w:p w:rsidR="000760A7"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Table 5 Duration of electronic bank account</w:t>
      </w:r>
      <w:r>
        <w:rPr>
          <w:rFonts w:asciiTheme="majorBidi" w:hAnsiTheme="majorBidi" w:cstheme="majorBidi"/>
          <w:sz w:val="24"/>
          <w:szCs w:val="24"/>
        </w:rPr>
        <w:t xml:space="preserve"> ……………………………………………………44</w:t>
      </w:r>
    </w:p>
    <w:p w:rsidR="000760A7" w:rsidRPr="00156F4C" w:rsidRDefault="000760A7" w:rsidP="000760A7">
      <w:pPr>
        <w:autoSpaceDE w:val="0"/>
        <w:autoSpaceDN w:val="0"/>
        <w:adjustRightInd w:val="0"/>
        <w:spacing w:after="0" w:line="480" w:lineRule="auto"/>
        <w:jc w:val="center"/>
        <w:rPr>
          <w:rFonts w:asciiTheme="majorBidi" w:hAnsiTheme="majorBidi" w:cstheme="majorBidi"/>
          <w:sz w:val="20"/>
          <w:szCs w:val="20"/>
        </w:rPr>
      </w:pPr>
      <w:r w:rsidRPr="00AC21C1">
        <w:rPr>
          <w:rFonts w:asciiTheme="majorBidi" w:hAnsiTheme="majorBidi" w:cstheme="majorBidi"/>
          <w:sz w:val="24"/>
          <w:szCs w:val="24"/>
        </w:rPr>
        <w:t>Table 6 Frequency of use of electronic banking</w:t>
      </w:r>
      <w:r>
        <w:rPr>
          <w:rFonts w:asciiTheme="majorBidi" w:hAnsiTheme="majorBidi" w:cstheme="majorBidi"/>
          <w:sz w:val="24"/>
          <w:szCs w:val="24"/>
        </w:rPr>
        <w:t xml:space="preserve"> …………………………………………..…… 45</w:t>
      </w:r>
      <w:r>
        <w:rPr>
          <w:rFonts w:asciiTheme="majorBidi" w:hAnsiTheme="majorBidi" w:cstheme="majorBidi"/>
          <w:sz w:val="24"/>
          <w:szCs w:val="24"/>
        </w:rPr>
        <w:br/>
      </w:r>
      <w:r w:rsidRPr="00AC21C1">
        <w:rPr>
          <w:rFonts w:asciiTheme="majorBidi" w:hAnsiTheme="majorBidi" w:cstheme="majorBidi"/>
          <w:sz w:val="24"/>
          <w:szCs w:val="24"/>
        </w:rPr>
        <w:t xml:space="preserve">Table </w:t>
      </w:r>
      <w:r>
        <w:rPr>
          <w:rFonts w:asciiTheme="majorBidi" w:hAnsiTheme="majorBidi" w:cstheme="majorBidi"/>
          <w:sz w:val="24"/>
          <w:szCs w:val="24"/>
        </w:rPr>
        <w:t>7</w:t>
      </w:r>
      <w:r w:rsidRPr="00AC21C1">
        <w:rPr>
          <w:rFonts w:asciiTheme="majorBidi" w:hAnsiTheme="majorBidi" w:cstheme="majorBidi"/>
          <w:sz w:val="24"/>
          <w:szCs w:val="24"/>
        </w:rPr>
        <w:t xml:space="preserve"> </w:t>
      </w:r>
      <w:r>
        <w:rPr>
          <w:rFonts w:asciiTheme="majorBidi" w:hAnsiTheme="majorBidi" w:cstheme="majorBidi"/>
          <w:sz w:val="24"/>
          <w:szCs w:val="24"/>
        </w:rPr>
        <w:t>Income vs. frequency of usage ……………………….…………………………..…… 46</w:t>
      </w:r>
    </w:p>
    <w:p w:rsidR="000760A7"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Table 8 The level of satisfaction before and after the pandemic</w:t>
      </w:r>
      <w:r>
        <w:rPr>
          <w:rFonts w:asciiTheme="majorBidi" w:hAnsiTheme="majorBidi" w:cstheme="majorBidi"/>
          <w:sz w:val="24"/>
          <w:szCs w:val="24"/>
        </w:rPr>
        <w:t xml:space="preserve"> ……………………………..…47</w:t>
      </w:r>
    </w:p>
    <w:p w:rsidR="000760A7"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Table 9 The χ</w:t>
      </w:r>
      <w:r w:rsidRPr="00AC21C1">
        <w:rPr>
          <w:rFonts w:asciiTheme="majorBidi" w:hAnsiTheme="majorBidi" w:cstheme="majorBidi"/>
          <w:sz w:val="24"/>
          <w:szCs w:val="24"/>
          <w:vertAlign w:val="superscript"/>
        </w:rPr>
        <w:t>2</w:t>
      </w:r>
      <w:r w:rsidRPr="00AC21C1">
        <w:rPr>
          <w:rFonts w:asciiTheme="majorBidi" w:hAnsiTheme="majorBidi" w:cstheme="majorBidi"/>
          <w:sz w:val="24"/>
          <w:szCs w:val="24"/>
        </w:rPr>
        <w:t xml:space="preserve"> Test of satisfaction before and after the pandemic</w:t>
      </w:r>
      <w:r>
        <w:rPr>
          <w:rFonts w:asciiTheme="majorBidi" w:hAnsiTheme="majorBidi" w:cstheme="majorBidi"/>
          <w:sz w:val="24"/>
          <w:szCs w:val="24"/>
        </w:rPr>
        <w:t>…………………………...….47</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10 Chi-</w:t>
      </w:r>
      <w:r w:rsidRPr="00AC21C1">
        <w:rPr>
          <w:rFonts w:asciiTheme="majorBidi" w:hAnsiTheme="majorBidi" w:cstheme="majorBidi"/>
          <w:sz w:val="24"/>
          <w:szCs w:val="24"/>
        </w:rPr>
        <w:t>Square vales for regaining trust through access to all accounts</w:t>
      </w:r>
      <w:r>
        <w:rPr>
          <w:rFonts w:asciiTheme="majorBidi" w:hAnsiTheme="majorBidi" w:cstheme="majorBidi"/>
          <w:sz w:val="24"/>
          <w:szCs w:val="24"/>
        </w:rPr>
        <w:t>…………………..48</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11 Chi-</w:t>
      </w:r>
      <w:r w:rsidRPr="00AC21C1">
        <w:rPr>
          <w:rFonts w:asciiTheme="majorBidi" w:hAnsiTheme="majorBidi" w:cstheme="majorBidi"/>
          <w:sz w:val="24"/>
          <w:szCs w:val="24"/>
        </w:rPr>
        <w:t>Square values for regaining trust through the ability to transfer money</w:t>
      </w:r>
      <w:r>
        <w:rPr>
          <w:rFonts w:asciiTheme="majorBidi" w:hAnsiTheme="majorBidi" w:cstheme="majorBidi"/>
          <w:sz w:val="24"/>
          <w:szCs w:val="24"/>
        </w:rPr>
        <w:t xml:space="preserve"> ………....49</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12 Chi-</w:t>
      </w:r>
      <w:r w:rsidRPr="00AC21C1">
        <w:rPr>
          <w:rFonts w:asciiTheme="majorBidi" w:hAnsiTheme="majorBidi" w:cstheme="majorBidi"/>
          <w:sz w:val="24"/>
          <w:szCs w:val="24"/>
        </w:rPr>
        <w:t>Square values for regaining trust through the ability to pay bills</w:t>
      </w:r>
      <w:r>
        <w:rPr>
          <w:rFonts w:asciiTheme="majorBidi" w:hAnsiTheme="majorBidi" w:cstheme="majorBidi"/>
          <w:sz w:val="24"/>
          <w:szCs w:val="24"/>
        </w:rPr>
        <w:t xml:space="preserve"> ……………...…50</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13 Chi-</w:t>
      </w:r>
      <w:r w:rsidRPr="00AC21C1">
        <w:rPr>
          <w:rFonts w:asciiTheme="majorBidi" w:hAnsiTheme="majorBidi" w:cstheme="majorBidi"/>
          <w:sz w:val="24"/>
          <w:szCs w:val="24"/>
        </w:rPr>
        <w:t>Square values for regaining trust through the ability to apply for loans</w:t>
      </w:r>
      <w:r>
        <w:rPr>
          <w:rFonts w:asciiTheme="majorBidi" w:hAnsiTheme="majorBidi" w:cstheme="majorBidi"/>
          <w:sz w:val="24"/>
          <w:szCs w:val="24"/>
        </w:rPr>
        <w:t xml:space="preserve"> ………....51</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14 Chi-</w:t>
      </w:r>
      <w:r w:rsidRPr="00AC21C1">
        <w:rPr>
          <w:rFonts w:asciiTheme="majorBidi" w:hAnsiTheme="majorBidi" w:cstheme="majorBidi"/>
          <w:sz w:val="24"/>
          <w:szCs w:val="24"/>
        </w:rPr>
        <w:t>Square values for regaining trust through the ability to use USD</w:t>
      </w:r>
      <w:r>
        <w:rPr>
          <w:rFonts w:asciiTheme="majorBidi" w:hAnsiTheme="majorBidi" w:cstheme="majorBidi"/>
          <w:sz w:val="24"/>
          <w:szCs w:val="24"/>
        </w:rPr>
        <w:t>………………..52</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15 Chi-</w:t>
      </w:r>
      <w:r w:rsidRPr="00AC21C1">
        <w:rPr>
          <w:rFonts w:asciiTheme="majorBidi" w:hAnsiTheme="majorBidi" w:cstheme="majorBidi"/>
          <w:sz w:val="24"/>
          <w:szCs w:val="24"/>
        </w:rPr>
        <w:t>Square values for regaining trust through the ability to send money abroad</w:t>
      </w:r>
      <w:r>
        <w:rPr>
          <w:rFonts w:asciiTheme="majorBidi" w:hAnsiTheme="majorBidi" w:cstheme="majorBidi"/>
          <w:sz w:val="24"/>
          <w:szCs w:val="24"/>
        </w:rPr>
        <w:t xml:space="preserve"> ….…53</w:t>
      </w:r>
    </w:p>
    <w:p w:rsidR="000760A7"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 xml:space="preserve">Table 16 ANOVA of factors associated with </w:t>
      </w:r>
      <w:r>
        <w:rPr>
          <w:rFonts w:asciiTheme="majorBidi" w:hAnsiTheme="majorBidi" w:cstheme="majorBidi"/>
          <w:sz w:val="24"/>
          <w:szCs w:val="24"/>
        </w:rPr>
        <w:t xml:space="preserve">the </w:t>
      </w:r>
      <w:r w:rsidRPr="00AC21C1">
        <w:rPr>
          <w:rFonts w:asciiTheme="majorBidi" w:hAnsiTheme="majorBidi" w:cstheme="majorBidi"/>
          <w:sz w:val="24"/>
          <w:szCs w:val="24"/>
        </w:rPr>
        <w:t>efficiency of e-banking</w:t>
      </w:r>
      <w:r>
        <w:rPr>
          <w:rFonts w:asciiTheme="majorBidi" w:hAnsiTheme="majorBidi" w:cstheme="majorBidi"/>
          <w:sz w:val="24"/>
          <w:szCs w:val="24"/>
        </w:rPr>
        <w:t xml:space="preserve"> ……………………...54</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17 Chi-</w:t>
      </w:r>
      <w:r w:rsidRPr="00AC21C1">
        <w:rPr>
          <w:rFonts w:asciiTheme="majorBidi" w:hAnsiTheme="majorBidi" w:cstheme="majorBidi"/>
          <w:sz w:val="24"/>
          <w:szCs w:val="24"/>
        </w:rPr>
        <w:t>Square values of engagement with e-banking</w:t>
      </w:r>
      <w:r>
        <w:rPr>
          <w:rFonts w:asciiTheme="majorBidi" w:hAnsiTheme="majorBidi" w:cstheme="majorBidi"/>
          <w:sz w:val="24"/>
          <w:szCs w:val="24"/>
        </w:rPr>
        <w:t xml:space="preserve"> ………………………………...… 56</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18 Chi-</w:t>
      </w:r>
      <w:r w:rsidRPr="00AC21C1">
        <w:rPr>
          <w:rFonts w:asciiTheme="majorBidi" w:hAnsiTheme="majorBidi" w:cstheme="majorBidi"/>
          <w:sz w:val="24"/>
          <w:szCs w:val="24"/>
        </w:rPr>
        <w:t>Square values of understanding of e-banking</w:t>
      </w:r>
      <w:r>
        <w:rPr>
          <w:rFonts w:asciiTheme="majorBidi" w:hAnsiTheme="majorBidi" w:cstheme="majorBidi"/>
          <w:sz w:val="24"/>
          <w:szCs w:val="24"/>
        </w:rPr>
        <w:t xml:space="preserve"> …………………………………….57</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19</w:t>
      </w:r>
      <w:r w:rsidRPr="00AC21C1">
        <w:rPr>
          <w:rFonts w:asciiTheme="majorBidi" w:hAnsiTheme="majorBidi" w:cstheme="majorBidi"/>
          <w:sz w:val="24"/>
          <w:szCs w:val="24"/>
        </w:rPr>
        <w:t xml:space="preserve"> ANOVA test regarding security and satisfaction</w:t>
      </w:r>
      <w:r>
        <w:rPr>
          <w:rFonts w:asciiTheme="majorBidi" w:hAnsiTheme="majorBidi" w:cstheme="majorBidi"/>
          <w:sz w:val="24"/>
          <w:szCs w:val="24"/>
        </w:rPr>
        <w:t xml:space="preserve"> ………………………………..……58</w:t>
      </w:r>
    </w:p>
    <w:p w:rsidR="000760A7" w:rsidRDefault="000760A7" w:rsidP="000760A7">
      <w:pPr>
        <w:spacing w:line="240" w:lineRule="auto"/>
        <w:rPr>
          <w:rFonts w:asciiTheme="majorBidi" w:hAnsiTheme="majorBidi" w:cstheme="majorBidi"/>
          <w:sz w:val="24"/>
          <w:szCs w:val="24"/>
        </w:rPr>
      </w:pPr>
      <w:r>
        <w:rPr>
          <w:rFonts w:asciiTheme="majorBidi" w:hAnsiTheme="majorBidi" w:cstheme="majorBidi"/>
          <w:sz w:val="24"/>
          <w:szCs w:val="24"/>
        </w:rPr>
        <w:t>Table 20</w:t>
      </w:r>
      <w:r w:rsidRPr="00AC21C1">
        <w:rPr>
          <w:rFonts w:asciiTheme="majorBidi" w:hAnsiTheme="majorBidi" w:cstheme="majorBidi"/>
          <w:sz w:val="24"/>
          <w:szCs w:val="24"/>
        </w:rPr>
        <w:t xml:space="preserve"> ANOVA test for Communication</w:t>
      </w:r>
      <w:r>
        <w:rPr>
          <w:rFonts w:asciiTheme="majorBidi" w:hAnsiTheme="majorBidi" w:cstheme="majorBidi"/>
          <w:sz w:val="24"/>
          <w:szCs w:val="24"/>
        </w:rPr>
        <w:t xml:space="preserve"> ………………………………………………..……59</w:t>
      </w:r>
    </w:p>
    <w:p w:rsidR="000760A7" w:rsidRPr="00AC21C1" w:rsidRDefault="000760A7" w:rsidP="000760A7">
      <w:pPr>
        <w:spacing w:line="240" w:lineRule="auto"/>
        <w:rPr>
          <w:rFonts w:asciiTheme="majorBidi" w:hAnsiTheme="majorBidi" w:cstheme="majorBidi"/>
          <w:sz w:val="24"/>
          <w:szCs w:val="24"/>
        </w:rPr>
      </w:pPr>
      <w:r w:rsidRPr="00AC21C1">
        <w:rPr>
          <w:rFonts w:asciiTheme="majorBidi" w:hAnsiTheme="majorBidi" w:cstheme="majorBidi"/>
          <w:sz w:val="24"/>
          <w:szCs w:val="24"/>
        </w:rPr>
        <w:t>Table 2</w:t>
      </w:r>
      <w:r>
        <w:rPr>
          <w:rFonts w:asciiTheme="majorBidi" w:hAnsiTheme="majorBidi" w:cstheme="majorBidi"/>
          <w:sz w:val="24"/>
          <w:szCs w:val="24"/>
        </w:rPr>
        <w:t>1</w:t>
      </w:r>
      <w:r w:rsidRPr="00AC21C1">
        <w:rPr>
          <w:rFonts w:asciiTheme="majorBidi" w:hAnsiTheme="majorBidi" w:cstheme="majorBidi"/>
          <w:sz w:val="24"/>
          <w:szCs w:val="24"/>
        </w:rPr>
        <w:t xml:space="preserve"> Summary of Hypotheses</w:t>
      </w:r>
      <w:r>
        <w:rPr>
          <w:rFonts w:asciiTheme="majorBidi" w:hAnsiTheme="majorBidi" w:cstheme="majorBidi"/>
          <w:sz w:val="24"/>
          <w:szCs w:val="24"/>
        </w:rPr>
        <w:t>…………………………………………………………….…61</w:t>
      </w:r>
    </w:p>
    <w:p w:rsidR="002B2B24" w:rsidRDefault="002B2B24" w:rsidP="002B2B24">
      <w:pPr>
        <w:spacing w:line="240" w:lineRule="auto"/>
        <w:rPr>
          <w:rFonts w:asciiTheme="majorBidi" w:hAnsiTheme="majorBidi" w:cstheme="majorBidi"/>
          <w:sz w:val="24"/>
          <w:szCs w:val="24"/>
        </w:rPr>
      </w:pPr>
    </w:p>
    <w:p w:rsidR="002B2B24" w:rsidRDefault="002B2B24" w:rsidP="002B2B24">
      <w:pPr>
        <w:spacing w:line="240" w:lineRule="auto"/>
        <w:rPr>
          <w:rFonts w:asciiTheme="majorBidi" w:hAnsiTheme="majorBidi" w:cstheme="majorBidi"/>
          <w:sz w:val="24"/>
          <w:szCs w:val="24"/>
        </w:rPr>
      </w:pPr>
    </w:p>
    <w:p w:rsidR="002B2B24" w:rsidRDefault="002B2B24" w:rsidP="002B2B24">
      <w:pPr>
        <w:spacing w:line="240" w:lineRule="auto"/>
        <w:rPr>
          <w:rFonts w:asciiTheme="majorBidi" w:hAnsiTheme="majorBidi" w:cstheme="majorBidi"/>
          <w:sz w:val="24"/>
          <w:szCs w:val="24"/>
        </w:rPr>
      </w:pPr>
    </w:p>
    <w:p w:rsidR="002B2B24" w:rsidRDefault="002B2B24" w:rsidP="002B2B24">
      <w:pPr>
        <w:spacing w:line="240" w:lineRule="auto"/>
        <w:rPr>
          <w:rFonts w:asciiTheme="majorBidi" w:hAnsiTheme="majorBidi" w:cstheme="majorBidi"/>
          <w:sz w:val="24"/>
          <w:szCs w:val="24"/>
        </w:rPr>
      </w:pPr>
    </w:p>
    <w:p w:rsidR="002B2B24" w:rsidRDefault="002B2B24" w:rsidP="002B2B24">
      <w:pPr>
        <w:spacing w:line="240" w:lineRule="auto"/>
        <w:rPr>
          <w:rFonts w:asciiTheme="majorBidi" w:hAnsiTheme="majorBidi" w:cstheme="majorBidi"/>
          <w:sz w:val="24"/>
          <w:szCs w:val="24"/>
        </w:rPr>
      </w:pPr>
    </w:p>
    <w:p w:rsidR="000E0CC0" w:rsidRPr="004276BF" w:rsidRDefault="004276BF" w:rsidP="00747554">
      <w:pPr>
        <w:spacing w:line="480" w:lineRule="auto"/>
        <w:rPr>
          <w:rFonts w:asciiTheme="majorBidi" w:hAnsiTheme="majorBidi" w:cstheme="majorBidi"/>
          <w:b/>
          <w:bCs/>
          <w:sz w:val="32"/>
          <w:szCs w:val="32"/>
        </w:rPr>
      </w:pPr>
      <w:r w:rsidRPr="004276BF">
        <w:rPr>
          <w:rFonts w:asciiTheme="majorBidi" w:hAnsiTheme="majorBidi" w:cstheme="majorBidi"/>
          <w:b/>
          <w:bCs/>
          <w:sz w:val="32"/>
          <w:szCs w:val="32"/>
        </w:rPr>
        <w:t xml:space="preserve">Chapter 1: </w:t>
      </w:r>
      <w:r w:rsidR="000E0CC0" w:rsidRPr="004276BF">
        <w:rPr>
          <w:rFonts w:asciiTheme="majorBidi" w:hAnsiTheme="majorBidi" w:cstheme="majorBidi"/>
          <w:b/>
          <w:bCs/>
          <w:sz w:val="32"/>
          <w:szCs w:val="32"/>
        </w:rPr>
        <w:t xml:space="preserve">Introduction </w:t>
      </w:r>
    </w:p>
    <w:p w:rsidR="000E0CC0"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Bill Gates </w:t>
      </w:r>
      <w:r w:rsidR="00E2283A">
        <w:rPr>
          <w:rFonts w:asciiTheme="majorBidi" w:hAnsiTheme="majorBidi" w:cstheme="majorBidi"/>
          <w:sz w:val="24"/>
          <w:szCs w:val="24"/>
        </w:rPr>
        <w:t>has a famous quote that says: “B</w:t>
      </w:r>
      <w:r w:rsidRPr="0025168E">
        <w:rPr>
          <w:rFonts w:asciiTheme="majorBidi" w:hAnsiTheme="majorBidi" w:cstheme="majorBidi"/>
          <w:sz w:val="24"/>
          <w:szCs w:val="24"/>
        </w:rPr>
        <w:t>anking is vital to a healthy economy, but banks themselves are not” (Mia et al., 2007). The banking sector is facing many challenges around the world due to the complexity and the intimate connection between various economic, social, and historic developments. The introduction of electronic services has been the major determining force in the future orientations of banking including marketing and business strategies (Salehi, 2010). The exponential advancement in technology as a whole has reflected in increased mechanization of all services including banking. The onset of the 21st century witnessed increased academic interest in online banking services and thus the introduction of many definitions of what e-banking is all about. The banks realized the importance of keeping up with the new technology, so they have willingly transformed their mode of operation to keep up with the changes (Mia et al., 2007). E-banking is an “electronic and remote distribution channel for delivering financial services on a virtual level” (Bradley &amp; Stewart, 2002). In other words, e-banking is any form of banking services that occur virtually without requiring any physical presence of banker and customer.</w:t>
      </w:r>
    </w:p>
    <w:p w:rsidR="000E0CC0" w:rsidRDefault="000E0CC0" w:rsidP="000E0CC0">
      <w:pPr>
        <w:spacing w:line="360" w:lineRule="auto"/>
        <w:jc w:val="both"/>
        <w:rPr>
          <w:rFonts w:asciiTheme="majorBidi" w:hAnsiTheme="majorBidi" w:cstheme="majorBidi"/>
          <w:sz w:val="24"/>
          <w:szCs w:val="24"/>
        </w:rPr>
      </w:pPr>
      <w:r>
        <w:rPr>
          <w:noProof/>
          <w:lang w:val="de-DE" w:eastAsia="de-DE"/>
        </w:rPr>
        <w:drawing>
          <wp:inline distT="0" distB="0" distL="0" distR="0" wp14:anchorId="23BB1060" wp14:editId="5A7000CD">
            <wp:extent cx="6257925" cy="3286125"/>
            <wp:effectExtent l="0" t="57150" r="0" b="857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E0CC0" w:rsidRPr="005708A5" w:rsidRDefault="000E0CC0" w:rsidP="000E0CC0">
      <w:pPr>
        <w:spacing w:line="360" w:lineRule="auto"/>
        <w:jc w:val="center"/>
        <w:rPr>
          <w:rFonts w:asciiTheme="majorBidi" w:hAnsiTheme="majorBidi" w:cstheme="majorBidi"/>
          <w:sz w:val="20"/>
          <w:szCs w:val="20"/>
        </w:rPr>
      </w:pPr>
      <w:r>
        <w:rPr>
          <w:rFonts w:asciiTheme="majorBidi" w:hAnsiTheme="majorBidi" w:cstheme="majorBidi"/>
          <w:sz w:val="20"/>
          <w:szCs w:val="20"/>
        </w:rPr>
        <w:lastRenderedPageBreak/>
        <w:t xml:space="preserve">Fig. 1: Levels and layers of e-commerce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E-banking is part of a larger scheme of electronic commerce that is diverse. The various layers of e-commerce are illustrated in Fig.1. According to Keivani et al. (2012), all electronic activities performed fall under the umbrella of e-commerce even if most people only associate an independent sector of banking with e-banking. E-commerce branches into two main components: e-financing and e-money. The latter is often confused with banking, but it is not necessarily linked to that. It is virtual money that can have an independent value relative to real money such as in the case of bit currencies. E-finance includes all the various levels of e-banking (information and transactions) and various media (telephone, internet, etc.). Banking is not the only sector of e-finance that also includes service bundling, insurance, and online brokering. It was easy to popularize e-banking since the service is the priority rather than the location itself (Mia et al., 2007). This prompted banks to make use of a new toolkit that will facilitate the delivery of their services, especially that the general population was quick to accept the Internet in little over 6 years since its inception as compared to other technological advancements such as the electricity that wasn’t popularized for around 45 years (Pyne et al., 2002).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There are many levels for banking depending on what is being offered. Even the ubiquitous ATM (Automated Teller Machine) is considered a form of e-banking because it does not include the physical presence of the banker. Along with telephone banking, they remained the only means of performing banking transactions from a distance even though they had many limitations (Furst et al., 2002). Once it became apparent how popular e-banking was, financial institutes were quick to adopt them. The first web-based financial institute was conceived in 1995, but that number jumped to 6,000 in 2002. In 1995, only 50 institutes had a website, but this figure increased to 14,000. Between 1995 and 2002, the number of households worldwide that used web-based banking jumped from 5 million to 100 million (Anesti, 2004). The dot-com crash in 2000 had a positive impact on e-banking because it was characterized by an unprecedented innovation in all sectors of technology which in turn enabled banks to improve and enhance their services and products to make them more accessible and attractive to their customers. The smartphones were also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Arya (2019) distinguished between three levels of electronic banking platforms. The first level is the basic informational website that introduces the bank as an institute and describes all the </w:t>
      </w:r>
      <w:r w:rsidRPr="0025168E">
        <w:rPr>
          <w:rFonts w:asciiTheme="majorBidi" w:hAnsiTheme="majorBidi" w:cstheme="majorBidi"/>
          <w:sz w:val="24"/>
          <w:szCs w:val="24"/>
        </w:rPr>
        <w:lastRenderedPageBreak/>
        <w:t xml:space="preserve">services provided. The second level is a website that allows customers to send in applications for services and have access to various information regarding personal accounts. However, these websites do not allow any monetary transactions. The third level of websites or platforms will allow their clients the freedom to make monetary transactions, arrange payments for their bills, and perform online purchases. The latter is the ultimate e-banking platform that gives customers complete freedom to interact and supervise their personal accounts without having to refer back to the banker. Thus it is possible to distinguish between an informational website/platform and a transactional one.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The popularity of e-banking is due to the many benefits that both banks and clients enjoy. For the bank (Salehi &amp; Alipour, 2010), the institute will be saving money in several capacities. Clients who choose to conduct their transactions online will not be physically going to the bank which will decrease the traffic at the bank and eventually translate into having fewer physical locations and less manpower, all of which will save money for the bank. Furthermore, having an efficient and proactive e-banking platform is becoming a necessity for creating a sleek and modern brand for any bank. Branding will increase the visibility and productivity of the bank. As for the customers (Salehi &amp; Alipour, 2010), customers can save plenty of time and effort because they can have access to their information and perform transactions at their convenience. In the case of corporations, they can obtain any financial documents quickly which is essential when making some financial decisions. They will also have the ability to monitor their funds and budget accordingly.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In their yearly report, Digital published their statistics about Lebanon and estimated the out of the 6.8 million residents of Lebanon, 5.35 million were connected to the Internet which amounts to 78%. Out of that 5.35 million, 4.1% are active on various social media and applications, a 6.8% surplus from 2019. These internet users access the Internet through their mobile phones with 100% of all connections to social media happening partially or fully from users' mobile phones even if they possess other electronic products to access the world-wide-web. The website also provided statistics about e-commerce and stated that 45% of the population has an electronic account with a financial institute. This is an important figure because it shows that the Lebanese population is embracing e-banking and normalizing it as an integral part of their lives. Other relevant statistics said that 15% of the population has a credit card, and 16% of the population </w:t>
      </w:r>
      <w:r w:rsidRPr="0025168E">
        <w:rPr>
          <w:rFonts w:asciiTheme="majorBidi" w:hAnsiTheme="majorBidi" w:cstheme="majorBidi"/>
          <w:sz w:val="24"/>
          <w:szCs w:val="24"/>
        </w:rPr>
        <w:lastRenderedPageBreak/>
        <w:t xml:space="preserve">makes online purchases as well as for settling bills. However, these numbers remain relatively low, especially when compared to the other MENA region countries that score more than 50% as an average when it comes to e-banking engagement.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The services provided by Lebanese banks vary from one bank to another, but they include a large array of options for customers to choose from. As of May 2020, Lebanon has 142 incorporated registered banks (Banque du Liban, 2020). Moreover, there are 14 banks called the “Alpha Banks” that hold at least $2 billion in assets, and they constitute the major players in the Lebanese financial system. Each of these 14 banks has its own electronic platforms and digital services. They offer access to clients’ accounts with the option of managing said accounts remotely. Customers can make transactions, move money from one account to another, and make payments for bills. There are credit cards that allow customers to buy their goods electronically. They can apply for loans and other services. They can create accounts for paying their monthly or yearly bills.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The level of satisfaction in e-banking is an important aspect to consider because it underlines the engagement of Lebanese bank customers in online banking. Satisfaction is not an easy concept to define because of the different criteria that are involved. Satisfaction, in general, is often linked to the perception that customers had of the product or service before purchasing and the performance after using said product or service (Kotler &amp; Keller, 2011) which would have an impact on customer loyalty and developing trust. When it comes to satisfaction of e-services, studies found a consistent correlation between the quality of services provided and customer satisfaction (Asiyanbi &amp; Ishola, 2018; Jain &amp; Gupta, 2004). Lebanon has a relatively low level of satisfaction that can be justified by its low percentage of bank customers that have an electronic account (45%) and engaging in electronic activities (15% having credit cards and 16% using it for bills and purchases) (Digital, 2020). Had the level of satisfaction been higher, these figures would considerably higher since customer satisfaction would expand the clientele base for said products or services (Merhi et al., 2019).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The importance of satisfaction in electronic banking becomes more urgent in the aftermath of the COVID-19 pandemic and the recent economic turbulences that Lebanon went through. The country has been on some level of lockdown since May 2020 which has endangered the jobs and livelihoods of around 600,000 Lebanese workers that are employed in the service industry (ILO, </w:t>
      </w:r>
      <w:r w:rsidRPr="0025168E">
        <w:rPr>
          <w:rFonts w:asciiTheme="majorBidi" w:hAnsiTheme="majorBidi" w:cstheme="majorBidi"/>
          <w:sz w:val="24"/>
          <w:szCs w:val="24"/>
        </w:rPr>
        <w:lastRenderedPageBreak/>
        <w:t xml:space="preserve">2020).  These lockdowns made it impossible for a large majority of citizens to have easy access to their accounts because they rely on physical banking rather than electronic banking. E-banking would have made the situation much simpler for Lebanese customers. The issue is still going on with the Lebanese government periodically enforcing total lockdowns at the risk of having to pay hefty fines for anyone who is leaving their homes without a proper permit. Each citizen who wants to leave their house must file an official report via an app for smartphones to gain permission. This has severely restricted the movement of most Lebanese citizens making it difficult to access their bank accounts in a physical sense. Furthermore, the end of the year 2019 witnessed an economic crash that was the cumulating of years of malpractices in the financial, industrial, political, social, and economic sectors (World Bank, 2019). The Lebanese Lira quickly lost its value compared to foreign currencies which led to an unprecedented collapse in the economy. The end of the year was marked by massive protests all around the country that were estimated to include millions speaking against the political policies that have bankrupted the various sectors. Lebanon was locked down for more than a month for the protests (Yee, 2019) which limited people’s access to physical banks. The banks were opening for limited hours on limited days, but that was not the only issue. Fearing that depositors will demand their entire accounts, the banks severely limited access of individuals to take out their money fearing that such a withdrawal will bankrupt these banks that may not be able to provide that amount of liquidity (Blair, 2020).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The social media and various media outlets were full of testimonies of people standing in line for hours in front of banks to get access to their money. The outrage that the Lebanese public expressed is clearly documented and it stems from the banks’ refusal to give the clients access to their money with certain caps put on foreign and local currencies. The deep mistrust was further entrenched when allegations of high profile individuals and rich clients being able to access their money and smuggle them to foreign accounts even though banks put restrictions on regular bank accounts (Geldi, 2021; Arnold, 2019). There were massive protests against the central Banque du Liban during this period which was accused of being part of the system that brought down the Lebanese economy.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Evidently, there is a deep sense of mistrust between the Lebanese banks and the Lebanese public. This is a dangerous separation because the banking sector has long been one of the pillars of the </w:t>
      </w:r>
      <w:r w:rsidRPr="0025168E">
        <w:rPr>
          <w:rFonts w:asciiTheme="majorBidi" w:hAnsiTheme="majorBidi" w:cstheme="majorBidi"/>
          <w:sz w:val="24"/>
          <w:szCs w:val="24"/>
        </w:rPr>
        <w:lastRenderedPageBreak/>
        <w:t xml:space="preserve">Lebanese economy (Torbey, 2017). For a long time, the banks have given the Lebanese economy some stability because they helped the government keep up with payments for the substantial debt. They have also been responsible for giving loans to various businesses to keep them sustained during crises, an important contribution in a country where the mass majority of all companies are family-owned. They also had several initiatives for allowing small entrepreneurs to open their businesses to encourage local initiatives. Banking is also a staple for Lebanese immigrants who wish to invest in their countries and provide for the families they have left behind in Lebanon (Awdeh, 2012). </w:t>
      </w:r>
    </w:p>
    <w:p w:rsidR="000E0CC0" w:rsidRPr="0025168E"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A pandemic is an event that no one expected, but it has provided an excellent opportunity for reflection and innovation that was not possible during the hectic days of modern society. It is a grace period where Lebanese banks can reexamine their model of operation to come up with better services and solutions that will restore the public’s trust in the banking sector. Having no access to the physical banks has been a huge imposition for bank clients, so it can provide an introduction for electronic banking which, in turn, will help the banks maximize the efficacy of their procedures. The above postulate an interesting research question:</w:t>
      </w:r>
    </w:p>
    <w:p w:rsidR="000E0CC0" w:rsidRDefault="000E0CC0" w:rsidP="000E0CC0">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What is the impact of providing exemplary online customer service on the level of satisfaction of bank clients during COVID-19 in Lebanon?</w:t>
      </w:r>
    </w:p>
    <w:p w:rsidR="00BD36DF" w:rsidRDefault="00BD36DF" w:rsidP="000E0CC0">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aim of this study is to inspect the effect that e-banking can have on raising the level of satisfaction of Lebanese clients in the Lebanese banking system. The </w:t>
      </w:r>
      <w:r w:rsidR="0029183B">
        <w:rPr>
          <w:rFonts w:asciiTheme="majorBidi" w:hAnsiTheme="majorBidi" w:cstheme="majorBidi"/>
          <w:sz w:val="24"/>
          <w:szCs w:val="24"/>
        </w:rPr>
        <w:t>objectives are as follows:</w:t>
      </w:r>
    </w:p>
    <w:p w:rsidR="0029183B" w:rsidRDefault="0029183B" w:rsidP="0029183B">
      <w:pPr>
        <w:pStyle w:val="Listenabsatz"/>
        <w:numPr>
          <w:ilvl w:val="0"/>
          <w:numId w:val="44"/>
        </w:numPr>
        <w:spacing w:line="360" w:lineRule="auto"/>
        <w:jc w:val="both"/>
        <w:rPr>
          <w:rFonts w:asciiTheme="majorBidi" w:hAnsiTheme="majorBidi" w:cstheme="majorBidi"/>
          <w:sz w:val="24"/>
          <w:szCs w:val="24"/>
        </w:rPr>
      </w:pPr>
      <w:r>
        <w:rPr>
          <w:rFonts w:asciiTheme="majorBidi" w:hAnsiTheme="majorBidi" w:cstheme="majorBidi"/>
          <w:sz w:val="24"/>
          <w:szCs w:val="24"/>
        </w:rPr>
        <w:t>Verify the need to raise client satisfaction for Lebanese banks</w:t>
      </w:r>
    </w:p>
    <w:p w:rsidR="0029183B" w:rsidRDefault="00D15E6F" w:rsidP="0029183B">
      <w:pPr>
        <w:pStyle w:val="Listenabsatz"/>
        <w:numPr>
          <w:ilvl w:val="0"/>
          <w:numId w:val="44"/>
        </w:numPr>
        <w:spacing w:line="360" w:lineRule="auto"/>
        <w:jc w:val="both"/>
        <w:rPr>
          <w:rFonts w:asciiTheme="majorBidi" w:hAnsiTheme="majorBidi" w:cstheme="majorBidi"/>
          <w:sz w:val="24"/>
          <w:szCs w:val="24"/>
        </w:rPr>
      </w:pPr>
      <w:r>
        <w:rPr>
          <w:rFonts w:asciiTheme="majorBidi" w:hAnsiTheme="majorBidi" w:cstheme="majorBidi"/>
          <w:sz w:val="24"/>
          <w:szCs w:val="24"/>
        </w:rPr>
        <w:t>Understand the relationship between Lebanese clients and e-banking</w:t>
      </w:r>
    </w:p>
    <w:p w:rsidR="00D15E6F" w:rsidRPr="0029183B" w:rsidRDefault="007E4FDE" w:rsidP="0029183B">
      <w:pPr>
        <w:pStyle w:val="Listenabsatz"/>
        <w:numPr>
          <w:ilvl w:val="0"/>
          <w:numId w:val="44"/>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Establish the criteria that add to satisfaction </w:t>
      </w:r>
    </w:p>
    <w:p w:rsidR="00493E4F" w:rsidRDefault="000E0CC0" w:rsidP="000F2F05">
      <w:pPr>
        <w:spacing w:line="360" w:lineRule="auto"/>
        <w:jc w:val="both"/>
        <w:rPr>
          <w:rFonts w:asciiTheme="majorBidi" w:hAnsiTheme="majorBidi" w:cstheme="majorBidi"/>
          <w:sz w:val="24"/>
          <w:szCs w:val="24"/>
        </w:rPr>
      </w:pPr>
      <w:r w:rsidRPr="0025168E">
        <w:rPr>
          <w:rFonts w:asciiTheme="majorBidi" w:hAnsiTheme="majorBidi" w:cstheme="majorBidi"/>
          <w:sz w:val="24"/>
          <w:szCs w:val="24"/>
        </w:rPr>
        <w:t xml:space="preserve">Few studies have focused on the pandemic in Lebanon, and none have correlated the impact of COVID-19 on the satisfaction level of Lebanese consumers even though the two could possibly be highly correlated. There is an untapped niche that needs to be examined to restore satisfaction for customers and update the banking products and services to accommodate for any future climactic events. The aim of this study is to examine the pandemic has affected customer satisfaction in banks as well as exploring how the services can be improved. For this purpose, </w:t>
      </w:r>
      <w:r w:rsidRPr="0025168E">
        <w:rPr>
          <w:rFonts w:asciiTheme="majorBidi" w:hAnsiTheme="majorBidi" w:cstheme="majorBidi"/>
          <w:sz w:val="24"/>
          <w:szCs w:val="24"/>
        </w:rPr>
        <w:lastRenderedPageBreak/>
        <w:t>customers will be gauged on how they perceive online banking and how willing they are to engage in it.</w:t>
      </w:r>
    </w:p>
    <w:p w:rsidR="001D67DD" w:rsidRDefault="00493E4F" w:rsidP="000F2F05">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literature review will include an overview </w:t>
      </w:r>
      <w:r w:rsidR="003D6DAF">
        <w:rPr>
          <w:rFonts w:ascii="Times New Roman" w:eastAsia="Times New Roman" w:hAnsi="Times New Roman" w:cs="Times New Roman"/>
          <w:color w:val="000000"/>
          <w:sz w:val="24"/>
          <w:szCs w:val="24"/>
        </w:rPr>
        <w:t>of</w:t>
      </w:r>
      <w:r>
        <w:rPr>
          <w:rFonts w:ascii="Times New Roman" w:eastAsia="Times New Roman" w:hAnsi="Times New Roman" w:cs="Times New Roman"/>
          <w:color w:val="000000"/>
          <w:sz w:val="24"/>
          <w:szCs w:val="24"/>
        </w:rPr>
        <w:t xml:space="preserve"> the Lebanese banking system regarding the history and general rules that regulate the system. It will include an exploration of satisfaction as a definition and the main criteria that aid in establishing that satisfaction in service industries such as banking. It will also try to create a comprehensive theoretical framework for the paper. </w:t>
      </w:r>
    </w:p>
    <w:p w:rsidR="007E4FDE" w:rsidRDefault="007E4FDE" w:rsidP="000F2F05">
      <w:pPr>
        <w:shd w:val="clear" w:color="auto" w:fill="FFFFFF"/>
        <w:spacing w:after="0" w:line="360" w:lineRule="auto"/>
        <w:jc w:val="both"/>
        <w:rPr>
          <w:rFonts w:ascii="Times New Roman" w:eastAsia="Times New Roman" w:hAnsi="Times New Roman" w:cs="Times New Roman"/>
          <w:color w:val="000000"/>
          <w:sz w:val="24"/>
          <w:szCs w:val="24"/>
        </w:rPr>
      </w:pPr>
    </w:p>
    <w:p w:rsidR="007E4FDE" w:rsidRDefault="007E4FDE" w:rsidP="000F2F05">
      <w:pPr>
        <w:shd w:val="clear" w:color="auto" w:fill="FFFFFF"/>
        <w:spacing w:after="0" w:line="360" w:lineRule="auto"/>
        <w:jc w:val="both"/>
        <w:rPr>
          <w:rFonts w:ascii="Times New Roman" w:eastAsia="Times New Roman" w:hAnsi="Times New Roman" w:cs="Times New Roman"/>
          <w:color w:val="000000"/>
          <w:sz w:val="24"/>
          <w:szCs w:val="24"/>
        </w:rPr>
      </w:pPr>
    </w:p>
    <w:p w:rsidR="007E4FDE" w:rsidRDefault="007E4FDE" w:rsidP="000F2F05">
      <w:pPr>
        <w:shd w:val="clear" w:color="auto" w:fill="FFFFFF"/>
        <w:spacing w:after="0" w:line="360" w:lineRule="auto"/>
        <w:jc w:val="both"/>
        <w:rPr>
          <w:rFonts w:ascii="Times New Roman" w:eastAsia="Times New Roman" w:hAnsi="Times New Roman" w:cs="Times New Roman"/>
          <w:color w:val="000000"/>
          <w:sz w:val="24"/>
          <w:szCs w:val="24"/>
        </w:rPr>
      </w:pPr>
    </w:p>
    <w:p w:rsidR="007E4FDE" w:rsidRDefault="007E4FDE"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bookmarkStart w:id="4" w:name="_GoBack"/>
      <w:bookmarkEnd w:id="4"/>
    </w:p>
    <w:p w:rsidR="004A7DEC" w:rsidRDefault="004A7DEC" w:rsidP="000F2F05">
      <w:pPr>
        <w:shd w:val="clear" w:color="auto" w:fill="FFFFFF"/>
        <w:spacing w:after="0" w:line="360" w:lineRule="auto"/>
        <w:jc w:val="both"/>
        <w:rPr>
          <w:rFonts w:ascii="Times New Roman" w:eastAsia="Times New Roman" w:hAnsi="Times New Roman" w:cs="Times New Roman"/>
          <w:color w:val="000000"/>
          <w:sz w:val="24"/>
          <w:szCs w:val="24"/>
        </w:rPr>
      </w:pPr>
    </w:p>
    <w:p w:rsidR="001D67DD" w:rsidRPr="001D67DD" w:rsidRDefault="001D67DD" w:rsidP="00493E4F">
      <w:pPr>
        <w:shd w:val="clear" w:color="auto" w:fill="FFFFFF"/>
        <w:spacing w:after="0" w:line="360" w:lineRule="auto"/>
        <w:jc w:val="both"/>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 xml:space="preserve">Chapter 2: Literature Review </w:t>
      </w: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2.1 Lebanese Banking System </w:t>
      </w: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2.1.1 Lebanon </w:t>
      </w:r>
    </w:p>
    <w:p w:rsidR="00493E4F" w:rsidRDefault="00493E4F" w:rsidP="003D6DA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Lebanon is a small country situated on the eastern Mediterranean Sea situated between Syria and Palestine. It identifies as a democracy and republic which was administratively divided into six governorates: Beirut, M</w:t>
      </w:r>
      <w:r w:rsidR="003D6DAF">
        <w:rPr>
          <w:rFonts w:ascii="Times New Roman" w:eastAsia="Times New Roman" w:hAnsi="Times New Roman" w:cs="Times New Roman"/>
          <w:color w:val="000000"/>
          <w:sz w:val="24"/>
          <w:szCs w:val="24"/>
        </w:rPr>
        <w:t>ount Lebanon, North, South, Bek</w:t>
      </w:r>
      <w:r>
        <w:rPr>
          <w:rFonts w:ascii="Times New Roman" w:eastAsia="Times New Roman" w:hAnsi="Times New Roman" w:cs="Times New Roman"/>
          <w:color w:val="000000"/>
          <w:sz w:val="24"/>
          <w:szCs w:val="24"/>
        </w:rPr>
        <w:t xml:space="preserve">aa, and Nabatiyeh. Due to the difficulties of centralization of power, two new </w:t>
      </w:r>
      <w:r w:rsidR="003D6DAF">
        <w:rPr>
          <w:rFonts w:ascii="Times New Roman" w:eastAsia="Times New Roman" w:hAnsi="Times New Roman" w:cs="Times New Roman"/>
          <w:color w:val="000000"/>
          <w:sz w:val="24"/>
          <w:szCs w:val="24"/>
        </w:rPr>
        <w:t xml:space="preserve">governorates were added in 2003 </w:t>
      </w:r>
      <w:r>
        <w:rPr>
          <w:rFonts w:ascii="Times New Roman" w:eastAsia="Times New Roman" w:hAnsi="Times New Roman" w:cs="Times New Roman"/>
          <w:color w:val="000000"/>
          <w:sz w:val="24"/>
          <w:szCs w:val="24"/>
        </w:rPr>
        <w:t xml:space="preserve">were Akkar and Baalbak Hermel (FAO, 2008). With a total of 5.35 million people, the country is more than 80% urbanized with a relatively young demographic population. Following a very traumatic civil war at the end of the last century, the country has yet to recover economically and socially as it suffers from brain drainage and a lack of productive sectors (UNESCO, 2020). </w:t>
      </w: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Lebanon relies heavily on the service industry with a focus on banking and tourism. Agriculture and manufacturing constitute a small proportion of the GDP and its economy is highly dependent on the “dollarization” in most of its facets. This proposes a major risk because it leaves the Lebanese economy extremely fragile and susceptible to any foreign crises (Ishrakieh et al., 2020). The country relied on its robust banking system to maintain stability, but the subsequent troubles that plagued the country starting at the end of 2019 have weakened the economy and devalued</w:t>
      </w:r>
      <w:r w:rsidR="003D6DAF">
        <w:rPr>
          <w:rFonts w:ascii="Times New Roman" w:eastAsia="Times New Roman" w:hAnsi="Times New Roman" w:cs="Times New Roman"/>
          <w:color w:val="000000"/>
          <w:sz w:val="24"/>
          <w:szCs w:val="24"/>
        </w:rPr>
        <w:t xml:space="preserve"> the currency. It also created</w:t>
      </w:r>
      <w:r>
        <w:rPr>
          <w:rFonts w:ascii="Times New Roman" w:eastAsia="Times New Roman" w:hAnsi="Times New Roman" w:cs="Times New Roman"/>
          <w:color w:val="000000"/>
          <w:sz w:val="24"/>
          <w:szCs w:val="24"/>
        </w:rPr>
        <w:t xml:space="preserve"> deep fission and mistrust between the general public and the government and the financial institutes. </w:t>
      </w: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2.1.2 Brief History of Banks in Lebanon</w:t>
      </w:r>
    </w:p>
    <w:p w:rsidR="00493E4F" w:rsidRDefault="00493E4F" w:rsidP="003D6DA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ha</w:t>
      </w:r>
      <w:r w:rsidR="003D6DAF">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 always been one form of banking or another in Lebanon, but the currencies and control were dictated by the ruling country that was occupying Lebanon. In recent history, Lebanon fell under the French mandate following World War II which saw an influx of foreign banks that controlled the financial market. There were small local banks, but they had virtually little control over the economy as their role was regulated to serve as small loan providers and exchangers of foreign currencies (Banque du Liban, 2020). The banking system did not become an integral part of the economy until Lebanon gained its independence in 1943 and created the Banque du Liban in 1964 as a governing body that controls the function and infrastructure of </w:t>
      </w:r>
      <w:r>
        <w:rPr>
          <w:rFonts w:ascii="Times New Roman" w:eastAsia="Times New Roman" w:hAnsi="Times New Roman" w:cs="Times New Roman"/>
          <w:color w:val="000000"/>
          <w:sz w:val="24"/>
          <w:szCs w:val="24"/>
        </w:rPr>
        <w:lastRenderedPageBreak/>
        <w:t>ban</w:t>
      </w:r>
      <w:r w:rsidR="003D6DAF">
        <w:rPr>
          <w:rFonts w:ascii="Times New Roman" w:eastAsia="Times New Roman" w:hAnsi="Times New Roman" w:cs="Times New Roman"/>
          <w:color w:val="000000"/>
          <w:sz w:val="24"/>
          <w:szCs w:val="24"/>
        </w:rPr>
        <w:t>ks (Banque du Liban, 2020). These</w:t>
      </w:r>
      <w:r>
        <w:rPr>
          <w:rFonts w:ascii="Times New Roman" w:eastAsia="Times New Roman" w:hAnsi="Times New Roman" w:cs="Times New Roman"/>
          <w:color w:val="000000"/>
          <w:sz w:val="24"/>
          <w:szCs w:val="24"/>
        </w:rPr>
        <w:t xml:space="preserve"> restructure allowed the banking sector to flourish, and it remained one of the only successful economic sectors following the devastating civil war (Peters et al., 2004). </w:t>
      </w: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Before the crisis in 2019, the Lebanese banks were characterized by many aspects that aided in the prosperity of this sector. According to Banque du Liban (2016), the main characteristics of the Lebanese banking system include: </w:t>
      </w:r>
    </w:p>
    <w:p w:rsidR="00493E4F" w:rsidRDefault="00493E4F" w:rsidP="00493E4F">
      <w:pPr>
        <w:pStyle w:val="Listenabsatz"/>
        <w:numPr>
          <w:ilvl w:val="0"/>
          <w:numId w:val="1"/>
        </w:num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Lebanese currency can be freely exchanged with any other currency; something that the banks </w:t>
      </w:r>
      <w:r w:rsidR="003D6DAF">
        <w:rPr>
          <w:rFonts w:ascii="Times New Roman" w:eastAsia="Times New Roman" w:hAnsi="Times New Roman" w:cs="Times New Roman"/>
          <w:color w:val="000000"/>
          <w:sz w:val="24"/>
          <w:szCs w:val="24"/>
        </w:rPr>
        <w:t xml:space="preserve">have </w:t>
      </w:r>
      <w:r>
        <w:rPr>
          <w:rFonts w:ascii="Times New Roman" w:eastAsia="Times New Roman" w:hAnsi="Times New Roman" w:cs="Times New Roman"/>
          <w:color w:val="000000"/>
          <w:sz w:val="24"/>
          <w:szCs w:val="24"/>
        </w:rPr>
        <w:t xml:space="preserve">restricted since the end of 2019. Furthermore, there is no cap over the flow of capital in and out of the Lebanese economy. </w:t>
      </w:r>
    </w:p>
    <w:p w:rsidR="00493E4F" w:rsidRDefault="00493E4F" w:rsidP="003D6DAF">
      <w:pPr>
        <w:pStyle w:val="Listenabsatz"/>
        <w:numPr>
          <w:ilvl w:val="0"/>
          <w:numId w:val="1"/>
        </w:num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Secrecy Law was passed in 1956, and it decreed that all those associated with the banking sector are not at liberty to disclose any information regarding their internal activities or their clients. They can exchange information </w:t>
      </w:r>
      <w:r w:rsidR="003D6DAF">
        <w:rPr>
          <w:rFonts w:ascii="Times New Roman" w:eastAsia="Times New Roman" w:hAnsi="Times New Roman" w:cs="Times New Roman"/>
          <w:color w:val="000000"/>
          <w:sz w:val="24"/>
          <w:szCs w:val="24"/>
        </w:rPr>
        <w:t>with</w:t>
      </w:r>
      <w:r>
        <w:rPr>
          <w:rFonts w:ascii="Times New Roman" w:eastAsia="Times New Roman" w:hAnsi="Times New Roman" w:cs="Times New Roman"/>
          <w:color w:val="000000"/>
          <w:sz w:val="24"/>
          <w:szCs w:val="24"/>
        </w:rPr>
        <w:t xml:space="preserve"> each other as long as the integrity of the information remains between the parties involved. However, the banks cannot withhold information if there is a request from relevant law enforcement agencies. </w:t>
      </w:r>
    </w:p>
    <w:p w:rsidR="00493E4F" w:rsidRDefault="00493E4F" w:rsidP="00493E4F">
      <w:pPr>
        <w:pStyle w:val="Listenabsatz"/>
        <w:numPr>
          <w:ilvl w:val="0"/>
          <w:numId w:val="1"/>
        </w:num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Legislative Decree No. 144/59 stated that a 5% income tax will be applied to many types of financial transactions such as interests, incomes, revenues from exchanges, managing portfolios, treasuring bonds, etc. </w:t>
      </w:r>
    </w:p>
    <w:p w:rsidR="00493E4F" w:rsidRDefault="00493E4F" w:rsidP="00493E4F">
      <w:pPr>
        <w:pStyle w:val="Listenabsatz"/>
        <w:numPr>
          <w:ilvl w:val="0"/>
          <w:numId w:val="1"/>
        </w:num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1097, Banque du Liban established the Free Banking Zone where the government has the right to exempt the deposits of non-residents and liabilities that are in foreign currencies from income tax and other regulations. This made Lebanon a very attractive haven for foreign investors. </w:t>
      </w:r>
    </w:p>
    <w:p w:rsidR="00493E4F" w:rsidRDefault="00493E4F" w:rsidP="00493E4F">
      <w:pPr>
        <w:pStyle w:val="Listenabsatz"/>
        <w:numPr>
          <w:ilvl w:val="0"/>
          <w:numId w:val="1"/>
        </w:num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Lebanese banking system is working diligently to combat money laundering to maintain the integrity of its operation and fight corruption. </w:t>
      </w:r>
    </w:p>
    <w:p w:rsidR="00493E4F" w:rsidRDefault="00493E4F" w:rsidP="00493E4F">
      <w:pPr>
        <w:pStyle w:val="Listenabsatz"/>
        <w:shd w:val="clear" w:color="auto" w:fill="FFFFFF"/>
        <w:spacing w:after="0" w:line="360" w:lineRule="auto"/>
        <w:jc w:val="both"/>
        <w:rPr>
          <w:rFonts w:ascii="Times New Roman" w:eastAsia="Times New Roman" w:hAnsi="Times New Roman" w:cs="Times New Roman"/>
          <w:color w:val="000000"/>
          <w:sz w:val="24"/>
          <w:szCs w:val="24"/>
        </w:rPr>
      </w:pPr>
    </w:p>
    <w:p w:rsidR="00493E4F" w:rsidRDefault="00493E4F" w:rsidP="00493E4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2.1.3 Role of Banks in Lebanese Economy </w:t>
      </w:r>
    </w:p>
    <w:p w:rsidR="00493E4F" w:rsidRDefault="00493E4F" w:rsidP="003D6DA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Historically speaking, the financial sector has been instrumental in ensuring the development of the society they are found. This is especially true in communities with little resources such as Lebanon where financial institutes will steer these resources in the correct direction for ensuring the prosperity of all individuals (Awdeh, 2012). In </w:t>
      </w:r>
      <w:r w:rsidR="003D6DAF">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modern economy, the Endogenous Growth Theory is considered the basis for many of the theories that shape the world. It links the health and growth of the finan</w:t>
      </w:r>
      <w:r w:rsidR="003D6DAF">
        <w:rPr>
          <w:rFonts w:ascii="Times New Roman" w:eastAsia="Times New Roman" w:hAnsi="Times New Roman" w:cs="Times New Roman"/>
          <w:color w:val="000000"/>
          <w:sz w:val="24"/>
          <w:szCs w:val="24"/>
        </w:rPr>
        <w:t xml:space="preserve">cial sector with the growth of </w:t>
      </w:r>
      <w:r>
        <w:rPr>
          <w:rFonts w:ascii="Times New Roman" w:eastAsia="Times New Roman" w:hAnsi="Times New Roman" w:cs="Times New Roman"/>
          <w:color w:val="000000"/>
          <w:sz w:val="24"/>
          <w:szCs w:val="24"/>
        </w:rPr>
        <w:t xml:space="preserve">society (Pagano, 1993). The </w:t>
      </w:r>
      <w:r>
        <w:rPr>
          <w:rFonts w:ascii="Times New Roman" w:eastAsia="Times New Roman" w:hAnsi="Times New Roman" w:cs="Times New Roman"/>
          <w:color w:val="000000"/>
          <w:sz w:val="24"/>
          <w:szCs w:val="24"/>
        </w:rPr>
        <w:lastRenderedPageBreak/>
        <w:t xml:space="preserve">correlation is exhibited in three ways: it will increase the number and size of the investments available in the market, </w:t>
      </w:r>
      <w:r w:rsidR="006662A0">
        <w:rPr>
          <w:rFonts w:ascii="Times New Roman" w:eastAsia="Times New Roman" w:hAnsi="Times New Roman" w:cs="Times New Roman"/>
          <w:color w:val="000000"/>
          <w:sz w:val="24"/>
          <w:szCs w:val="24"/>
        </w:rPr>
        <w:t xml:space="preserve">enhance </w:t>
      </w:r>
      <w:r>
        <w:rPr>
          <w:rFonts w:ascii="Times New Roman" w:eastAsia="Times New Roman" w:hAnsi="Times New Roman" w:cs="Times New Roman"/>
          <w:color w:val="000000"/>
          <w:sz w:val="24"/>
          <w:szCs w:val="24"/>
        </w:rPr>
        <w:t>the efficiency of</w:t>
      </w:r>
      <w:r w:rsidR="003D6DAF">
        <w:rPr>
          <w:rFonts w:ascii="Times New Roman" w:eastAsia="Times New Roman" w:hAnsi="Times New Roman" w:cs="Times New Roman"/>
          <w:color w:val="000000"/>
          <w:sz w:val="24"/>
          <w:szCs w:val="24"/>
        </w:rPr>
        <w:t xml:space="preserve"> the</w:t>
      </w:r>
      <w:r w:rsidR="006662A0">
        <w:rPr>
          <w:rFonts w:ascii="Times New Roman" w:eastAsia="Times New Roman" w:hAnsi="Times New Roman" w:cs="Times New Roman"/>
          <w:color w:val="000000"/>
          <w:sz w:val="24"/>
          <w:szCs w:val="24"/>
        </w:rPr>
        <w:t xml:space="preserve"> financial sector</w:t>
      </w:r>
      <w:r>
        <w:rPr>
          <w:rFonts w:ascii="Times New Roman" w:eastAsia="Times New Roman" w:hAnsi="Times New Roman" w:cs="Times New Roman"/>
          <w:color w:val="000000"/>
          <w:sz w:val="24"/>
          <w:szCs w:val="24"/>
        </w:rPr>
        <w:t xml:space="preserve"> by reducing costs, and promote and discourage savings based on what is best for the market. </w:t>
      </w:r>
    </w:p>
    <w:p w:rsidR="00493E4F" w:rsidRDefault="00493E4F" w:rsidP="003D6DA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Lebanese situation, Banque du Liban has had an integral part in stabilizing the economy in the aftermath of the civil war (Torbey, 2017). This is especially true since the Lebanese economy has gone through many ups and downs. Although there have been many accusations over the years regarding the influence</w:t>
      </w:r>
      <w:r w:rsidR="003D6DAF">
        <w:rPr>
          <w:rFonts w:ascii="Times New Roman" w:eastAsia="Times New Roman" w:hAnsi="Times New Roman" w:cs="Times New Roman"/>
          <w:color w:val="000000"/>
          <w:sz w:val="24"/>
          <w:szCs w:val="24"/>
        </w:rPr>
        <w:t xml:space="preserve"> and power that BdL exerts, </w:t>
      </w:r>
      <w:r>
        <w:rPr>
          <w:rFonts w:ascii="Times New Roman" w:eastAsia="Times New Roman" w:hAnsi="Times New Roman" w:cs="Times New Roman"/>
          <w:color w:val="000000"/>
          <w:sz w:val="24"/>
          <w:szCs w:val="24"/>
        </w:rPr>
        <w:t>there h</w:t>
      </w:r>
      <w:r w:rsidR="003D6DAF">
        <w:rPr>
          <w:rFonts w:ascii="Times New Roman" w:eastAsia="Times New Roman" w:hAnsi="Times New Roman" w:cs="Times New Roman"/>
          <w:color w:val="000000"/>
          <w:sz w:val="24"/>
          <w:szCs w:val="24"/>
        </w:rPr>
        <w:t>as</w:t>
      </w:r>
      <w:r>
        <w:rPr>
          <w:rFonts w:ascii="Times New Roman" w:eastAsia="Times New Roman" w:hAnsi="Times New Roman" w:cs="Times New Roman"/>
          <w:color w:val="000000"/>
          <w:sz w:val="24"/>
          <w:szCs w:val="24"/>
        </w:rPr>
        <w:t xml:space="preserve"> yet to be any direct evidence that point</w:t>
      </w:r>
      <w:r w:rsidR="003D6DAF">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 out unseemly practices outside the regulations of the Code of Money and Credit. One of the best examples of the influence of BdL was during the 2008 financial crisis that impacted the whole world and created a small recession. However, Lebanon remained one of the few countries that kept afloat during that time. </w:t>
      </w:r>
    </w:p>
    <w:p w:rsidR="00493E4F" w:rsidRDefault="00493E4F" w:rsidP="003D6DAF">
      <w:pP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One of the downsides of the </w:t>
      </w:r>
      <w:r w:rsidR="003D6DAF">
        <w:rPr>
          <w:rFonts w:ascii="Times New Roman" w:eastAsia="Times New Roman" w:hAnsi="Times New Roman" w:cs="Times New Roman"/>
          <w:color w:val="000000"/>
          <w:sz w:val="24"/>
          <w:szCs w:val="24"/>
        </w:rPr>
        <w:t xml:space="preserve">Lebanese banking sector is that </w:t>
      </w:r>
      <w:r>
        <w:rPr>
          <w:rFonts w:ascii="Times New Roman" w:eastAsia="Times New Roman" w:hAnsi="Times New Roman" w:cs="Times New Roman"/>
          <w:color w:val="000000"/>
          <w:sz w:val="24"/>
          <w:szCs w:val="24"/>
        </w:rPr>
        <w:t>most of its resources have been allocated for funding the sovereign debt that Lebanese has accumulated (Elia, 2020). After the destruction that happened following the deadly civil war last century, the country was left with virtually no infrastructure to sustain and develop the country. To rebuild, the government decided to borrow money to create income-generating projects and a solid infrastructure to revitalize business as well as attract investors. However, the high levels of corruption depleted those funds and the 2006 Israeli invasion destroyed most of the rebuilt roads and utilities. This has caused</w:t>
      </w:r>
      <w:r w:rsidR="003D6DAF">
        <w:rPr>
          <w:rFonts w:ascii="Times New Roman" w:eastAsia="Times New Roman" w:hAnsi="Times New Roman" w:cs="Times New Roman"/>
          <w:color w:val="000000"/>
          <w:sz w:val="24"/>
          <w:szCs w:val="24"/>
        </w:rPr>
        <w:t xml:space="preserve"> a</w:t>
      </w:r>
      <w:r>
        <w:rPr>
          <w:rFonts w:ascii="Times New Roman" w:eastAsia="Times New Roman" w:hAnsi="Times New Roman" w:cs="Times New Roman"/>
          <w:color w:val="000000"/>
          <w:sz w:val="24"/>
          <w:szCs w:val="24"/>
        </w:rPr>
        <w:t xml:space="preserve"> steady increase in the national debt as shown in Fig. 2. It grew from $4.2 billion in 1993 to an astronomical $85.1 billion despite all the efforts made to bring it down to a more manageable level. </w:t>
      </w:r>
    </w:p>
    <w:p w:rsidR="00493E4F" w:rsidRDefault="00493E4F" w:rsidP="00493E4F">
      <w:pPr>
        <w:shd w:val="clear" w:color="auto" w:fill="FFFFFF"/>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de-DE" w:eastAsia="de-DE"/>
        </w:rPr>
        <w:lastRenderedPageBreak/>
        <w:drawing>
          <wp:inline distT="0" distB="0" distL="0" distR="0" wp14:anchorId="3C548D5D" wp14:editId="12BFF8BD">
            <wp:extent cx="4896534" cy="4067743"/>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4896534" cy="4067743"/>
                    </a:xfrm>
                    <a:prstGeom prst="rect">
                      <a:avLst/>
                    </a:prstGeom>
                  </pic:spPr>
                </pic:pic>
              </a:graphicData>
            </a:graphic>
          </wp:inline>
        </w:drawing>
      </w:r>
    </w:p>
    <w:p w:rsidR="00493E4F" w:rsidRDefault="00493E4F" w:rsidP="00493E4F">
      <w:pPr>
        <w:shd w:val="clear" w:color="auto" w:fill="FFFFFF"/>
        <w:spacing w:after="0"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Fig. 2 The Annual growth of </w:t>
      </w:r>
      <w:r w:rsidR="003D6DAF">
        <w:rPr>
          <w:rFonts w:ascii="Times New Roman" w:eastAsia="Times New Roman" w:hAnsi="Times New Roman" w:cs="Times New Roman"/>
          <w:color w:val="000000"/>
          <w:sz w:val="20"/>
          <w:szCs w:val="20"/>
        </w:rPr>
        <w:t>Lebanon’s Gross Debt in billion-</w:t>
      </w:r>
      <w:r>
        <w:rPr>
          <w:rFonts w:ascii="Times New Roman" w:eastAsia="Times New Roman" w:hAnsi="Times New Roman" w:cs="Times New Roman"/>
          <w:color w:val="000000"/>
          <w:sz w:val="20"/>
          <w:szCs w:val="20"/>
        </w:rPr>
        <w:t>dollar between 1993 and 2018 as retrieved from Blominvest (2019)</w:t>
      </w:r>
    </w:p>
    <w:p w:rsidR="00493E4F" w:rsidRPr="00F21BA3" w:rsidRDefault="00493E4F" w:rsidP="00493E4F">
      <w:pPr>
        <w:shd w:val="clear" w:color="auto" w:fill="FFFFFF"/>
        <w:spacing w:after="0" w:line="360" w:lineRule="auto"/>
        <w:jc w:val="center"/>
        <w:rPr>
          <w:rFonts w:ascii="Times New Roman" w:eastAsia="Times New Roman" w:hAnsi="Times New Roman" w:cs="Times New Roman"/>
          <w:color w:val="000000"/>
          <w:sz w:val="20"/>
          <w:szCs w:val="20"/>
        </w:rPr>
      </w:pPr>
    </w:p>
    <w:p w:rsidR="00493E4F" w:rsidRDefault="00493E4F" w:rsidP="00493E4F">
      <w:pPr>
        <w:shd w:val="clear" w:color="auto" w:fill="FFFFFF"/>
        <w:spacing w:after="0" w:line="360" w:lineRule="auto"/>
        <w:jc w:val="both"/>
        <w:rPr>
          <w:rFonts w:ascii="Calibri" w:eastAsia="Times New Roman" w:hAnsi="Calibri" w:cs="Calibri"/>
          <w:color w:val="000000"/>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strain of this debt placed Lebanon in the third position as the most indebted nation worldwide after Greece and Japan in 2020 (Trade Economics, 2020). The private banks spend a considerable portion of their resources to service this debt and keep the government afloat since the latter spends no less than 50% of its revenues to pay the interests of the debt without making much difference to the capital itself. To complicate matters further, the Lebanese government hasn’t been able to put together a state budget since 2005 because the political parties have not been able to agree on one. This exacerbates the problem further because private banks dedicate so much of their funds to aid the government (Blominvest, 2019). This means fewer funds available for investing in the market and creating more entrepreneurship opportunities. </w:t>
      </w:r>
    </w:p>
    <w:p w:rsidR="00493E4F" w:rsidRDefault="00493E4F" w:rsidP="003D6DA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fragile economy was sustained through the dollar transaction sent to Lebanon </w:t>
      </w:r>
      <w:r w:rsidR="003D6DAF">
        <w:rPr>
          <w:rFonts w:asciiTheme="majorBidi" w:hAnsiTheme="majorBidi" w:cstheme="majorBidi"/>
          <w:sz w:val="24"/>
          <w:szCs w:val="24"/>
        </w:rPr>
        <w:t>by</w:t>
      </w:r>
      <w:r>
        <w:rPr>
          <w:rFonts w:asciiTheme="majorBidi" w:hAnsiTheme="majorBidi" w:cstheme="majorBidi"/>
          <w:sz w:val="24"/>
          <w:szCs w:val="24"/>
        </w:rPr>
        <w:t xml:space="preserve"> their immigrants that provided a steady supply of foreign currencies into the country. Along with the </w:t>
      </w:r>
      <w:r>
        <w:rPr>
          <w:rFonts w:asciiTheme="majorBidi" w:hAnsiTheme="majorBidi" w:cstheme="majorBidi"/>
          <w:sz w:val="24"/>
          <w:szCs w:val="24"/>
        </w:rPr>
        <w:lastRenderedPageBreak/>
        <w:t xml:space="preserve">strict measures taken by BdL, the Lebanese economy sustained itself and provided profit for banks for decades. This created a highly dollarized economy that compromises a country’s safety in the case of any emergency (Ishrakieh et al., </w:t>
      </w:r>
      <w:r w:rsidR="003D6DAF">
        <w:rPr>
          <w:rFonts w:asciiTheme="majorBidi" w:hAnsiTheme="majorBidi" w:cstheme="majorBidi"/>
          <w:sz w:val="24"/>
          <w:szCs w:val="24"/>
        </w:rPr>
        <w:t>2020). Furthermore, BdL had main</w:t>
      </w:r>
      <w:r>
        <w:rPr>
          <w:rFonts w:asciiTheme="majorBidi" w:hAnsiTheme="majorBidi" w:cstheme="majorBidi"/>
          <w:sz w:val="24"/>
          <w:szCs w:val="24"/>
        </w:rPr>
        <w:t xml:space="preserve">tained a fixed exchange rate of the dollar since 1997 at 1515 L.L. which does not correspond to the significant deficit in the economy. This meant that further measures and funds had to be provided to stabilize this inflated exchange rate (Lebanon Economic Monitor, 2019). When the dollar shortage became very pronounced in 2019, it wasn’t long until the exchange rate shifted and the Lebanese Lira lost almost 80% of its value.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 Theories in Banking </w:t>
      </w:r>
    </w:p>
    <w:p w:rsidR="00493E4F" w:rsidRDefault="00493E4F" w:rsidP="004502DB">
      <w:pPr>
        <w:spacing w:line="360" w:lineRule="auto"/>
        <w:jc w:val="both"/>
        <w:rPr>
          <w:rFonts w:asciiTheme="majorBidi" w:hAnsiTheme="majorBidi" w:cstheme="majorBidi"/>
          <w:sz w:val="24"/>
          <w:szCs w:val="24"/>
        </w:rPr>
      </w:pPr>
      <w:r>
        <w:rPr>
          <w:rFonts w:asciiTheme="majorBidi" w:hAnsiTheme="majorBidi" w:cstheme="majorBidi"/>
          <w:sz w:val="24"/>
          <w:szCs w:val="24"/>
        </w:rPr>
        <w:t>Banks have exi</w:t>
      </w:r>
      <w:r w:rsidR="004502DB">
        <w:rPr>
          <w:rFonts w:asciiTheme="majorBidi" w:hAnsiTheme="majorBidi" w:cstheme="majorBidi"/>
          <w:sz w:val="24"/>
          <w:szCs w:val="24"/>
        </w:rPr>
        <w:t>s</w:t>
      </w:r>
      <w:r>
        <w:rPr>
          <w:rFonts w:asciiTheme="majorBidi" w:hAnsiTheme="majorBidi" w:cstheme="majorBidi"/>
          <w:sz w:val="24"/>
          <w:szCs w:val="24"/>
        </w:rPr>
        <w:t>ted in many forms in history and have evolved into the modern structure that we all recognize today. There are many theories that govern the notions and functions of banking, and the following section illustrates some of the main ones. Surprisingly, even the most accomplished of economists often find it difficult to incorporate ba</w:t>
      </w:r>
      <w:r w:rsidR="004502DB">
        <w:rPr>
          <w:rFonts w:asciiTheme="majorBidi" w:hAnsiTheme="majorBidi" w:cstheme="majorBidi"/>
          <w:sz w:val="24"/>
          <w:szCs w:val="24"/>
        </w:rPr>
        <w:t>nks into their theories which have</w:t>
      </w:r>
      <w:r>
        <w:rPr>
          <w:rFonts w:asciiTheme="majorBidi" w:hAnsiTheme="majorBidi" w:cstheme="majorBidi"/>
          <w:sz w:val="24"/>
          <w:szCs w:val="24"/>
        </w:rPr>
        <w:t xml:space="preserve"> led to a serious gap in the literature of banking theories (Kohn, 2009).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2.2.1 Early Forms of Banking</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Anthropologists have discovered behavioral patterns in some of the earliest civilizations where individuals or groups will save some of their resources and later on invest them in the case of any emergency (Caldararo, 2013). This applies to emergency funds for catastrophic events such as </w:t>
      </w:r>
      <w:r w:rsidR="004502DB">
        <w:rPr>
          <w:rFonts w:asciiTheme="majorBidi" w:hAnsiTheme="majorBidi" w:cstheme="majorBidi"/>
          <w:sz w:val="24"/>
          <w:szCs w:val="24"/>
        </w:rPr>
        <w:t xml:space="preserve">the possibility </w:t>
      </w:r>
      <w:r>
        <w:rPr>
          <w:rFonts w:asciiTheme="majorBidi" w:hAnsiTheme="majorBidi" w:cstheme="majorBidi"/>
          <w:sz w:val="24"/>
          <w:szCs w:val="24"/>
        </w:rPr>
        <w:t>of floods or having bad harvests. They would try to compensate for any disastrous events or shortages because the survivability of entire communities relied on these funds or material being available. Einzig (1947) illustrated several forms of early monetary saving forms from using stone wheels in the area of Yap to the paper money used in China when most of the world was using coins all the way to the modern form of investments we see today. What is intriguing is that what is perceived and decided on as valuable becomes universally acceptable for the masses. It is intriguing to consider that the majority of the investments in existence are never manifested as physical items. Take for example the notion of bitcoins or internet currencies; the more people believed they are valuable, the more they become (Meynkhard, 2019). Some people have become instant millio</w:t>
      </w:r>
      <w:r w:rsidR="003C7A0B">
        <w:rPr>
          <w:rFonts w:asciiTheme="majorBidi" w:hAnsiTheme="majorBidi" w:cstheme="majorBidi"/>
          <w:sz w:val="24"/>
          <w:szCs w:val="24"/>
        </w:rPr>
        <w:t>naires just from buying up once-</w:t>
      </w:r>
      <w:r>
        <w:rPr>
          <w:rFonts w:asciiTheme="majorBidi" w:hAnsiTheme="majorBidi" w:cstheme="majorBidi"/>
          <w:sz w:val="24"/>
          <w:szCs w:val="24"/>
        </w:rPr>
        <w:t xml:space="preserve">obscure bitcoins. </w:t>
      </w:r>
      <w:r>
        <w:rPr>
          <w:rFonts w:asciiTheme="majorBidi" w:hAnsiTheme="majorBidi" w:cstheme="majorBidi"/>
          <w:sz w:val="24"/>
          <w:szCs w:val="24"/>
        </w:rPr>
        <w:lastRenderedPageBreak/>
        <w:t>This shows just how diverse and fluid the notions of banking and finances can be and how they evolve according to the criteria of their times.</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2.2.2 Three Major Theories of Banking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2.2.2.1 The Financial Intermediation Theory of Banking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This theory explores banks at their elemental level where they are only an intermediate financial link between depositors and lenders (Werner, 2015). Individuals or entities that have a surplus of funds will elect to deposit their money in these banks that will lend them out for those with a shortage of funds who agree to repay it with interest. This interest will sustain the bank as well as provide incentives for depositors through collecting their share of the interest. In this sense, banks are not considered any different from any other financial institutes that deal according to this model. It can further be explained that banks will borrow money from investors and provide short maturities, but they provide longer maturities when they give money to lenders (Dewatripont, 2010). In this sense, banks are not capable of creating money and only depend on</w:t>
      </w:r>
      <w:r w:rsidR="003C7A0B">
        <w:rPr>
          <w:rFonts w:asciiTheme="majorBidi" w:hAnsiTheme="majorBidi" w:cstheme="majorBidi"/>
          <w:sz w:val="24"/>
          <w:szCs w:val="24"/>
        </w:rPr>
        <w:t xml:space="preserve"> the</w:t>
      </w:r>
      <w:r>
        <w:rPr>
          <w:rFonts w:asciiTheme="majorBidi" w:hAnsiTheme="majorBidi" w:cstheme="majorBidi"/>
          <w:sz w:val="24"/>
          <w:szCs w:val="24"/>
        </w:rPr>
        <w:t xml:space="preserve"> transformation of money.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2.2.2.2 The Fractional Reserve Theory of Banking </w:t>
      </w:r>
    </w:p>
    <w:p w:rsidR="00493E4F" w:rsidRDefault="00493E4F" w:rsidP="00E3562E">
      <w:pPr>
        <w:spacing w:line="360" w:lineRule="auto"/>
        <w:jc w:val="both"/>
        <w:rPr>
          <w:rFonts w:asciiTheme="majorBidi" w:hAnsiTheme="majorBidi" w:cstheme="majorBidi"/>
          <w:sz w:val="24"/>
          <w:szCs w:val="24"/>
        </w:rPr>
      </w:pPr>
      <w:r>
        <w:rPr>
          <w:rFonts w:asciiTheme="majorBidi" w:hAnsiTheme="majorBidi" w:cstheme="majorBidi"/>
          <w:sz w:val="24"/>
          <w:szCs w:val="24"/>
        </w:rPr>
        <w:t>This theory also classifies banks as financial institutes, but it diverts away from the former theory by arguing that banks are capable of creating money (Werner, 2015). It states that banks and non-banking financial institutes are both intermediates for money deposition, but banks are able to create money through multiple deposit expansion. Even though depositors come with their money, the banks are creating their accounts and managing them. They are also benefiting from these creations. Over time, the banks will be able to accumulate their own credit that they can</w:t>
      </w:r>
      <w:r w:rsidR="003C7A0B">
        <w:rPr>
          <w:rFonts w:asciiTheme="majorBidi" w:hAnsiTheme="majorBidi" w:cstheme="majorBidi"/>
          <w:sz w:val="24"/>
          <w:szCs w:val="24"/>
        </w:rPr>
        <w:t>,</w:t>
      </w:r>
      <w:r>
        <w:rPr>
          <w:rFonts w:asciiTheme="majorBidi" w:hAnsiTheme="majorBidi" w:cstheme="majorBidi"/>
          <w:sz w:val="24"/>
          <w:szCs w:val="24"/>
        </w:rPr>
        <w:t xml:space="preserve"> later on</w:t>
      </w:r>
      <w:r w:rsidR="003C7A0B">
        <w:rPr>
          <w:rFonts w:asciiTheme="majorBidi" w:hAnsiTheme="majorBidi" w:cstheme="majorBidi"/>
          <w:sz w:val="24"/>
          <w:szCs w:val="24"/>
        </w:rPr>
        <w:t>,</w:t>
      </w:r>
      <w:r>
        <w:rPr>
          <w:rFonts w:asciiTheme="majorBidi" w:hAnsiTheme="majorBidi" w:cstheme="majorBidi"/>
          <w:sz w:val="24"/>
          <w:szCs w:val="24"/>
        </w:rPr>
        <w:t xml:space="preserve"> invest making them creators of credit. However, it would be very difficult for one bank to accomplish such a thing, and it is the banking system as a whole that will be able to accomplish this instead (Samuelson &amp; Nordhaus, 1995). Through the interactions and cooperation between banks locally and internationally, they will be capable of creating multiple deposit expansions that will help each bank grow their saving and create personal credit. </w:t>
      </w:r>
    </w:p>
    <w:p w:rsidR="00E3562E" w:rsidRDefault="00E3562E" w:rsidP="00E3562E">
      <w:pPr>
        <w:spacing w:line="360" w:lineRule="auto"/>
        <w:jc w:val="both"/>
        <w:rPr>
          <w:rFonts w:asciiTheme="majorBidi" w:hAnsiTheme="majorBidi" w:cstheme="majorBidi"/>
          <w:sz w:val="24"/>
          <w:szCs w:val="24"/>
        </w:rPr>
      </w:pPr>
    </w:p>
    <w:p w:rsidR="00E3562E" w:rsidRDefault="00E3562E" w:rsidP="00E3562E">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2.2.2.3 The Credit Creation Theory of Banking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This theory does not classify banks as financial intermediates nor does it argue credit creation through cooperation between banks. This theory argues that banks can create money out of nothing every time it makes a loan agreement or purchases assets in other financial and non-financial institutes (Werner, 2015). For the loan agreement to go through, the person asking for the loan needs to create an account at the bank he/she is taking the loan from. This new account will not subsidize the value of the bank’s credit because the source of the money also has an account with this bank. This will allow the balance sheet of the bank to expand over time</w:t>
      </w:r>
      <w:r w:rsidR="003C7A0B">
        <w:rPr>
          <w:rFonts w:asciiTheme="majorBidi" w:hAnsiTheme="majorBidi" w:cstheme="majorBidi"/>
          <w:sz w:val="24"/>
          <w:szCs w:val="24"/>
        </w:rPr>
        <w:t>,</w:t>
      </w:r>
      <w:r>
        <w:rPr>
          <w:rFonts w:asciiTheme="majorBidi" w:hAnsiTheme="majorBidi" w:cstheme="majorBidi"/>
          <w:sz w:val="24"/>
          <w:szCs w:val="24"/>
        </w:rPr>
        <w:t xml:space="preserve"> unlike a traditional financial intermediary institute.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2.2.2.4 Islamic Banking </w:t>
      </w:r>
    </w:p>
    <w:p w:rsidR="00493E4F" w:rsidRDefault="00493E4F" w:rsidP="003C7A0B">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Islamic banking is not a new theory in banking, but it has begun to receive plenty of academic and real-life interest because of its unique qualities. Despite preconceived notions, Islamic banks provide the same services </w:t>
      </w:r>
      <w:r w:rsidR="003C7A0B">
        <w:rPr>
          <w:rFonts w:asciiTheme="majorBidi" w:hAnsiTheme="majorBidi" w:cstheme="majorBidi"/>
          <w:sz w:val="24"/>
          <w:szCs w:val="24"/>
        </w:rPr>
        <w:t xml:space="preserve">as </w:t>
      </w:r>
      <w:r>
        <w:rPr>
          <w:rFonts w:asciiTheme="majorBidi" w:hAnsiTheme="majorBidi" w:cstheme="majorBidi"/>
          <w:sz w:val="24"/>
          <w:szCs w:val="24"/>
        </w:rPr>
        <w:t>regular bank</w:t>
      </w:r>
      <w:r w:rsidR="003C7A0B">
        <w:rPr>
          <w:rFonts w:asciiTheme="majorBidi" w:hAnsiTheme="majorBidi" w:cstheme="majorBidi"/>
          <w:sz w:val="24"/>
          <w:szCs w:val="24"/>
        </w:rPr>
        <w:t>s</w:t>
      </w:r>
      <w:r>
        <w:rPr>
          <w:rFonts w:asciiTheme="majorBidi" w:hAnsiTheme="majorBidi" w:cstheme="majorBidi"/>
          <w:sz w:val="24"/>
          <w:szCs w:val="24"/>
        </w:rPr>
        <w:t xml:space="preserve"> including asset transformation activities, administration of payments systems, brokerage services, and risk transformation services (McMillen, 2012).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There are three Islamic banking models. The two-tier </w:t>
      </w:r>
      <w:r w:rsidRPr="00A2540A">
        <w:rPr>
          <w:rFonts w:asciiTheme="majorBidi" w:hAnsiTheme="majorBidi" w:cstheme="majorBidi"/>
          <w:i/>
          <w:iCs/>
          <w:sz w:val="24"/>
          <w:szCs w:val="24"/>
        </w:rPr>
        <w:t>mudaraba</w:t>
      </w:r>
      <w:r>
        <w:rPr>
          <w:rFonts w:asciiTheme="majorBidi" w:hAnsiTheme="majorBidi" w:cstheme="majorBidi"/>
          <w:sz w:val="24"/>
          <w:szCs w:val="24"/>
        </w:rPr>
        <w:t xml:space="preserve"> is an agreement between two sides where one side provides the money and the other side will use that money to create an investment or money-making opportunity. This agreement is managed by the bank that acts as an intermediary between the two, and all three sides will benefit from the proceeds while the depositor handle</w:t>
      </w:r>
      <w:r w:rsidR="003C7A0B">
        <w:rPr>
          <w:rFonts w:asciiTheme="majorBidi" w:hAnsiTheme="majorBidi" w:cstheme="majorBidi"/>
          <w:sz w:val="24"/>
          <w:szCs w:val="24"/>
        </w:rPr>
        <w:t>s</w:t>
      </w:r>
      <w:r>
        <w:rPr>
          <w:rFonts w:asciiTheme="majorBidi" w:hAnsiTheme="majorBidi" w:cstheme="majorBidi"/>
          <w:sz w:val="24"/>
          <w:szCs w:val="24"/>
        </w:rPr>
        <w:t xml:space="preserve"> the losses. The two-window model divides the bank into a demand deposit window and an investment balance window. The bank only makes safe-keeping fees from the first window, but it can make more profit from investments made. The third model is the </w:t>
      </w:r>
      <w:r w:rsidRPr="00A2540A">
        <w:rPr>
          <w:rFonts w:asciiTheme="majorBidi" w:hAnsiTheme="majorBidi" w:cstheme="majorBidi"/>
          <w:i/>
          <w:iCs/>
          <w:sz w:val="24"/>
          <w:szCs w:val="24"/>
        </w:rPr>
        <w:t>wakala</w:t>
      </w:r>
      <w:r>
        <w:rPr>
          <w:rFonts w:asciiTheme="majorBidi" w:hAnsiTheme="majorBidi" w:cstheme="majorBidi"/>
          <w:sz w:val="24"/>
          <w:szCs w:val="24"/>
        </w:rPr>
        <w:t xml:space="preserve"> or agency model where the bank acts as an agent for both depositors and investors for a fixed fee. In this case, the depositor also handles any losses.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2.2.3 Theories in Customer Satisfaction </w:t>
      </w:r>
    </w:p>
    <w:p w:rsidR="00493E4F" w:rsidRDefault="00493E4F" w:rsidP="003C7A0B">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Customer satisfaction is an important aspect of this paper, and it is essential to understand the theoretical background of customer satisfaction. It will aid in asserting the main criteria that need </w:t>
      </w:r>
      <w:r>
        <w:rPr>
          <w:rFonts w:asciiTheme="majorBidi" w:hAnsiTheme="majorBidi" w:cstheme="majorBidi"/>
          <w:sz w:val="24"/>
          <w:szCs w:val="24"/>
        </w:rPr>
        <w:lastRenderedPageBreak/>
        <w:t xml:space="preserve">to be focused on to regain customer trust </w:t>
      </w:r>
      <w:r w:rsidR="003C7A0B">
        <w:rPr>
          <w:rFonts w:asciiTheme="majorBidi" w:hAnsiTheme="majorBidi" w:cstheme="majorBidi"/>
          <w:sz w:val="24"/>
          <w:szCs w:val="24"/>
        </w:rPr>
        <w:t>in</w:t>
      </w:r>
      <w:r>
        <w:rPr>
          <w:rFonts w:asciiTheme="majorBidi" w:hAnsiTheme="majorBidi" w:cstheme="majorBidi"/>
          <w:sz w:val="24"/>
          <w:szCs w:val="24"/>
        </w:rPr>
        <w:t xml:space="preserve"> Lebanese banks. Retaining satisfaction remains one of the most challenging aspects of sustaining a business because the</w:t>
      </w:r>
      <w:r w:rsidR="003C7A0B">
        <w:rPr>
          <w:rFonts w:asciiTheme="majorBidi" w:hAnsiTheme="majorBidi" w:cstheme="majorBidi"/>
          <w:sz w:val="24"/>
          <w:szCs w:val="24"/>
        </w:rPr>
        <w:t xml:space="preserve"> market and customer needs keep</w:t>
      </w:r>
      <w:r>
        <w:rPr>
          <w:rFonts w:asciiTheme="majorBidi" w:hAnsiTheme="majorBidi" w:cstheme="majorBidi"/>
          <w:sz w:val="24"/>
          <w:szCs w:val="24"/>
        </w:rPr>
        <w:t xml:space="preserve"> shifting which can make it difficult for companies to keep track (Mill, 2011).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Despite all the different theories that will be discussed, the essence of satisfaction lies in the duality of confirmation/disconfirmation between what was perceived or promised before purchase and the quality of the experience that was had after purchase that will be highly influenced by what they envisioned their experience to be (Oliver, 1980). The majority of the following theories will agree that if the performance is only slightly lower, </w:t>
      </w:r>
      <w:r w:rsidR="00FD5AA2">
        <w:rPr>
          <w:rFonts w:asciiTheme="majorBidi" w:hAnsiTheme="majorBidi" w:cstheme="majorBidi"/>
          <w:sz w:val="24"/>
          <w:szCs w:val="24"/>
        </w:rPr>
        <w:t xml:space="preserve">an </w:t>
      </w:r>
      <w:r>
        <w:rPr>
          <w:rFonts w:asciiTheme="majorBidi" w:hAnsiTheme="majorBidi" w:cstheme="majorBidi"/>
          <w:sz w:val="24"/>
          <w:szCs w:val="24"/>
        </w:rPr>
        <w:t xml:space="preserve">adjustment will be done to equalize perceived and expected performances. However, if the perceived performance is significantly lower than expected then </w:t>
      </w:r>
      <w:r w:rsidR="00FD5AA2">
        <w:rPr>
          <w:rFonts w:asciiTheme="majorBidi" w:hAnsiTheme="majorBidi" w:cstheme="majorBidi"/>
          <w:sz w:val="24"/>
          <w:szCs w:val="24"/>
        </w:rPr>
        <w:t xml:space="preserve">an </w:t>
      </w:r>
      <w:r>
        <w:rPr>
          <w:rFonts w:asciiTheme="majorBidi" w:hAnsiTheme="majorBidi" w:cstheme="majorBidi"/>
          <w:sz w:val="24"/>
          <w:szCs w:val="24"/>
        </w:rPr>
        <w:t xml:space="preserve">adjustment will occur to magnify all the negativity and dissatisfaction towards the product or service.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It is vital not to confuse customer satisfaction with </w:t>
      </w:r>
      <w:r w:rsidR="00FD5AA2">
        <w:rPr>
          <w:rFonts w:asciiTheme="majorBidi" w:hAnsiTheme="majorBidi" w:cstheme="majorBidi"/>
          <w:sz w:val="24"/>
          <w:szCs w:val="24"/>
        </w:rPr>
        <w:t xml:space="preserve">the </w:t>
      </w:r>
      <w:r>
        <w:rPr>
          <w:rFonts w:asciiTheme="majorBidi" w:hAnsiTheme="majorBidi" w:cstheme="majorBidi"/>
          <w:sz w:val="24"/>
          <w:szCs w:val="24"/>
        </w:rPr>
        <w:t>quality product even though the two have been proved to be highly correlated in most of the literature. Customer satisfaction is not exclusively dependent on the quality of the product as there are other factors such as branding and loyalty that can come into play. This would divide satisfaction into two distinct categories. It can be subjective in the sense it depends on the customer</w:t>
      </w:r>
      <w:r w:rsidR="00FD5AA2">
        <w:rPr>
          <w:rFonts w:asciiTheme="majorBidi" w:hAnsiTheme="majorBidi" w:cstheme="majorBidi"/>
          <w:sz w:val="24"/>
          <w:szCs w:val="24"/>
        </w:rPr>
        <w:t>’s</w:t>
      </w:r>
      <w:r>
        <w:rPr>
          <w:rFonts w:asciiTheme="majorBidi" w:hAnsiTheme="majorBidi" w:cstheme="majorBidi"/>
          <w:sz w:val="24"/>
          <w:szCs w:val="24"/>
        </w:rPr>
        <w:t xml:space="preserve"> needs or expectations. The second is an objective aspect where the qualifications of the product or service are the main contributing factors. The measurement of the quality of the product is determined by the expectations of the clients. Even if the product does not outperform, it would not cause any dissatisfaction if it operates within the scope the customers expect it to do.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2.2.3.1 Satisfaction in Banks </w:t>
      </w:r>
    </w:p>
    <w:p w:rsidR="00493E4F" w:rsidRDefault="00493E4F" w:rsidP="00FD5AA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focus of this study is banks, so it is required to understand the particularities involved in this issue. The banking sector is a highly competitive medium, so banks rely on providing premium quality services to appeal to their clients and maintain their presence in the marketplace (Murugiah &amp; Akgam, 2015). Since there are no tangible physical products in the banking industry, customer loyalty is the backbone of success for banks that need to retain as </w:t>
      </w:r>
      <w:r w:rsidR="00FD5AA2">
        <w:rPr>
          <w:rFonts w:asciiTheme="majorBidi" w:hAnsiTheme="majorBidi" w:cstheme="majorBidi"/>
          <w:sz w:val="24"/>
          <w:szCs w:val="24"/>
        </w:rPr>
        <w:t>man</w:t>
      </w:r>
      <w:r>
        <w:rPr>
          <w:rFonts w:asciiTheme="majorBidi" w:hAnsiTheme="majorBidi" w:cstheme="majorBidi"/>
          <w:sz w:val="24"/>
          <w:szCs w:val="24"/>
        </w:rPr>
        <w:t xml:space="preserve"> clients as possible for increasing their revenues (Duncan &amp; Elliot, 2004). Furthermore, banks basically provide the same array of services, so they need to provide further incentives or upgrade their </w:t>
      </w:r>
      <w:r>
        <w:rPr>
          <w:rFonts w:asciiTheme="majorBidi" w:hAnsiTheme="majorBidi" w:cstheme="majorBidi"/>
          <w:sz w:val="24"/>
          <w:szCs w:val="24"/>
        </w:rPr>
        <w:lastRenderedPageBreak/>
        <w:t xml:space="preserve">quality of delivery if they want to differentiate themselves from competitors (Ozatac et al., 2016).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Customer satisfaction in banking is similar to many other sectors (Bena, 2010; Chocholakova et al., 2016). Even in the modern age, customers still want to have access to personal and courteous interactions with staff. They also expect a prompt execution of all the services without having to wait for long lengths of time whether it is in person or online. This means that the staff needs to be well-trained and have high communication skills. They should be able to respond promptly and effectively to any complaints that they may receive to resolve any emergencies and/or issues. This also means that the banking services need to be accessible at reasonable hours for human contact as well as a powerful online presence for online banking services. And finally, the bank needs to offer competitive prices and financial incentives for clients to keep them loyal. Even though the last f</w:t>
      </w:r>
      <w:r w:rsidR="00FD5AA2">
        <w:rPr>
          <w:rFonts w:asciiTheme="majorBidi" w:hAnsiTheme="majorBidi" w:cstheme="majorBidi"/>
          <w:sz w:val="24"/>
          <w:szCs w:val="24"/>
        </w:rPr>
        <w:t>actor is not necessarily a deal-</w:t>
      </w:r>
      <w:r>
        <w:rPr>
          <w:rFonts w:asciiTheme="majorBidi" w:hAnsiTheme="majorBidi" w:cstheme="majorBidi"/>
          <w:sz w:val="24"/>
          <w:szCs w:val="24"/>
        </w:rPr>
        <w:t xml:space="preserve">breaker within reason when there is a strong sense of loyalty, it is also advisable to have as many attractive factors as possible.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2.2.3.2 </w:t>
      </w:r>
      <w:r w:rsidR="006662A0">
        <w:rPr>
          <w:rFonts w:asciiTheme="majorBidi" w:hAnsiTheme="majorBidi" w:cstheme="majorBidi"/>
          <w:sz w:val="24"/>
          <w:szCs w:val="24"/>
        </w:rPr>
        <w:t xml:space="preserve">Major </w:t>
      </w:r>
      <w:r>
        <w:rPr>
          <w:rFonts w:asciiTheme="majorBidi" w:hAnsiTheme="majorBidi" w:cstheme="majorBidi"/>
          <w:sz w:val="24"/>
          <w:szCs w:val="24"/>
        </w:rPr>
        <w:t xml:space="preserve">Theories in Customer Satisfaction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2.2.3.2.1 The Theory of Assimilation </w:t>
      </w:r>
    </w:p>
    <w:p w:rsidR="00FD5AA2" w:rsidRDefault="00493E4F" w:rsidP="00DE3DB0">
      <w:pPr>
        <w:spacing w:line="360" w:lineRule="auto"/>
        <w:jc w:val="both"/>
        <w:rPr>
          <w:rFonts w:asciiTheme="majorBidi" w:hAnsiTheme="majorBidi" w:cstheme="majorBidi"/>
          <w:sz w:val="24"/>
          <w:szCs w:val="24"/>
        </w:rPr>
      </w:pPr>
      <w:r>
        <w:rPr>
          <w:rFonts w:asciiTheme="majorBidi" w:hAnsiTheme="majorBidi" w:cstheme="majorBidi"/>
          <w:sz w:val="24"/>
          <w:szCs w:val="24"/>
        </w:rPr>
        <w:t>This theory is related to the post-purchase experience of any item or service. When a client buys a certain item or acquires</w:t>
      </w:r>
      <w:r w:rsidR="00FD5AA2">
        <w:rPr>
          <w:rFonts w:asciiTheme="majorBidi" w:hAnsiTheme="majorBidi" w:cstheme="majorBidi"/>
          <w:sz w:val="24"/>
          <w:szCs w:val="24"/>
        </w:rPr>
        <w:t xml:space="preserve"> a</w:t>
      </w:r>
      <w:r>
        <w:rPr>
          <w:rFonts w:asciiTheme="majorBidi" w:hAnsiTheme="majorBidi" w:cstheme="majorBidi"/>
          <w:sz w:val="24"/>
          <w:szCs w:val="24"/>
        </w:rPr>
        <w:t xml:space="preserve"> service, this action happens with a number of expectations about the performance. When these expectations are not fulfilled, there will be a sense of dissonance as portrayed by Festinger’s (11957) theory of dissonance which forms the basis of the theory of assimilation. To avoid the discomfort and disappoint</w:t>
      </w:r>
      <w:r w:rsidR="00FD5AA2">
        <w:rPr>
          <w:rFonts w:asciiTheme="majorBidi" w:hAnsiTheme="majorBidi" w:cstheme="majorBidi"/>
          <w:sz w:val="24"/>
          <w:szCs w:val="24"/>
        </w:rPr>
        <w:t>ment</w:t>
      </w:r>
      <w:r>
        <w:rPr>
          <w:rFonts w:asciiTheme="majorBidi" w:hAnsiTheme="majorBidi" w:cstheme="majorBidi"/>
          <w:sz w:val="24"/>
          <w:szCs w:val="24"/>
        </w:rPr>
        <w:t xml:space="preserve"> that a customer might feel because of this disparity, they are willing to adjust. This adjustment can happen by either lowering their expectations of the delivery of the product or service, or they try to minimize the discomfort they feel as a result of the product or service delivery (Isac &amp; Rusu, 2014). In the case of our study, clients would have to become more realistic about the unforeseen circumstances that have recently occurred, so these banks will need some time to adjust and provide better services. So it would be more constructive if clients tried to lower their standards for a length of time. </w:t>
      </w:r>
    </w:p>
    <w:p w:rsidR="00FD5AA2" w:rsidRDefault="00FD5AA2"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2.2.3.2.2 The Theory of Contrast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This theory also focused on post-purchase evaluation, but it is explained as “</w:t>
      </w:r>
      <w:r w:rsidRPr="000148C4">
        <w:rPr>
          <w:rFonts w:asciiTheme="majorBidi" w:hAnsiTheme="majorBidi" w:cstheme="majorBidi"/>
          <w:sz w:val="24"/>
          <w:szCs w:val="24"/>
        </w:rPr>
        <w:t>post-usage evaluations lead to results in opposite predictions for the effects of expectations on satisfaction</w:t>
      </w:r>
      <w:r>
        <w:rPr>
          <w:rFonts w:asciiTheme="majorBidi" w:hAnsiTheme="majorBidi" w:cstheme="majorBidi"/>
          <w:sz w:val="24"/>
          <w:szCs w:val="24"/>
        </w:rPr>
        <w:t>” (Cardozo, 1965). This theory talks about another mode of adjustment that clients would use to minimize the discrepancy they experience between the statements of the advertisement and their perception. They would try to normalize their disappointment by reasoning that they had some unrealistic expectation</w:t>
      </w:r>
      <w:r w:rsidR="00DE7861">
        <w:rPr>
          <w:rFonts w:asciiTheme="majorBidi" w:hAnsiTheme="majorBidi" w:cstheme="majorBidi"/>
          <w:sz w:val="24"/>
          <w:szCs w:val="24"/>
        </w:rPr>
        <w:t>s</w:t>
      </w:r>
      <w:r>
        <w:rPr>
          <w:rFonts w:asciiTheme="majorBidi" w:hAnsiTheme="majorBidi" w:cstheme="majorBidi"/>
          <w:sz w:val="24"/>
          <w:szCs w:val="24"/>
        </w:rPr>
        <w:t xml:space="preserve"> that were not originally promised by the product or service. The theory talks about two possible scenarios (Vavra, 1997). If the firm exaggerates the satisfaction that can be obtained from their products, then the customers will be underwhelmed and feel disappointed. On the other hand, if the firm downplays the satisfaction that can be made from using their products or services, the clients will be more likely to feel a high level of satisfaction. This will require Lebanese banks to be truthful about their capabilities to deal with the situation. They need to tell the public that they cannot successively deal with the challenges that are facing so that the public can become more understanding and sympathetic with the banks which would add to the level of satisfaction of said clients.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2.2.3.2.3 The Theory of Assimilation-Contrast </w:t>
      </w:r>
    </w:p>
    <w:p w:rsidR="00DE7861" w:rsidRDefault="00493E4F" w:rsidP="00E3562E">
      <w:pPr>
        <w:spacing w:line="360" w:lineRule="auto"/>
        <w:jc w:val="both"/>
        <w:rPr>
          <w:rFonts w:asciiTheme="majorBidi" w:hAnsiTheme="majorBidi" w:cstheme="majorBidi"/>
          <w:sz w:val="24"/>
          <w:szCs w:val="24"/>
        </w:rPr>
      </w:pPr>
      <w:r>
        <w:rPr>
          <w:rFonts w:asciiTheme="majorBidi" w:hAnsiTheme="majorBidi" w:cstheme="majorBidi"/>
          <w:sz w:val="24"/>
          <w:szCs w:val="24"/>
        </w:rPr>
        <w:t>This theory merged the first two theories into an amalgamation that stated</w:t>
      </w:r>
      <w:r w:rsidR="00DE7861">
        <w:rPr>
          <w:rFonts w:asciiTheme="majorBidi" w:hAnsiTheme="majorBidi" w:cstheme="majorBidi"/>
          <w:sz w:val="24"/>
          <w:szCs w:val="24"/>
        </w:rPr>
        <w:t>:</w:t>
      </w:r>
      <w:r>
        <w:rPr>
          <w:rFonts w:asciiTheme="majorBidi" w:hAnsiTheme="majorBidi" w:cstheme="majorBidi"/>
          <w:sz w:val="24"/>
          <w:szCs w:val="24"/>
        </w:rPr>
        <w:t xml:space="preserve"> “</w:t>
      </w:r>
      <w:r w:rsidRPr="00F93A83">
        <w:rPr>
          <w:rFonts w:asciiTheme="majorBidi" w:hAnsiTheme="majorBidi" w:cstheme="majorBidi"/>
          <w:sz w:val="24"/>
          <w:szCs w:val="24"/>
        </w:rPr>
        <w:t>satisfaction is a function of the magnitude of the discrepancy between expected and perceived performance</w:t>
      </w:r>
      <w:r>
        <w:rPr>
          <w:rFonts w:asciiTheme="majorBidi" w:hAnsiTheme="majorBidi" w:cstheme="majorBidi"/>
          <w:sz w:val="24"/>
          <w:szCs w:val="24"/>
        </w:rPr>
        <w:t>” (Isac &amp; Rusu, 2014)</w:t>
      </w:r>
      <w:r w:rsidRPr="00F93A83">
        <w:rPr>
          <w:rFonts w:asciiTheme="majorBidi" w:hAnsiTheme="majorBidi" w:cstheme="majorBidi"/>
          <w:sz w:val="24"/>
          <w:szCs w:val="24"/>
        </w:rPr>
        <w:t>.</w:t>
      </w:r>
      <w:r>
        <w:rPr>
          <w:rFonts w:asciiTheme="majorBidi" w:hAnsiTheme="majorBidi" w:cstheme="majorBidi"/>
          <w:sz w:val="24"/>
          <w:szCs w:val="24"/>
        </w:rPr>
        <w:t xml:space="preserve"> This is translated by the idea that acceptance and rejection of the produc</w:t>
      </w:r>
      <w:r w:rsidR="00DE7861">
        <w:rPr>
          <w:rFonts w:asciiTheme="majorBidi" w:hAnsiTheme="majorBidi" w:cstheme="majorBidi"/>
          <w:sz w:val="24"/>
          <w:szCs w:val="24"/>
        </w:rPr>
        <w:t>t or service more or less hinge</w:t>
      </w:r>
      <w:r>
        <w:rPr>
          <w:rFonts w:asciiTheme="majorBidi" w:hAnsiTheme="majorBidi" w:cstheme="majorBidi"/>
          <w:sz w:val="24"/>
          <w:szCs w:val="24"/>
        </w:rPr>
        <w:t xml:space="preserve"> on how clients can use the adjustment of the assimilation theory provided that the discrepancy described in the contrast theory is small or minimal. In other words, if the product is only slightly underperforming, clients would be willing to adjust and accept the product with an adequate amount of satisfaction. This provides a good fit for the study because if the banks were forthright about their underperformance, clients would be more capable of adjusting their expectations to attain more satisfaction. </w:t>
      </w:r>
    </w:p>
    <w:p w:rsidR="00DE3DB0" w:rsidRDefault="00DE3DB0" w:rsidP="00E3562E">
      <w:pPr>
        <w:spacing w:line="360" w:lineRule="auto"/>
        <w:jc w:val="both"/>
        <w:rPr>
          <w:rFonts w:asciiTheme="majorBidi" w:hAnsiTheme="majorBidi" w:cstheme="majorBidi"/>
          <w:sz w:val="24"/>
          <w:szCs w:val="24"/>
        </w:rPr>
      </w:pPr>
    </w:p>
    <w:p w:rsidR="00DE3DB0" w:rsidRDefault="00DE3DB0" w:rsidP="00E3562E">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2.2.3.2.4 The Theory of Negativity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theory talks about the negative feelings that the client will feel when the product or service deviates from the perceived level of performance that was expected based on the advertisement or information provided before the purchase. It suggests that it does not matter if the product underperforms or performs beyond expectation because the client will feel a “negative energy” from these unexpected results (Peyton et al., 2003). This is something that Lebanese banks should consider because clients have been disappointed with the performance and developed a level of antagonism towards the banks.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2.2.3.2.5 The Theory of Hypothesis Testing </w:t>
      </w:r>
    </w:p>
    <w:p w:rsidR="00493E4F" w:rsidRDefault="00493E4F" w:rsidP="00DE786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theory divides the process of obtaining satisfaction into two parts. The first </w:t>
      </w:r>
      <w:r w:rsidR="00DE7861">
        <w:rPr>
          <w:rFonts w:asciiTheme="majorBidi" w:hAnsiTheme="majorBidi" w:cstheme="majorBidi"/>
          <w:sz w:val="24"/>
          <w:szCs w:val="24"/>
        </w:rPr>
        <w:t>is</w:t>
      </w:r>
      <w:r>
        <w:rPr>
          <w:rFonts w:asciiTheme="majorBidi" w:hAnsiTheme="majorBidi" w:cstheme="majorBidi"/>
          <w:sz w:val="24"/>
          <w:szCs w:val="24"/>
        </w:rPr>
        <w:t xml:space="preserve"> the advertisements that will play an essential role in creating the perceived satisfaction that the product is expected to generate. The second part happens after purchase when customers will evaluate their experience based on the information they have received. The clients will be more</w:t>
      </w:r>
      <w:r w:rsidR="00DE7861">
        <w:rPr>
          <w:rFonts w:asciiTheme="majorBidi" w:hAnsiTheme="majorBidi" w:cstheme="majorBidi"/>
          <w:sz w:val="24"/>
          <w:szCs w:val="24"/>
        </w:rPr>
        <w:t xml:space="preserve"> likely to try to adjust to having</w:t>
      </w:r>
      <w:r>
        <w:rPr>
          <w:rFonts w:asciiTheme="majorBidi" w:hAnsiTheme="majorBidi" w:cstheme="majorBidi"/>
          <w:sz w:val="24"/>
          <w:szCs w:val="24"/>
        </w:rPr>
        <w:t xml:space="preserve"> a favorable impression rather than a negative one (Vavra, 1997). So if Lebanese banks are more realistic about the quality of services they can provide during these times, they might be able to have more satisfied and understanding clients.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2.2.3.2.6 The Cognitive Dissonance Theory</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theory is caused by clients experiencing an uncomfortable feeling when they experience two contradictory ideas at the same time. They will try to resolve these feelings by changing their attitudes and behaviors in a rational way that fits reality (Festinger, 1957).  This theory is especially true when customers experience buyer’s regret when the purchase made causes uncomfortable feelings that lead to dissatisfaction. While this theory is interesting, it might not be applicable in this case because of the anger and resentment that the Lebanese public currently has for banks.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2.2.3.2.7 The Equity Theory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theory suggests that the satisfaction an “investor” should feel should be equal to or greater than what he/she has invested in the product or service (Athiyaman, 2004). It states that a client will feel dissatisfied if the experience he/she feels does not rise to the amount of emotional and financial investment that was put in. The theory addresses the imbalance between what the client feels regarding the experience he/she went through and what they had expected before making the purchase. While this theory is interesting, it might not hold much merit in reality because it involves physical purchases while this study is concerned with a service.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It is difficult to definitively choose one theory in the case of Lebanese banks because of the contrast of the past and present states of the market. Lebanese banks used to have high approval among the consumers, so it can be logical to gravitate towards a theory that wants to reach a positive compromise between expectations and reality. However, the extreme deterioration of the relationship between the Lebanese public and the Lebanese banking sector has created much controversy that will more likely make the clients have a natural inclination for distrust and negativity. Based on these assumptions, the theories that best fit this study would be the Negative Theory, Hypothesis Testing Theory, and Assimilation-Contrast Theory.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2.2.4 Models of Customer Satisfaction Measurements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final part of the literature review will go over the various models that have been used to measure customer satisfaction especially those that are involved with criteria that determine satisfaction in any service domain.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2.2.4.1 The SERVQUAL Model </w:t>
      </w:r>
    </w:p>
    <w:p w:rsidR="00493E4F" w:rsidRDefault="00493E4F" w:rsidP="00DE786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model is heavily used in </w:t>
      </w:r>
      <w:r w:rsidR="00DE7861">
        <w:rPr>
          <w:rFonts w:asciiTheme="majorBidi" w:hAnsiTheme="majorBidi" w:cstheme="majorBidi"/>
          <w:sz w:val="24"/>
          <w:szCs w:val="24"/>
        </w:rPr>
        <w:t xml:space="preserve">the </w:t>
      </w:r>
      <w:r>
        <w:rPr>
          <w:rFonts w:asciiTheme="majorBidi" w:hAnsiTheme="majorBidi" w:cstheme="majorBidi"/>
          <w:sz w:val="24"/>
          <w:szCs w:val="24"/>
        </w:rPr>
        <w:t xml:space="preserve">hospitality and service industry. It is therefore a very well-matched model for this study because banks are considered a type of service industry. This model is made up of 22 items that will cover a number of factors that influence satisfaction (Parasuraman et al., 1988). This model was found to be most compatible with the </w:t>
      </w:r>
      <w:r>
        <w:rPr>
          <w:rFonts w:asciiTheme="majorBidi" w:hAnsiTheme="majorBidi" w:cstheme="majorBidi"/>
          <w:sz w:val="24"/>
          <w:szCs w:val="24"/>
        </w:rPr>
        <w:lastRenderedPageBreak/>
        <w:t xml:space="preserve">disconfirmation theory by Oliver (1980) </w:t>
      </w:r>
      <w:r w:rsidR="00DE7861">
        <w:rPr>
          <w:rFonts w:asciiTheme="majorBidi" w:hAnsiTheme="majorBidi" w:cstheme="majorBidi"/>
          <w:sz w:val="24"/>
          <w:szCs w:val="24"/>
        </w:rPr>
        <w:t>which</w:t>
      </w:r>
      <w:r>
        <w:rPr>
          <w:rFonts w:asciiTheme="majorBidi" w:hAnsiTheme="majorBidi" w:cstheme="majorBidi"/>
          <w:sz w:val="24"/>
          <w:szCs w:val="24"/>
        </w:rPr>
        <w:t xml:space="preserve"> talks about the differences between the expected and perceived experiences. The simplicity of the model is summarized by the rationalization that giving customers what they want will increase their satisfaction. What customers want can be more easily accessible if the provider asked the clients about their needs and preferences. This model has five main dimensions that determine its validity:</w:t>
      </w:r>
    </w:p>
    <w:p w:rsidR="00493E4F" w:rsidRDefault="00493E4F" w:rsidP="00493E4F">
      <w:pPr>
        <w:pStyle w:val="Listenabsatz"/>
        <w:numPr>
          <w:ilvl w:val="0"/>
          <w:numId w:val="2"/>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Tangibility: This refers to the physical aspect of satisfaction or the components of the service or product that the clients can physically interact with. </w:t>
      </w:r>
    </w:p>
    <w:p w:rsidR="00493E4F" w:rsidRDefault="00493E4F" w:rsidP="00493E4F">
      <w:pPr>
        <w:pStyle w:val="Listenabsatz"/>
        <w:numPr>
          <w:ilvl w:val="0"/>
          <w:numId w:val="2"/>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Reliability: This refers to the provider’s ability to always deliver a consistent and stable level of service. </w:t>
      </w:r>
    </w:p>
    <w:p w:rsidR="00493E4F" w:rsidRDefault="00493E4F" w:rsidP="00493E4F">
      <w:pPr>
        <w:pStyle w:val="Listenabsatz"/>
        <w:numPr>
          <w:ilvl w:val="0"/>
          <w:numId w:val="2"/>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Responsiveness: </w:t>
      </w:r>
      <w:r w:rsidRPr="00AC2340">
        <w:rPr>
          <w:rFonts w:asciiTheme="majorBidi" w:hAnsiTheme="majorBidi" w:cstheme="majorBidi"/>
          <w:sz w:val="24"/>
          <w:szCs w:val="24"/>
        </w:rPr>
        <w:t>It refers to the responsiveness of the provider to any emergencies, complaints, or updates that require attention.</w:t>
      </w:r>
      <w:r>
        <w:rPr>
          <w:rFonts w:asciiTheme="majorBidi" w:hAnsiTheme="majorBidi" w:cstheme="majorBidi"/>
          <w:sz w:val="24"/>
          <w:szCs w:val="24"/>
        </w:rPr>
        <w:t xml:space="preserve"> This dimension is highly affected by the employees and their willingness to provide prompt, effective, and courteous service. </w:t>
      </w:r>
    </w:p>
    <w:p w:rsidR="00493E4F" w:rsidRDefault="00493E4F" w:rsidP="00493E4F">
      <w:pPr>
        <w:pStyle w:val="Listenabsatz"/>
        <w:numPr>
          <w:ilvl w:val="0"/>
          <w:numId w:val="2"/>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Assurance: This is a fluid dimension that encompasses all the factors that will help clients feel more secure in the quality of what is being provided and that the company is willing to interact and listen. </w:t>
      </w:r>
    </w:p>
    <w:p w:rsidR="00493E4F" w:rsidRDefault="00493E4F" w:rsidP="00493E4F">
      <w:pPr>
        <w:pStyle w:val="Listenabsatz"/>
        <w:numPr>
          <w:ilvl w:val="0"/>
          <w:numId w:val="2"/>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Empathy: This last dimension is subjective. It refers to how the emotional relationship between client and provider will occur such that they are both satisfied.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2.2.4.2 The Kano Model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model was developed by Kano et al. (1996) to measure customer satisfaction. It is based on three distinct sets of attributes: basic or expected attributes, performance or spoken attributes, and surprise and delight attributes. The correlation between all three is illustrated in Fig. 2 below. </w:t>
      </w:r>
    </w:p>
    <w:p w:rsidR="00493E4F" w:rsidRDefault="00493E4F" w:rsidP="00493E4F">
      <w:pPr>
        <w:spacing w:line="360" w:lineRule="auto"/>
        <w:jc w:val="center"/>
        <w:rPr>
          <w:rFonts w:asciiTheme="majorBidi" w:hAnsiTheme="majorBidi" w:cstheme="majorBidi"/>
          <w:sz w:val="24"/>
          <w:szCs w:val="24"/>
        </w:rPr>
      </w:pPr>
      <w:r>
        <w:rPr>
          <w:noProof/>
          <w:lang w:val="de-DE" w:eastAsia="de-DE"/>
        </w:rPr>
        <w:lastRenderedPageBreak/>
        <w:drawing>
          <wp:inline distT="0" distB="0" distL="0" distR="0" wp14:anchorId="5DDE57C7" wp14:editId="35DA5931">
            <wp:extent cx="5724525" cy="2314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24525" cy="2314575"/>
                    </a:xfrm>
                    <a:prstGeom prst="rect">
                      <a:avLst/>
                    </a:prstGeom>
                  </pic:spPr>
                </pic:pic>
              </a:graphicData>
            </a:graphic>
          </wp:inline>
        </w:drawing>
      </w:r>
    </w:p>
    <w:p w:rsidR="00493E4F" w:rsidRDefault="00493E4F" w:rsidP="00493E4F">
      <w:pPr>
        <w:spacing w:line="360" w:lineRule="auto"/>
        <w:jc w:val="center"/>
        <w:rPr>
          <w:rFonts w:asciiTheme="majorBidi" w:hAnsiTheme="majorBidi" w:cstheme="majorBidi"/>
          <w:sz w:val="20"/>
          <w:szCs w:val="20"/>
        </w:rPr>
      </w:pPr>
      <w:r>
        <w:rPr>
          <w:rFonts w:asciiTheme="majorBidi" w:hAnsiTheme="majorBidi" w:cstheme="majorBidi"/>
          <w:sz w:val="20"/>
          <w:szCs w:val="20"/>
        </w:rPr>
        <w:t>Fig. 3 The Kano Model as extracted from Kano et al. (1996)</w:t>
      </w:r>
    </w:p>
    <w:p w:rsidR="00493E4F" w:rsidRDefault="00493E4F" w:rsidP="00493E4F">
      <w:pPr>
        <w:spacing w:line="360" w:lineRule="auto"/>
        <w:rPr>
          <w:rFonts w:asciiTheme="majorBidi" w:hAnsiTheme="majorBidi" w:cstheme="majorBidi"/>
          <w:sz w:val="24"/>
          <w:szCs w:val="24"/>
        </w:rPr>
      </w:pPr>
    </w:p>
    <w:p w:rsidR="00493E4F" w:rsidRDefault="00493E4F" w:rsidP="00DE7861">
      <w:pPr>
        <w:spacing w:line="360" w:lineRule="auto"/>
        <w:jc w:val="both"/>
        <w:rPr>
          <w:rFonts w:asciiTheme="majorBidi" w:hAnsiTheme="majorBidi" w:cstheme="majorBidi"/>
          <w:sz w:val="24"/>
          <w:szCs w:val="24"/>
        </w:rPr>
      </w:pPr>
      <w:r>
        <w:rPr>
          <w:rFonts w:asciiTheme="majorBidi" w:hAnsiTheme="majorBidi" w:cstheme="majorBidi"/>
          <w:sz w:val="24"/>
          <w:szCs w:val="24"/>
        </w:rPr>
        <w:t>The figure illustrates spoken attributes which are what has been advertised about the product o</w:t>
      </w:r>
      <w:r w:rsidR="00DE7861">
        <w:rPr>
          <w:rFonts w:asciiTheme="majorBidi" w:hAnsiTheme="majorBidi" w:cstheme="majorBidi"/>
          <w:sz w:val="24"/>
          <w:szCs w:val="24"/>
        </w:rPr>
        <w:t>r</w:t>
      </w:r>
      <w:r>
        <w:rPr>
          <w:rFonts w:asciiTheme="majorBidi" w:hAnsiTheme="majorBidi" w:cstheme="majorBidi"/>
          <w:sz w:val="24"/>
          <w:szCs w:val="24"/>
        </w:rPr>
        <w:t xml:space="preserve"> service, and they reflect the customer expectations. The basic attributes are the common features that are so ubiquitous that they are not worth advertising because they are expected. The other unspoken attributes are the surprise ones that reflect a level of quality that went beyond the expectations of the clients. Fulfilling the spoken attribute will enhance the degree of achievement and increase satisfaction. The basic attributes contribute to the degree of achievement, but they do not add much to the satisfaction because they are considered basic. The surprise attributes will bolster the degree of achievement to a certain degree, but it has more influence on the level of satisfaction. </w:t>
      </w:r>
    </w:p>
    <w:p w:rsidR="00493E4F" w:rsidRDefault="00493E4F" w:rsidP="00493E4F">
      <w:pPr>
        <w:spacing w:line="360" w:lineRule="auto"/>
        <w:rPr>
          <w:rFonts w:asciiTheme="majorBidi" w:hAnsiTheme="majorBidi" w:cstheme="majorBidi"/>
          <w:sz w:val="24"/>
          <w:szCs w:val="24"/>
        </w:rPr>
      </w:pPr>
      <w:r>
        <w:rPr>
          <w:rFonts w:asciiTheme="majorBidi" w:hAnsiTheme="majorBidi" w:cstheme="majorBidi"/>
          <w:sz w:val="24"/>
          <w:szCs w:val="24"/>
        </w:rPr>
        <w:t xml:space="preserve">2.2.4.3 The ACSI Model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The final model is the American Customer Satisfaction Index (ACSI) which was developed practically through extensive interviews with customers about various products and services in the United States of America. It is a cause-effect model with two sides. The causes of satisfaction are on one hand and include, among others, customer expectation, perceived quality, and the value of purchase. This will lead to satisfaction which will result in effects such as affecting customer loyalty, tolerance, emotional investment, and many more.</w:t>
      </w:r>
    </w:p>
    <w:p w:rsidR="00E3562E" w:rsidRDefault="00E3562E"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According to Vavra (1997), there are three dimensions to consider in the ACSI model:</w:t>
      </w:r>
    </w:p>
    <w:p w:rsidR="00493E4F" w:rsidRDefault="00493E4F" w:rsidP="00493E4F">
      <w:pPr>
        <w:pStyle w:val="Listenabsatz"/>
        <w:numPr>
          <w:ilvl w:val="0"/>
          <w:numId w:val="3"/>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Measurement: The process takes the subjective input given through interviews with customers and quantifies them into discernable figures that can be analyzed. </w:t>
      </w:r>
    </w:p>
    <w:p w:rsidR="00493E4F" w:rsidRDefault="00493E4F" w:rsidP="00493E4F">
      <w:pPr>
        <w:pStyle w:val="Listenabsatz"/>
        <w:numPr>
          <w:ilvl w:val="0"/>
          <w:numId w:val="3"/>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Contribution: It relates to the necessity of designing new frameworks for correlating the quality of services and products provided with the economic indicators to sustain a healthy market. </w:t>
      </w:r>
    </w:p>
    <w:p w:rsidR="00493E4F" w:rsidRDefault="00493E4F" w:rsidP="00493E4F">
      <w:pPr>
        <w:pStyle w:val="Listenabsatz"/>
        <w:numPr>
          <w:ilvl w:val="0"/>
          <w:numId w:val="3"/>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Forecasting: This final measurement will allow providers and customers to predict possible shifts in the market thus enabling them to provide the best quality on one hand and obtaining a realistic level of expectations on another hand.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All three approaches have their pros and cons. The </w:t>
      </w:r>
      <w:r w:rsidRPr="00B22D07">
        <w:rPr>
          <w:rFonts w:asciiTheme="majorBidi" w:hAnsiTheme="majorBidi" w:cstheme="majorBidi"/>
          <w:sz w:val="24"/>
          <w:szCs w:val="24"/>
        </w:rPr>
        <w:t>S</w:t>
      </w:r>
      <w:r w:rsidR="00DE7861">
        <w:rPr>
          <w:rFonts w:asciiTheme="majorBidi" w:hAnsiTheme="majorBidi" w:cstheme="majorBidi"/>
          <w:sz w:val="24"/>
          <w:szCs w:val="24"/>
        </w:rPr>
        <w:t>ERVQUAL m</w:t>
      </w:r>
      <w:r w:rsidRPr="00B22D07">
        <w:rPr>
          <w:rFonts w:asciiTheme="majorBidi" w:hAnsiTheme="majorBidi" w:cstheme="majorBidi"/>
          <w:sz w:val="24"/>
          <w:szCs w:val="24"/>
        </w:rPr>
        <w:t>odel</w:t>
      </w:r>
      <w:r>
        <w:rPr>
          <w:rFonts w:asciiTheme="majorBidi" w:hAnsiTheme="majorBidi" w:cstheme="majorBidi"/>
          <w:sz w:val="24"/>
          <w:szCs w:val="24"/>
        </w:rPr>
        <w:t xml:space="preserve"> was chosen as the most compatible methodology for two main reasons. The first reason is that this model has been specifically designed to measure </w:t>
      </w:r>
      <w:r w:rsidR="00DE7861">
        <w:rPr>
          <w:rFonts w:asciiTheme="majorBidi" w:hAnsiTheme="majorBidi" w:cstheme="majorBidi"/>
          <w:sz w:val="24"/>
          <w:szCs w:val="24"/>
        </w:rPr>
        <w:t xml:space="preserve">the </w:t>
      </w:r>
      <w:r>
        <w:rPr>
          <w:rFonts w:asciiTheme="majorBidi" w:hAnsiTheme="majorBidi" w:cstheme="majorBidi"/>
          <w:sz w:val="24"/>
          <w:szCs w:val="24"/>
        </w:rPr>
        <w:t>satisfaction of customers in the service industry which is the focus of the study. Satisfaction with products has some similarities with that with services, but they are distinct in other aspects which makes it preferable to have a model that uniquely targets services. The second reason is that it concerns the contrast between expected and perceived services. The Lebanese banking sector has long proved to be resilient and flexible to the point that it has weathered some of the most intense financial crises with minimal damages such as the case of the financial crash of 2007-2008. The Lebanese public has come to expect this level of competence which was not the case in the crisis of 2019.</w:t>
      </w:r>
    </w:p>
    <w:p w:rsidR="00A123D7" w:rsidRPr="00DE3DB0" w:rsidRDefault="00493E4F" w:rsidP="00DE3DB0">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Kano Model is a sound approach, but it does not cover the case of </w:t>
      </w:r>
      <w:r w:rsidR="00DE7861">
        <w:rPr>
          <w:rFonts w:asciiTheme="majorBidi" w:hAnsiTheme="majorBidi" w:cstheme="majorBidi"/>
          <w:sz w:val="24"/>
          <w:szCs w:val="24"/>
        </w:rPr>
        <w:t xml:space="preserve">an </w:t>
      </w:r>
      <w:r>
        <w:rPr>
          <w:rFonts w:asciiTheme="majorBidi" w:hAnsiTheme="majorBidi" w:cstheme="majorBidi"/>
          <w:sz w:val="24"/>
          <w:szCs w:val="24"/>
        </w:rPr>
        <w:t>unexpected and undesirable sequence of events. There is no indication that the model will account for the backlash that the Lebanese public is facing. The surprise element in the Kano Model is when a product exceeds expectations which is the opposite in this case. Furthermore, the model covers products and services which means it lacks the specificity o</w:t>
      </w:r>
      <w:r w:rsidR="00DE7861">
        <w:rPr>
          <w:rFonts w:asciiTheme="majorBidi" w:hAnsiTheme="majorBidi" w:cstheme="majorBidi"/>
          <w:sz w:val="24"/>
          <w:szCs w:val="24"/>
        </w:rPr>
        <w:t>f the SERVQUAL Model. The ACSI m</w:t>
      </w:r>
      <w:r>
        <w:rPr>
          <w:rFonts w:asciiTheme="majorBidi" w:hAnsiTheme="majorBidi" w:cstheme="majorBidi"/>
          <w:sz w:val="24"/>
          <w:szCs w:val="24"/>
        </w:rPr>
        <w:t xml:space="preserve">odel was also not chosen because it depends on the criteria of the American consumer which makes it difficult to make the projection that it would apply in Lebanon since the two countries are historically different. </w:t>
      </w:r>
    </w:p>
    <w:p w:rsidR="00B64187" w:rsidRDefault="00B64187" w:rsidP="00E3562E">
      <w:pPr>
        <w:spacing w:line="480" w:lineRule="auto"/>
        <w:rPr>
          <w:rFonts w:asciiTheme="majorBidi" w:hAnsiTheme="majorBidi" w:cstheme="majorBidi"/>
          <w:b/>
          <w:bCs/>
          <w:sz w:val="28"/>
          <w:szCs w:val="28"/>
        </w:rPr>
      </w:pPr>
    </w:p>
    <w:p w:rsidR="00493E4F" w:rsidRPr="00E3562E" w:rsidRDefault="001D67DD" w:rsidP="00E3562E">
      <w:pPr>
        <w:spacing w:line="480" w:lineRule="auto"/>
        <w:rPr>
          <w:rFonts w:asciiTheme="majorBidi" w:hAnsiTheme="majorBidi" w:cstheme="majorBidi"/>
          <w:b/>
          <w:bCs/>
          <w:sz w:val="28"/>
          <w:szCs w:val="28"/>
        </w:rPr>
      </w:pPr>
      <w:r w:rsidRPr="001D67DD">
        <w:rPr>
          <w:rFonts w:asciiTheme="majorBidi" w:hAnsiTheme="majorBidi" w:cstheme="majorBidi"/>
          <w:b/>
          <w:bCs/>
          <w:sz w:val="28"/>
          <w:szCs w:val="28"/>
        </w:rPr>
        <w:lastRenderedPageBreak/>
        <w:t xml:space="preserve">Chapter 3: </w:t>
      </w:r>
      <w:r>
        <w:rPr>
          <w:rFonts w:asciiTheme="majorBidi" w:hAnsiTheme="majorBidi" w:cstheme="majorBidi"/>
          <w:b/>
          <w:bCs/>
          <w:sz w:val="28"/>
          <w:szCs w:val="28"/>
        </w:rPr>
        <w:t xml:space="preserve">Research </w:t>
      </w:r>
      <w:r w:rsidRPr="001D67DD">
        <w:rPr>
          <w:rFonts w:asciiTheme="majorBidi" w:hAnsiTheme="majorBidi" w:cstheme="majorBidi"/>
          <w:b/>
          <w:bCs/>
          <w:sz w:val="28"/>
          <w:szCs w:val="28"/>
        </w:rPr>
        <w:t xml:space="preserve">Methodology </w:t>
      </w:r>
    </w:p>
    <w:p w:rsidR="00493E4F" w:rsidRDefault="00493E4F" w:rsidP="00E3562E">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section is going to cover the previous studies that have discussed the focus of this thesis locally and internationally. It will then provide hypotheses based on these findings. The methods of collecting data, sampling, and data analysis will also be discussed in the following section.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3.1 Hypothesis Development </w:t>
      </w:r>
    </w:p>
    <w:p w:rsidR="00493E4F" w:rsidRDefault="00493E4F" w:rsidP="00DE786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Before exploring the previous studies, it is helpful to explain and define the main criteria that have affected customer satisfaction of e-banking. Bias is a natural inclination for consumers to positively rate or evaluate the products and services they use (Park et al., 2016). Customers are skewed to giving positive reviews and being bias because they correlate to the products and services they choose. In essence, giving bad reviews or having negative feelings about their options means that they made the wrong choices. This will cement a sense of loyalty for </w:t>
      </w:r>
      <w:r w:rsidR="00DE7861">
        <w:rPr>
          <w:rFonts w:asciiTheme="majorBidi" w:hAnsiTheme="majorBidi" w:cstheme="majorBidi"/>
          <w:sz w:val="24"/>
          <w:szCs w:val="24"/>
        </w:rPr>
        <w:t xml:space="preserve">the </w:t>
      </w:r>
      <w:r>
        <w:rPr>
          <w:rFonts w:asciiTheme="majorBidi" w:hAnsiTheme="majorBidi" w:cstheme="majorBidi"/>
          <w:sz w:val="24"/>
          <w:szCs w:val="24"/>
        </w:rPr>
        <w:t xml:space="preserve">brand or institute which would see them defending these outlets instead of attacking them unless there are extreme circumstances (Bjork, 2015).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Ethics is another essential aspect to consider especially with the moral de</w:t>
      </w:r>
      <w:r w:rsidR="00DE7861">
        <w:rPr>
          <w:rFonts w:asciiTheme="majorBidi" w:hAnsiTheme="majorBidi" w:cstheme="majorBidi"/>
          <w:sz w:val="24"/>
          <w:szCs w:val="24"/>
        </w:rPr>
        <w:t xml:space="preserve">gradation brought forth by </w:t>
      </w:r>
      <w:r w:rsidR="004F1E96">
        <w:rPr>
          <w:rFonts w:asciiTheme="majorBidi" w:hAnsiTheme="majorBidi" w:cstheme="majorBidi"/>
          <w:sz w:val="24"/>
          <w:szCs w:val="24"/>
        </w:rPr>
        <w:t>down regulation</w:t>
      </w:r>
      <w:r>
        <w:rPr>
          <w:rFonts w:asciiTheme="majorBidi" w:hAnsiTheme="majorBidi" w:cstheme="majorBidi"/>
          <w:sz w:val="24"/>
          <w:szCs w:val="24"/>
        </w:rPr>
        <w:t xml:space="preserve"> that is typical of the working environment (Tolba et al., 2015). The banking market is very fierce to the point that it might always be plausible for banks to compete based on price alone. It thus becomes the social responsibility of banks to uphold high ethical behavior (Belas, 2012). Ethical behavior in banking means that the staff</w:t>
      </w:r>
      <w:r w:rsidR="004F1E96">
        <w:rPr>
          <w:rFonts w:asciiTheme="majorBidi" w:hAnsiTheme="majorBidi" w:cstheme="majorBidi"/>
          <w:sz w:val="24"/>
          <w:szCs w:val="24"/>
        </w:rPr>
        <w:t>’s</w:t>
      </w:r>
      <w:r>
        <w:rPr>
          <w:rFonts w:asciiTheme="majorBidi" w:hAnsiTheme="majorBidi" w:cstheme="majorBidi"/>
          <w:sz w:val="24"/>
          <w:szCs w:val="24"/>
        </w:rPr>
        <w:t xml:space="preserve"> beh</w:t>
      </w:r>
      <w:r w:rsidR="004E5E4E">
        <w:rPr>
          <w:rFonts w:asciiTheme="majorBidi" w:hAnsiTheme="majorBidi" w:cstheme="majorBidi"/>
          <w:sz w:val="24"/>
          <w:szCs w:val="24"/>
        </w:rPr>
        <w:t>avior and company culture exist</w:t>
      </w:r>
      <w:r>
        <w:rPr>
          <w:rFonts w:asciiTheme="majorBidi" w:hAnsiTheme="majorBidi" w:cstheme="majorBidi"/>
          <w:sz w:val="24"/>
          <w:szCs w:val="24"/>
        </w:rPr>
        <w:t xml:space="preserve"> to guide and offer sincere consultation for clients. It is the case when the welfare of clients takes precedence over prof</w:t>
      </w:r>
      <w:r w:rsidR="00DE7861">
        <w:rPr>
          <w:rFonts w:asciiTheme="majorBidi" w:hAnsiTheme="majorBidi" w:cstheme="majorBidi"/>
          <w:sz w:val="24"/>
          <w:szCs w:val="24"/>
        </w:rPr>
        <w:t>it with the logic that the long-</w:t>
      </w:r>
      <w:r>
        <w:rPr>
          <w:rFonts w:asciiTheme="majorBidi" w:hAnsiTheme="majorBidi" w:cstheme="majorBidi"/>
          <w:sz w:val="24"/>
          <w:szCs w:val="24"/>
        </w:rPr>
        <w:t xml:space="preserve">term commitment to the bank will provide more profitability for the bank.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Reliability has been an important issue in the recent Lebanese crisis of 2019. Reliability in banking means that the clients have come to have certain expectations of the quality of services that they expect from their banks (Iberahim et al., 2016). They used to be able to have free access to all their money as well as ease of withdrawing and moving it around. When the banks limited access to assets, there was a backlash of anger and distrust as the r</w:t>
      </w:r>
      <w:r w:rsidR="00DE7861">
        <w:rPr>
          <w:rFonts w:asciiTheme="majorBidi" w:hAnsiTheme="majorBidi" w:cstheme="majorBidi"/>
          <w:sz w:val="24"/>
          <w:szCs w:val="24"/>
        </w:rPr>
        <w:t xml:space="preserve">eliability of access they can </w:t>
      </w:r>
      <w:r>
        <w:rPr>
          <w:rFonts w:asciiTheme="majorBidi" w:hAnsiTheme="majorBidi" w:cstheme="majorBidi"/>
          <w:sz w:val="24"/>
          <w:szCs w:val="24"/>
        </w:rPr>
        <w:t xml:space="preserve"> depend on was revoked (Geldi, 2021). </w:t>
      </w:r>
    </w:p>
    <w:p w:rsidR="00493E4F" w:rsidRPr="008F7C20" w:rsidRDefault="00493E4F" w:rsidP="00493E4F">
      <w:pPr>
        <w:spacing w:line="360" w:lineRule="auto"/>
        <w:jc w:val="both"/>
        <w:rPr>
          <w:rFonts w:asciiTheme="majorBidi" w:hAnsiTheme="majorBidi" w:cstheme="majorBidi"/>
          <w:sz w:val="24"/>
          <w:szCs w:val="24"/>
        </w:rPr>
      </w:pPr>
      <w:r w:rsidRPr="008F7C20">
        <w:rPr>
          <w:rFonts w:asciiTheme="majorBidi" w:hAnsiTheme="majorBidi" w:cstheme="majorBidi"/>
          <w:sz w:val="24"/>
          <w:szCs w:val="24"/>
        </w:rPr>
        <w:lastRenderedPageBreak/>
        <w:t xml:space="preserve">There have been a number of studies that discussed e-banking in Lebanon and how accepted it has become over the years in Lebanese society. However, since the pandemic struck, a deep sense of mistrust has struck because of the extreme measures taken, so it becomes necessary to reexamine that trust. Only one study was found that had the same notion of examining customer satisfaction about e-banking, so to develop the hypotheses, studies that study acceptance and adaptation of e-banking were used. However, the scarcity of studies done on the topic in the Lebanese market is further validation of the need for this study. </w:t>
      </w:r>
    </w:p>
    <w:p w:rsidR="00493E4F" w:rsidRPr="008F7C20" w:rsidRDefault="00493E4F" w:rsidP="00493E4F">
      <w:pPr>
        <w:spacing w:line="360" w:lineRule="auto"/>
        <w:jc w:val="both"/>
        <w:rPr>
          <w:rFonts w:asciiTheme="majorBidi" w:hAnsiTheme="majorBidi" w:cstheme="majorBidi"/>
          <w:sz w:val="24"/>
          <w:szCs w:val="24"/>
        </w:rPr>
      </w:pPr>
      <w:r w:rsidRPr="008F7C20">
        <w:rPr>
          <w:rFonts w:asciiTheme="majorBidi" w:hAnsiTheme="majorBidi" w:cstheme="majorBidi"/>
          <w:sz w:val="24"/>
          <w:szCs w:val="24"/>
        </w:rPr>
        <w:t xml:space="preserve">The questionnaire of this study was based on the questionnaire given by Hammoud et al., (2018) in a study they did on the impact of e-banking on the level of satisfaction of the clients in the Lebanese banking system. The topic is very similar to the research purpose of what this paper wants to explore, and it was done recently so the information can still be considered valid. The number of participants is close to the proposed overall number of this study. So, it is possible to base the questionnaire on what Hammoud et al. (2018) proposed with certain modifications to account for the pandemic. It was the first study that correlated satisfaction and e-banking, so it is a pioneer case. In this study, 258 complete surveys were collected and analyzed. The dependent variable was the satisfaction that customers get from the e-banking services. The study validated all of its four hypotheses in its quantitative approach. Satisfaction was linked to e-banking services. Reliable e-banking services will add to customer satisfaction. Having secure and private e-banking services will contribute positively to the satisfaction of clients. The last proven hypotheses linked satisfaction with the degree of responsiveness and communication that the e-banking exhibits. </w:t>
      </w:r>
    </w:p>
    <w:p w:rsidR="00493E4F" w:rsidRPr="008F7C20" w:rsidRDefault="00493E4F" w:rsidP="00DE7861">
      <w:pPr>
        <w:spacing w:line="360" w:lineRule="auto"/>
        <w:jc w:val="both"/>
        <w:rPr>
          <w:rFonts w:asciiTheme="majorBidi" w:hAnsiTheme="majorBidi" w:cstheme="majorBidi"/>
          <w:sz w:val="24"/>
          <w:szCs w:val="24"/>
        </w:rPr>
      </w:pPr>
      <w:r w:rsidRPr="008F7C20">
        <w:rPr>
          <w:rFonts w:asciiTheme="majorBidi" w:hAnsiTheme="majorBidi" w:cstheme="majorBidi"/>
          <w:sz w:val="24"/>
          <w:szCs w:val="24"/>
        </w:rPr>
        <w:t xml:space="preserve">Another study was done by Abou Ali (2016) studied the criteria that will add to the acceptance of e-banking in Lebanon. This study wanted to explore how accepting the Lebanese public is about e-banking which is considered a new trend in the Lebanese market. The quantitative study relied on the premise that the attitude that people have will influence the intent of the behavior which will in turn influence the actual behavior. Acceptance is correlated with satisfaction since the refusal of engaging with e-banking means that customers will never know if they will be satisfied with the services. With a population sample of 384 respondents from bank holders in </w:t>
      </w:r>
      <w:r w:rsidR="00DE7861">
        <w:rPr>
          <w:rFonts w:asciiTheme="majorBidi" w:hAnsiTheme="majorBidi" w:cstheme="majorBidi"/>
          <w:sz w:val="24"/>
          <w:szCs w:val="24"/>
        </w:rPr>
        <w:t>Bek</w:t>
      </w:r>
      <w:r w:rsidRPr="008F7C20">
        <w:rPr>
          <w:rFonts w:asciiTheme="majorBidi" w:hAnsiTheme="majorBidi" w:cstheme="majorBidi"/>
          <w:sz w:val="24"/>
          <w:szCs w:val="24"/>
        </w:rPr>
        <w:t xml:space="preserve">aa, Beirut, and Joneih, the study inspected six variables that influence the acceptance: being informed about the online platforms, the perceived usefulness, the ease of navigation, the </w:t>
      </w:r>
      <w:r w:rsidRPr="008F7C20">
        <w:rPr>
          <w:rFonts w:asciiTheme="majorBidi" w:hAnsiTheme="majorBidi" w:cstheme="majorBidi"/>
          <w:sz w:val="24"/>
          <w:szCs w:val="24"/>
        </w:rPr>
        <w:lastRenderedPageBreak/>
        <w:t xml:space="preserve">enjoyment that clients receive, and the quality of the internet connection that affects the ability of customers to log on to the websites or applications. The study found that all the first factors had a significant or highly significant correlation with the acceptance of e-banking. The only one that did not </w:t>
      </w:r>
      <w:r w:rsidR="00DE7861">
        <w:rPr>
          <w:rFonts w:asciiTheme="majorBidi" w:hAnsiTheme="majorBidi" w:cstheme="majorBidi"/>
          <w:sz w:val="24"/>
          <w:szCs w:val="24"/>
        </w:rPr>
        <w:t>affect</w:t>
      </w:r>
      <w:r w:rsidRPr="008F7C20">
        <w:rPr>
          <w:rFonts w:asciiTheme="majorBidi" w:hAnsiTheme="majorBidi" w:cstheme="majorBidi"/>
          <w:sz w:val="24"/>
          <w:szCs w:val="24"/>
        </w:rPr>
        <w:t xml:space="preserve"> e-banking acceptance is the quality of the internet because the participants considered it a separate issue related more to how they get access to the Internet rather than their access to banking platforms. </w:t>
      </w:r>
    </w:p>
    <w:p w:rsidR="00493E4F" w:rsidRPr="008F7C20" w:rsidRDefault="00493E4F" w:rsidP="00493E4F">
      <w:pPr>
        <w:spacing w:line="360" w:lineRule="auto"/>
        <w:jc w:val="both"/>
        <w:rPr>
          <w:rFonts w:asciiTheme="majorBidi" w:hAnsiTheme="majorBidi" w:cstheme="majorBidi"/>
          <w:sz w:val="24"/>
          <w:szCs w:val="24"/>
        </w:rPr>
      </w:pPr>
      <w:r w:rsidRPr="008F7C20">
        <w:rPr>
          <w:rFonts w:asciiTheme="majorBidi" w:hAnsiTheme="majorBidi" w:cstheme="majorBidi"/>
          <w:sz w:val="24"/>
          <w:szCs w:val="24"/>
        </w:rPr>
        <w:t xml:space="preserve">In a similar study done by Khalek (2019), the author reexamined the adaptation of e-banking in the Lebanese market based on four dependents variables: detecting trust, privacy and security, perceived ease of use, and perceived usefulness. Adaptation is parallel to satisfaction because it indicates a readiness to accommodate e-banking as a normalized part of life which mirrors several of the theories in the satisfaction that talk about a customer’s willingness to adapt to the experience and being content. The study was based on a model called the Technology Acceptance Model (TAM) that is specifically designed to examine the effect of criteria of the acceptance of information systems. The author used a quantitative questionnaire to gather 100 complete respondents and analyzed the results. The study found that males are more likely to use e-banking than females because Lebanon is still a conservative society in many ways where males are more involved in the financial aspect of things. Another surprising finding is that the author found no positive correlation between trust and the adaptation of e-banking, but the other three factors of privacy and security, perceived ease of use, and perceived usefulness all had a positive impact on the adaptation of e-banking in the Lebanese market. Furthermore, half of those with bank accounts created an e-account that is used for keeping track of their assets as a primary objective and for paying bills, managing funds, and ordering checkbooks as secondary objectives. </w:t>
      </w:r>
    </w:p>
    <w:p w:rsidR="00493E4F" w:rsidRPr="008F7C20" w:rsidRDefault="00493E4F" w:rsidP="00493E4F">
      <w:pPr>
        <w:spacing w:line="360" w:lineRule="auto"/>
        <w:jc w:val="both"/>
        <w:rPr>
          <w:rFonts w:asciiTheme="majorBidi" w:hAnsiTheme="majorBidi" w:cstheme="majorBidi"/>
          <w:sz w:val="24"/>
          <w:szCs w:val="24"/>
        </w:rPr>
      </w:pPr>
      <w:r w:rsidRPr="008F7C20">
        <w:rPr>
          <w:rFonts w:asciiTheme="majorBidi" w:hAnsiTheme="majorBidi" w:cstheme="majorBidi"/>
          <w:sz w:val="24"/>
          <w:szCs w:val="24"/>
        </w:rPr>
        <w:t xml:space="preserve">Since there were no similar studies in Lebanon about the topic of customer satisfaction during COVID-19, it is useful to expand to other markets in emerging financial markets to expand on the hypotheses. Baicu et al. (2020) studied the effect of COVID-19 on the overall behavior of customers in retail banking using TAM in Romania. The quantitative questionnaire yielded 738 valid responses that showed a dramatic decrease in physical visits of banks where 58% claimed to have never done so since the beginning of the pandemic. The participants embraced technology and more than 85% had trust in the banks and their performance. They are willing to </w:t>
      </w:r>
      <w:r w:rsidRPr="008F7C20">
        <w:rPr>
          <w:rFonts w:asciiTheme="majorBidi" w:hAnsiTheme="majorBidi" w:cstheme="majorBidi"/>
          <w:sz w:val="24"/>
          <w:szCs w:val="24"/>
        </w:rPr>
        <w:lastRenderedPageBreak/>
        <w:t xml:space="preserve">engage in e-banking even though they showed no interest in safety as the results showed a direct but negative influence of security on the engagement of mobile services. The study showed a willingness to trust e-banking as a means of facilitating their banking experience which provides more dimensions for Romanian banks. </w:t>
      </w:r>
    </w:p>
    <w:p w:rsidR="00493E4F" w:rsidRPr="008F7C20" w:rsidRDefault="00493E4F" w:rsidP="00493E4F">
      <w:pPr>
        <w:spacing w:line="360" w:lineRule="auto"/>
        <w:jc w:val="both"/>
        <w:rPr>
          <w:rFonts w:asciiTheme="majorBidi" w:hAnsiTheme="majorBidi" w:cstheme="majorBidi"/>
          <w:sz w:val="24"/>
          <w:szCs w:val="24"/>
        </w:rPr>
      </w:pPr>
      <w:r w:rsidRPr="008F7C20">
        <w:rPr>
          <w:rFonts w:asciiTheme="majorBidi" w:hAnsiTheme="majorBidi" w:cstheme="majorBidi"/>
          <w:sz w:val="24"/>
          <w:szCs w:val="24"/>
        </w:rPr>
        <w:t xml:space="preserve">Ketema and W/Selassie (2020) conducted a study that addressed the impact of mobile banking on customer satisfaction during the COVID-19 pandemic in Ethiopia. Although mobile banking is still in its infancy in Ethiopia due to the challenging economy of the African nation, it still presented itself as a useful and safe alternative during the pandemic. 240 complete quantitative questionnaires were collected and analyzed the data by using the SERQUAL model. Reliability and ease of usage had a positive impact on satisfaction. As with the previous study, security did not have much of an impact on satisfaction which could suggest that there are still gaps in the knowledge of e-banking in such emerging financial markets. Efficiency, responsiveness, and empathy also had a positive impact but to a lesser extent than reliability and ease of usage. </w:t>
      </w:r>
    </w:p>
    <w:p w:rsidR="00493E4F" w:rsidRPr="008F7C20" w:rsidRDefault="00493E4F" w:rsidP="00E3562E">
      <w:pPr>
        <w:spacing w:line="360" w:lineRule="auto"/>
        <w:jc w:val="both"/>
        <w:rPr>
          <w:rFonts w:asciiTheme="majorBidi" w:hAnsiTheme="majorBidi" w:cstheme="majorBidi"/>
          <w:sz w:val="24"/>
          <w:szCs w:val="24"/>
        </w:rPr>
      </w:pPr>
      <w:r w:rsidRPr="008F7C20">
        <w:rPr>
          <w:rFonts w:asciiTheme="majorBidi" w:hAnsiTheme="majorBidi" w:cstheme="majorBidi"/>
          <w:sz w:val="24"/>
          <w:szCs w:val="24"/>
        </w:rPr>
        <w:t xml:space="preserve">A final study by Ul Haq and Awan (2020) conducted quantitative exploratory research based on a survey about customer satisfaction and e-loyalty during the COVID-19 pandemic in Pakistan. The analysis was performed using 976 respondents, and it showed that reliability and website design had the most significant positive impacts on e-loyalty and satisfaction. Privacy, security, and a sense of loyalty were all positively correlated to satisfaction. Unlike the two previous studies, the Pakistani users were influenced by the notions of security which makes sense since they are more technologically adept as shown in the study. The authors recommended using these criteria to expand on e-banking to retain customer satisfaction. </w:t>
      </w:r>
      <w:r w:rsidR="00E3562E">
        <w:rPr>
          <w:rFonts w:asciiTheme="majorBidi" w:hAnsiTheme="majorBidi" w:cstheme="majorBidi"/>
          <w:sz w:val="24"/>
          <w:szCs w:val="24"/>
        </w:rPr>
        <w:br/>
      </w:r>
      <w:r w:rsidRPr="008F7C20">
        <w:rPr>
          <w:rFonts w:asciiTheme="majorBidi" w:hAnsiTheme="majorBidi" w:cstheme="majorBidi"/>
          <w:sz w:val="24"/>
          <w:szCs w:val="24"/>
        </w:rPr>
        <w:t xml:space="preserve">By considering all of the above studies, certain hypotheses can be extrapolated that will, later on, be analyzed according to the obtained data. </w:t>
      </w:r>
    </w:p>
    <w:p w:rsidR="00493E4F" w:rsidRPr="008F7C20"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H</w:t>
      </w:r>
      <w:r>
        <w:rPr>
          <w:rFonts w:asciiTheme="majorBidi" w:hAnsiTheme="majorBidi" w:cstheme="majorBidi"/>
          <w:sz w:val="24"/>
          <w:szCs w:val="24"/>
          <w:vertAlign w:val="subscript"/>
        </w:rPr>
        <w:t>1</w:t>
      </w:r>
      <w:r w:rsidR="003000F2">
        <w:rPr>
          <w:rFonts w:asciiTheme="majorBidi" w:hAnsiTheme="majorBidi" w:cstheme="majorBidi"/>
          <w:sz w:val="24"/>
          <w:szCs w:val="24"/>
        </w:rPr>
        <w:t>: T</w:t>
      </w:r>
      <w:r w:rsidRPr="008F7C20">
        <w:rPr>
          <w:rFonts w:asciiTheme="majorBidi" w:hAnsiTheme="majorBidi" w:cstheme="majorBidi"/>
          <w:sz w:val="24"/>
          <w:szCs w:val="24"/>
        </w:rPr>
        <w:t xml:space="preserve">rust in e-banking influences satisfaction. </w:t>
      </w:r>
    </w:p>
    <w:p w:rsidR="00493E4F" w:rsidRPr="008F7C20"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H</w:t>
      </w:r>
      <w:r>
        <w:rPr>
          <w:rFonts w:asciiTheme="majorBidi" w:hAnsiTheme="majorBidi" w:cstheme="majorBidi"/>
          <w:sz w:val="24"/>
          <w:szCs w:val="24"/>
          <w:vertAlign w:val="subscript"/>
        </w:rPr>
        <w:t>2</w:t>
      </w:r>
      <w:r w:rsidRPr="008F7C20">
        <w:rPr>
          <w:rFonts w:asciiTheme="majorBidi" w:hAnsiTheme="majorBidi" w:cstheme="majorBidi"/>
          <w:sz w:val="24"/>
          <w:szCs w:val="24"/>
        </w:rPr>
        <w:t xml:space="preserve">: The efficiency of e-banking influences satisfaction. </w:t>
      </w:r>
    </w:p>
    <w:p w:rsidR="00493E4F" w:rsidRPr="008F7C20"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H</w:t>
      </w:r>
      <w:r>
        <w:rPr>
          <w:rFonts w:asciiTheme="majorBidi" w:hAnsiTheme="majorBidi" w:cstheme="majorBidi"/>
          <w:sz w:val="24"/>
          <w:szCs w:val="24"/>
          <w:vertAlign w:val="subscript"/>
        </w:rPr>
        <w:t>3</w:t>
      </w:r>
      <w:r w:rsidRPr="008F7C20">
        <w:rPr>
          <w:rFonts w:asciiTheme="majorBidi" w:hAnsiTheme="majorBidi" w:cstheme="majorBidi"/>
          <w:sz w:val="24"/>
          <w:szCs w:val="24"/>
        </w:rPr>
        <w:t xml:space="preserve">: The reliability of e-banking influences satisfaction. </w:t>
      </w:r>
    </w:p>
    <w:p w:rsidR="00493E4F" w:rsidRPr="008F7C20"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H</w:t>
      </w:r>
      <w:r>
        <w:rPr>
          <w:rFonts w:asciiTheme="majorBidi" w:hAnsiTheme="majorBidi" w:cstheme="majorBidi"/>
          <w:sz w:val="24"/>
          <w:szCs w:val="24"/>
          <w:vertAlign w:val="subscript"/>
        </w:rPr>
        <w:t>4</w:t>
      </w:r>
      <w:r w:rsidRPr="008F7C20">
        <w:rPr>
          <w:rFonts w:asciiTheme="majorBidi" w:hAnsiTheme="majorBidi" w:cstheme="majorBidi"/>
          <w:sz w:val="24"/>
          <w:szCs w:val="24"/>
        </w:rPr>
        <w:t xml:space="preserve">: The security and privacy of e-banking influence satisfaction. </w:t>
      </w:r>
    </w:p>
    <w:p w:rsidR="00493E4F" w:rsidRDefault="00493E4F" w:rsidP="00E3562E">
      <w:pPr>
        <w:spacing w:line="360" w:lineRule="auto"/>
        <w:jc w:val="both"/>
        <w:rPr>
          <w:rFonts w:asciiTheme="majorBidi" w:hAnsiTheme="majorBidi" w:cstheme="majorBidi"/>
          <w:sz w:val="24"/>
          <w:szCs w:val="24"/>
        </w:rPr>
      </w:pPr>
      <w:r>
        <w:rPr>
          <w:rFonts w:asciiTheme="majorBidi" w:hAnsiTheme="majorBidi" w:cstheme="majorBidi"/>
          <w:sz w:val="24"/>
          <w:szCs w:val="24"/>
        </w:rPr>
        <w:t>H</w:t>
      </w:r>
      <w:r>
        <w:rPr>
          <w:rFonts w:asciiTheme="majorBidi" w:hAnsiTheme="majorBidi" w:cstheme="majorBidi"/>
          <w:sz w:val="24"/>
          <w:szCs w:val="24"/>
          <w:vertAlign w:val="subscript"/>
        </w:rPr>
        <w:t>5</w:t>
      </w:r>
      <w:r w:rsidRPr="008F7C20">
        <w:rPr>
          <w:rFonts w:asciiTheme="majorBidi" w:hAnsiTheme="majorBidi" w:cstheme="majorBidi"/>
          <w:sz w:val="24"/>
          <w:szCs w:val="24"/>
        </w:rPr>
        <w:t>: The communication of e-banking influences satisfaction.</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3.2 Methodology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3.2.1 Quantitative vs. Qualitative </w:t>
      </w:r>
    </w:p>
    <w:p w:rsidR="00493E4F" w:rsidRDefault="00493E4F" w:rsidP="00DE7861">
      <w:pPr>
        <w:spacing w:line="360" w:lineRule="auto"/>
        <w:jc w:val="both"/>
        <w:rPr>
          <w:rFonts w:asciiTheme="majorBidi" w:hAnsiTheme="majorBidi" w:cstheme="majorBidi"/>
          <w:sz w:val="24"/>
          <w:szCs w:val="24"/>
        </w:rPr>
      </w:pPr>
      <w:r>
        <w:rPr>
          <w:rFonts w:asciiTheme="majorBidi" w:hAnsiTheme="majorBidi" w:cstheme="majorBidi"/>
          <w:sz w:val="24"/>
          <w:szCs w:val="24"/>
        </w:rPr>
        <w:t>There are two possible broad approaches to any study: a quantitative rationalistic approach or a qualitative/naturalistic one (Hameed, 2020). The quantitative method has gained much momentum in natural and humanistic studies since the early 19</w:t>
      </w:r>
      <w:r w:rsidRPr="00D730E1">
        <w:rPr>
          <w:rFonts w:asciiTheme="majorBidi" w:hAnsiTheme="majorBidi" w:cstheme="majorBidi"/>
          <w:sz w:val="24"/>
          <w:szCs w:val="24"/>
          <w:vertAlign w:val="superscript"/>
        </w:rPr>
        <w:t>th</w:t>
      </w:r>
      <w:r>
        <w:rPr>
          <w:rFonts w:asciiTheme="majorBidi" w:hAnsiTheme="majorBidi" w:cstheme="majorBidi"/>
          <w:sz w:val="24"/>
          <w:szCs w:val="24"/>
        </w:rPr>
        <w:t xml:space="preserve"> century following the success and validity of the results obtained through the scientific method that is often credited to Antoine-Laurent Lavoisier.  These types of studies are often referred to as experimental because they are based on conducting experiments and collecting data. They deal with numerical data and the observed facts (Ahmad et al., 2019</w:t>
      </w:r>
      <w:r w:rsidR="00DE7861">
        <w:rPr>
          <w:rFonts w:asciiTheme="majorBidi" w:hAnsiTheme="majorBidi" w:cstheme="majorBidi"/>
          <w:sz w:val="24"/>
          <w:szCs w:val="24"/>
        </w:rPr>
        <w:t>). There are empirical evidences</w:t>
      </w:r>
      <w:r>
        <w:rPr>
          <w:rFonts w:asciiTheme="majorBidi" w:hAnsiTheme="majorBidi" w:cstheme="majorBidi"/>
          <w:sz w:val="24"/>
          <w:szCs w:val="24"/>
        </w:rPr>
        <w:t xml:space="preserve"> that are easily quantified and analyzed based on statistical measurements because the data is easily quantified into distinct categories. These numbers will help validate the hypotheses that were generated in previous studies or postulated based on the situation.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On the other hand, the qualitative method is typically associated with ethnographical and anthropological phenomena (Hameed, 2020). It is typically applied in specific case studies that focus on a limited instant or event. This methodology is used in investigating complex issues with multiple dimensions that cannot be quantified by the quantitative methodology (Ahmad et al., 2019). It is used to obtain an in-depth understanding of the human behavior that is happening based on how the individuals are feeling or thinking. It is a methodology that gives more weight to the opinions of the participants instead of what is being observed. What is interesting is that qualitative studies can be used to generate hypotheses for quantitative studies. </w:t>
      </w:r>
    </w:p>
    <w:p w:rsidR="00493E4F" w:rsidRDefault="00493E4F" w:rsidP="00610E3E">
      <w:pPr>
        <w:spacing w:line="360" w:lineRule="auto"/>
        <w:jc w:val="both"/>
        <w:rPr>
          <w:rFonts w:asciiTheme="majorBidi" w:hAnsiTheme="majorBidi" w:cstheme="majorBidi"/>
          <w:sz w:val="24"/>
          <w:szCs w:val="24"/>
        </w:rPr>
      </w:pPr>
      <w:r>
        <w:rPr>
          <w:rFonts w:asciiTheme="majorBidi" w:hAnsiTheme="majorBidi" w:cstheme="majorBidi"/>
          <w:sz w:val="24"/>
          <w:szCs w:val="24"/>
        </w:rPr>
        <w:t>The chosen methodology was a questionnaire-based quantitative survey. It was chosen for several reasons. The literature showed only one study that discussed the issue of e-banking satisfaction in Lebanon. Furthermore, there were none that discussed e-banking satisfaction even though the country is witnessing a financial crisis that diminished the trust of clients in Lebanese banks following 2019 and the ensuing pandemic in 2020. This means that there is a significant gap in the literature that needs to be filled which can be done by an exploratory study. The latter will allow a basic understanding of the situation before becoming involved in more in-depth analysis which would favor a quantitative approach. Moreover, e-banking should be con</w:t>
      </w:r>
      <w:r w:rsidR="003000F2">
        <w:rPr>
          <w:rFonts w:asciiTheme="majorBidi" w:hAnsiTheme="majorBidi" w:cstheme="majorBidi"/>
          <w:sz w:val="24"/>
          <w:szCs w:val="24"/>
        </w:rPr>
        <w:t>sidered a priority for any bank</w:t>
      </w:r>
      <w:r>
        <w:rPr>
          <w:rFonts w:asciiTheme="majorBidi" w:hAnsiTheme="majorBidi" w:cstheme="majorBidi"/>
          <w:sz w:val="24"/>
          <w:szCs w:val="24"/>
        </w:rPr>
        <w:t xml:space="preserve"> because the COVID-19 pandemic is serving as a wake</w:t>
      </w:r>
      <w:r w:rsidR="00DA6612">
        <w:rPr>
          <w:rFonts w:asciiTheme="majorBidi" w:hAnsiTheme="majorBidi" w:cstheme="majorBidi"/>
          <w:sz w:val="24"/>
          <w:szCs w:val="24"/>
        </w:rPr>
        <w:t>-</w:t>
      </w:r>
      <w:r>
        <w:rPr>
          <w:rFonts w:asciiTheme="majorBidi" w:hAnsiTheme="majorBidi" w:cstheme="majorBidi"/>
          <w:sz w:val="24"/>
          <w:szCs w:val="24"/>
        </w:rPr>
        <w:t xml:space="preserve">up call for many </w:t>
      </w:r>
      <w:r>
        <w:rPr>
          <w:rFonts w:asciiTheme="majorBidi" w:hAnsiTheme="majorBidi" w:cstheme="majorBidi"/>
          <w:sz w:val="24"/>
          <w:szCs w:val="24"/>
        </w:rPr>
        <w:lastRenderedPageBreak/>
        <w:t xml:space="preserve">industries. There have been 7 pandemics in the last three centuries, but scientists are warning that the frequency of these pandemics is only going to increase taking into consideration the habitat destruction of animals and the close inter-species connection between diseases-carrying animals such as bats and pigs with humans (Hannover, 2021). </w:t>
      </w:r>
    </w:p>
    <w:p w:rsidR="00610E3E" w:rsidRDefault="00610E3E" w:rsidP="00610E3E">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3.2.2 Inductive vs. Deductive </w:t>
      </w:r>
    </w:p>
    <w:p w:rsidR="00493E4F" w:rsidRDefault="00493E4F" w:rsidP="003000F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Another aspect of the methodology involves the selection </w:t>
      </w:r>
      <w:r w:rsidR="003000F2">
        <w:rPr>
          <w:rFonts w:asciiTheme="majorBidi" w:hAnsiTheme="majorBidi" w:cstheme="majorBidi"/>
          <w:sz w:val="24"/>
          <w:szCs w:val="24"/>
        </w:rPr>
        <w:t>of</w:t>
      </w:r>
      <w:r>
        <w:rPr>
          <w:rFonts w:asciiTheme="majorBidi" w:hAnsiTheme="majorBidi" w:cstheme="majorBidi"/>
          <w:sz w:val="24"/>
          <w:szCs w:val="24"/>
        </w:rPr>
        <w:t xml:space="preserve"> inductive and deductive reasoning approaches. Induction reasoning starts from specific to general and thus it is best suited for arguments based on experience or observation (Soiferman, 2010). It is an approach that works from the bottom to the top, from hypotheses to theory. It uses the input of participants and broad themes to generate a unifying theory that will expla</w:t>
      </w:r>
      <w:r w:rsidR="00DA6612">
        <w:rPr>
          <w:rFonts w:asciiTheme="majorBidi" w:hAnsiTheme="majorBidi" w:cstheme="majorBidi"/>
          <w:sz w:val="24"/>
          <w:szCs w:val="24"/>
        </w:rPr>
        <w:t xml:space="preserve">in these themes. In general, </w:t>
      </w:r>
      <w:r>
        <w:rPr>
          <w:rFonts w:asciiTheme="majorBidi" w:hAnsiTheme="majorBidi" w:cstheme="majorBidi"/>
          <w:sz w:val="24"/>
          <w:szCs w:val="24"/>
        </w:rPr>
        <w:t xml:space="preserve"> inductive reasoning is used in qualitative studies (Soiferman, 2010). Deductive reasoning starts with the general and then moves to the specific which makes it best suited for investigating arguments based on established laws and principles (Soiferman, 2010). It works from top to down starting with a theory and developing hypotheses to examine data that will either add to or contradict the established theory (Creswell &amp; Plano Clark, 2007). In summation, inductive reasoning will try to establish a new theor</w:t>
      </w:r>
      <w:r w:rsidR="00DA6612">
        <w:rPr>
          <w:rFonts w:asciiTheme="majorBidi" w:hAnsiTheme="majorBidi" w:cstheme="majorBidi"/>
          <w:sz w:val="24"/>
          <w:szCs w:val="24"/>
        </w:rPr>
        <w:t>y from observations made while deductive</w:t>
      </w:r>
      <w:r>
        <w:rPr>
          <w:rFonts w:asciiTheme="majorBidi" w:hAnsiTheme="majorBidi" w:cstheme="majorBidi"/>
          <w:sz w:val="24"/>
          <w:szCs w:val="24"/>
        </w:rPr>
        <w:t xml:space="preserve"> reasoning will test the validity of an established theory</w:t>
      </w:r>
      <w:r w:rsidR="00DA6612">
        <w:rPr>
          <w:rFonts w:asciiTheme="majorBidi" w:hAnsiTheme="majorBidi" w:cstheme="majorBidi"/>
          <w:sz w:val="24"/>
          <w:szCs w:val="24"/>
        </w:rPr>
        <w:t>,</w:t>
      </w:r>
      <w:r>
        <w:rPr>
          <w:rFonts w:asciiTheme="majorBidi" w:hAnsiTheme="majorBidi" w:cstheme="majorBidi"/>
          <w:sz w:val="24"/>
          <w:szCs w:val="24"/>
        </w:rPr>
        <w:t xml:space="preserve"> especially when applied in new settings or situations.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F</w:t>
      </w:r>
      <w:r w:rsidR="00DA6612">
        <w:rPr>
          <w:rFonts w:asciiTheme="majorBidi" w:hAnsiTheme="majorBidi" w:cstheme="majorBidi"/>
          <w:sz w:val="24"/>
          <w:szCs w:val="24"/>
        </w:rPr>
        <w:t xml:space="preserve">or the purpose of this paper, </w:t>
      </w:r>
      <w:r>
        <w:rPr>
          <w:rFonts w:asciiTheme="majorBidi" w:hAnsiTheme="majorBidi" w:cstheme="majorBidi"/>
          <w:sz w:val="24"/>
          <w:szCs w:val="24"/>
        </w:rPr>
        <w:t xml:space="preserve">deductive reasoning will be adopted. The quantitative research methodology was chosen, and it is normally closely associated with deductive reasoning. The issue of e-banking is not new even in Lebanon where the concept has existed in one form or another for decades. As such, there is a wealth of data that exist in the literature. Furthermore, e-banking has been the focal point of much research regionally and internationally even after the onset of the COVID-19 pandemic. There is little justification for adopting an inductive reasoning approach even though there is no research, to this author’s knowledge, that examined the correlation of e-banking satisfaction along with the banking crisis in Lebanon. There might be some inductive reasoning when analyzing the results, but it does not alter the overall tone of the paper.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3.2.3 Dependent and Independent Variables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Variables are characteristics or traits that can take on different values such as color, height, age, species, etc. In any scientific research, the approach is to study the relation of one variable with one another to test out hypotheses and theories. There are two types of variables (Thomas, 2020):</w:t>
      </w:r>
    </w:p>
    <w:p w:rsidR="00493E4F" w:rsidRDefault="00493E4F" w:rsidP="00DA6612">
      <w:pPr>
        <w:pStyle w:val="Listenabsatz"/>
        <w:numPr>
          <w:ilvl w:val="0"/>
          <w:numId w:val="4"/>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Independent variables: They are considered the causes </w:t>
      </w:r>
      <w:r w:rsidR="00DA6612">
        <w:rPr>
          <w:rFonts w:asciiTheme="majorBidi" w:hAnsiTheme="majorBidi" w:cstheme="majorBidi"/>
          <w:sz w:val="24"/>
          <w:szCs w:val="24"/>
        </w:rPr>
        <w:t>of</w:t>
      </w:r>
      <w:r>
        <w:rPr>
          <w:rFonts w:asciiTheme="majorBidi" w:hAnsiTheme="majorBidi" w:cstheme="majorBidi"/>
          <w:sz w:val="24"/>
          <w:szCs w:val="24"/>
        </w:rPr>
        <w:t xml:space="preserve"> the research being done. As such, it is not influenced by the other variables because it stands alone. The variation of other variables will not change the independent variable. </w:t>
      </w:r>
    </w:p>
    <w:p w:rsidR="00493E4F" w:rsidRDefault="00493E4F" w:rsidP="00DA6612">
      <w:pPr>
        <w:pStyle w:val="Listenabsatz"/>
        <w:numPr>
          <w:ilvl w:val="0"/>
          <w:numId w:val="4"/>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Dependent variables: They are the effects </w:t>
      </w:r>
      <w:r w:rsidR="00DA6612">
        <w:rPr>
          <w:rFonts w:asciiTheme="majorBidi" w:hAnsiTheme="majorBidi" w:cstheme="majorBidi"/>
          <w:sz w:val="24"/>
          <w:szCs w:val="24"/>
        </w:rPr>
        <w:t>of</w:t>
      </w:r>
      <w:r>
        <w:rPr>
          <w:rFonts w:asciiTheme="majorBidi" w:hAnsiTheme="majorBidi" w:cstheme="majorBidi"/>
          <w:sz w:val="24"/>
          <w:szCs w:val="24"/>
        </w:rPr>
        <w:t xml:space="preserve"> the research being done. They are highly dependent on the variation of the independent variable. As the independent variable changes, the dependent variables will also change. </w:t>
      </w:r>
    </w:p>
    <w:p w:rsidR="00610E3E" w:rsidRDefault="00493E4F" w:rsidP="00281FFD">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In this study, the independent variable is the customer satisfaction of the client about e-banking. It is the focus of the research and its variation will affect all the dependent variables. The dependent variables were extracted from the literature and include trust, </w:t>
      </w:r>
      <w:r w:rsidR="00DA6612">
        <w:rPr>
          <w:rFonts w:asciiTheme="majorBidi" w:hAnsiTheme="majorBidi" w:cstheme="majorBidi"/>
          <w:sz w:val="24"/>
          <w:szCs w:val="24"/>
        </w:rPr>
        <w:t xml:space="preserve">the </w:t>
      </w:r>
      <w:r>
        <w:rPr>
          <w:rFonts w:asciiTheme="majorBidi" w:hAnsiTheme="majorBidi" w:cstheme="majorBidi"/>
          <w:sz w:val="24"/>
          <w:szCs w:val="24"/>
        </w:rPr>
        <w:t>efficiency of e-banking procedures, the guarantee of security and privacy of e-banking transactions, the reliability of banks in their e-banking services, and the ease of communication</w:t>
      </w:r>
      <w:r w:rsidR="003000F2">
        <w:rPr>
          <w:rFonts w:asciiTheme="majorBidi" w:hAnsiTheme="majorBidi" w:cstheme="majorBidi"/>
          <w:sz w:val="24"/>
          <w:szCs w:val="24"/>
        </w:rPr>
        <w:t xml:space="preserve"> with the bank electronically. </w:t>
      </w:r>
    </w:p>
    <w:p w:rsidR="00493E4F" w:rsidRDefault="00493E4F" w:rsidP="00610E3E">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3.2.4 Population and Sampling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3.2.4.1 Population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population is the target group that the study will be conducted on (Majid, et al., 2018). There are always certain criteria of eligibility that will act as a cutoff to determine whether or not the participant is qualified for this study and whether or not his/her contribution will be beneficial for the problem being discussed.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The population of interest in this study is the Lebanese citizens living in Lebanon who are involved with e-banking. He/she should also satisfy the following criteria:</w:t>
      </w:r>
    </w:p>
    <w:p w:rsidR="00493E4F" w:rsidRDefault="00493E4F" w:rsidP="00DA6612">
      <w:pPr>
        <w:pStyle w:val="Listenabsatz"/>
        <w:numPr>
          <w:ilvl w:val="0"/>
          <w:numId w:val="5"/>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They must be 18 and above and thus capable of independently providing information without the need </w:t>
      </w:r>
      <w:r w:rsidR="00DA6612">
        <w:rPr>
          <w:rFonts w:asciiTheme="majorBidi" w:hAnsiTheme="majorBidi" w:cstheme="majorBidi"/>
          <w:sz w:val="24"/>
          <w:szCs w:val="24"/>
        </w:rPr>
        <w:t>for</w:t>
      </w:r>
      <w:r>
        <w:rPr>
          <w:rFonts w:asciiTheme="majorBidi" w:hAnsiTheme="majorBidi" w:cstheme="majorBidi"/>
          <w:sz w:val="24"/>
          <w:szCs w:val="24"/>
        </w:rPr>
        <w:t xml:space="preserve"> the consent of any adult parent or guardian. </w:t>
      </w:r>
    </w:p>
    <w:p w:rsidR="00493E4F" w:rsidRDefault="00493E4F" w:rsidP="00493E4F">
      <w:pPr>
        <w:pStyle w:val="Listenabsatz"/>
        <w:numPr>
          <w:ilvl w:val="0"/>
          <w:numId w:val="5"/>
        </w:num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They must have an e-banking platform that they engage with periodically. </w:t>
      </w:r>
    </w:p>
    <w:p w:rsidR="00493E4F" w:rsidRDefault="00493E4F" w:rsidP="00610E3E">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The participants will be asked questions regarding their experience with e-banking and the Lebanese banking system. They will be demographically profiled, but no personal information such as their names or bank account data will be asked. No record of their IP addresses and locations will be re</w:t>
      </w:r>
      <w:r w:rsidR="00DA6612">
        <w:rPr>
          <w:rFonts w:asciiTheme="majorBidi" w:hAnsiTheme="majorBidi" w:cstheme="majorBidi"/>
          <w:sz w:val="24"/>
          <w:szCs w:val="24"/>
        </w:rPr>
        <w:t>corded. There will be no demand</w:t>
      </w:r>
      <w:r>
        <w:rPr>
          <w:rFonts w:asciiTheme="majorBidi" w:hAnsiTheme="majorBidi" w:cstheme="majorBidi"/>
          <w:sz w:val="24"/>
          <w:szCs w:val="24"/>
        </w:rPr>
        <w:t xml:space="preserve"> of any way to communicate further beyond the steps of filling out the questionnaire. </w:t>
      </w:r>
    </w:p>
    <w:p w:rsidR="00493E4F" w:rsidRPr="00A925EE"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3.2.4.2 Sampling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Sampling is a process of selecting a representative selection from the target population since it is very difficult to gather and analyze the entire population of the study (Majid et al., 2018). There are many different sampling methods, but this study relied on a simple random selection where each individual of the population has an equal chance of being selected for the study (Taherdoost, 2016). There is no preference for the opinion of any participant over the other if the anonymity and ethical boundaries were to be respected. The total number of the sample has the cutoff of 150 participants which is an acceptable value for an exploratory quantitative study.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3.2.5 Questionnaire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questionnaire is divided into two sections. The first is the demographic data which would identify the selected sample of the population. Participants were asked about their age group, gender, education level, income, length of the existence of their e-banking experience, and the frequency of use of electronic banking services. </w:t>
      </w:r>
    </w:p>
    <w:p w:rsidR="00493E4F" w:rsidRDefault="00493E4F" w:rsidP="00610E3E">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second section regards the various questions pertaining to their satisfaction with e-banking. They were asked to rate their satisfaction with banks before and after the pandemic. The following questions examined the dependent variables extrapolated from the ease of use, efficiency, security, and support. They were then asked about their satisfaction </w:t>
      </w:r>
      <w:r w:rsidR="003000F2">
        <w:rPr>
          <w:rFonts w:asciiTheme="majorBidi" w:hAnsiTheme="majorBidi" w:cstheme="majorBidi"/>
          <w:sz w:val="24"/>
          <w:szCs w:val="24"/>
        </w:rPr>
        <w:t>with</w:t>
      </w:r>
      <w:r>
        <w:rPr>
          <w:rFonts w:asciiTheme="majorBidi" w:hAnsiTheme="majorBidi" w:cstheme="majorBidi"/>
          <w:sz w:val="24"/>
          <w:szCs w:val="24"/>
        </w:rPr>
        <w:t xml:space="preserve"> e-banking independently of other banking services and whether or not they could serve as the conduit for restoring trust in Lebanese banks and help the Lebanese banking sector to recover from this crisis. </w:t>
      </w:r>
    </w:p>
    <w:p w:rsidR="00281FFD" w:rsidRDefault="00281FFD" w:rsidP="00610E3E">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3.2.6 Analysis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Data manipulation is one of the dangers of scientific research, and it has compromised the integrity of the results in many domains. Using the internet as a platform for conducting surveys has presented itself as a convenient alternative that aims at minimizing bias and scientific fraud of researchers that skew the information o favor their desired output (Ball, 2019). There are no guarantees for complete integrity because online platforms allow multiple accesses from one person as well as having unqualified participants engage in the survey. However, the reality of COVID-19 security measurements makes online platforms an attractive option for conducting studies. The survey was done on an electronic platform. A link was created and sent to associates in the bank to forward to clients. These clients had the freedom in opting in and out of participating in the survey which makes the data collection a voluntary action that does not violate any ethical considerations. </w:t>
      </w:r>
    </w:p>
    <w:p w:rsidR="00493E4F" w:rsidRDefault="00493E4F" w:rsidP="00DA6612">
      <w:pPr>
        <w:spacing w:line="360" w:lineRule="auto"/>
        <w:jc w:val="both"/>
        <w:rPr>
          <w:rFonts w:asciiTheme="majorBidi" w:hAnsiTheme="majorBidi" w:cstheme="majorBidi"/>
          <w:sz w:val="24"/>
          <w:szCs w:val="24"/>
        </w:rPr>
      </w:pPr>
      <w:r>
        <w:rPr>
          <w:rFonts w:asciiTheme="majorBidi" w:hAnsiTheme="majorBidi" w:cstheme="majorBidi"/>
          <w:sz w:val="24"/>
          <w:szCs w:val="24"/>
        </w:rPr>
        <w:t>The dat</w:t>
      </w:r>
      <w:r w:rsidR="00DA6612">
        <w:rPr>
          <w:rFonts w:asciiTheme="majorBidi" w:hAnsiTheme="majorBidi" w:cstheme="majorBidi"/>
          <w:sz w:val="24"/>
          <w:szCs w:val="24"/>
        </w:rPr>
        <w:t>a collected was then extracted i</w:t>
      </w:r>
      <w:r>
        <w:rPr>
          <w:rFonts w:asciiTheme="majorBidi" w:hAnsiTheme="majorBidi" w:cstheme="majorBidi"/>
          <w:sz w:val="24"/>
          <w:szCs w:val="24"/>
        </w:rPr>
        <w:t xml:space="preserve">nto a Cloud drive for analysis. The first step is to represent the data in a summary form to have a broad understanding of the information that was gathered. Further analysis will be done to find correlations between the various dependent variables with the independent variable. Correlations are done </w:t>
      </w:r>
      <w:r w:rsidR="00DA6612">
        <w:rPr>
          <w:rFonts w:asciiTheme="majorBidi" w:hAnsiTheme="majorBidi" w:cstheme="majorBidi"/>
          <w:sz w:val="24"/>
          <w:szCs w:val="24"/>
        </w:rPr>
        <w:t>by</w:t>
      </w:r>
      <w:r>
        <w:rPr>
          <w:rFonts w:asciiTheme="majorBidi" w:hAnsiTheme="majorBidi" w:cstheme="majorBidi"/>
          <w:sz w:val="24"/>
          <w:szCs w:val="24"/>
        </w:rPr>
        <w:t xml:space="preserve"> finding a linear or direct association between two or more variables (Mukaka, 2012). Correlation is important because they provide pro</w:t>
      </w:r>
      <w:r w:rsidR="00DA6612">
        <w:rPr>
          <w:rFonts w:asciiTheme="majorBidi" w:hAnsiTheme="majorBidi" w:cstheme="majorBidi"/>
          <w:sz w:val="24"/>
          <w:szCs w:val="24"/>
        </w:rPr>
        <w:t xml:space="preserve">of </w:t>
      </w:r>
      <w:r>
        <w:rPr>
          <w:rFonts w:asciiTheme="majorBidi" w:hAnsiTheme="majorBidi" w:cstheme="majorBidi"/>
          <w:sz w:val="24"/>
          <w:szCs w:val="24"/>
        </w:rPr>
        <w:t xml:space="preserve">that the dependent variables changes with respect to the independent variable, whether or not the two variables move in the same or opposite directions, and how strong the effect the independent variable has on the dependent variables.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small sample size and the random selection of the sample will necessitate the use </w:t>
      </w:r>
      <w:r w:rsidR="00DA6612">
        <w:rPr>
          <w:rFonts w:asciiTheme="majorBidi" w:hAnsiTheme="majorBidi" w:cstheme="majorBidi"/>
          <w:sz w:val="24"/>
          <w:szCs w:val="24"/>
        </w:rPr>
        <w:t xml:space="preserve">of </w:t>
      </w:r>
      <w:r>
        <w:rPr>
          <w:rFonts w:asciiTheme="majorBidi" w:hAnsiTheme="majorBidi" w:cstheme="majorBidi"/>
          <w:sz w:val="24"/>
          <w:szCs w:val="24"/>
        </w:rPr>
        <w:t xml:space="preserve">ANOVA for testing. It is furthermore a robust tool that can compensate for certain errors in assumption and deliver reliable results. The test will confirm the assumptions done when choosing the dependent variables. </w:t>
      </w:r>
    </w:p>
    <w:p w:rsidR="00493E4F" w:rsidRDefault="00493E4F" w:rsidP="00DA661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final major analytical tool is Cronbach alpha. It is used because the majority of the questions of the survey were done using the Likert Scale. It will allow the study of the internal consistency of the survey and how reliable the measurements </w:t>
      </w:r>
      <w:r w:rsidR="00DA6612">
        <w:rPr>
          <w:rFonts w:asciiTheme="majorBidi" w:hAnsiTheme="majorBidi" w:cstheme="majorBidi"/>
          <w:sz w:val="24"/>
          <w:szCs w:val="24"/>
        </w:rPr>
        <w:t xml:space="preserve">were </w:t>
      </w:r>
      <w:r>
        <w:rPr>
          <w:rFonts w:asciiTheme="majorBidi" w:hAnsiTheme="majorBidi" w:cstheme="majorBidi"/>
          <w:sz w:val="24"/>
          <w:szCs w:val="24"/>
        </w:rPr>
        <w:t xml:space="preserve">done will be. </w:t>
      </w:r>
    </w:p>
    <w:p w:rsidR="00493E4F" w:rsidRDefault="00493E4F" w:rsidP="00DA661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w:t>
      </w:r>
      <w:r w:rsidR="00DA6612">
        <w:rPr>
          <w:rFonts w:asciiTheme="majorBidi" w:hAnsiTheme="majorBidi" w:cstheme="majorBidi"/>
          <w:sz w:val="24"/>
          <w:szCs w:val="24"/>
        </w:rPr>
        <w:t>choice of analytical software is</w:t>
      </w:r>
      <w:r>
        <w:rPr>
          <w:rFonts w:asciiTheme="majorBidi" w:hAnsiTheme="majorBidi" w:cstheme="majorBidi"/>
          <w:sz w:val="24"/>
          <w:szCs w:val="24"/>
        </w:rPr>
        <w:t xml:space="preserve"> the SPSS model that is read</w:t>
      </w:r>
      <w:r w:rsidR="00DA6612">
        <w:rPr>
          <w:rFonts w:asciiTheme="majorBidi" w:hAnsiTheme="majorBidi" w:cstheme="majorBidi"/>
          <w:sz w:val="24"/>
          <w:szCs w:val="24"/>
        </w:rPr>
        <w:t>il</w:t>
      </w:r>
      <w:r>
        <w:rPr>
          <w:rFonts w:asciiTheme="majorBidi" w:hAnsiTheme="majorBidi" w:cstheme="majorBidi"/>
          <w:sz w:val="24"/>
          <w:szCs w:val="24"/>
        </w:rPr>
        <w:t xml:space="preserve">y available for university students. It is a comprehensive and well-respected statistical program that can create input for all </w:t>
      </w:r>
      <w:r>
        <w:rPr>
          <w:rFonts w:asciiTheme="majorBidi" w:hAnsiTheme="majorBidi" w:cstheme="majorBidi"/>
          <w:sz w:val="24"/>
          <w:szCs w:val="24"/>
        </w:rPr>
        <w:lastRenderedPageBreak/>
        <w:t>the proposed tests above. It is also heavily used in scientific quantitative studies because of its accuracy. It also has the ability to produce numerical and graphical outpu</w:t>
      </w:r>
      <w:r w:rsidR="003000F2">
        <w:rPr>
          <w:rFonts w:asciiTheme="majorBidi" w:hAnsiTheme="majorBidi" w:cstheme="majorBidi"/>
          <w:sz w:val="24"/>
          <w:szCs w:val="24"/>
        </w:rPr>
        <w:t xml:space="preserve">ts. Furthermore, after testing </w:t>
      </w:r>
      <w:r>
        <w:rPr>
          <w:rFonts w:asciiTheme="majorBidi" w:hAnsiTheme="majorBidi" w:cstheme="majorBidi"/>
          <w:sz w:val="24"/>
          <w:szCs w:val="24"/>
        </w:rPr>
        <w:t xml:space="preserve"> number</w:t>
      </w:r>
      <w:r w:rsidR="003000F2">
        <w:rPr>
          <w:rFonts w:asciiTheme="majorBidi" w:hAnsiTheme="majorBidi" w:cstheme="majorBidi"/>
          <w:sz w:val="24"/>
          <w:szCs w:val="24"/>
        </w:rPr>
        <w:t>s</w:t>
      </w:r>
      <w:r>
        <w:rPr>
          <w:rFonts w:asciiTheme="majorBidi" w:hAnsiTheme="majorBidi" w:cstheme="majorBidi"/>
          <w:sz w:val="24"/>
          <w:szCs w:val="24"/>
        </w:rPr>
        <w:t xml:space="preserve"> of software, SPSS proved to be one of the easiest to navigate. </w:t>
      </w:r>
    </w:p>
    <w:p w:rsidR="00493E4F" w:rsidRDefault="00493E4F" w:rsidP="00493E4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Using all these statistical tools will lead to conclusions regarding the topic of study that will help to validate or nullify the hypotheses. </w:t>
      </w: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p>
    <w:p w:rsidR="00493E4F" w:rsidRDefault="00493E4F" w:rsidP="00493E4F">
      <w:pPr>
        <w:spacing w:line="360" w:lineRule="auto"/>
        <w:jc w:val="both"/>
        <w:rPr>
          <w:rFonts w:asciiTheme="majorBidi" w:hAnsiTheme="majorBidi" w:cstheme="majorBidi"/>
          <w:sz w:val="24"/>
          <w:szCs w:val="24"/>
        </w:rPr>
      </w:pPr>
    </w:p>
    <w:p w:rsidR="00493E4F" w:rsidRPr="00D730E1" w:rsidRDefault="00493E4F" w:rsidP="00493E4F">
      <w:pPr>
        <w:spacing w:line="360" w:lineRule="auto"/>
        <w:jc w:val="both"/>
        <w:rPr>
          <w:rStyle w:val="Hyperlink"/>
          <w:rFonts w:asciiTheme="majorBidi" w:hAnsiTheme="majorBidi" w:cstheme="majorBidi"/>
          <w:sz w:val="24"/>
          <w:szCs w:val="24"/>
        </w:rPr>
      </w:pPr>
      <w:r w:rsidRPr="00D730E1">
        <w:rPr>
          <w:rFonts w:asciiTheme="majorBidi" w:hAnsiTheme="majorBidi" w:cstheme="majorBidi"/>
          <w:sz w:val="24"/>
          <w:szCs w:val="24"/>
        </w:rPr>
        <w:fldChar w:fldCharType="begin"/>
      </w:r>
      <w:r w:rsidRPr="00D730E1">
        <w:rPr>
          <w:rFonts w:asciiTheme="majorBidi" w:hAnsiTheme="majorBidi" w:cstheme="majorBidi"/>
          <w:sz w:val="24"/>
          <w:szCs w:val="24"/>
        </w:rPr>
        <w:instrText xml:space="preserve"> HYPERLINK "https://www.acs.org/content/acs/en/education/whatischemistry/landmarks/lavoisier.html" </w:instrText>
      </w:r>
      <w:r w:rsidRPr="00D730E1">
        <w:rPr>
          <w:rFonts w:asciiTheme="majorBidi" w:hAnsiTheme="majorBidi" w:cstheme="majorBidi"/>
          <w:sz w:val="24"/>
          <w:szCs w:val="24"/>
        </w:rPr>
        <w:fldChar w:fldCharType="separate"/>
      </w:r>
    </w:p>
    <w:p w:rsidR="00493E4F" w:rsidRDefault="00493E4F" w:rsidP="00493E4F">
      <w:pPr>
        <w:spacing w:line="360" w:lineRule="auto"/>
        <w:jc w:val="both"/>
        <w:rPr>
          <w:rFonts w:asciiTheme="majorBidi" w:hAnsiTheme="majorBidi" w:cstheme="majorBidi"/>
          <w:sz w:val="24"/>
          <w:szCs w:val="24"/>
        </w:rPr>
      </w:pPr>
      <w:r w:rsidRPr="00D730E1">
        <w:rPr>
          <w:rFonts w:asciiTheme="majorBidi" w:hAnsiTheme="majorBidi" w:cstheme="majorBidi"/>
          <w:sz w:val="24"/>
          <w:szCs w:val="24"/>
        </w:rPr>
        <w:fldChar w:fldCharType="end"/>
      </w:r>
    </w:p>
    <w:p w:rsidR="004C5A7A" w:rsidRDefault="004C5A7A" w:rsidP="00493E4F">
      <w:pPr>
        <w:spacing w:line="360" w:lineRule="auto"/>
        <w:jc w:val="both"/>
        <w:rPr>
          <w:rFonts w:asciiTheme="majorBidi" w:hAnsiTheme="majorBidi" w:cstheme="majorBidi"/>
          <w:sz w:val="24"/>
          <w:szCs w:val="24"/>
        </w:rPr>
      </w:pPr>
    </w:p>
    <w:p w:rsidR="004C5A7A" w:rsidRDefault="004C5A7A" w:rsidP="00493E4F">
      <w:pPr>
        <w:spacing w:line="360" w:lineRule="auto"/>
        <w:jc w:val="both"/>
        <w:rPr>
          <w:rFonts w:asciiTheme="majorBidi" w:hAnsiTheme="majorBidi" w:cstheme="majorBidi"/>
          <w:sz w:val="24"/>
          <w:szCs w:val="24"/>
        </w:rPr>
      </w:pPr>
    </w:p>
    <w:p w:rsidR="00610E3E" w:rsidRDefault="00610E3E" w:rsidP="00493E4F">
      <w:pPr>
        <w:spacing w:line="360" w:lineRule="auto"/>
        <w:jc w:val="both"/>
        <w:rPr>
          <w:rFonts w:asciiTheme="majorBidi" w:hAnsiTheme="majorBidi" w:cstheme="majorBidi"/>
          <w:sz w:val="24"/>
          <w:szCs w:val="24"/>
        </w:rPr>
      </w:pPr>
    </w:p>
    <w:p w:rsidR="00717A1A" w:rsidRDefault="00717A1A" w:rsidP="00493E4F">
      <w:pPr>
        <w:spacing w:line="360" w:lineRule="auto"/>
        <w:jc w:val="both"/>
        <w:rPr>
          <w:rFonts w:asciiTheme="majorBidi" w:hAnsiTheme="majorBidi" w:cstheme="majorBidi"/>
          <w:sz w:val="24"/>
          <w:szCs w:val="24"/>
        </w:rPr>
      </w:pPr>
    </w:p>
    <w:p w:rsidR="00717A1A" w:rsidRDefault="00717A1A" w:rsidP="00493E4F">
      <w:pPr>
        <w:spacing w:line="360" w:lineRule="auto"/>
        <w:jc w:val="both"/>
        <w:rPr>
          <w:rFonts w:asciiTheme="majorBidi" w:hAnsiTheme="majorBidi" w:cstheme="majorBidi"/>
          <w:sz w:val="24"/>
          <w:szCs w:val="24"/>
        </w:rPr>
      </w:pPr>
    </w:p>
    <w:p w:rsidR="00717A1A" w:rsidRDefault="00717A1A" w:rsidP="00493E4F">
      <w:pPr>
        <w:spacing w:line="360" w:lineRule="auto"/>
        <w:jc w:val="both"/>
        <w:rPr>
          <w:rFonts w:asciiTheme="majorBidi" w:hAnsiTheme="majorBidi" w:cstheme="majorBidi"/>
          <w:sz w:val="24"/>
          <w:szCs w:val="24"/>
        </w:rPr>
      </w:pPr>
    </w:p>
    <w:p w:rsidR="00717A1A" w:rsidRDefault="00717A1A" w:rsidP="00493E4F">
      <w:pPr>
        <w:spacing w:line="360" w:lineRule="auto"/>
        <w:jc w:val="both"/>
        <w:rPr>
          <w:rFonts w:asciiTheme="majorBidi" w:hAnsiTheme="majorBidi" w:cstheme="majorBidi"/>
          <w:sz w:val="24"/>
          <w:szCs w:val="24"/>
        </w:rPr>
      </w:pPr>
    </w:p>
    <w:p w:rsidR="00610E3E" w:rsidRDefault="00610E3E" w:rsidP="00493E4F">
      <w:pPr>
        <w:spacing w:line="360" w:lineRule="auto"/>
        <w:jc w:val="both"/>
        <w:rPr>
          <w:rFonts w:asciiTheme="majorBidi" w:hAnsiTheme="majorBidi" w:cstheme="majorBidi"/>
          <w:sz w:val="24"/>
          <w:szCs w:val="24"/>
        </w:rPr>
      </w:pPr>
    </w:p>
    <w:p w:rsidR="00610E3E" w:rsidRDefault="00610E3E" w:rsidP="00493E4F">
      <w:pPr>
        <w:spacing w:line="360" w:lineRule="auto"/>
        <w:jc w:val="both"/>
        <w:rPr>
          <w:rFonts w:asciiTheme="majorBidi" w:hAnsiTheme="majorBidi" w:cstheme="majorBidi"/>
          <w:sz w:val="24"/>
          <w:szCs w:val="24"/>
        </w:rPr>
      </w:pPr>
    </w:p>
    <w:p w:rsidR="004C5A7A" w:rsidRDefault="004C5A7A" w:rsidP="00493E4F">
      <w:pPr>
        <w:spacing w:line="360" w:lineRule="auto"/>
        <w:jc w:val="both"/>
        <w:rPr>
          <w:rFonts w:asciiTheme="majorBidi" w:hAnsiTheme="majorBidi" w:cstheme="majorBidi"/>
          <w:sz w:val="24"/>
          <w:szCs w:val="24"/>
        </w:rPr>
      </w:pPr>
    </w:p>
    <w:p w:rsidR="004C5A7A" w:rsidRDefault="004C5A7A" w:rsidP="00493E4F">
      <w:pPr>
        <w:spacing w:line="360" w:lineRule="auto"/>
        <w:jc w:val="both"/>
        <w:rPr>
          <w:rFonts w:asciiTheme="majorBidi" w:hAnsiTheme="majorBidi" w:cstheme="majorBidi"/>
          <w:sz w:val="24"/>
          <w:szCs w:val="24"/>
        </w:rPr>
      </w:pPr>
    </w:p>
    <w:p w:rsidR="007E0761" w:rsidRDefault="007E0761" w:rsidP="00493E4F">
      <w:pPr>
        <w:spacing w:line="360" w:lineRule="auto"/>
        <w:jc w:val="both"/>
        <w:rPr>
          <w:rFonts w:asciiTheme="majorBidi" w:hAnsiTheme="majorBidi" w:cstheme="majorBidi"/>
          <w:sz w:val="24"/>
          <w:szCs w:val="24"/>
        </w:rPr>
      </w:pPr>
    </w:p>
    <w:p w:rsidR="004C5A7A" w:rsidRPr="004C5A7A" w:rsidRDefault="004C5A7A" w:rsidP="00493E4F">
      <w:pPr>
        <w:spacing w:line="360" w:lineRule="auto"/>
        <w:jc w:val="both"/>
        <w:rPr>
          <w:rFonts w:asciiTheme="majorBidi" w:hAnsiTheme="majorBidi" w:cstheme="majorBidi"/>
          <w:b/>
          <w:bCs/>
          <w:sz w:val="28"/>
          <w:szCs w:val="28"/>
        </w:rPr>
      </w:pPr>
      <w:r>
        <w:rPr>
          <w:rFonts w:asciiTheme="majorBidi" w:hAnsiTheme="majorBidi" w:cstheme="majorBidi"/>
          <w:b/>
          <w:bCs/>
          <w:sz w:val="28"/>
          <w:szCs w:val="28"/>
        </w:rPr>
        <w:lastRenderedPageBreak/>
        <w:t xml:space="preserve">Chapter 4: Results </w:t>
      </w:r>
    </w:p>
    <w:p w:rsidR="00493E4F" w:rsidRPr="002D6402" w:rsidRDefault="00493E4F" w:rsidP="00493E4F">
      <w:pPr>
        <w:spacing w:line="480" w:lineRule="auto"/>
        <w:jc w:val="both"/>
        <w:rPr>
          <w:rFonts w:asciiTheme="majorBidi" w:hAnsiTheme="majorBidi" w:cstheme="majorBidi"/>
          <w:sz w:val="24"/>
          <w:szCs w:val="24"/>
        </w:rPr>
      </w:pPr>
      <w:r w:rsidRPr="002D6402">
        <w:rPr>
          <w:rFonts w:asciiTheme="majorBidi" w:hAnsiTheme="majorBidi" w:cstheme="majorBidi"/>
          <w:sz w:val="24"/>
          <w:szCs w:val="24"/>
        </w:rPr>
        <w:t>Data analysis is a crucial part of every research since it generates new data that has been gathered by the researcher. The analysis must be compatible with the methodology and seeks to interpret the hypotheses suggested. This chapter can be divided into two broad sections the descriptive representation of all the data and the in-depth analysis of the correlations between various independent and dependent variables. The software of choice was SPSS which allows both types of interpretation as well as the graphical representation of any meaningful findings. The questionnaire was administered and a total of 153 participants gave full and viable entries.</w:t>
      </w:r>
    </w:p>
    <w:p w:rsidR="00493E4F" w:rsidRPr="009B587A" w:rsidRDefault="00493E4F" w:rsidP="00493E4F">
      <w:pPr>
        <w:spacing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4.1 Descriptive Analysis </w:t>
      </w:r>
    </w:p>
    <w:p w:rsidR="00493E4F" w:rsidRDefault="00493E4F" w:rsidP="00493E4F">
      <w:pPr>
        <w:spacing w:line="480" w:lineRule="auto"/>
        <w:jc w:val="both"/>
        <w:rPr>
          <w:rFonts w:asciiTheme="majorBidi" w:hAnsiTheme="majorBidi" w:cstheme="majorBidi"/>
          <w:sz w:val="24"/>
          <w:szCs w:val="24"/>
        </w:rPr>
      </w:pPr>
      <w:r w:rsidRPr="002D6402">
        <w:rPr>
          <w:rFonts w:asciiTheme="majorBidi" w:hAnsiTheme="majorBidi" w:cstheme="majorBidi"/>
          <w:sz w:val="24"/>
          <w:szCs w:val="24"/>
        </w:rPr>
        <w:t>Descriptive analysis is often misunderstood as a simplistic and mandatory inclusion in any research paper. Ho</w:t>
      </w:r>
      <w:r w:rsidR="003000F2">
        <w:rPr>
          <w:rFonts w:asciiTheme="majorBidi" w:hAnsiTheme="majorBidi" w:cstheme="majorBidi"/>
          <w:sz w:val="24"/>
          <w:szCs w:val="24"/>
        </w:rPr>
        <w:t>wever, a comprehensive and well-thought-</w:t>
      </w:r>
      <w:r w:rsidRPr="002D6402">
        <w:rPr>
          <w:rFonts w:asciiTheme="majorBidi" w:hAnsiTheme="majorBidi" w:cstheme="majorBidi"/>
          <w:sz w:val="24"/>
          <w:szCs w:val="24"/>
        </w:rPr>
        <w:t>out descriptive analysis can be essential for any paper (Loeb et al., 2017). It is an accumulation of all the data in a single package that provides a roadmap for analysis. While the literature review provides a representation of previous studies, a descriptive analysis will showcase the particularities of the current study. When properly analyzed, it becomes the basis for in-depth analysis.</w:t>
      </w:r>
    </w:p>
    <w:p w:rsidR="00DB6931" w:rsidRDefault="00DB6931" w:rsidP="00493E4F">
      <w:pPr>
        <w:spacing w:line="480" w:lineRule="auto"/>
        <w:jc w:val="both"/>
        <w:rPr>
          <w:rFonts w:asciiTheme="majorBidi" w:hAnsiTheme="majorBidi" w:cstheme="majorBidi"/>
          <w:sz w:val="24"/>
          <w:szCs w:val="24"/>
        </w:rPr>
      </w:pPr>
    </w:p>
    <w:p w:rsidR="00DB6931" w:rsidRDefault="00DB6931" w:rsidP="00493E4F">
      <w:pPr>
        <w:spacing w:line="480" w:lineRule="auto"/>
        <w:jc w:val="both"/>
        <w:rPr>
          <w:rFonts w:asciiTheme="majorBidi" w:hAnsiTheme="majorBidi" w:cstheme="majorBidi"/>
          <w:sz w:val="24"/>
          <w:szCs w:val="24"/>
        </w:rPr>
      </w:pPr>
    </w:p>
    <w:p w:rsidR="00DB6931" w:rsidRDefault="00DB6931" w:rsidP="00493E4F">
      <w:pPr>
        <w:spacing w:line="480" w:lineRule="auto"/>
        <w:jc w:val="both"/>
        <w:rPr>
          <w:rFonts w:asciiTheme="majorBidi" w:hAnsiTheme="majorBidi" w:cstheme="majorBidi"/>
          <w:sz w:val="24"/>
          <w:szCs w:val="24"/>
        </w:rPr>
      </w:pPr>
    </w:p>
    <w:p w:rsidR="00DB6931" w:rsidRDefault="00DB6931" w:rsidP="00493E4F">
      <w:pPr>
        <w:spacing w:line="480" w:lineRule="auto"/>
        <w:jc w:val="both"/>
        <w:rPr>
          <w:rFonts w:asciiTheme="majorBidi" w:hAnsiTheme="majorBidi" w:cstheme="majorBidi"/>
          <w:sz w:val="24"/>
          <w:szCs w:val="24"/>
        </w:rPr>
      </w:pPr>
    </w:p>
    <w:p w:rsidR="00DB6931" w:rsidRDefault="00DB6931" w:rsidP="00493E4F">
      <w:pPr>
        <w:spacing w:line="480" w:lineRule="auto"/>
        <w:jc w:val="both"/>
        <w:rPr>
          <w:rFonts w:asciiTheme="majorBidi" w:hAnsiTheme="majorBidi" w:cstheme="majorBidi"/>
          <w:sz w:val="24"/>
          <w:szCs w:val="24"/>
        </w:rPr>
      </w:pPr>
    </w:p>
    <w:p w:rsidR="00493E4F" w:rsidRPr="009B587A" w:rsidRDefault="00493E4F" w:rsidP="00493E4F">
      <w:pPr>
        <w:spacing w:line="480" w:lineRule="auto"/>
        <w:jc w:val="both"/>
        <w:rPr>
          <w:rFonts w:asciiTheme="majorBidi" w:hAnsiTheme="majorBidi" w:cstheme="majorBidi"/>
          <w:sz w:val="24"/>
          <w:szCs w:val="24"/>
        </w:rPr>
      </w:pPr>
      <w:r w:rsidRPr="009B587A">
        <w:rPr>
          <w:rFonts w:asciiTheme="majorBidi" w:hAnsiTheme="majorBidi" w:cstheme="majorBidi"/>
          <w:sz w:val="24"/>
          <w:szCs w:val="24"/>
        </w:rPr>
        <w:lastRenderedPageBreak/>
        <w:t>4.1.1 Demographic Data</w:t>
      </w:r>
    </w:p>
    <w:tbl>
      <w:tblPr>
        <w:tblW w:w="65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7"/>
        <w:gridCol w:w="882"/>
        <w:gridCol w:w="1100"/>
        <w:gridCol w:w="968"/>
        <w:gridCol w:w="1317"/>
        <w:gridCol w:w="1389"/>
      </w:tblGrid>
      <w:tr w:rsidR="00493E4F" w:rsidRPr="009B587A" w:rsidTr="00493E4F">
        <w:trPr>
          <w:cantSplit/>
          <w:trHeight w:val="270"/>
          <w:jc w:val="center"/>
        </w:trPr>
        <w:tc>
          <w:tcPr>
            <w:tcW w:w="6553"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Gender</w:t>
            </w:r>
          </w:p>
        </w:tc>
      </w:tr>
      <w:tr w:rsidR="00493E4F" w:rsidRPr="009B587A" w:rsidTr="00493E4F">
        <w:trPr>
          <w:cantSplit/>
          <w:trHeight w:val="530"/>
          <w:jc w:val="center"/>
        </w:trPr>
        <w:tc>
          <w:tcPr>
            <w:tcW w:w="1779" w:type="dxa"/>
            <w:gridSpan w:val="2"/>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100"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Frequency</w:t>
            </w:r>
          </w:p>
        </w:tc>
        <w:tc>
          <w:tcPr>
            <w:tcW w:w="9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Percent</w:t>
            </w:r>
          </w:p>
        </w:tc>
        <w:tc>
          <w:tcPr>
            <w:tcW w:w="1317"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 Percent</w:t>
            </w:r>
          </w:p>
        </w:tc>
        <w:tc>
          <w:tcPr>
            <w:tcW w:w="1389"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Cumulative Percent</w:t>
            </w:r>
          </w:p>
        </w:tc>
      </w:tr>
      <w:tr w:rsidR="00493E4F" w:rsidRPr="009B587A" w:rsidTr="00493E4F">
        <w:trPr>
          <w:cantSplit/>
          <w:trHeight w:val="259"/>
          <w:jc w:val="center"/>
        </w:trPr>
        <w:tc>
          <w:tcPr>
            <w:tcW w:w="897" w:type="dxa"/>
            <w:vMerge w:val="restart"/>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w:t>
            </w:r>
          </w:p>
        </w:tc>
        <w:tc>
          <w:tcPr>
            <w:tcW w:w="882"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Male</w:t>
            </w:r>
          </w:p>
        </w:tc>
        <w:tc>
          <w:tcPr>
            <w:tcW w:w="1100"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85</w:t>
            </w:r>
          </w:p>
        </w:tc>
        <w:tc>
          <w:tcPr>
            <w:tcW w:w="968"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54.5</w:t>
            </w:r>
          </w:p>
        </w:tc>
        <w:tc>
          <w:tcPr>
            <w:tcW w:w="1317"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55.6</w:t>
            </w:r>
          </w:p>
        </w:tc>
        <w:tc>
          <w:tcPr>
            <w:tcW w:w="1389"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55.6</w:t>
            </w:r>
          </w:p>
        </w:tc>
      </w:tr>
      <w:tr w:rsidR="00493E4F" w:rsidRPr="009B587A" w:rsidTr="00493E4F">
        <w:trPr>
          <w:cantSplit/>
          <w:trHeight w:val="120"/>
          <w:jc w:val="center"/>
        </w:trPr>
        <w:tc>
          <w:tcPr>
            <w:tcW w:w="897"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882"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Female</w:t>
            </w:r>
          </w:p>
        </w:tc>
        <w:tc>
          <w:tcPr>
            <w:tcW w:w="1100"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68</w:t>
            </w:r>
          </w:p>
        </w:tc>
        <w:tc>
          <w:tcPr>
            <w:tcW w:w="9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43.6</w:t>
            </w:r>
          </w:p>
        </w:tc>
        <w:tc>
          <w:tcPr>
            <w:tcW w:w="131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44.4</w:t>
            </w:r>
          </w:p>
        </w:tc>
        <w:tc>
          <w:tcPr>
            <w:tcW w:w="138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r>
      <w:tr w:rsidR="00493E4F" w:rsidRPr="009B587A" w:rsidTr="00493E4F">
        <w:trPr>
          <w:cantSplit/>
          <w:trHeight w:val="120"/>
          <w:jc w:val="center"/>
        </w:trPr>
        <w:tc>
          <w:tcPr>
            <w:tcW w:w="897"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882"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00"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9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98.1</w:t>
            </w:r>
          </w:p>
        </w:tc>
        <w:tc>
          <w:tcPr>
            <w:tcW w:w="131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389"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Height w:val="70"/>
          <w:jc w:val="center"/>
        </w:trPr>
        <w:tc>
          <w:tcPr>
            <w:tcW w:w="1779" w:type="dxa"/>
            <w:gridSpan w:val="2"/>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00"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968"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31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389"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1 Gender distribution of participants</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7E0761">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The gender distribution between men and women is 55.6% to 44.4% resulting from 85 to 68 participants as seen in Table 1. Even though males were more than females, it is unclear whether or not there is a significant difference between genders.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69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917"/>
        <w:gridCol w:w="1163"/>
        <w:gridCol w:w="1025"/>
        <w:gridCol w:w="1392"/>
        <w:gridCol w:w="1469"/>
      </w:tblGrid>
      <w:tr w:rsidR="00493E4F" w:rsidRPr="009B587A" w:rsidTr="00493E4F">
        <w:trPr>
          <w:cantSplit/>
          <w:jc w:val="center"/>
        </w:trPr>
        <w:tc>
          <w:tcPr>
            <w:tcW w:w="6914"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Age</w:t>
            </w:r>
          </w:p>
        </w:tc>
      </w:tr>
      <w:tr w:rsidR="00493E4F" w:rsidRPr="009B587A" w:rsidTr="00493E4F">
        <w:trPr>
          <w:cantSplit/>
          <w:jc w:val="center"/>
        </w:trPr>
        <w:tc>
          <w:tcPr>
            <w:tcW w:w="1865" w:type="dxa"/>
            <w:gridSpan w:val="2"/>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163"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Frequency</w:t>
            </w:r>
          </w:p>
        </w:tc>
        <w:tc>
          <w:tcPr>
            <w:tcW w:w="1025"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 Percent</w:t>
            </w:r>
          </w:p>
        </w:tc>
        <w:tc>
          <w:tcPr>
            <w:tcW w:w="1469"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Cumulative Percent</w:t>
            </w:r>
          </w:p>
        </w:tc>
      </w:tr>
      <w:tr w:rsidR="00493E4F" w:rsidRPr="009B587A" w:rsidTr="00493E4F">
        <w:trPr>
          <w:cantSplit/>
          <w:jc w:val="center"/>
        </w:trPr>
        <w:tc>
          <w:tcPr>
            <w:tcW w:w="948" w:type="dxa"/>
            <w:vMerge w:val="restart"/>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w:t>
            </w:r>
          </w:p>
        </w:tc>
        <w:tc>
          <w:tcPr>
            <w:tcW w:w="91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18-21</w:t>
            </w:r>
          </w:p>
        </w:tc>
        <w:tc>
          <w:tcPr>
            <w:tcW w:w="1163"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21</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13.5</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13.7</w:t>
            </w:r>
          </w:p>
        </w:tc>
        <w:tc>
          <w:tcPr>
            <w:tcW w:w="1469"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13.7</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22-30</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62</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39.7</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40.5</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54.2</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31-40</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50</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32.1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32.7</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86.9</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40+</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20</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12.8</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13.1</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98.1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469"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1865" w:type="dxa"/>
            <w:gridSpan w:val="2"/>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9"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2 Age distribution of participants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r w:rsidRPr="002D6402">
        <w:rPr>
          <w:rFonts w:asciiTheme="majorBidi" w:hAnsiTheme="majorBidi" w:cstheme="majorBidi"/>
          <w:sz w:val="24"/>
          <w:szCs w:val="24"/>
        </w:rPr>
        <w:lastRenderedPageBreak/>
        <w:t xml:space="preserve">The most common age groups </w:t>
      </w:r>
      <w:r w:rsidR="00992330">
        <w:rPr>
          <w:rFonts w:asciiTheme="majorBidi" w:hAnsiTheme="majorBidi" w:cstheme="majorBidi"/>
          <w:sz w:val="24"/>
          <w:szCs w:val="24"/>
        </w:rPr>
        <w:t>are the 22-30 at 40.5% and 31-40</w:t>
      </w:r>
      <w:r w:rsidRPr="002D6402">
        <w:rPr>
          <w:rFonts w:asciiTheme="majorBidi" w:hAnsiTheme="majorBidi" w:cstheme="majorBidi"/>
          <w:sz w:val="24"/>
          <w:szCs w:val="24"/>
        </w:rPr>
        <w:t xml:space="preserve"> at 32.7%. These figures in Table 2 include the newly graduated and those who are at the height of their professional careers. They are more likely to have bank accounts because they have mortgages and loans. Furthermore, they belong to the generation where employers paid their employees through banks. The younger generation is less likely to be fully employed and thus does not need a bank account.</w:t>
      </w:r>
    </w:p>
    <w:p w:rsidR="007E0761" w:rsidRPr="009B587A" w:rsidRDefault="007E0761"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69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963"/>
        <w:gridCol w:w="1163"/>
        <w:gridCol w:w="1024"/>
        <w:gridCol w:w="1393"/>
        <w:gridCol w:w="1469"/>
      </w:tblGrid>
      <w:tr w:rsidR="00493E4F" w:rsidRPr="009B587A" w:rsidTr="00493E4F">
        <w:trPr>
          <w:cantSplit/>
          <w:jc w:val="center"/>
        </w:trPr>
        <w:tc>
          <w:tcPr>
            <w:tcW w:w="6960"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EL</w:t>
            </w:r>
          </w:p>
        </w:tc>
      </w:tr>
      <w:tr w:rsidR="00493E4F" w:rsidRPr="009B587A" w:rsidTr="00493E4F">
        <w:trPr>
          <w:cantSplit/>
          <w:jc w:val="center"/>
        </w:trPr>
        <w:tc>
          <w:tcPr>
            <w:tcW w:w="1911" w:type="dxa"/>
            <w:gridSpan w:val="2"/>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163"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Percent</w:t>
            </w:r>
          </w:p>
        </w:tc>
        <w:tc>
          <w:tcPr>
            <w:tcW w:w="1393"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 Percent</w:t>
            </w:r>
          </w:p>
        </w:tc>
        <w:tc>
          <w:tcPr>
            <w:tcW w:w="1469"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Cumulative Percent</w:t>
            </w:r>
          </w:p>
        </w:tc>
      </w:tr>
      <w:tr w:rsidR="00493E4F" w:rsidRPr="009B587A" w:rsidTr="00493E4F">
        <w:trPr>
          <w:cantSplit/>
          <w:jc w:val="center"/>
        </w:trPr>
        <w:tc>
          <w:tcPr>
            <w:tcW w:w="948" w:type="dxa"/>
            <w:vMerge w:val="restart"/>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w:t>
            </w:r>
          </w:p>
        </w:tc>
        <w:tc>
          <w:tcPr>
            <w:tcW w:w="963"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School</w:t>
            </w:r>
          </w:p>
        </w:tc>
        <w:tc>
          <w:tcPr>
            <w:tcW w:w="1163"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9.0</w:t>
            </w:r>
          </w:p>
        </w:tc>
        <w:tc>
          <w:tcPr>
            <w:tcW w:w="1393"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9.2</w:t>
            </w:r>
          </w:p>
        </w:tc>
        <w:tc>
          <w:tcPr>
            <w:tcW w:w="1469"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9.2</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63"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License</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52.6</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53.6</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62.7</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63"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Masters</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32.1</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32.7</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95.4</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63"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PhD</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4.5</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4.6</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63"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98.1</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469"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1911" w:type="dxa"/>
            <w:gridSpan w:val="2"/>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39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9"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3 Educational level of participants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majority of the sample has a license or college degree (53.6%) followed by Masters</w:t>
      </w:r>
      <w:r w:rsidR="003000F2">
        <w:rPr>
          <w:rFonts w:asciiTheme="majorBidi" w:hAnsiTheme="majorBidi" w:cstheme="majorBidi"/>
          <w:sz w:val="24"/>
          <w:szCs w:val="24"/>
        </w:rPr>
        <w:t>’s</w:t>
      </w:r>
      <w:r w:rsidRPr="009B587A">
        <w:rPr>
          <w:rFonts w:asciiTheme="majorBidi" w:hAnsiTheme="majorBidi" w:cstheme="majorBidi"/>
          <w:sz w:val="24"/>
          <w:szCs w:val="24"/>
        </w:rPr>
        <w:t xml:space="preserve"> holders (32.7%) as seen in Table 3. This indicates that the participants are highly educated and informed.</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tbl>
      <w:tblPr>
        <w:tblW w:w="813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2142"/>
        <w:gridCol w:w="1162"/>
        <w:gridCol w:w="1024"/>
        <w:gridCol w:w="1393"/>
        <w:gridCol w:w="1469"/>
      </w:tblGrid>
      <w:tr w:rsidR="00493E4F" w:rsidRPr="009B587A" w:rsidTr="00493E4F">
        <w:trPr>
          <w:cantSplit/>
          <w:jc w:val="center"/>
        </w:trPr>
        <w:tc>
          <w:tcPr>
            <w:tcW w:w="8138"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lastRenderedPageBreak/>
              <w:t>Income</w:t>
            </w:r>
          </w:p>
        </w:tc>
      </w:tr>
      <w:tr w:rsidR="00493E4F" w:rsidRPr="009B587A" w:rsidTr="00493E4F">
        <w:trPr>
          <w:cantSplit/>
          <w:jc w:val="center"/>
        </w:trPr>
        <w:tc>
          <w:tcPr>
            <w:tcW w:w="3090" w:type="dxa"/>
            <w:gridSpan w:val="2"/>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Percent</w:t>
            </w:r>
          </w:p>
        </w:tc>
        <w:tc>
          <w:tcPr>
            <w:tcW w:w="1393"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 Percent</w:t>
            </w:r>
          </w:p>
        </w:tc>
        <w:tc>
          <w:tcPr>
            <w:tcW w:w="1469"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Cumulative Percent</w:t>
            </w:r>
          </w:p>
        </w:tc>
      </w:tr>
      <w:tr w:rsidR="00493E4F" w:rsidRPr="009B587A" w:rsidTr="00493E4F">
        <w:trPr>
          <w:cantSplit/>
          <w:jc w:val="center"/>
        </w:trPr>
        <w:tc>
          <w:tcPr>
            <w:tcW w:w="948" w:type="dxa"/>
            <w:vMerge w:val="restart"/>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w:t>
            </w:r>
          </w:p>
        </w:tc>
        <w:tc>
          <w:tcPr>
            <w:tcW w:w="2142"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675,000</w:t>
            </w:r>
          </w:p>
        </w:tc>
        <w:tc>
          <w:tcPr>
            <w:tcW w:w="1162"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22</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14.1</w:t>
            </w:r>
          </w:p>
        </w:tc>
        <w:tc>
          <w:tcPr>
            <w:tcW w:w="1393"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14.4</w:t>
            </w:r>
          </w:p>
        </w:tc>
        <w:tc>
          <w:tcPr>
            <w:tcW w:w="1469"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14.4</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2142"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675,001-2,250,000</w:t>
            </w:r>
          </w:p>
        </w:tc>
        <w:tc>
          <w:tcPr>
            <w:tcW w:w="1162"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49.4</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50.3</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64.7</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2142"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2,251,000-3,3750,000</w:t>
            </w:r>
          </w:p>
        </w:tc>
        <w:tc>
          <w:tcPr>
            <w:tcW w:w="1162"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15.4</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15.7</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80.4</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2142"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3,751,000+</w:t>
            </w:r>
          </w:p>
        </w:tc>
        <w:tc>
          <w:tcPr>
            <w:tcW w:w="1162"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19.2</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19.6</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2142"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2"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98.1</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469"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3090" w:type="dxa"/>
            <w:gridSpan w:val="2"/>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39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9"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4 Income of participants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highest percentile belongs to income level 675,001 – 2,250,000 at 49.4% according to Table 4. The tough economic situation makes it unlikely that even a highly educated sample such as the participants will</w:t>
      </w:r>
      <w:r>
        <w:rPr>
          <w:rFonts w:asciiTheme="majorBidi" w:hAnsiTheme="majorBidi" w:cstheme="majorBidi"/>
          <w:sz w:val="24"/>
          <w:szCs w:val="24"/>
        </w:rPr>
        <w:t xml:space="preserve"> be able to make a high income.</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69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917"/>
        <w:gridCol w:w="1163"/>
        <w:gridCol w:w="1025"/>
        <w:gridCol w:w="1392"/>
        <w:gridCol w:w="1469"/>
      </w:tblGrid>
      <w:tr w:rsidR="00493E4F" w:rsidRPr="009B587A" w:rsidTr="00493E4F">
        <w:trPr>
          <w:cantSplit/>
          <w:jc w:val="center"/>
        </w:trPr>
        <w:tc>
          <w:tcPr>
            <w:tcW w:w="6914"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DEA</w:t>
            </w:r>
          </w:p>
        </w:tc>
      </w:tr>
      <w:tr w:rsidR="00493E4F" w:rsidRPr="009B587A" w:rsidTr="00493E4F">
        <w:trPr>
          <w:cantSplit/>
          <w:jc w:val="center"/>
        </w:trPr>
        <w:tc>
          <w:tcPr>
            <w:tcW w:w="1865" w:type="dxa"/>
            <w:gridSpan w:val="2"/>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163"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Frequency</w:t>
            </w:r>
          </w:p>
        </w:tc>
        <w:tc>
          <w:tcPr>
            <w:tcW w:w="1025"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 Percent</w:t>
            </w:r>
          </w:p>
        </w:tc>
        <w:tc>
          <w:tcPr>
            <w:tcW w:w="1469"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Cumulative Percent</w:t>
            </w:r>
          </w:p>
        </w:tc>
      </w:tr>
      <w:tr w:rsidR="00493E4F" w:rsidRPr="009B587A" w:rsidTr="00493E4F">
        <w:trPr>
          <w:cantSplit/>
          <w:jc w:val="center"/>
        </w:trPr>
        <w:tc>
          <w:tcPr>
            <w:tcW w:w="948" w:type="dxa"/>
            <w:vMerge w:val="restart"/>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w:t>
            </w:r>
          </w:p>
        </w:tc>
        <w:tc>
          <w:tcPr>
            <w:tcW w:w="91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&lt;year</w:t>
            </w:r>
          </w:p>
        </w:tc>
        <w:tc>
          <w:tcPr>
            <w:tcW w:w="1163"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22</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14.1</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14.4</w:t>
            </w:r>
          </w:p>
        </w:tc>
        <w:tc>
          <w:tcPr>
            <w:tcW w:w="1469"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14.4</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1-3</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77</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49.4</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50.3</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64.7</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4-7</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24</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15.4</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15.7</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80.4</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&gt;8</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30</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19.2</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19.6</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98.1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469"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1865" w:type="dxa"/>
            <w:gridSpan w:val="2"/>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9"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5 Duration of electronic bank account</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The most common answer for the duration of an electronic bank account is between 1 – 3 years (49.4%) as indicated in Table 5. This could be indicative that electronic banking hadn’t inspired </w:t>
      </w:r>
      <w:r w:rsidRPr="009B587A">
        <w:rPr>
          <w:rFonts w:asciiTheme="majorBidi" w:hAnsiTheme="majorBidi" w:cstheme="majorBidi"/>
          <w:sz w:val="24"/>
          <w:szCs w:val="24"/>
        </w:rPr>
        <w:lastRenderedPageBreak/>
        <w:t>much trust or attraction to users before this time. Surprisingly, only 14.4% of participants claimed to have opened a new electronic account in the last year when it would have been logical to expect it to be higher due to the restrictions of COVID-19. However, this low figure can be attributed to the lack of satisfaction and trust in Lebanese banks.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In summary, the demographic population profile is of highly educated young individuals who can be said to constitute the lower middle class in Lebanon and most frequently use e-banking 2 – 3 times a week. There is no distinctive evidence of gender bias in this preliminary stage.</w:t>
      </w:r>
    </w:p>
    <w:p w:rsidR="00493E4F" w:rsidRPr="009B587A" w:rsidRDefault="00493E4F" w:rsidP="007E0761">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  </w:t>
      </w:r>
    </w:p>
    <w:tbl>
      <w:tblPr>
        <w:tblW w:w="69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917"/>
        <w:gridCol w:w="1163"/>
        <w:gridCol w:w="1025"/>
        <w:gridCol w:w="1392"/>
        <w:gridCol w:w="1469"/>
      </w:tblGrid>
      <w:tr w:rsidR="00493E4F" w:rsidRPr="009B587A" w:rsidTr="00493E4F">
        <w:trPr>
          <w:cantSplit/>
          <w:jc w:val="center"/>
        </w:trPr>
        <w:tc>
          <w:tcPr>
            <w:tcW w:w="6914"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FoU</w:t>
            </w:r>
          </w:p>
        </w:tc>
      </w:tr>
      <w:tr w:rsidR="00493E4F" w:rsidRPr="009B587A" w:rsidTr="00493E4F">
        <w:trPr>
          <w:cantSplit/>
          <w:jc w:val="center"/>
        </w:trPr>
        <w:tc>
          <w:tcPr>
            <w:tcW w:w="1865" w:type="dxa"/>
            <w:gridSpan w:val="2"/>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163"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Frequency</w:t>
            </w:r>
          </w:p>
        </w:tc>
        <w:tc>
          <w:tcPr>
            <w:tcW w:w="1025"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 Percent</w:t>
            </w:r>
          </w:p>
        </w:tc>
        <w:tc>
          <w:tcPr>
            <w:tcW w:w="1469"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Cumulative Percent</w:t>
            </w:r>
          </w:p>
        </w:tc>
      </w:tr>
      <w:tr w:rsidR="00493E4F" w:rsidRPr="009B587A" w:rsidTr="00493E4F">
        <w:trPr>
          <w:cantSplit/>
          <w:jc w:val="center"/>
        </w:trPr>
        <w:tc>
          <w:tcPr>
            <w:tcW w:w="948" w:type="dxa"/>
            <w:vMerge w:val="restart"/>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Valid</w:t>
            </w:r>
          </w:p>
        </w:tc>
        <w:tc>
          <w:tcPr>
            <w:tcW w:w="91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0-1</w:t>
            </w:r>
          </w:p>
        </w:tc>
        <w:tc>
          <w:tcPr>
            <w:tcW w:w="1163"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57</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36.5</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37.3</w:t>
            </w:r>
          </w:p>
        </w:tc>
        <w:tc>
          <w:tcPr>
            <w:tcW w:w="1469"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37.3</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2-3</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74</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47.4</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48.4</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85.6</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4-5</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7.2</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92.8</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Daily</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7.2</w:t>
            </w:r>
          </w:p>
        </w:tc>
        <w:tc>
          <w:tcPr>
            <w:tcW w:w="1469"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r>
      <w:tr w:rsidR="00493E4F" w:rsidRPr="009B587A" w:rsidTr="00493E4F">
        <w:trPr>
          <w:cantSplit/>
          <w:jc w:val="center"/>
        </w:trPr>
        <w:tc>
          <w:tcPr>
            <w:tcW w:w="948"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91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98.1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469"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1865" w:type="dxa"/>
            <w:gridSpan w:val="2"/>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163"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9"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6 Frequency of use of electronic banking</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Most participants use their accounts up to 3 times weekly with a cumulative percentage of 85.6% according to Table 6. This percentage is understandably moderate taking into consideration the financial restrictions and tough economic situation in Lebanon.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818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7"/>
        <w:gridCol w:w="2142"/>
        <w:gridCol w:w="1025"/>
        <w:gridCol w:w="1025"/>
        <w:gridCol w:w="1025"/>
        <w:gridCol w:w="1025"/>
        <w:gridCol w:w="1025"/>
      </w:tblGrid>
      <w:tr w:rsidR="00493E4F" w:rsidRPr="009B587A" w:rsidTr="00493E4F">
        <w:trPr>
          <w:cantSplit/>
          <w:jc w:val="center"/>
        </w:trPr>
        <w:tc>
          <w:tcPr>
            <w:tcW w:w="8178" w:type="dxa"/>
            <w:gridSpan w:val="7"/>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lastRenderedPageBreak/>
              <w:t>Income * FoU Cross tabulation</w:t>
            </w:r>
          </w:p>
        </w:tc>
      </w:tr>
      <w:tr w:rsidR="00493E4F" w:rsidRPr="009B587A" w:rsidTr="00493E4F">
        <w:trPr>
          <w:cantSplit/>
          <w:jc w:val="center"/>
        </w:trPr>
        <w:tc>
          <w:tcPr>
            <w:tcW w:w="8178" w:type="dxa"/>
            <w:gridSpan w:val="7"/>
            <w:tcBorders>
              <w:top w:val="nil"/>
              <w:left w:val="nil"/>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color w:val="010205"/>
                <w:sz w:val="18"/>
                <w:szCs w:val="18"/>
                <w:shd w:val="clear" w:color="auto" w:fill="FFFFFF"/>
              </w:rPr>
              <w:t xml:space="preserve">Count  </w:t>
            </w:r>
          </w:p>
        </w:tc>
      </w:tr>
      <w:tr w:rsidR="00493E4F" w:rsidRPr="009B587A" w:rsidTr="00493E4F">
        <w:trPr>
          <w:cantSplit/>
          <w:jc w:val="center"/>
        </w:trPr>
        <w:tc>
          <w:tcPr>
            <w:tcW w:w="3058" w:type="dxa"/>
            <w:gridSpan w:val="2"/>
            <w:vMerge w:val="restart"/>
            <w:tcBorders>
              <w:top w:val="nil"/>
              <w:left w:val="nil"/>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4096" w:type="dxa"/>
            <w:gridSpan w:val="4"/>
            <w:tcBorders>
              <w:top w:val="nil"/>
              <w:left w:val="nil"/>
              <w:bottom w:val="nil"/>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FoU</w:t>
            </w:r>
          </w:p>
        </w:tc>
        <w:tc>
          <w:tcPr>
            <w:tcW w:w="1024" w:type="dxa"/>
            <w:vMerge w:val="restart"/>
            <w:tcBorders>
              <w:top w:val="nil"/>
              <w:left w:val="single" w:sz="8" w:space="0" w:color="E0E0E0"/>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r>
      <w:tr w:rsidR="00493E4F" w:rsidRPr="009B587A" w:rsidTr="00493E4F">
        <w:trPr>
          <w:cantSplit/>
          <w:jc w:val="center"/>
        </w:trPr>
        <w:tc>
          <w:tcPr>
            <w:tcW w:w="3058" w:type="dxa"/>
            <w:gridSpan w:val="2"/>
            <w:vMerge/>
            <w:tcBorders>
              <w:top w:val="nil"/>
              <w:left w:val="nil"/>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0-1</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2-3</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4-5</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Daily</w:t>
            </w:r>
          </w:p>
        </w:tc>
        <w:tc>
          <w:tcPr>
            <w:tcW w:w="1024" w:type="dxa"/>
            <w:vMerge/>
            <w:tcBorders>
              <w:top w:val="nil"/>
              <w:left w:val="single" w:sz="8" w:space="0" w:color="E0E0E0"/>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264A60"/>
                <w:sz w:val="18"/>
                <w:szCs w:val="18"/>
              </w:rPr>
            </w:pPr>
          </w:p>
        </w:tc>
      </w:tr>
      <w:tr w:rsidR="00493E4F" w:rsidRPr="009B587A" w:rsidTr="00493E4F">
        <w:trPr>
          <w:cantSplit/>
          <w:jc w:val="center"/>
        </w:trPr>
        <w:tc>
          <w:tcPr>
            <w:tcW w:w="917" w:type="dxa"/>
            <w:vMerge w:val="restart"/>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Income</w:t>
            </w:r>
          </w:p>
        </w:tc>
        <w:tc>
          <w:tcPr>
            <w:tcW w:w="2141"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675,000</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w:t>
            </w:r>
          </w:p>
        </w:tc>
        <w:tc>
          <w:tcPr>
            <w:tcW w:w="1024"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22</w:t>
            </w:r>
          </w:p>
        </w:tc>
      </w:tr>
      <w:tr w:rsidR="00493E4F" w:rsidRPr="009B587A" w:rsidTr="00493E4F">
        <w:trPr>
          <w:cantSplit/>
          <w:jc w:val="center"/>
        </w:trPr>
        <w:tc>
          <w:tcPr>
            <w:tcW w:w="917"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2141"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675,001-2,250,000</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77</w:t>
            </w:r>
          </w:p>
        </w:tc>
      </w:tr>
      <w:tr w:rsidR="00493E4F" w:rsidRPr="009B587A" w:rsidTr="00493E4F">
        <w:trPr>
          <w:cantSplit/>
          <w:jc w:val="center"/>
        </w:trPr>
        <w:tc>
          <w:tcPr>
            <w:tcW w:w="917"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2141"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2,251,000-3,3750,000</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24</w:t>
            </w:r>
          </w:p>
        </w:tc>
      </w:tr>
      <w:tr w:rsidR="00493E4F" w:rsidRPr="009B587A" w:rsidTr="00493E4F">
        <w:trPr>
          <w:cantSplit/>
          <w:jc w:val="center"/>
        </w:trPr>
        <w:tc>
          <w:tcPr>
            <w:tcW w:w="917" w:type="dxa"/>
            <w:vMerge/>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2141"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3,751,000+</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30</w:t>
            </w:r>
          </w:p>
        </w:tc>
      </w:tr>
      <w:tr w:rsidR="00493E4F" w:rsidRPr="009B587A" w:rsidTr="00493E4F">
        <w:trPr>
          <w:cantSplit/>
          <w:jc w:val="center"/>
        </w:trPr>
        <w:tc>
          <w:tcPr>
            <w:tcW w:w="3058" w:type="dxa"/>
            <w:gridSpan w:val="2"/>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57</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74</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w:t>
            </w:r>
          </w:p>
        </w:tc>
        <w:tc>
          <w:tcPr>
            <w:tcW w:w="1024" w:type="dxa"/>
            <w:tcBorders>
              <w:top w:val="single" w:sz="8" w:space="0" w:color="AEAEAE"/>
              <w:left w:val="single" w:sz="8" w:space="0" w:color="E0E0E0"/>
              <w:bottom w:val="single" w:sz="8" w:space="0" w:color="152935"/>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7 Income vs. frequency of usage</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r w:rsidRPr="0034787D">
        <w:rPr>
          <w:rFonts w:asciiTheme="majorBidi" w:hAnsiTheme="majorBidi" w:cstheme="majorBidi"/>
          <w:sz w:val="24"/>
          <w:szCs w:val="24"/>
        </w:rPr>
        <w:t>Table 7 illustrates the frequency of use of electronic banking based on income. This portrays the nature of the most frequent users in terms of income since any recommendations will target this particular group. The income group with the highest count is between 675,001 – 2,250,000 LL, and it interacts by using e-banking 2 – 3 times a week.</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4.2 In-Depth Analysis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The following section will try to prove the hypotheses that were extrapolated from the previous chapter.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4.2.1 E-banking and satisfaction </w:t>
      </w:r>
    </w:p>
    <w:p w:rsidR="00493E4F" w:rsidRPr="009B587A" w:rsidRDefault="00493E4F" w:rsidP="003000F2">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H1: </w:t>
      </w:r>
      <w:r w:rsidR="003000F2">
        <w:rPr>
          <w:rFonts w:asciiTheme="majorBidi" w:hAnsiTheme="majorBidi" w:cstheme="majorBidi"/>
          <w:sz w:val="24"/>
          <w:szCs w:val="24"/>
        </w:rPr>
        <w:t>Trust</w:t>
      </w:r>
      <w:r w:rsidRPr="009B587A">
        <w:rPr>
          <w:rFonts w:asciiTheme="majorBidi" w:hAnsiTheme="majorBidi" w:cstheme="majorBidi"/>
          <w:sz w:val="24"/>
          <w:szCs w:val="24"/>
        </w:rPr>
        <w:t xml:space="preserve"> in e-banking influences satisfaction.</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The first hypothesis postulates that having an efficient e-banking system will have a positive impact on the satisfaction rate of users. Before testing this, we want to compare the levels of satisfaction before and after the pandemic.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11800" w:type="dxa"/>
        <w:tblInd w:w="-12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8"/>
        <w:gridCol w:w="1126"/>
        <w:gridCol w:w="1078"/>
        <w:gridCol w:w="1125"/>
        <w:gridCol w:w="1077"/>
        <w:gridCol w:w="1125"/>
        <w:gridCol w:w="1077"/>
        <w:gridCol w:w="1125"/>
        <w:gridCol w:w="1077"/>
        <w:gridCol w:w="1125"/>
        <w:gridCol w:w="1077"/>
      </w:tblGrid>
      <w:tr w:rsidR="00493E4F" w:rsidRPr="009B587A" w:rsidTr="00493E4F">
        <w:trPr>
          <w:cantSplit/>
        </w:trPr>
        <w:tc>
          <w:tcPr>
            <w:tcW w:w="788" w:type="dxa"/>
            <w:vMerge w:val="restart"/>
            <w:tcBorders>
              <w:top w:val="nil"/>
              <w:left w:val="nil"/>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2204" w:type="dxa"/>
            <w:gridSpan w:val="2"/>
            <w:tcBorders>
              <w:top w:val="nil"/>
              <w:left w:val="nil"/>
              <w:bottom w:val="nil"/>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1</w:t>
            </w:r>
          </w:p>
        </w:tc>
        <w:tc>
          <w:tcPr>
            <w:tcW w:w="2202" w:type="dxa"/>
            <w:gridSpan w:val="2"/>
            <w:tcBorders>
              <w:top w:val="nil"/>
              <w:left w:val="single" w:sz="8" w:space="0" w:color="E0E0E0"/>
              <w:bottom w:val="nil"/>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2</w:t>
            </w:r>
          </w:p>
        </w:tc>
        <w:tc>
          <w:tcPr>
            <w:tcW w:w="2202" w:type="dxa"/>
            <w:gridSpan w:val="2"/>
            <w:tcBorders>
              <w:top w:val="nil"/>
              <w:left w:val="single" w:sz="8" w:space="0" w:color="E0E0E0"/>
              <w:bottom w:val="nil"/>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3</w:t>
            </w:r>
          </w:p>
        </w:tc>
        <w:tc>
          <w:tcPr>
            <w:tcW w:w="2202" w:type="dxa"/>
            <w:gridSpan w:val="2"/>
            <w:tcBorders>
              <w:top w:val="nil"/>
              <w:left w:val="single" w:sz="8" w:space="0" w:color="E0E0E0"/>
              <w:bottom w:val="nil"/>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4</w:t>
            </w:r>
          </w:p>
        </w:tc>
        <w:tc>
          <w:tcPr>
            <w:tcW w:w="2202" w:type="dxa"/>
            <w:gridSpan w:val="2"/>
            <w:tcBorders>
              <w:top w:val="nil"/>
              <w:left w:val="single" w:sz="8" w:space="0" w:color="E0E0E0"/>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5</w:t>
            </w:r>
          </w:p>
        </w:tc>
      </w:tr>
      <w:tr w:rsidR="00493E4F" w:rsidRPr="009B587A" w:rsidTr="00493E4F">
        <w:trPr>
          <w:cantSplit/>
        </w:trPr>
        <w:tc>
          <w:tcPr>
            <w:tcW w:w="788" w:type="dxa"/>
            <w:vMerge/>
            <w:tcBorders>
              <w:top w:val="nil"/>
              <w:left w:val="nil"/>
              <w:bottom w:val="nil"/>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264A60"/>
                <w:sz w:val="18"/>
                <w:szCs w:val="18"/>
              </w:rPr>
            </w:pPr>
          </w:p>
        </w:tc>
        <w:tc>
          <w:tcPr>
            <w:tcW w:w="1126"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Row N %</w:t>
            </w:r>
          </w:p>
        </w:tc>
        <w:tc>
          <w:tcPr>
            <w:tcW w:w="107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Count</w:t>
            </w:r>
          </w:p>
        </w:tc>
        <w:tc>
          <w:tcPr>
            <w:tcW w:w="1125"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Row N %</w:t>
            </w:r>
          </w:p>
        </w:tc>
        <w:tc>
          <w:tcPr>
            <w:tcW w:w="1077"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Count</w:t>
            </w:r>
          </w:p>
        </w:tc>
        <w:tc>
          <w:tcPr>
            <w:tcW w:w="1125"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Row N %</w:t>
            </w:r>
          </w:p>
        </w:tc>
        <w:tc>
          <w:tcPr>
            <w:tcW w:w="1077"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Count</w:t>
            </w:r>
          </w:p>
        </w:tc>
        <w:tc>
          <w:tcPr>
            <w:tcW w:w="1125"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Row N %</w:t>
            </w:r>
          </w:p>
        </w:tc>
        <w:tc>
          <w:tcPr>
            <w:tcW w:w="1077"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Count</w:t>
            </w:r>
          </w:p>
        </w:tc>
        <w:tc>
          <w:tcPr>
            <w:tcW w:w="1125"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Row N %</w:t>
            </w:r>
          </w:p>
        </w:tc>
        <w:tc>
          <w:tcPr>
            <w:tcW w:w="1077"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Count</w:t>
            </w:r>
          </w:p>
        </w:tc>
      </w:tr>
      <w:tr w:rsidR="00493E4F" w:rsidRPr="009B587A" w:rsidTr="00493E4F">
        <w:trPr>
          <w:cantSplit/>
        </w:trPr>
        <w:tc>
          <w:tcPr>
            <w:tcW w:w="788"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Sb4P</w:t>
            </w:r>
          </w:p>
        </w:tc>
        <w:tc>
          <w:tcPr>
            <w:tcW w:w="1126"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34.6%</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53</w:t>
            </w:r>
          </w:p>
        </w:tc>
        <w:tc>
          <w:tcPr>
            <w:tcW w:w="1125"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28.1%</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43</w:t>
            </w:r>
          </w:p>
        </w:tc>
        <w:tc>
          <w:tcPr>
            <w:tcW w:w="1125"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18.3%</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28</w:t>
            </w:r>
          </w:p>
        </w:tc>
        <w:tc>
          <w:tcPr>
            <w:tcW w:w="1125"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13.7%</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21</w:t>
            </w:r>
          </w:p>
        </w:tc>
        <w:tc>
          <w:tcPr>
            <w:tcW w:w="1125"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5.2%</w:t>
            </w:r>
          </w:p>
        </w:tc>
        <w:tc>
          <w:tcPr>
            <w:tcW w:w="1077"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w:t>
            </w:r>
          </w:p>
        </w:tc>
      </w:tr>
      <w:tr w:rsidR="00493E4F" w:rsidRPr="009B587A" w:rsidTr="00493E4F">
        <w:trPr>
          <w:cantSplit/>
        </w:trPr>
        <w:tc>
          <w:tcPr>
            <w:tcW w:w="788"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SafP</w:t>
            </w:r>
          </w:p>
        </w:tc>
        <w:tc>
          <w:tcPr>
            <w:tcW w:w="1126"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20.3%</w:t>
            </w:r>
          </w:p>
        </w:tc>
        <w:tc>
          <w:tcPr>
            <w:tcW w:w="1078"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31</w:t>
            </w:r>
          </w:p>
        </w:tc>
        <w:tc>
          <w:tcPr>
            <w:tcW w:w="1125"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24.8%</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38</w:t>
            </w:r>
          </w:p>
        </w:tc>
        <w:tc>
          <w:tcPr>
            <w:tcW w:w="1125"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31.4%</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48</w:t>
            </w:r>
          </w:p>
        </w:tc>
        <w:tc>
          <w:tcPr>
            <w:tcW w:w="1125"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15.7%</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24</w:t>
            </w:r>
          </w:p>
        </w:tc>
        <w:tc>
          <w:tcPr>
            <w:tcW w:w="1125"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7.8%</w:t>
            </w:r>
          </w:p>
        </w:tc>
        <w:tc>
          <w:tcPr>
            <w:tcW w:w="1077" w:type="dxa"/>
            <w:tcBorders>
              <w:top w:val="single" w:sz="8" w:space="0" w:color="AEAEAE"/>
              <w:left w:val="single" w:sz="8" w:space="0" w:color="E0E0E0"/>
              <w:bottom w:val="single" w:sz="8" w:space="0" w:color="152935"/>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12</w:t>
            </w: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8 The level of satisfaction before and after the pandemic</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0"/>
          <w:szCs w:val="20"/>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B14BBA">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Table 8 illustrates the decline in customer satisfaction with the Lebanese banking sector. On a scale from 1 to 5 with 1 being poorly satisfied to 5 being very satisfied, only 5.2 % of the participants </w:t>
      </w:r>
      <w:r>
        <w:rPr>
          <w:rFonts w:asciiTheme="majorBidi" w:hAnsiTheme="majorBidi" w:cstheme="majorBidi"/>
          <w:sz w:val="24"/>
          <w:szCs w:val="24"/>
        </w:rPr>
        <w:t>scored 5</w:t>
      </w:r>
      <w:r w:rsidRPr="009B587A">
        <w:rPr>
          <w:rFonts w:asciiTheme="majorBidi" w:hAnsiTheme="majorBidi" w:cstheme="majorBidi"/>
          <w:sz w:val="24"/>
          <w:szCs w:val="24"/>
        </w:rPr>
        <w:t xml:space="preserve"> on the satisfaction with the banking system. This can be attributed to the Lebanese banking crisis that occurred before the pandemic where banks took some extreme gestures for banking accounts. After the pandemic forced individuals to rely on online banking, the ultimate satisfaction was elevated to 7.8%. This is a very modest increase, but it can be observed a sustained elevation in satisfaction. Scores at 4 increased from 13.7% to 15.7%. Score 3 increased from 18.3% to 31.4%. It must be noted that the cumulative score of 1 and 2 on the scale decreased from 62.7% to 45.1%.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To furth</w:t>
      </w:r>
      <w:r w:rsidR="001A6819">
        <w:rPr>
          <w:rFonts w:asciiTheme="majorBidi" w:hAnsiTheme="majorBidi" w:cstheme="majorBidi"/>
          <w:sz w:val="24"/>
          <w:szCs w:val="24"/>
        </w:rPr>
        <w:t>er analyze these figures, a Chi-</w:t>
      </w:r>
      <w:r w:rsidRPr="009B587A">
        <w:rPr>
          <w:rFonts w:asciiTheme="majorBidi" w:hAnsiTheme="majorBidi" w:cstheme="majorBidi"/>
          <w:sz w:val="24"/>
          <w:szCs w:val="24"/>
        </w:rPr>
        <w:t xml:space="preserve">Square test was performed. </w:t>
      </w:r>
    </w:p>
    <w:tbl>
      <w:tblPr>
        <w:tblW w:w="59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024"/>
        <w:gridCol w:w="1024"/>
        <w:gridCol w:w="1468"/>
      </w:tblGrid>
      <w:tr w:rsidR="00493E4F" w:rsidRPr="009B587A" w:rsidTr="00493E4F">
        <w:trPr>
          <w:cantSplit/>
          <w:jc w:val="center"/>
        </w:trPr>
        <w:tc>
          <w:tcPr>
            <w:tcW w:w="2449" w:type="dxa"/>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Asymptotic Significance (2-sided)</w:t>
            </w:r>
          </w:p>
        </w:tc>
      </w:tr>
      <w:tr w:rsidR="00493E4F" w:rsidRPr="009B587A" w:rsidTr="00493E4F">
        <w:trPr>
          <w:cantSplit/>
          <w:jc w:val="center"/>
        </w:trPr>
        <w:tc>
          <w:tcPr>
            <w:tcW w:w="2449"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52.048</w:t>
            </w:r>
            <w:r w:rsidRPr="009B587A">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16</w:t>
            </w:r>
          </w:p>
        </w:tc>
        <w:tc>
          <w:tcPr>
            <w:tcW w:w="1468"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.000</w:t>
            </w:r>
          </w:p>
        </w:tc>
      </w:tr>
      <w:tr w:rsidR="00493E4F" w:rsidRPr="009B587A" w:rsidTr="00493E4F">
        <w:trPr>
          <w:cantSplit/>
          <w:jc w:val="center"/>
        </w:trPr>
        <w:tc>
          <w:tcPr>
            <w:tcW w:w="2449"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51.103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16</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.000</w:t>
            </w:r>
          </w:p>
        </w:tc>
      </w:tr>
      <w:tr w:rsidR="00493E4F" w:rsidRPr="009B587A" w:rsidTr="00493E4F">
        <w:trPr>
          <w:cantSplit/>
          <w:jc w:val="center"/>
        </w:trPr>
        <w:tc>
          <w:tcPr>
            <w:tcW w:w="2449"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3.196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.074</w:t>
            </w:r>
          </w:p>
        </w:tc>
      </w:tr>
      <w:tr w:rsidR="00493E4F" w:rsidRPr="009B587A" w:rsidTr="00493E4F">
        <w:trPr>
          <w:cantSplit/>
          <w:jc w:val="center"/>
        </w:trPr>
        <w:tc>
          <w:tcPr>
            <w:tcW w:w="2449"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5965" w:type="dxa"/>
            <w:gridSpan w:val="4"/>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a. 12 cells (48.0%) have expected count less than 5. The minimum expected count is .63.</w:t>
            </w: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9 The χ</w:t>
      </w:r>
      <w:r w:rsidRPr="009B587A">
        <w:rPr>
          <w:rFonts w:asciiTheme="majorBidi" w:hAnsiTheme="majorBidi" w:cstheme="majorBidi"/>
          <w:sz w:val="20"/>
          <w:szCs w:val="20"/>
          <w:vertAlign w:val="superscript"/>
        </w:rPr>
        <w:t>2</w:t>
      </w:r>
      <w:r w:rsidRPr="009B587A">
        <w:rPr>
          <w:rFonts w:asciiTheme="majorBidi" w:hAnsiTheme="majorBidi" w:cstheme="majorBidi"/>
          <w:sz w:val="20"/>
          <w:szCs w:val="20"/>
        </w:rPr>
        <w:t xml:space="preserve"> Test of satisfaction before and after the pandemic</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Default="00493E4F" w:rsidP="007E0761">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obtained value of χ</w:t>
      </w:r>
      <w:r w:rsidRPr="009B587A">
        <w:rPr>
          <w:rFonts w:asciiTheme="majorBidi" w:hAnsiTheme="majorBidi" w:cstheme="majorBidi"/>
          <w:sz w:val="24"/>
          <w:szCs w:val="24"/>
          <w:vertAlign w:val="superscript"/>
        </w:rPr>
        <w:t>2</w:t>
      </w:r>
      <w:r w:rsidRPr="009B587A">
        <w:rPr>
          <w:rFonts w:asciiTheme="majorBidi" w:hAnsiTheme="majorBidi" w:cstheme="majorBidi"/>
          <w:sz w:val="24"/>
          <w:szCs w:val="24"/>
        </w:rPr>
        <w:t xml:space="preserve"> was 0.000 wh</w:t>
      </w:r>
      <w:r>
        <w:rPr>
          <w:rFonts w:asciiTheme="majorBidi" w:hAnsiTheme="majorBidi" w:cstheme="majorBidi"/>
          <w:sz w:val="24"/>
          <w:szCs w:val="24"/>
        </w:rPr>
        <w:t xml:space="preserve">ich indicates that </w:t>
      </w:r>
      <w:r w:rsidRPr="009B587A">
        <w:rPr>
          <w:rFonts w:asciiTheme="majorBidi" w:hAnsiTheme="majorBidi" w:cstheme="majorBidi"/>
          <w:sz w:val="24"/>
          <w:szCs w:val="24"/>
        </w:rPr>
        <w:t xml:space="preserve">the two sets of data before and after the pandemic </w:t>
      </w:r>
      <w:r>
        <w:rPr>
          <w:rFonts w:asciiTheme="majorBidi" w:hAnsiTheme="majorBidi" w:cstheme="majorBidi"/>
          <w:sz w:val="24"/>
          <w:szCs w:val="24"/>
        </w:rPr>
        <w:t xml:space="preserve">are dependent </w:t>
      </w:r>
      <w:r w:rsidRPr="009B587A">
        <w:rPr>
          <w:rFonts w:asciiTheme="majorBidi" w:hAnsiTheme="majorBidi" w:cstheme="majorBidi"/>
          <w:sz w:val="24"/>
          <w:szCs w:val="24"/>
        </w:rPr>
        <w:t xml:space="preserve">as observed in Table 9. The value also shows that these values can be considered reflective of the general population. When applied to the Lebanese situation, the lockdown of COVID-19 forced further dependence </w:t>
      </w:r>
      <w:r w:rsidR="001A6819">
        <w:rPr>
          <w:rFonts w:asciiTheme="majorBidi" w:hAnsiTheme="majorBidi" w:cstheme="majorBidi"/>
          <w:sz w:val="24"/>
          <w:szCs w:val="24"/>
        </w:rPr>
        <w:t>on</w:t>
      </w:r>
      <w:r w:rsidRPr="009B587A">
        <w:rPr>
          <w:rFonts w:asciiTheme="majorBidi" w:hAnsiTheme="majorBidi" w:cstheme="majorBidi"/>
          <w:sz w:val="24"/>
          <w:szCs w:val="24"/>
        </w:rPr>
        <w:t xml:space="preserve"> e-banking because of social distancing. The satisfaction increased despite the heavy restrictions. As more people use e-banking with </w:t>
      </w:r>
      <w:r w:rsidR="001A6819">
        <w:rPr>
          <w:rFonts w:asciiTheme="majorBidi" w:hAnsiTheme="majorBidi" w:cstheme="majorBidi"/>
          <w:sz w:val="24"/>
          <w:szCs w:val="24"/>
        </w:rPr>
        <w:t xml:space="preserve">a </w:t>
      </w:r>
      <w:r w:rsidRPr="009B587A">
        <w:rPr>
          <w:rFonts w:asciiTheme="majorBidi" w:hAnsiTheme="majorBidi" w:cstheme="majorBidi"/>
          <w:sz w:val="24"/>
          <w:szCs w:val="24"/>
        </w:rPr>
        <w:t>high level of familiarity, satisfaction</w:t>
      </w:r>
      <w:r w:rsidR="001A6819">
        <w:rPr>
          <w:rFonts w:asciiTheme="majorBidi" w:hAnsiTheme="majorBidi" w:cstheme="majorBidi"/>
          <w:sz w:val="24"/>
          <w:szCs w:val="24"/>
        </w:rPr>
        <w:t>,</w:t>
      </w:r>
      <w:r w:rsidRPr="009B587A">
        <w:rPr>
          <w:rFonts w:asciiTheme="majorBidi" w:hAnsiTheme="majorBidi" w:cstheme="majorBidi"/>
          <w:sz w:val="24"/>
          <w:szCs w:val="24"/>
        </w:rPr>
        <w:t xml:space="preserve"> and trust, it becomes more viable than regular banking. To further analyze, we want to consider all the features of online banking that will enhance the trust that people have in e-banking. </w:t>
      </w:r>
    </w:p>
    <w:p w:rsidR="007E0761" w:rsidRPr="009B587A" w:rsidRDefault="007E0761" w:rsidP="007E0761">
      <w:pPr>
        <w:autoSpaceDE w:val="0"/>
        <w:autoSpaceDN w:val="0"/>
        <w:adjustRightInd w:val="0"/>
        <w:spacing w:after="0" w:line="480" w:lineRule="auto"/>
        <w:jc w:val="both"/>
        <w:rPr>
          <w:rFonts w:asciiTheme="majorBidi" w:hAnsiTheme="majorBidi" w:cstheme="majorBidi"/>
          <w:sz w:val="24"/>
          <w:szCs w:val="24"/>
        </w:rPr>
      </w:pPr>
    </w:p>
    <w:tbl>
      <w:tblPr>
        <w:tblW w:w="8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4"/>
        <w:gridCol w:w="1469"/>
        <w:gridCol w:w="1469"/>
        <w:gridCol w:w="1469"/>
      </w:tblGrid>
      <w:tr w:rsidR="00493E4F" w:rsidRPr="009B587A" w:rsidTr="00493E4F">
        <w:trPr>
          <w:cantSplit/>
        </w:trPr>
        <w:tc>
          <w:tcPr>
            <w:tcW w:w="8899"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Chi-Square Tests</w:t>
            </w:r>
          </w:p>
        </w:tc>
      </w:tr>
      <w:tr w:rsidR="00493E4F" w:rsidRPr="009B587A" w:rsidTr="00493E4F">
        <w:trPr>
          <w:cantSplit/>
        </w:trPr>
        <w:tc>
          <w:tcPr>
            <w:tcW w:w="2447" w:type="dxa"/>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Asymptotic Significance (2-sided)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(2-sided)</w:t>
            </w:r>
          </w:p>
        </w:tc>
        <w:tc>
          <w:tcPr>
            <w:tcW w:w="1468"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(1-sided)</w:t>
            </w:r>
          </w:p>
        </w:tc>
      </w:tr>
      <w:tr w:rsidR="00493E4F" w:rsidRPr="009B587A" w:rsidTr="00493E4F">
        <w:trPr>
          <w:cantSplit/>
        </w:trPr>
        <w:tc>
          <w:tcPr>
            <w:tcW w:w="244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8.073</w:t>
            </w:r>
            <w:r w:rsidRPr="009B587A">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.004</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152935"/>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Continuity Correction</w:t>
            </w:r>
            <w:r w:rsidRPr="009B587A">
              <w:rPr>
                <w:rFonts w:asciiTheme="majorBidi" w:hAnsiTheme="majorBidi" w:cstheme="majorBidi"/>
                <w:color w:val="264A60"/>
                <w:sz w:val="18"/>
                <w:szCs w:val="18"/>
                <w:vertAlign w:val="superscript"/>
              </w:rPr>
              <w:t>b</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6.578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.010</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7.003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.008</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Fisher's Exact Test</w:t>
            </w:r>
          </w:p>
        </w:tc>
        <w:tc>
          <w:tcPr>
            <w:tcW w:w="1024" w:type="dxa"/>
            <w:tcBorders>
              <w:top w:val="single" w:sz="8" w:space="0" w:color="AEAEAE"/>
              <w:left w:val="nil"/>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.010</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.008</w:t>
            </w: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8.020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.005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8899" w:type="dxa"/>
            <w:gridSpan w:val="6"/>
            <w:tcBorders>
              <w:top w:val="nil"/>
              <w:left w:val="nil"/>
              <w:bottom w:val="nil"/>
              <w:right w:val="nil"/>
            </w:tcBorders>
            <w:shd w:val="clear" w:color="auto" w:fill="FFFFFF"/>
          </w:tcPr>
          <w:p w:rsidR="00493E4F" w:rsidRPr="009B587A" w:rsidRDefault="001649F2" w:rsidP="00493E4F">
            <w:pPr>
              <w:autoSpaceDE w:val="0"/>
              <w:autoSpaceDN w:val="0"/>
              <w:adjustRightInd w:val="0"/>
              <w:spacing w:after="0" w:line="480" w:lineRule="auto"/>
              <w:ind w:left="60" w:right="60"/>
              <w:jc w:val="both"/>
              <w:rPr>
                <w:rFonts w:asciiTheme="majorBidi" w:hAnsiTheme="majorBidi" w:cstheme="majorBidi"/>
                <w:color w:val="010205"/>
                <w:sz w:val="16"/>
                <w:szCs w:val="16"/>
              </w:rPr>
            </w:pPr>
            <w:r>
              <w:rPr>
                <w:rFonts w:asciiTheme="majorBidi" w:hAnsiTheme="majorBidi" w:cstheme="majorBidi"/>
                <w:color w:val="010205"/>
                <w:sz w:val="16"/>
                <w:szCs w:val="16"/>
              </w:rPr>
              <w:t>a. 1 cells (25.0%) have</w:t>
            </w:r>
            <w:r w:rsidR="001A6819">
              <w:rPr>
                <w:rFonts w:asciiTheme="majorBidi" w:hAnsiTheme="majorBidi" w:cstheme="majorBidi"/>
                <w:color w:val="010205"/>
                <w:sz w:val="16"/>
                <w:szCs w:val="16"/>
              </w:rPr>
              <w:t xml:space="preserve"> </w:t>
            </w:r>
            <w:r w:rsidR="00493E4F" w:rsidRPr="009B587A">
              <w:rPr>
                <w:rFonts w:asciiTheme="majorBidi" w:hAnsiTheme="majorBidi" w:cstheme="majorBidi"/>
                <w:color w:val="010205"/>
                <w:sz w:val="16"/>
                <w:szCs w:val="16"/>
              </w:rPr>
              <w:t>expected count less than 5. The minimum expected count is 4.86.</w:t>
            </w:r>
          </w:p>
        </w:tc>
      </w:tr>
      <w:tr w:rsidR="00493E4F" w:rsidRPr="009B587A" w:rsidTr="00493E4F">
        <w:trPr>
          <w:cantSplit/>
        </w:trPr>
        <w:tc>
          <w:tcPr>
            <w:tcW w:w="8899" w:type="dxa"/>
            <w:gridSpan w:val="6"/>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6"/>
                <w:szCs w:val="16"/>
              </w:rPr>
            </w:pPr>
            <w:r w:rsidRPr="009B587A">
              <w:rPr>
                <w:rFonts w:asciiTheme="majorBidi" w:hAnsiTheme="majorBidi" w:cstheme="majorBidi"/>
                <w:color w:val="010205"/>
                <w:sz w:val="16"/>
                <w:szCs w:val="16"/>
              </w:rPr>
              <w:t>b. Computed only for a 2x2 table</w:t>
            </w:r>
          </w:p>
        </w:tc>
      </w:tr>
    </w:tbl>
    <w:p w:rsidR="00493E4F" w:rsidRPr="009B587A" w:rsidRDefault="001649F2"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10 Chi-</w:t>
      </w:r>
      <w:r w:rsidR="00493E4F" w:rsidRPr="009B587A">
        <w:rPr>
          <w:rFonts w:asciiTheme="majorBidi" w:hAnsiTheme="majorBidi" w:cstheme="majorBidi"/>
          <w:sz w:val="20"/>
          <w:szCs w:val="20"/>
        </w:rPr>
        <w:t>Square val</w:t>
      </w:r>
      <w:r>
        <w:rPr>
          <w:rFonts w:asciiTheme="majorBidi" w:hAnsiTheme="majorBidi" w:cstheme="majorBidi"/>
          <w:sz w:val="20"/>
          <w:szCs w:val="20"/>
        </w:rPr>
        <w:t>u</w:t>
      </w:r>
      <w:r w:rsidR="00493E4F" w:rsidRPr="009B587A">
        <w:rPr>
          <w:rFonts w:asciiTheme="majorBidi" w:hAnsiTheme="majorBidi" w:cstheme="majorBidi"/>
          <w:sz w:val="20"/>
          <w:szCs w:val="20"/>
        </w:rPr>
        <w:t>es for regaining trust through access to all accounts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0"/>
          <w:szCs w:val="20"/>
        </w:rPr>
      </w:pPr>
    </w:p>
    <w:p w:rsidR="00493E4F" w:rsidRDefault="00493E4F" w:rsidP="00DB6931">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lastRenderedPageBreak/>
        <w:t>The percentage of participants who stated that they have access to all their accounts was 79.7%. The χ</w:t>
      </w:r>
      <w:r w:rsidRPr="009B587A">
        <w:rPr>
          <w:rFonts w:asciiTheme="majorBidi" w:hAnsiTheme="majorBidi" w:cstheme="majorBidi"/>
          <w:sz w:val="24"/>
          <w:szCs w:val="24"/>
          <w:vertAlign w:val="superscript"/>
        </w:rPr>
        <w:t>2</w:t>
      </w:r>
      <w:r w:rsidRPr="009B587A">
        <w:rPr>
          <w:rFonts w:asciiTheme="majorBidi" w:hAnsiTheme="majorBidi" w:cstheme="majorBidi"/>
          <w:sz w:val="24"/>
          <w:szCs w:val="24"/>
        </w:rPr>
        <w:t xml:space="preserve"> value was 0.004 as indicated in Table 10 which indicates a high </w:t>
      </w:r>
      <w:r>
        <w:rPr>
          <w:rFonts w:asciiTheme="majorBidi" w:hAnsiTheme="majorBidi" w:cstheme="majorBidi"/>
          <w:sz w:val="24"/>
          <w:szCs w:val="24"/>
        </w:rPr>
        <w:t>dependency</w:t>
      </w:r>
      <w:r w:rsidRPr="009B587A">
        <w:rPr>
          <w:rFonts w:asciiTheme="majorBidi" w:hAnsiTheme="majorBidi" w:cstheme="majorBidi"/>
          <w:sz w:val="24"/>
          <w:szCs w:val="24"/>
        </w:rPr>
        <w:t xml:space="preserve"> between having access to all accounts and regaining trust. </w:t>
      </w:r>
    </w:p>
    <w:p w:rsidR="007E0761" w:rsidRPr="009B587A" w:rsidRDefault="007E0761" w:rsidP="00493E4F">
      <w:pPr>
        <w:autoSpaceDE w:val="0"/>
        <w:autoSpaceDN w:val="0"/>
        <w:adjustRightInd w:val="0"/>
        <w:spacing w:after="0" w:line="480" w:lineRule="auto"/>
        <w:jc w:val="both"/>
        <w:rPr>
          <w:rFonts w:asciiTheme="majorBidi" w:hAnsiTheme="majorBidi" w:cstheme="majorBidi"/>
          <w:sz w:val="24"/>
          <w:szCs w:val="24"/>
        </w:rPr>
      </w:pPr>
    </w:p>
    <w:tbl>
      <w:tblPr>
        <w:tblW w:w="59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024"/>
        <w:gridCol w:w="1024"/>
        <w:gridCol w:w="1468"/>
      </w:tblGrid>
      <w:tr w:rsidR="00493E4F" w:rsidRPr="009B587A" w:rsidTr="00493E4F">
        <w:trPr>
          <w:cantSplit/>
          <w:jc w:val="center"/>
        </w:trPr>
        <w:tc>
          <w:tcPr>
            <w:tcW w:w="5963" w:type="dxa"/>
            <w:gridSpan w:val="4"/>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Chi-Square Tests</w:t>
            </w:r>
          </w:p>
        </w:tc>
      </w:tr>
      <w:tr w:rsidR="00493E4F" w:rsidRPr="009B587A" w:rsidTr="00493E4F">
        <w:trPr>
          <w:cantSplit/>
          <w:jc w:val="center"/>
        </w:trPr>
        <w:tc>
          <w:tcPr>
            <w:tcW w:w="2447" w:type="dxa"/>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Asymptotic Significance (2-sided)</w:t>
            </w:r>
          </w:p>
        </w:tc>
      </w:tr>
      <w:tr w:rsidR="00493E4F" w:rsidRPr="009B587A" w:rsidTr="00493E4F">
        <w:trPr>
          <w:cantSplit/>
          <w:jc w:val="center"/>
        </w:trPr>
        <w:tc>
          <w:tcPr>
            <w:tcW w:w="244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9.656</w:t>
            </w:r>
            <w:r w:rsidRPr="009B587A">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w:t>
            </w:r>
          </w:p>
        </w:tc>
        <w:tc>
          <w:tcPr>
            <w:tcW w:w="1468"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.008</w:t>
            </w: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8.383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.015</w:t>
            </w: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.951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.329</w:t>
            </w:r>
          </w:p>
        </w:tc>
      </w:tr>
      <w:tr w:rsidR="00493E4F" w:rsidRPr="009B587A" w:rsidTr="00493E4F">
        <w:trPr>
          <w:cantSplit/>
          <w:jc w:val="center"/>
        </w:trPr>
        <w:tc>
          <w:tcPr>
            <w:tcW w:w="2447"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5963" w:type="dxa"/>
            <w:gridSpan w:val="4"/>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a. 3 cells (50.0%) have expected count less than 5. The minimum expected count is .16.</w:t>
            </w:r>
          </w:p>
        </w:tc>
      </w:tr>
      <w:tr w:rsidR="00493E4F" w:rsidRPr="009B587A" w:rsidTr="00493E4F">
        <w:trPr>
          <w:cantSplit/>
          <w:jc w:val="center"/>
        </w:trPr>
        <w:tc>
          <w:tcPr>
            <w:tcW w:w="5963" w:type="dxa"/>
            <w:gridSpan w:val="4"/>
            <w:tcBorders>
              <w:top w:val="nil"/>
              <w:left w:val="nil"/>
              <w:bottom w:val="nil"/>
              <w:right w:val="nil"/>
            </w:tcBorders>
            <w:shd w:val="clear" w:color="auto" w:fill="FFFFFF"/>
          </w:tcPr>
          <w:p w:rsidR="00493E4F" w:rsidRPr="009B587A" w:rsidRDefault="001649F2" w:rsidP="00493E4F">
            <w:pPr>
              <w:autoSpaceDE w:val="0"/>
              <w:autoSpaceDN w:val="0"/>
              <w:adjustRightInd w:val="0"/>
              <w:spacing w:after="0" w:line="480" w:lineRule="auto"/>
              <w:ind w:left="60" w:right="60"/>
              <w:jc w:val="both"/>
              <w:rPr>
                <w:rFonts w:asciiTheme="majorBidi" w:hAnsiTheme="majorBidi" w:cstheme="majorBidi"/>
                <w:color w:val="010205"/>
                <w:sz w:val="20"/>
                <w:szCs w:val="20"/>
              </w:rPr>
            </w:pPr>
            <w:r>
              <w:rPr>
                <w:rFonts w:asciiTheme="majorBidi" w:hAnsiTheme="majorBidi" w:cstheme="majorBidi"/>
                <w:color w:val="010205"/>
                <w:sz w:val="20"/>
                <w:szCs w:val="20"/>
              </w:rPr>
              <w:t>Table 11 Chi-</w:t>
            </w:r>
            <w:r w:rsidR="00493E4F" w:rsidRPr="009B587A">
              <w:rPr>
                <w:rFonts w:asciiTheme="majorBidi" w:hAnsiTheme="majorBidi" w:cstheme="majorBidi"/>
                <w:color w:val="010205"/>
                <w:sz w:val="20"/>
                <w:szCs w:val="20"/>
              </w:rPr>
              <w:t xml:space="preserve">Square values for regaining trust through the ability to transfer money </w:t>
            </w:r>
          </w:p>
        </w:tc>
      </w:tr>
    </w:tbl>
    <w:p w:rsidR="007E0761" w:rsidRDefault="007E0761" w:rsidP="001649F2">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1649F2">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percentage of participants who said they had the ability to transfer money was 80.4%. The χ</w:t>
      </w:r>
      <w:r w:rsidRPr="009B587A">
        <w:rPr>
          <w:rFonts w:asciiTheme="majorBidi" w:hAnsiTheme="majorBidi" w:cstheme="majorBidi"/>
          <w:sz w:val="24"/>
          <w:szCs w:val="24"/>
          <w:vertAlign w:val="superscript"/>
        </w:rPr>
        <w:t>2</w:t>
      </w:r>
      <w:r w:rsidRPr="009B587A">
        <w:rPr>
          <w:rFonts w:asciiTheme="majorBidi" w:hAnsiTheme="majorBidi" w:cstheme="majorBidi"/>
          <w:sz w:val="24"/>
          <w:szCs w:val="24"/>
        </w:rPr>
        <w:t xml:space="preserve"> value was 0.008 as indicated in Table 11 which indicates a high </w:t>
      </w:r>
      <w:r>
        <w:rPr>
          <w:rFonts w:asciiTheme="majorBidi" w:hAnsiTheme="majorBidi" w:cstheme="majorBidi"/>
          <w:sz w:val="24"/>
          <w:szCs w:val="24"/>
        </w:rPr>
        <w:t>dependency</w:t>
      </w:r>
      <w:r w:rsidRPr="009B587A">
        <w:rPr>
          <w:rFonts w:asciiTheme="majorBidi" w:hAnsiTheme="majorBidi" w:cstheme="majorBidi"/>
          <w:sz w:val="24"/>
          <w:szCs w:val="24"/>
        </w:rPr>
        <w:t xml:space="preserve"> between having the ability </w:t>
      </w:r>
      <w:r w:rsidR="001649F2">
        <w:rPr>
          <w:rFonts w:asciiTheme="majorBidi" w:hAnsiTheme="majorBidi" w:cstheme="majorBidi"/>
          <w:sz w:val="24"/>
          <w:szCs w:val="24"/>
        </w:rPr>
        <w:t>to</w:t>
      </w:r>
      <w:r w:rsidRPr="009B587A">
        <w:rPr>
          <w:rFonts w:asciiTheme="majorBidi" w:hAnsiTheme="majorBidi" w:cstheme="majorBidi"/>
          <w:sz w:val="24"/>
          <w:szCs w:val="24"/>
        </w:rPr>
        <w:t xml:space="preserve"> transfer money and regaining trust.</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tbl>
      <w:tblPr>
        <w:tblW w:w="8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4"/>
        <w:gridCol w:w="1469"/>
        <w:gridCol w:w="1469"/>
        <w:gridCol w:w="1469"/>
      </w:tblGrid>
      <w:tr w:rsidR="00493E4F" w:rsidRPr="009B587A" w:rsidTr="00493E4F">
        <w:trPr>
          <w:cantSplit/>
        </w:trPr>
        <w:tc>
          <w:tcPr>
            <w:tcW w:w="8899" w:type="dxa"/>
            <w:gridSpan w:val="6"/>
            <w:tcBorders>
              <w:top w:val="nil"/>
              <w:left w:val="nil"/>
              <w:bottom w:val="nil"/>
              <w:right w:val="nil"/>
            </w:tcBorders>
            <w:shd w:val="clear" w:color="auto" w:fill="FFFFFF"/>
            <w:vAlign w:val="center"/>
          </w:tcPr>
          <w:p w:rsidR="00DB6931" w:rsidRDefault="00DB6931" w:rsidP="00493E4F">
            <w:pPr>
              <w:autoSpaceDE w:val="0"/>
              <w:autoSpaceDN w:val="0"/>
              <w:adjustRightInd w:val="0"/>
              <w:spacing w:after="0" w:line="480" w:lineRule="auto"/>
              <w:ind w:left="60" w:right="60"/>
              <w:jc w:val="both"/>
              <w:rPr>
                <w:rFonts w:asciiTheme="majorBidi" w:hAnsiTheme="majorBidi" w:cstheme="majorBidi"/>
                <w:b/>
                <w:bCs/>
                <w:color w:val="010205"/>
              </w:rPr>
            </w:pPr>
          </w:p>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t>Chi-Square Tests</w:t>
            </w:r>
          </w:p>
        </w:tc>
      </w:tr>
      <w:tr w:rsidR="00493E4F" w:rsidRPr="009B587A" w:rsidTr="00493E4F">
        <w:trPr>
          <w:cantSplit/>
        </w:trPr>
        <w:tc>
          <w:tcPr>
            <w:tcW w:w="2447" w:type="dxa"/>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Asymptotic Significance (2-sided)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(2-sided)</w:t>
            </w:r>
          </w:p>
        </w:tc>
        <w:tc>
          <w:tcPr>
            <w:tcW w:w="1468"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(1-sided)</w:t>
            </w:r>
          </w:p>
        </w:tc>
      </w:tr>
      <w:tr w:rsidR="00493E4F" w:rsidRPr="009B587A" w:rsidTr="00493E4F">
        <w:trPr>
          <w:cantSplit/>
        </w:trPr>
        <w:tc>
          <w:tcPr>
            <w:tcW w:w="244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2.608</w:t>
            </w:r>
            <w:r w:rsidRPr="009B587A">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152935"/>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Continuity Correction</w:t>
            </w:r>
            <w:r w:rsidRPr="009B587A">
              <w:rPr>
                <w:rFonts w:asciiTheme="majorBidi" w:hAnsiTheme="majorBidi" w:cstheme="majorBidi"/>
                <w:color w:val="264A60"/>
                <w:sz w:val="18"/>
                <w:szCs w:val="18"/>
                <w:vertAlign w:val="superscript"/>
              </w:rPr>
              <w:t>b</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1.685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.194</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2.295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.130</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Fisher's Exact Test</w:t>
            </w:r>
          </w:p>
        </w:tc>
        <w:tc>
          <w:tcPr>
            <w:tcW w:w="1024" w:type="dxa"/>
            <w:tcBorders>
              <w:top w:val="single" w:sz="8" w:space="0" w:color="AEAEAE"/>
              <w:left w:val="nil"/>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.118</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.101</w:t>
            </w: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2.591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.107</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8899" w:type="dxa"/>
            <w:gridSpan w:val="6"/>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a. 1 cells (25.0%) have expected count less than 5. The minimum expected count is 3.45.</w:t>
            </w:r>
          </w:p>
        </w:tc>
      </w:tr>
      <w:tr w:rsidR="00493E4F" w:rsidRPr="009B587A" w:rsidTr="00493E4F">
        <w:trPr>
          <w:cantSplit/>
        </w:trPr>
        <w:tc>
          <w:tcPr>
            <w:tcW w:w="8899" w:type="dxa"/>
            <w:gridSpan w:val="6"/>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b. Computed only for a 2x2 table</w:t>
            </w:r>
          </w:p>
        </w:tc>
      </w:tr>
    </w:tbl>
    <w:p w:rsidR="00493E4F" w:rsidRPr="009B587A" w:rsidRDefault="001649F2"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12 Chi-</w:t>
      </w:r>
      <w:r w:rsidR="00493E4F" w:rsidRPr="009B587A">
        <w:rPr>
          <w:rFonts w:asciiTheme="majorBidi" w:hAnsiTheme="majorBidi" w:cstheme="majorBidi"/>
          <w:sz w:val="20"/>
          <w:szCs w:val="20"/>
        </w:rPr>
        <w:t>Square values for regaining trust through the ability to pay bills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0"/>
          <w:szCs w:val="20"/>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percentage of participants who indicated their ability to pay bills was 85.6%. The χ</w:t>
      </w:r>
      <w:r w:rsidRPr="009B587A">
        <w:rPr>
          <w:rFonts w:asciiTheme="majorBidi" w:hAnsiTheme="majorBidi" w:cstheme="majorBidi"/>
          <w:sz w:val="24"/>
          <w:szCs w:val="24"/>
          <w:vertAlign w:val="superscript"/>
        </w:rPr>
        <w:t>2</w:t>
      </w:r>
      <w:r w:rsidRPr="009B587A">
        <w:rPr>
          <w:rFonts w:asciiTheme="majorBidi" w:hAnsiTheme="majorBidi" w:cstheme="majorBidi"/>
          <w:sz w:val="24"/>
          <w:szCs w:val="24"/>
        </w:rPr>
        <w:t xml:space="preserve"> value for regaining trust through the ability to pay bills is 0.106 which does not indicate any significant </w:t>
      </w:r>
      <w:r>
        <w:rPr>
          <w:rFonts w:asciiTheme="majorBidi" w:hAnsiTheme="majorBidi" w:cstheme="majorBidi"/>
          <w:sz w:val="24"/>
          <w:szCs w:val="24"/>
        </w:rPr>
        <w:t>dependency</w:t>
      </w:r>
      <w:r w:rsidRPr="009B587A">
        <w:rPr>
          <w:rFonts w:asciiTheme="majorBidi" w:hAnsiTheme="majorBidi" w:cstheme="majorBidi"/>
          <w:sz w:val="24"/>
          <w:szCs w:val="24"/>
        </w:rPr>
        <w:t xml:space="preserve"> between the ability to pay bills and regaining trust. </w:t>
      </w:r>
      <w:r>
        <w:rPr>
          <w:rFonts w:asciiTheme="majorBidi" w:hAnsiTheme="majorBidi" w:cstheme="majorBidi"/>
          <w:sz w:val="24"/>
          <w:szCs w:val="24"/>
        </w:rPr>
        <w:t xml:space="preserve">There is no relationship between the two variables. </w:t>
      </w:r>
      <w:r w:rsidRPr="009B587A">
        <w:rPr>
          <w:rFonts w:asciiTheme="majorBidi" w:hAnsiTheme="majorBidi" w:cstheme="majorBidi"/>
          <w:sz w:val="24"/>
          <w:szCs w:val="24"/>
        </w:rPr>
        <w:t xml:space="preserve">We can attribute this lack to the lack of a comprehensive online billing system from the Lebanese government which makes this option somewhat obsolete locally. </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tbl>
      <w:tblPr>
        <w:tblW w:w="8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4"/>
        <w:gridCol w:w="1469"/>
        <w:gridCol w:w="1469"/>
        <w:gridCol w:w="1469"/>
      </w:tblGrid>
      <w:tr w:rsidR="00493E4F" w:rsidRPr="009B587A" w:rsidTr="00493E4F">
        <w:trPr>
          <w:cantSplit/>
        </w:trPr>
        <w:tc>
          <w:tcPr>
            <w:tcW w:w="8899"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lastRenderedPageBreak/>
              <w:t>Chi-Square Tests</w:t>
            </w:r>
          </w:p>
        </w:tc>
      </w:tr>
      <w:tr w:rsidR="00493E4F" w:rsidRPr="009B587A" w:rsidTr="00493E4F">
        <w:trPr>
          <w:cantSplit/>
        </w:trPr>
        <w:tc>
          <w:tcPr>
            <w:tcW w:w="2447" w:type="dxa"/>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Asymptotic Significance (2-sided)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(2-sided)</w:t>
            </w:r>
          </w:p>
        </w:tc>
        <w:tc>
          <w:tcPr>
            <w:tcW w:w="1468"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(1-sided)</w:t>
            </w:r>
          </w:p>
        </w:tc>
      </w:tr>
      <w:tr w:rsidR="00493E4F" w:rsidRPr="009B587A" w:rsidTr="00493E4F">
        <w:trPr>
          <w:cantSplit/>
        </w:trPr>
        <w:tc>
          <w:tcPr>
            <w:tcW w:w="244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5.204</w:t>
            </w:r>
            <w:r w:rsidRPr="009B587A">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.023</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152935"/>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Continuity Correction</w:t>
            </w:r>
            <w:r w:rsidRPr="009B587A">
              <w:rPr>
                <w:rFonts w:asciiTheme="majorBidi" w:hAnsiTheme="majorBidi" w:cstheme="majorBidi"/>
                <w:color w:val="264A60"/>
                <w:sz w:val="18"/>
                <w:szCs w:val="18"/>
                <w:vertAlign w:val="superscript"/>
              </w:rPr>
              <w:t>b</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.043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4.694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.030</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Fisher's Exact Test</w:t>
            </w:r>
          </w:p>
        </w:tc>
        <w:tc>
          <w:tcPr>
            <w:tcW w:w="1024" w:type="dxa"/>
            <w:tcBorders>
              <w:top w:val="single" w:sz="8" w:space="0" w:color="AEAEAE"/>
              <w:left w:val="nil"/>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.034</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.026</w:t>
            </w:r>
          </w:p>
        </w:tc>
      </w:tr>
      <w:tr w:rsidR="00493E4F" w:rsidRPr="009B587A" w:rsidTr="00493E4F">
        <w:trPr>
          <w:cantSplit/>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5.170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.023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2447"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trPr>
        <w:tc>
          <w:tcPr>
            <w:tcW w:w="8899" w:type="dxa"/>
            <w:gridSpan w:val="6"/>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a. 0 cells (0.0%) have expected count less than 5. The minimum expected count is 5.65.</w:t>
            </w:r>
          </w:p>
        </w:tc>
      </w:tr>
      <w:tr w:rsidR="00493E4F" w:rsidRPr="009B587A" w:rsidTr="00493E4F">
        <w:trPr>
          <w:cantSplit/>
        </w:trPr>
        <w:tc>
          <w:tcPr>
            <w:tcW w:w="8899" w:type="dxa"/>
            <w:gridSpan w:val="6"/>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b. Computed only for a 2x2 table</w:t>
            </w:r>
          </w:p>
        </w:tc>
      </w:tr>
    </w:tbl>
    <w:p w:rsidR="00493E4F" w:rsidRPr="009B587A" w:rsidRDefault="001649F2"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13 Chi-</w:t>
      </w:r>
      <w:r w:rsidR="00493E4F" w:rsidRPr="009B587A">
        <w:rPr>
          <w:rFonts w:asciiTheme="majorBidi" w:hAnsiTheme="majorBidi" w:cstheme="majorBidi"/>
          <w:sz w:val="20"/>
          <w:szCs w:val="20"/>
        </w:rPr>
        <w:t>Square values for regaining trust through the ability to apply for loans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0"/>
          <w:szCs w:val="20"/>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Only 23.5% of participants said that online banking allows them to ap</w:t>
      </w:r>
      <w:r w:rsidR="001649F2">
        <w:rPr>
          <w:rFonts w:asciiTheme="majorBidi" w:hAnsiTheme="majorBidi" w:cstheme="majorBidi"/>
          <w:sz w:val="24"/>
          <w:szCs w:val="24"/>
        </w:rPr>
        <w:t>ply for loans. However, the Chi-</w:t>
      </w:r>
      <w:r w:rsidRPr="009B587A">
        <w:rPr>
          <w:rFonts w:asciiTheme="majorBidi" w:hAnsiTheme="majorBidi" w:cstheme="majorBidi"/>
          <w:sz w:val="24"/>
          <w:szCs w:val="24"/>
        </w:rPr>
        <w:t xml:space="preserve">Square value was 0.023 which shows a high </w:t>
      </w:r>
      <w:r>
        <w:rPr>
          <w:rFonts w:asciiTheme="majorBidi" w:hAnsiTheme="majorBidi" w:cstheme="majorBidi"/>
          <w:sz w:val="24"/>
          <w:szCs w:val="24"/>
        </w:rPr>
        <w:t>dependency</w:t>
      </w:r>
      <w:r w:rsidRPr="009B587A">
        <w:rPr>
          <w:rFonts w:asciiTheme="majorBidi" w:hAnsiTheme="majorBidi" w:cstheme="majorBidi"/>
          <w:sz w:val="24"/>
          <w:szCs w:val="24"/>
        </w:rPr>
        <w:t xml:space="preserve"> between the ability to apply for loans and regaining trust as indicated in Table 13. </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tbl>
      <w:tblPr>
        <w:tblW w:w="890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4"/>
        <w:gridCol w:w="1469"/>
        <w:gridCol w:w="1469"/>
        <w:gridCol w:w="1469"/>
      </w:tblGrid>
      <w:tr w:rsidR="00493E4F" w:rsidRPr="009B587A" w:rsidTr="00493E4F">
        <w:trPr>
          <w:cantSplit/>
          <w:jc w:val="center"/>
        </w:trPr>
        <w:tc>
          <w:tcPr>
            <w:tcW w:w="8899" w:type="dxa"/>
            <w:gridSpan w:val="6"/>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lastRenderedPageBreak/>
              <w:t>Chi-Square Tests</w:t>
            </w:r>
          </w:p>
        </w:tc>
      </w:tr>
      <w:tr w:rsidR="00493E4F" w:rsidRPr="009B587A" w:rsidTr="00493E4F">
        <w:trPr>
          <w:cantSplit/>
          <w:jc w:val="center"/>
        </w:trPr>
        <w:tc>
          <w:tcPr>
            <w:tcW w:w="2447" w:type="dxa"/>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Asymptotic Significance (2-sided)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(2-sided)</w:t>
            </w:r>
          </w:p>
        </w:tc>
        <w:tc>
          <w:tcPr>
            <w:tcW w:w="1468"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Exact Sig. (1-sided)</w:t>
            </w:r>
          </w:p>
        </w:tc>
      </w:tr>
      <w:tr w:rsidR="00493E4F" w:rsidRPr="009B587A" w:rsidTr="00493E4F">
        <w:trPr>
          <w:cantSplit/>
          <w:jc w:val="center"/>
        </w:trPr>
        <w:tc>
          <w:tcPr>
            <w:tcW w:w="244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2.033</w:t>
            </w:r>
            <w:r w:rsidRPr="009B587A">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.154</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152935"/>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Continuity Correction</w:t>
            </w:r>
            <w:r w:rsidRPr="009B587A">
              <w:rPr>
                <w:rFonts w:asciiTheme="majorBidi" w:hAnsiTheme="majorBidi" w:cstheme="majorBidi"/>
                <w:color w:val="264A60"/>
                <w:sz w:val="18"/>
                <w:szCs w:val="18"/>
                <w:vertAlign w:val="superscript"/>
              </w:rPr>
              <w:t>b</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.247</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1.881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.170</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Fisher's Exact Test</w:t>
            </w:r>
          </w:p>
        </w:tc>
        <w:tc>
          <w:tcPr>
            <w:tcW w:w="1024" w:type="dxa"/>
            <w:tcBorders>
              <w:top w:val="single" w:sz="8" w:space="0" w:color="AEAEAE"/>
              <w:left w:val="nil"/>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.182</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.125</w:t>
            </w: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2.020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2447"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8899" w:type="dxa"/>
            <w:gridSpan w:val="6"/>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a. 0 cells (0.0%) have expected count less than 5. The minimum expected count is 5.33.</w:t>
            </w:r>
          </w:p>
        </w:tc>
      </w:tr>
      <w:tr w:rsidR="00493E4F" w:rsidRPr="009B587A" w:rsidTr="00493E4F">
        <w:trPr>
          <w:cantSplit/>
          <w:jc w:val="center"/>
        </w:trPr>
        <w:tc>
          <w:tcPr>
            <w:tcW w:w="8899" w:type="dxa"/>
            <w:gridSpan w:val="6"/>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b. Computed only for a 2x2 table</w:t>
            </w:r>
          </w:p>
        </w:tc>
      </w:tr>
    </w:tbl>
    <w:p w:rsidR="00493E4F" w:rsidRPr="009B587A" w:rsidRDefault="001649F2"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14 Chi-</w:t>
      </w:r>
      <w:r w:rsidR="00493E4F" w:rsidRPr="009B587A">
        <w:rPr>
          <w:rFonts w:asciiTheme="majorBidi" w:hAnsiTheme="majorBidi" w:cstheme="majorBidi"/>
          <w:sz w:val="20"/>
          <w:szCs w:val="20"/>
        </w:rPr>
        <w:t>Square values for regaining trust through the ability to use USD</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0"/>
          <w:szCs w:val="20"/>
        </w:rPr>
      </w:pPr>
    </w:p>
    <w:p w:rsidR="00493E4F" w:rsidRDefault="00493E4F" w:rsidP="00DB6931">
      <w:pPr>
        <w:autoSpaceDE w:val="0"/>
        <w:autoSpaceDN w:val="0"/>
        <w:adjustRightInd w:val="0"/>
        <w:spacing w:after="0" w:line="480" w:lineRule="auto"/>
        <w:jc w:val="both"/>
        <w:rPr>
          <w:rFonts w:asciiTheme="majorBidi" w:hAnsiTheme="majorBidi" w:cstheme="majorBidi"/>
          <w:sz w:val="24"/>
          <w:szCs w:val="24"/>
        </w:rPr>
      </w:pPr>
      <w:r w:rsidRPr="004C62DF">
        <w:rPr>
          <w:rFonts w:asciiTheme="majorBidi" w:hAnsiTheme="majorBidi" w:cstheme="majorBidi"/>
          <w:sz w:val="24"/>
          <w:szCs w:val="24"/>
        </w:rPr>
        <w:t>Only 22.2% of participants indicat</w:t>
      </w:r>
      <w:r>
        <w:rPr>
          <w:rFonts w:asciiTheme="majorBidi" w:hAnsiTheme="majorBidi" w:cstheme="majorBidi"/>
          <w:sz w:val="24"/>
          <w:szCs w:val="24"/>
        </w:rPr>
        <w:t>ed that they can use USD. The χ</w:t>
      </w:r>
      <w:r>
        <w:rPr>
          <w:rFonts w:asciiTheme="majorBidi" w:hAnsiTheme="majorBidi" w:cstheme="majorBidi"/>
          <w:sz w:val="24"/>
          <w:szCs w:val="24"/>
          <w:vertAlign w:val="superscript"/>
        </w:rPr>
        <w:t>2</w:t>
      </w:r>
      <w:r w:rsidRPr="004C62DF">
        <w:rPr>
          <w:rFonts w:asciiTheme="majorBidi" w:hAnsiTheme="majorBidi" w:cstheme="majorBidi"/>
          <w:sz w:val="24"/>
          <w:szCs w:val="24"/>
        </w:rPr>
        <w:t xml:space="preserve"> value was 0.154 as shown in Table 14 which indicates no dependency between having access to USD and regaining trust. Therefore, the issue of trust between the Lebanese consumer and the banking system goes beyond the dollar crisis.</w:t>
      </w:r>
    </w:p>
    <w:p w:rsidR="00DB6931" w:rsidRDefault="00DB6931" w:rsidP="00DB6931">
      <w:pPr>
        <w:autoSpaceDE w:val="0"/>
        <w:autoSpaceDN w:val="0"/>
        <w:adjustRightInd w:val="0"/>
        <w:spacing w:after="0" w:line="480" w:lineRule="auto"/>
        <w:jc w:val="both"/>
        <w:rPr>
          <w:rFonts w:asciiTheme="majorBidi" w:hAnsiTheme="majorBidi" w:cstheme="majorBidi"/>
          <w:sz w:val="24"/>
          <w:szCs w:val="24"/>
        </w:rPr>
      </w:pPr>
    </w:p>
    <w:p w:rsidR="00DB6931" w:rsidRDefault="00DB6931" w:rsidP="00DB6931">
      <w:pPr>
        <w:autoSpaceDE w:val="0"/>
        <w:autoSpaceDN w:val="0"/>
        <w:adjustRightInd w:val="0"/>
        <w:spacing w:after="0" w:line="480" w:lineRule="auto"/>
        <w:jc w:val="both"/>
        <w:rPr>
          <w:rFonts w:asciiTheme="majorBidi" w:hAnsiTheme="majorBidi" w:cstheme="majorBidi"/>
          <w:sz w:val="24"/>
          <w:szCs w:val="24"/>
        </w:rPr>
      </w:pPr>
    </w:p>
    <w:p w:rsidR="00DB6931" w:rsidRDefault="00DB6931" w:rsidP="00DB6931">
      <w:pPr>
        <w:autoSpaceDE w:val="0"/>
        <w:autoSpaceDN w:val="0"/>
        <w:adjustRightInd w:val="0"/>
        <w:spacing w:after="0" w:line="480" w:lineRule="auto"/>
        <w:jc w:val="both"/>
        <w:rPr>
          <w:rFonts w:asciiTheme="majorBidi" w:hAnsiTheme="majorBidi" w:cstheme="majorBidi"/>
          <w:sz w:val="24"/>
          <w:szCs w:val="24"/>
        </w:rPr>
      </w:pPr>
    </w:p>
    <w:p w:rsidR="00DB6931" w:rsidRDefault="00DB6931" w:rsidP="00DB6931">
      <w:pPr>
        <w:autoSpaceDE w:val="0"/>
        <w:autoSpaceDN w:val="0"/>
        <w:adjustRightInd w:val="0"/>
        <w:spacing w:after="0" w:line="480" w:lineRule="auto"/>
        <w:jc w:val="both"/>
        <w:rPr>
          <w:rFonts w:asciiTheme="majorBidi" w:hAnsiTheme="majorBidi" w:cstheme="majorBidi"/>
          <w:sz w:val="24"/>
          <w:szCs w:val="24"/>
        </w:rPr>
      </w:pPr>
    </w:p>
    <w:p w:rsidR="00DB6931" w:rsidRDefault="00DB6931" w:rsidP="00DB6931">
      <w:pPr>
        <w:autoSpaceDE w:val="0"/>
        <w:autoSpaceDN w:val="0"/>
        <w:adjustRightInd w:val="0"/>
        <w:spacing w:after="0" w:line="480" w:lineRule="auto"/>
        <w:jc w:val="both"/>
        <w:rPr>
          <w:rFonts w:asciiTheme="majorBidi" w:hAnsiTheme="majorBidi" w:cstheme="majorBidi"/>
          <w:sz w:val="24"/>
          <w:szCs w:val="24"/>
        </w:rPr>
      </w:pPr>
    </w:p>
    <w:p w:rsidR="007E0761" w:rsidRPr="009B587A" w:rsidRDefault="007E0761" w:rsidP="00493E4F">
      <w:pPr>
        <w:autoSpaceDE w:val="0"/>
        <w:autoSpaceDN w:val="0"/>
        <w:adjustRightInd w:val="0"/>
        <w:spacing w:after="0" w:line="480" w:lineRule="auto"/>
        <w:jc w:val="both"/>
        <w:rPr>
          <w:rFonts w:asciiTheme="majorBidi" w:hAnsiTheme="majorBidi" w:cstheme="majorBidi"/>
          <w:sz w:val="24"/>
          <w:szCs w:val="24"/>
        </w:rPr>
      </w:pPr>
    </w:p>
    <w:tbl>
      <w:tblPr>
        <w:tblW w:w="59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024"/>
        <w:gridCol w:w="1024"/>
        <w:gridCol w:w="1468"/>
      </w:tblGrid>
      <w:tr w:rsidR="00493E4F" w:rsidRPr="009B587A" w:rsidTr="00493E4F">
        <w:trPr>
          <w:cantSplit/>
          <w:jc w:val="center"/>
        </w:trPr>
        <w:tc>
          <w:tcPr>
            <w:tcW w:w="5963" w:type="dxa"/>
            <w:gridSpan w:val="4"/>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lastRenderedPageBreak/>
              <w:t>Chi-Square Tests</w:t>
            </w:r>
          </w:p>
        </w:tc>
      </w:tr>
      <w:tr w:rsidR="00493E4F" w:rsidRPr="009B587A" w:rsidTr="00493E4F">
        <w:trPr>
          <w:cantSplit/>
          <w:jc w:val="center"/>
        </w:trPr>
        <w:tc>
          <w:tcPr>
            <w:tcW w:w="2447" w:type="dxa"/>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Asymptotic Significance (2-sided)</w:t>
            </w:r>
          </w:p>
        </w:tc>
      </w:tr>
      <w:tr w:rsidR="00493E4F" w:rsidRPr="009B587A" w:rsidTr="00493E4F">
        <w:trPr>
          <w:cantSplit/>
          <w:jc w:val="center"/>
        </w:trPr>
        <w:tc>
          <w:tcPr>
            <w:tcW w:w="244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1.796</w:t>
            </w:r>
            <w:r w:rsidRPr="009B587A">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w:t>
            </w:r>
          </w:p>
        </w:tc>
        <w:tc>
          <w:tcPr>
            <w:tcW w:w="1468"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.407</w:t>
            </w: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1.819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.403</w:t>
            </w:r>
          </w:p>
        </w:tc>
      </w:tr>
      <w:tr w:rsidR="00493E4F" w:rsidRPr="009B587A"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.464</w:t>
            </w:r>
          </w:p>
        </w:tc>
      </w:tr>
      <w:tr w:rsidR="00493E4F" w:rsidRPr="009B587A" w:rsidTr="00493E4F">
        <w:trPr>
          <w:cantSplit/>
          <w:jc w:val="center"/>
        </w:trPr>
        <w:tc>
          <w:tcPr>
            <w:tcW w:w="2447"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5963" w:type="dxa"/>
            <w:gridSpan w:val="4"/>
            <w:tcBorders>
              <w:top w:val="nil"/>
              <w:left w:val="nil"/>
              <w:bottom w:val="nil"/>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a. 3 cells (50.0%) have expected count less than 5. The minimum expected count is .16.</w:t>
            </w:r>
          </w:p>
        </w:tc>
      </w:tr>
    </w:tbl>
    <w:p w:rsidR="00493E4F" w:rsidRPr="009B587A" w:rsidRDefault="001649F2"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15 Chi-</w:t>
      </w:r>
      <w:r w:rsidR="00493E4F" w:rsidRPr="009B587A">
        <w:rPr>
          <w:rFonts w:asciiTheme="majorBidi" w:hAnsiTheme="majorBidi" w:cstheme="majorBidi"/>
          <w:sz w:val="20"/>
          <w:szCs w:val="20"/>
        </w:rPr>
        <w:t>Square values for regaining trust through the ability to send money abroad</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0"/>
          <w:szCs w:val="20"/>
        </w:rPr>
      </w:pPr>
    </w:p>
    <w:p w:rsidR="00493E4F" w:rsidRPr="004C62DF" w:rsidRDefault="00493E4F" w:rsidP="00493E4F">
      <w:pPr>
        <w:autoSpaceDE w:val="0"/>
        <w:autoSpaceDN w:val="0"/>
        <w:adjustRightInd w:val="0"/>
        <w:spacing w:after="0" w:line="480" w:lineRule="auto"/>
        <w:jc w:val="both"/>
        <w:rPr>
          <w:rFonts w:asciiTheme="majorBidi" w:hAnsiTheme="majorBidi" w:cstheme="majorBidi"/>
          <w:sz w:val="24"/>
          <w:szCs w:val="24"/>
        </w:rPr>
      </w:pPr>
      <w:r w:rsidRPr="004C62DF">
        <w:rPr>
          <w:rFonts w:asciiTheme="majorBidi" w:hAnsiTheme="majorBidi" w:cstheme="majorBidi"/>
          <w:sz w:val="24"/>
          <w:szCs w:val="24"/>
        </w:rPr>
        <w:t xml:space="preserve">19.6% of participants answered yes to having the ability to transfer money abroad. The Chi-Square value was not significant at 0.407 which shows no dependency between the ability to transfer money abroad and regaining trust. Most of the transactions in Lebanon come from relatives who live abroad sending to Lebanon, so this option is not in high demand. </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r w:rsidRPr="004C62DF">
        <w:rPr>
          <w:rFonts w:asciiTheme="majorBidi" w:hAnsiTheme="majorBidi" w:cstheme="majorBidi"/>
          <w:sz w:val="24"/>
          <w:szCs w:val="24"/>
        </w:rPr>
        <w:t>From all of the above, we can accept H1 as a valid hypothesis that correlates trust and satisfaction. However, this trust can be regained through having access to all accounts, the ability to transfer money and apply for loans.</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4.2.2 Efficiency of E-banking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The second hypothesis tests the efficiency of e-banking. The one-way ANOVA test was used to find the correlations between the various components associated with efficiency as shown below in Table 16.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859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1697"/>
        <w:gridCol w:w="1469"/>
        <w:gridCol w:w="1025"/>
        <w:gridCol w:w="1408"/>
        <w:gridCol w:w="1025"/>
        <w:gridCol w:w="1025"/>
      </w:tblGrid>
      <w:tr w:rsidR="00493E4F" w:rsidRPr="009B587A" w:rsidTr="00493E4F">
        <w:trPr>
          <w:cantSplit/>
          <w:jc w:val="center"/>
        </w:trPr>
        <w:tc>
          <w:tcPr>
            <w:tcW w:w="8592" w:type="dxa"/>
            <w:gridSpan w:val="7"/>
            <w:tcBorders>
              <w:top w:val="nil"/>
              <w:left w:val="nil"/>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9B587A">
              <w:rPr>
                <w:rFonts w:asciiTheme="majorBidi" w:hAnsiTheme="majorBidi" w:cstheme="majorBidi"/>
                <w:b/>
                <w:bCs/>
                <w:color w:val="010205"/>
              </w:rPr>
              <w:lastRenderedPageBreak/>
              <w:t>ANOVA</w:t>
            </w:r>
          </w:p>
        </w:tc>
      </w:tr>
      <w:tr w:rsidR="00493E4F" w:rsidRPr="009B587A" w:rsidTr="00493E4F">
        <w:trPr>
          <w:cantSplit/>
          <w:jc w:val="center"/>
        </w:trPr>
        <w:tc>
          <w:tcPr>
            <w:tcW w:w="2645" w:type="dxa"/>
            <w:gridSpan w:val="2"/>
            <w:tcBorders>
              <w:top w:val="nil"/>
              <w:left w:val="nil"/>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Sig.</w:t>
            </w:r>
          </w:p>
        </w:tc>
      </w:tr>
      <w:tr w:rsidR="00493E4F" w:rsidRPr="009B587A" w:rsidTr="00493E4F">
        <w:trPr>
          <w:cantSplit/>
          <w:jc w:val="center"/>
        </w:trPr>
        <w:tc>
          <w:tcPr>
            <w:tcW w:w="948" w:type="dxa"/>
            <w:vMerge w:val="restart"/>
            <w:tcBorders>
              <w:top w:val="single" w:sz="8" w:space="0" w:color="152935"/>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CoE</w:t>
            </w:r>
          </w:p>
        </w:tc>
        <w:tc>
          <w:tcPr>
            <w:tcW w:w="1697" w:type="dxa"/>
            <w:tcBorders>
              <w:top w:val="single" w:sz="8" w:space="0" w:color="152935"/>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Between Groups</w:t>
            </w:r>
          </w:p>
        </w:tc>
        <w:tc>
          <w:tcPr>
            <w:tcW w:w="1468" w:type="dxa"/>
            <w:tcBorders>
              <w:top w:val="single" w:sz="8" w:space="0" w:color="152935"/>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12.645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3.161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.855</w:t>
            </w:r>
          </w:p>
        </w:tc>
        <w:tc>
          <w:tcPr>
            <w:tcW w:w="1024" w:type="dxa"/>
            <w:tcBorders>
              <w:top w:val="single" w:sz="8" w:space="0" w:color="152935"/>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.493</w:t>
            </w:r>
          </w:p>
        </w:tc>
      </w:tr>
      <w:tr w:rsidR="00493E4F" w:rsidRPr="009B587A" w:rsidTr="00493E4F">
        <w:trPr>
          <w:cantSplit/>
          <w:jc w:val="center"/>
        </w:trPr>
        <w:tc>
          <w:tcPr>
            <w:tcW w:w="948" w:type="dxa"/>
            <w:vMerge/>
            <w:tcBorders>
              <w:top w:val="single" w:sz="8" w:space="0" w:color="152935"/>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547.251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3.698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tcBorders>
              <w:top w:val="single" w:sz="8" w:space="0" w:color="152935"/>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559.895</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val="restart"/>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ST</w:t>
            </w: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2.641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.660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1.574</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.184</w:t>
            </w: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62.078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64.719</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val="restart"/>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CST</w:t>
            </w: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6.095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1.164</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.329</w:t>
            </w: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193.801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1.309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199.895</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val="restart"/>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EN</w:t>
            </w: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3.774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1.084</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.366</w:t>
            </w: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128.788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.870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132.562</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val="restart"/>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CEN</w:t>
            </w: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9.386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2.346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2.353</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.057</w:t>
            </w: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147.608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.997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156.993</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val="restart"/>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NP</w:t>
            </w: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8.010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2.003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1.414</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.232</w:t>
            </w: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209.532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1.416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217.542</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val="restart"/>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Efficient</w:t>
            </w: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4.432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1.108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1.900</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.113</w:t>
            </w:r>
          </w:p>
        </w:tc>
      </w:tr>
      <w:tr w:rsidR="00493E4F" w:rsidRPr="009B587A" w:rsidTr="00493E4F">
        <w:trPr>
          <w:cantSplit/>
          <w:jc w:val="center"/>
        </w:trPr>
        <w:tc>
          <w:tcPr>
            <w:tcW w:w="948" w:type="dxa"/>
            <w:vMerge/>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86.287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.583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9B587A" w:rsidTr="00493E4F">
        <w:trPr>
          <w:cantSplit/>
          <w:jc w:val="center"/>
        </w:trPr>
        <w:tc>
          <w:tcPr>
            <w:tcW w:w="948" w:type="dxa"/>
            <w:vMerge/>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single" w:sz="8" w:space="0" w:color="152935"/>
              <w:right w:val="nil"/>
            </w:tcBorders>
            <w:shd w:val="clear" w:color="auto" w:fill="E0E0E0"/>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9B587A">
              <w:rPr>
                <w:rFonts w:asciiTheme="majorBidi" w:hAnsiTheme="majorBidi" w:cstheme="majorBidi"/>
                <w:color w:val="264A6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90.719</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9B587A"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9B587A">
              <w:rPr>
                <w:rFonts w:asciiTheme="majorBidi" w:hAnsiTheme="majorBidi" w:cstheme="majorBidi"/>
                <w:color w:val="010205"/>
                <w:sz w:val="18"/>
                <w:szCs w:val="18"/>
              </w:rPr>
              <w:t>152</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sidRPr="009B587A">
        <w:rPr>
          <w:rFonts w:asciiTheme="majorBidi" w:hAnsiTheme="majorBidi" w:cstheme="majorBidi"/>
          <w:sz w:val="20"/>
          <w:szCs w:val="20"/>
        </w:rPr>
        <w:t>Table 16 ANOVA of factors associated with</w:t>
      </w:r>
      <w:r w:rsidR="001649F2">
        <w:rPr>
          <w:rFonts w:asciiTheme="majorBidi" w:hAnsiTheme="majorBidi" w:cstheme="majorBidi"/>
          <w:sz w:val="20"/>
          <w:szCs w:val="20"/>
        </w:rPr>
        <w:t xml:space="preserve"> the</w:t>
      </w:r>
      <w:r w:rsidRPr="009B587A">
        <w:rPr>
          <w:rFonts w:asciiTheme="majorBidi" w:hAnsiTheme="majorBidi" w:cstheme="majorBidi"/>
          <w:sz w:val="20"/>
          <w:szCs w:val="20"/>
        </w:rPr>
        <w:t xml:space="preserve"> efficiency of e-banking</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0"/>
          <w:szCs w:val="20"/>
        </w:rPr>
      </w:pPr>
    </w:p>
    <w:p w:rsidR="00493E4F" w:rsidRPr="004C62DF" w:rsidRDefault="00493E4F" w:rsidP="001649F2">
      <w:pPr>
        <w:autoSpaceDE w:val="0"/>
        <w:autoSpaceDN w:val="0"/>
        <w:adjustRightInd w:val="0"/>
        <w:spacing w:after="0" w:line="480" w:lineRule="auto"/>
        <w:jc w:val="both"/>
        <w:rPr>
          <w:rFonts w:asciiTheme="majorBidi" w:hAnsiTheme="majorBidi" w:cstheme="majorBidi"/>
          <w:sz w:val="24"/>
          <w:szCs w:val="24"/>
        </w:rPr>
      </w:pPr>
      <w:r w:rsidRPr="004C62DF">
        <w:rPr>
          <w:rFonts w:asciiTheme="majorBidi" w:hAnsiTheme="majorBidi" w:cstheme="majorBidi"/>
          <w:sz w:val="24"/>
          <w:szCs w:val="24"/>
        </w:rPr>
        <w:t xml:space="preserve">Efficiency was found to be an important criterion in establishing and maintaining the clients’ satisfaction. 77.8% of participants answered by strongly agree and agree to e-banking being efficient. The ANOVA test was done to determine which factors will homogenize with satisfaction after the pandemic and those who will not. Starting with efficiency as a whole, there no statistically significant difference between satisfaction and efficiency at p= 0113 &lt; 0.05. There is no statistically significant difference between satisfaction and the various causes of efficiency at p= 0.184. There is no statistically significant difference between satisfaction and saving time at p= 0.329 or the causes of saving time at p= 0.366. There is no statistically significant difference between satisfaction and the ease of navigation at p= 0.057 or the causes of ease of navigation at p= 0.232. This gives us no conclusive correlation between efficiency and satisfaction. Thus we cannot conclusively say that efficiency will have an impact on the satisfaction of clients of Lebanese banks. </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r w:rsidRPr="004C62DF">
        <w:rPr>
          <w:rFonts w:asciiTheme="majorBidi" w:hAnsiTheme="majorBidi" w:cstheme="majorBidi"/>
          <w:sz w:val="24"/>
          <w:szCs w:val="24"/>
        </w:rPr>
        <w:t>These factors can be further illustrated. With regards to causes of efficiency, participants answered 51.9% that it has all services available in real-time and 30.8% that it saves trips to the bank. The percentage of people who strongly agreed and agreed about saving time amounted to 88.2% with the emphasis that having a well-designed website and/or application (23.5%) and ease of navigation (58.8%) influence the ability to save time. Participants also strongly agreed and agreed at 90.2% that ease of navigation is essential. The two leading causes for ease of navigation were found to be accurate sequencing of services (40.5%) and easily defined layout (36.6%).</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7E0761" w:rsidRDefault="007E0761"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lastRenderedPageBreak/>
        <w:t xml:space="preserve">4.2.3. Reliability of e-banking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Reliability in this context is related to how the participants are interacting with e-banking. We wanted to study how engaged they are with e-banking and how better they understand e-banking. For this purpose, a χ</w:t>
      </w:r>
      <w:r w:rsidRPr="009B587A">
        <w:rPr>
          <w:rFonts w:asciiTheme="majorBidi" w:hAnsiTheme="majorBidi" w:cstheme="majorBidi"/>
          <w:sz w:val="24"/>
          <w:szCs w:val="24"/>
          <w:vertAlign w:val="superscript"/>
        </w:rPr>
        <w:t>2</w:t>
      </w:r>
      <w:r w:rsidRPr="009B587A">
        <w:rPr>
          <w:rFonts w:asciiTheme="majorBidi" w:hAnsiTheme="majorBidi" w:cstheme="majorBidi"/>
          <w:sz w:val="24"/>
          <w:szCs w:val="24"/>
        </w:rPr>
        <w:t xml:space="preserve"> test was done. </w:t>
      </w:r>
    </w:p>
    <w:p w:rsidR="00493E4F" w:rsidRPr="005968B3"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59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024"/>
        <w:gridCol w:w="1024"/>
        <w:gridCol w:w="1468"/>
      </w:tblGrid>
      <w:tr w:rsidR="00493E4F" w:rsidRPr="005968B3" w:rsidTr="00493E4F">
        <w:trPr>
          <w:cantSplit/>
          <w:jc w:val="center"/>
        </w:trPr>
        <w:tc>
          <w:tcPr>
            <w:tcW w:w="5963" w:type="dxa"/>
            <w:gridSpan w:val="4"/>
            <w:tcBorders>
              <w:top w:val="nil"/>
              <w:left w:val="nil"/>
              <w:bottom w:val="nil"/>
              <w:right w:val="nil"/>
            </w:tcBorders>
            <w:shd w:val="clear" w:color="auto" w:fill="FFFFFF"/>
            <w:vAlign w:val="center"/>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5968B3">
              <w:rPr>
                <w:rFonts w:asciiTheme="majorBidi" w:hAnsiTheme="majorBidi" w:cstheme="majorBidi"/>
                <w:b/>
                <w:bCs/>
                <w:color w:val="010205"/>
              </w:rPr>
              <w:t>Chi-Square Tests</w:t>
            </w:r>
          </w:p>
        </w:tc>
      </w:tr>
      <w:tr w:rsidR="00493E4F" w:rsidRPr="005968B3" w:rsidTr="00493E4F">
        <w:trPr>
          <w:cantSplit/>
          <w:jc w:val="center"/>
        </w:trPr>
        <w:tc>
          <w:tcPr>
            <w:tcW w:w="2447" w:type="dxa"/>
            <w:tcBorders>
              <w:top w:val="nil"/>
              <w:left w:val="nil"/>
              <w:bottom w:val="single" w:sz="8" w:space="0" w:color="152935"/>
              <w:right w:val="nil"/>
            </w:tcBorders>
            <w:shd w:val="clear" w:color="auto" w:fill="FFFFFF"/>
            <w:vAlign w:val="bottom"/>
          </w:tcPr>
          <w:p w:rsidR="00493E4F" w:rsidRPr="005968B3"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5968B3">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5968B3">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nil"/>
            </w:tcBorders>
            <w:shd w:val="clear" w:color="auto" w:fill="FFFFFF"/>
            <w:vAlign w:val="bottom"/>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5968B3">
              <w:rPr>
                <w:rFonts w:asciiTheme="majorBidi" w:hAnsiTheme="majorBidi" w:cstheme="majorBidi"/>
                <w:color w:val="264A60"/>
                <w:sz w:val="18"/>
                <w:szCs w:val="18"/>
              </w:rPr>
              <w:t>Asymptotic Significance (2-sided)</w:t>
            </w:r>
          </w:p>
        </w:tc>
      </w:tr>
      <w:tr w:rsidR="00493E4F" w:rsidRPr="005968B3" w:rsidTr="00493E4F">
        <w:trPr>
          <w:cantSplit/>
          <w:jc w:val="center"/>
        </w:trPr>
        <w:tc>
          <w:tcPr>
            <w:tcW w:w="2447" w:type="dxa"/>
            <w:tcBorders>
              <w:top w:val="single" w:sz="8" w:space="0" w:color="152935"/>
              <w:left w:val="nil"/>
              <w:bottom w:val="single" w:sz="8" w:space="0" w:color="AEAEAE"/>
              <w:right w:val="nil"/>
            </w:tcBorders>
            <w:shd w:val="clear" w:color="auto" w:fill="E0E0E0"/>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5968B3">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12.969</w:t>
            </w:r>
            <w:r w:rsidRPr="005968B3">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4</w:t>
            </w:r>
          </w:p>
        </w:tc>
        <w:tc>
          <w:tcPr>
            <w:tcW w:w="1468" w:type="dxa"/>
            <w:tcBorders>
              <w:top w:val="single" w:sz="8" w:space="0" w:color="152935"/>
              <w:left w:val="single" w:sz="8" w:space="0" w:color="E0E0E0"/>
              <w:bottom w:val="single" w:sz="8" w:space="0" w:color="AEAEAE"/>
              <w:right w:val="nil"/>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.011</w:t>
            </w:r>
          </w:p>
        </w:tc>
      </w:tr>
      <w:tr w:rsidR="00493E4F" w:rsidRPr="005968B3"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5968B3">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11.777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.019</w:t>
            </w:r>
          </w:p>
        </w:tc>
      </w:tr>
      <w:tr w:rsidR="00493E4F" w:rsidRPr="005968B3"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5968B3">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.829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.363</w:t>
            </w:r>
          </w:p>
        </w:tc>
      </w:tr>
      <w:tr w:rsidR="00493E4F" w:rsidRPr="005968B3" w:rsidTr="00493E4F">
        <w:trPr>
          <w:cantSplit/>
          <w:jc w:val="center"/>
        </w:trPr>
        <w:tc>
          <w:tcPr>
            <w:tcW w:w="2447" w:type="dxa"/>
            <w:tcBorders>
              <w:top w:val="single" w:sz="8" w:space="0" w:color="AEAEAE"/>
              <w:left w:val="nil"/>
              <w:bottom w:val="single" w:sz="8" w:space="0" w:color="152935"/>
              <w:right w:val="nil"/>
            </w:tcBorders>
            <w:shd w:val="clear" w:color="auto" w:fill="E0E0E0"/>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5968B3">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5968B3"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5968B3"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5968B3" w:rsidTr="00493E4F">
        <w:trPr>
          <w:cantSplit/>
          <w:jc w:val="center"/>
        </w:trPr>
        <w:tc>
          <w:tcPr>
            <w:tcW w:w="5963" w:type="dxa"/>
            <w:gridSpan w:val="4"/>
            <w:tcBorders>
              <w:top w:val="nil"/>
              <w:left w:val="nil"/>
              <w:bottom w:val="nil"/>
              <w:right w:val="nil"/>
            </w:tcBorders>
            <w:shd w:val="clear" w:color="auto" w:fill="FFFFFF"/>
          </w:tcPr>
          <w:p w:rsidR="00493E4F" w:rsidRPr="005968B3"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5968B3">
              <w:rPr>
                <w:rFonts w:asciiTheme="majorBidi" w:hAnsiTheme="majorBidi" w:cstheme="majorBidi"/>
                <w:color w:val="010205"/>
                <w:sz w:val="18"/>
                <w:szCs w:val="18"/>
              </w:rPr>
              <w:t>a. 4 cells (40.0%) have expected count less than 5. The minimum expected count is 1.33.</w:t>
            </w:r>
          </w:p>
        </w:tc>
      </w:tr>
    </w:tbl>
    <w:p w:rsidR="00493E4F" w:rsidRPr="009B587A" w:rsidRDefault="001649F2"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17 Chi-</w:t>
      </w:r>
      <w:r w:rsidR="00493E4F" w:rsidRPr="009B587A">
        <w:rPr>
          <w:rFonts w:asciiTheme="majorBidi" w:hAnsiTheme="majorBidi" w:cstheme="majorBidi"/>
          <w:sz w:val="20"/>
          <w:szCs w:val="20"/>
        </w:rPr>
        <w:t>Square values of engagement with e-banking</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value of the test is p= 0.011 &lt; 0.05 whic</w:t>
      </w:r>
      <w:r>
        <w:rPr>
          <w:rFonts w:asciiTheme="majorBidi" w:hAnsiTheme="majorBidi" w:cstheme="majorBidi"/>
          <w:sz w:val="24"/>
          <w:szCs w:val="24"/>
        </w:rPr>
        <w:t>h indicates a strong dependency</w:t>
      </w:r>
      <w:r w:rsidRPr="009B587A">
        <w:rPr>
          <w:rFonts w:asciiTheme="majorBidi" w:hAnsiTheme="majorBidi" w:cstheme="majorBidi"/>
          <w:sz w:val="24"/>
          <w:szCs w:val="24"/>
        </w:rPr>
        <w:t xml:space="preserve"> regarding engagement with e-banking</w:t>
      </w:r>
      <w:r>
        <w:rPr>
          <w:rFonts w:asciiTheme="majorBidi" w:hAnsiTheme="majorBidi" w:cstheme="majorBidi"/>
          <w:sz w:val="24"/>
          <w:szCs w:val="24"/>
        </w:rPr>
        <w:t xml:space="preserve"> and satisfaction</w:t>
      </w:r>
      <w:r w:rsidRPr="009B587A">
        <w:rPr>
          <w:rFonts w:asciiTheme="majorBidi" w:hAnsiTheme="majorBidi" w:cstheme="majorBidi"/>
          <w:sz w:val="24"/>
          <w:szCs w:val="24"/>
        </w:rPr>
        <w:t xml:space="preserve">. </w:t>
      </w: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p w:rsidR="00493E4F" w:rsidRPr="00472D71"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59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024"/>
        <w:gridCol w:w="1024"/>
        <w:gridCol w:w="1468"/>
      </w:tblGrid>
      <w:tr w:rsidR="00493E4F" w:rsidRPr="00472D71" w:rsidTr="00493E4F">
        <w:trPr>
          <w:cantSplit/>
          <w:jc w:val="center"/>
        </w:trPr>
        <w:tc>
          <w:tcPr>
            <w:tcW w:w="5963" w:type="dxa"/>
            <w:gridSpan w:val="4"/>
            <w:tcBorders>
              <w:top w:val="nil"/>
              <w:left w:val="nil"/>
              <w:bottom w:val="nil"/>
              <w:right w:val="nil"/>
            </w:tcBorders>
            <w:shd w:val="clear" w:color="auto" w:fill="FFFFFF"/>
            <w:vAlign w:val="center"/>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472D71">
              <w:rPr>
                <w:rFonts w:asciiTheme="majorBidi" w:hAnsiTheme="majorBidi" w:cstheme="majorBidi"/>
                <w:b/>
                <w:bCs/>
                <w:color w:val="010205"/>
              </w:rPr>
              <w:lastRenderedPageBreak/>
              <w:t>Chi-Square Tests</w:t>
            </w:r>
          </w:p>
        </w:tc>
      </w:tr>
      <w:tr w:rsidR="00493E4F" w:rsidRPr="00472D71" w:rsidTr="00493E4F">
        <w:trPr>
          <w:cantSplit/>
          <w:jc w:val="center"/>
        </w:trPr>
        <w:tc>
          <w:tcPr>
            <w:tcW w:w="2447" w:type="dxa"/>
            <w:tcBorders>
              <w:top w:val="nil"/>
              <w:left w:val="nil"/>
              <w:bottom w:val="single" w:sz="8" w:space="0" w:color="152935"/>
              <w:right w:val="nil"/>
            </w:tcBorders>
            <w:shd w:val="clear" w:color="auto" w:fill="FFFFFF"/>
            <w:vAlign w:val="bottom"/>
          </w:tcPr>
          <w:p w:rsidR="00493E4F" w:rsidRPr="00472D71"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472D71">
              <w:rPr>
                <w:rFonts w:asciiTheme="majorBidi" w:hAnsiTheme="majorBidi" w:cstheme="majorBidi"/>
                <w:color w:val="264A60"/>
                <w:sz w:val="18"/>
                <w:szCs w:val="18"/>
              </w:rPr>
              <w:t>Value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472D71">
              <w:rPr>
                <w:rFonts w:asciiTheme="majorBidi" w:hAnsiTheme="majorBidi" w:cstheme="majorBidi"/>
                <w:color w:val="264A60"/>
                <w:sz w:val="18"/>
                <w:szCs w:val="18"/>
              </w:rPr>
              <w:t>df</w:t>
            </w:r>
          </w:p>
        </w:tc>
        <w:tc>
          <w:tcPr>
            <w:tcW w:w="1468" w:type="dxa"/>
            <w:tcBorders>
              <w:top w:val="nil"/>
              <w:left w:val="single" w:sz="8" w:space="0" w:color="E0E0E0"/>
              <w:bottom w:val="single" w:sz="8" w:space="0" w:color="152935"/>
              <w:right w:val="nil"/>
            </w:tcBorders>
            <w:shd w:val="clear" w:color="auto" w:fill="FFFFFF"/>
            <w:vAlign w:val="bottom"/>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472D71">
              <w:rPr>
                <w:rFonts w:asciiTheme="majorBidi" w:hAnsiTheme="majorBidi" w:cstheme="majorBidi"/>
                <w:color w:val="264A60"/>
                <w:sz w:val="18"/>
                <w:szCs w:val="18"/>
              </w:rPr>
              <w:t>Asymptotic Significance (2-sided)</w:t>
            </w:r>
          </w:p>
        </w:tc>
      </w:tr>
      <w:tr w:rsidR="00493E4F" w:rsidRPr="00472D71" w:rsidTr="00493E4F">
        <w:trPr>
          <w:cantSplit/>
          <w:jc w:val="center"/>
        </w:trPr>
        <w:tc>
          <w:tcPr>
            <w:tcW w:w="2447" w:type="dxa"/>
            <w:tcBorders>
              <w:top w:val="single" w:sz="8" w:space="0" w:color="152935"/>
              <w:left w:val="nil"/>
              <w:bottom w:val="single" w:sz="8" w:space="0" w:color="AEAEAE"/>
              <w:right w:val="nil"/>
            </w:tcBorders>
            <w:shd w:val="clear" w:color="auto" w:fill="E0E0E0"/>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472D71">
              <w:rPr>
                <w:rFonts w:asciiTheme="majorBidi" w:hAnsiTheme="majorBidi" w:cstheme="majorBidi"/>
                <w:color w:val="264A60"/>
                <w:sz w:val="18"/>
                <w:szCs w:val="18"/>
              </w:rPr>
              <w:t>Pearson Chi-Square</w:t>
            </w:r>
          </w:p>
        </w:tc>
        <w:tc>
          <w:tcPr>
            <w:tcW w:w="1024" w:type="dxa"/>
            <w:tcBorders>
              <w:top w:val="single" w:sz="8" w:space="0" w:color="152935"/>
              <w:left w:val="nil"/>
              <w:bottom w:val="single" w:sz="8" w:space="0" w:color="AEAEAE"/>
              <w:right w:val="single" w:sz="8" w:space="0" w:color="E0E0E0"/>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14.663</w:t>
            </w:r>
            <w:r w:rsidRPr="00472D71">
              <w:rPr>
                <w:rFonts w:asciiTheme="majorBidi" w:hAnsiTheme="majorBidi" w:cstheme="majorBidi"/>
                <w:color w:val="010205"/>
                <w:sz w:val="18"/>
                <w:szCs w:val="18"/>
                <w:vertAlign w:val="superscript"/>
              </w:rPr>
              <w:t>a</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4</w:t>
            </w:r>
          </w:p>
        </w:tc>
        <w:tc>
          <w:tcPr>
            <w:tcW w:w="1468" w:type="dxa"/>
            <w:tcBorders>
              <w:top w:val="single" w:sz="8" w:space="0" w:color="152935"/>
              <w:left w:val="single" w:sz="8" w:space="0" w:color="E0E0E0"/>
              <w:bottom w:val="single" w:sz="8" w:space="0" w:color="AEAEAE"/>
              <w:right w:val="nil"/>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.005</w:t>
            </w:r>
          </w:p>
        </w:tc>
      </w:tr>
      <w:tr w:rsidR="00493E4F" w:rsidRPr="00472D71"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472D71">
              <w:rPr>
                <w:rFonts w:asciiTheme="majorBidi" w:hAnsiTheme="majorBidi" w:cstheme="majorBidi"/>
                <w:color w:val="264A60"/>
                <w:sz w:val="18"/>
                <w:szCs w:val="18"/>
              </w:rPr>
              <w:t>Likelihood Ratio</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15.195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.004</w:t>
            </w:r>
          </w:p>
        </w:tc>
      </w:tr>
      <w:tr w:rsidR="00493E4F" w:rsidRPr="00472D71" w:rsidTr="00493E4F">
        <w:trPr>
          <w:cantSplit/>
          <w:jc w:val="center"/>
        </w:trPr>
        <w:tc>
          <w:tcPr>
            <w:tcW w:w="2447" w:type="dxa"/>
            <w:tcBorders>
              <w:top w:val="single" w:sz="8" w:space="0" w:color="AEAEAE"/>
              <w:left w:val="nil"/>
              <w:bottom w:val="single" w:sz="8" w:space="0" w:color="AEAEAE"/>
              <w:right w:val="nil"/>
            </w:tcBorders>
            <w:shd w:val="clear" w:color="auto" w:fill="E0E0E0"/>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472D71">
              <w:rPr>
                <w:rFonts w:asciiTheme="majorBidi" w:hAnsiTheme="majorBidi" w:cstheme="majorBidi"/>
                <w:color w:val="264A60"/>
                <w:sz w:val="18"/>
                <w:szCs w:val="18"/>
              </w:rPr>
              <w:t>Linear-by-Linear Association</w:t>
            </w:r>
          </w:p>
        </w:tc>
        <w:tc>
          <w:tcPr>
            <w:tcW w:w="1024" w:type="dxa"/>
            <w:tcBorders>
              <w:top w:val="single" w:sz="8" w:space="0" w:color="AEAEAE"/>
              <w:left w:val="nil"/>
              <w:bottom w:val="single" w:sz="8" w:space="0" w:color="AEAEAE"/>
              <w:right w:val="single" w:sz="8" w:space="0" w:color="E0E0E0"/>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2.311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.128</w:t>
            </w:r>
          </w:p>
        </w:tc>
      </w:tr>
      <w:tr w:rsidR="00493E4F" w:rsidRPr="00472D71" w:rsidTr="00493E4F">
        <w:trPr>
          <w:cantSplit/>
          <w:jc w:val="center"/>
        </w:trPr>
        <w:tc>
          <w:tcPr>
            <w:tcW w:w="2447" w:type="dxa"/>
            <w:tcBorders>
              <w:top w:val="single" w:sz="8" w:space="0" w:color="AEAEAE"/>
              <w:left w:val="nil"/>
              <w:bottom w:val="single" w:sz="8" w:space="0" w:color="152935"/>
              <w:right w:val="nil"/>
            </w:tcBorders>
            <w:shd w:val="clear" w:color="auto" w:fill="E0E0E0"/>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472D71">
              <w:rPr>
                <w:rFonts w:asciiTheme="majorBidi" w:hAnsiTheme="majorBidi" w:cstheme="majorBidi"/>
                <w:color w:val="264A60"/>
                <w:sz w:val="18"/>
                <w:szCs w:val="18"/>
              </w:rPr>
              <w:t>N of Valid Cases</w:t>
            </w:r>
          </w:p>
        </w:tc>
        <w:tc>
          <w:tcPr>
            <w:tcW w:w="1024" w:type="dxa"/>
            <w:tcBorders>
              <w:top w:val="single" w:sz="8" w:space="0" w:color="AEAEAE"/>
              <w:left w:val="nil"/>
              <w:bottom w:val="single" w:sz="8" w:space="0" w:color="152935"/>
              <w:right w:val="single" w:sz="8" w:space="0" w:color="E0E0E0"/>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153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472D71"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493E4F" w:rsidRPr="00472D71"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472D71" w:rsidTr="00493E4F">
        <w:trPr>
          <w:cantSplit/>
          <w:jc w:val="center"/>
        </w:trPr>
        <w:tc>
          <w:tcPr>
            <w:tcW w:w="5963" w:type="dxa"/>
            <w:gridSpan w:val="4"/>
            <w:tcBorders>
              <w:top w:val="nil"/>
              <w:left w:val="nil"/>
              <w:bottom w:val="nil"/>
              <w:right w:val="nil"/>
            </w:tcBorders>
            <w:shd w:val="clear" w:color="auto" w:fill="FFFFFF"/>
          </w:tcPr>
          <w:p w:rsidR="00493E4F" w:rsidRPr="00472D71"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472D71">
              <w:rPr>
                <w:rFonts w:asciiTheme="majorBidi" w:hAnsiTheme="majorBidi" w:cstheme="majorBidi"/>
                <w:color w:val="010205"/>
                <w:sz w:val="18"/>
                <w:szCs w:val="18"/>
              </w:rPr>
              <w:t>a. 1 cells (10.0%) have expected count less than 5. The minimum expected count is 2.51.</w:t>
            </w:r>
          </w:p>
        </w:tc>
      </w:tr>
    </w:tbl>
    <w:p w:rsidR="00493E4F" w:rsidRPr="009B587A" w:rsidRDefault="001649F2"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18 Chi-</w:t>
      </w:r>
      <w:r w:rsidR="00493E4F" w:rsidRPr="009B587A">
        <w:rPr>
          <w:rFonts w:asciiTheme="majorBidi" w:hAnsiTheme="majorBidi" w:cstheme="majorBidi"/>
          <w:sz w:val="20"/>
          <w:szCs w:val="20"/>
        </w:rPr>
        <w:t>Square values of understanding of e-banking</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χ</w:t>
      </w:r>
      <w:r w:rsidRPr="009B587A">
        <w:rPr>
          <w:rFonts w:asciiTheme="majorBidi" w:hAnsiTheme="majorBidi" w:cstheme="majorBidi"/>
          <w:sz w:val="24"/>
          <w:szCs w:val="24"/>
          <w:vertAlign w:val="superscript"/>
        </w:rPr>
        <w:t xml:space="preserve">2 </w:t>
      </w:r>
      <w:r w:rsidRPr="009B587A">
        <w:rPr>
          <w:rFonts w:asciiTheme="majorBidi" w:hAnsiTheme="majorBidi" w:cstheme="majorBidi"/>
          <w:sz w:val="24"/>
          <w:szCs w:val="24"/>
        </w:rPr>
        <w:t xml:space="preserve">value was p= 0.005 &lt; 0.05 which shows a strong </w:t>
      </w:r>
      <w:r>
        <w:rPr>
          <w:rFonts w:asciiTheme="majorBidi" w:hAnsiTheme="majorBidi" w:cstheme="majorBidi"/>
          <w:sz w:val="24"/>
          <w:szCs w:val="24"/>
        </w:rPr>
        <w:t>dependency between</w:t>
      </w:r>
      <w:r w:rsidRPr="009B587A">
        <w:rPr>
          <w:rFonts w:asciiTheme="majorBidi" w:hAnsiTheme="majorBidi" w:cstheme="majorBidi"/>
          <w:sz w:val="24"/>
          <w:szCs w:val="24"/>
        </w:rPr>
        <w:t xml:space="preserve"> increased understanding of e-banking and satisfaction. </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With these two highly relevant trends, it can be said that individuals are coming to rely more on e-banking. </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spacing w:line="480" w:lineRule="auto"/>
        <w:jc w:val="both"/>
        <w:rPr>
          <w:rFonts w:asciiTheme="majorBidi" w:hAnsiTheme="majorBidi" w:cstheme="majorBidi"/>
          <w:sz w:val="24"/>
          <w:szCs w:val="24"/>
        </w:rPr>
      </w:pPr>
      <w:r w:rsidRPr="009B587A">
        <w:rPr>
          <w:rFonts w:asciiTheme="majorBidi" w:hAnsiTheme="majorBidi" w:cstheme="majorBidi"/>
          <w:sz w:val="24"/>
          <w:szCs w:val="24"/>
        </w:rPr>
        <w:lastRenderedPageBreak/>
        <w:t xml:space="preserve">4.2.4 Security of e-banking </w:t>
      </w:r>
    </w:p>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83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1698"/>
        <w:gridCol w:w="1469"/>
        <w:gridCol w:w="1024"/>
        <w:gridCol w:w="1408"/>
        <w:gridCol w:w="1024"/>
        <w:gridCol w:w="1024"/>
      </w:tblGrid>
      <w:tr w:rsidR="00493E4F" w:rsidRPr="00350248" w:rsidTr="00493E4F">
        <w:trPr>
          <w:cantSplit/>
        </w:trPr>
        <w:tc>
          <w:tcPr>
            <w:tcW w:w="8378" w:type="dxa"/>
            <w:gridSpan w:val="7"/>
            <w:tcBorders>
              <w:top w:val="nil"/>
              <w:left w:val="nil"/>
              <w:bottom w:val="nil"/>
              <w:right w:val="nil"/>
            </w:tcBorders>
            <w:shd w:val="clear" w:color="auto" w:fill="FFFFFF"/>
            <w:vAlign w:val="center"/>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350248">
              <w:rPr>
                <w:rFonts w:asciiTheme="majorBidi" w:hAnsiTheme="majorBidi" w:cstheme="majorBidi"/>
                <w:b/>
                <w:bCs/>
                <w:color w:val="010205"/>
              </w:rPr>
              <w:t>ANOVA</w:t>
            </w:r>
          </w:p>
        </w:tc>
      </w:tr>
      <w:tr w:rsidR="00493E4F" w:rsidRPr="00350248" w:rsidTr="00493E4F">
        <w:trPr>
          <w:cantSplit/>
        </w:trPr>
        <w:tc>
          <w:tcPr>
            <w:tcW w:w="2431" w:type="dxa"/>
            <w:gridSpan w:val="2"/>
            <w:tcBorders>
              <w:top w:val="nil"/>
              <w:left w:val="nil"/>
              <w:bottom w:val="single" w:sz="8" w:space="0" w:color="152935"/>
              <w:right w:val="nil"/>
            </w:tcBorders>
            <w:shd w:val="clear" w:color="auto" w:fill="FFFFFF"/>
            <w:vAlign w:val="bottom"/>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Sig.</w:t>
            </w:r>
          </w:p>
        </w:tc>
      </w:tr>
      <w:tr w:rsidR="00493E4F" w:rsidRPr="00350248" w:rsidTr="00493E4F">
        <w:trPr>
          <w:cantSplit/>
        </w:trPr>
        <w:tc>
          <w:tcPr>
            <w:tcW w:w="734" w:type="dxa"/>
            <w:vMerge w:val="restart"/>
            <w:tcBorders>
              <w:top w:val="single" w:sz="8" w:space="0" w:color="152935"/>
              <w:left w:val="nil"/>
              <w:bottom w:val="nil"/>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SM</w:t>
            </w:r>
          </w:p>
        </w:tc>
        <w:tc>
          <w:tcPr>
            <w:tcW w:w="1697" w:type="dxa"/>
            <w:tcBorders>
              <w:top w:val="single" w:sz="8" w:space="0" w:color="152935"/>
              <w:left w:val="nil"/>
              <w:bottom w:val="single" w:sz="8" w:space="0" w:color="AEAEAE"/>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Between Groups</w:t>
            </w:r>
          </w:p>
        </w:tc>
        <w:tc>
          <w:tcPr>
            <w:tcW w:w="1468" w:type="dxa"/>
            <w:tcBorders>
              <w:top w:val="single" w:sz="8" w:space="0" w:color="152935"/>
              <w:left w:val="nil"/>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.525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4</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.131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.223</w:t>
            </w:r>
          </w:p>
        </w:tc>
        <w:tc>
          <w:tcPr>
            <w:tcW w:w="1024" w:type="dxa"/>
            <w:tcBorders>
              <w:top w:val="single" w:sz="8" w:space="0" w:color="152935"/>
              <w:left w:val="single" w:sz="8" w:space="0" w:color="E0E0E0"/>
              <w:bottom w:val="single" w:sz="8" w:space="0" w:color="AEAEAE"/>
              <w:right w:val="nil"/>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.925</w:t>
            </w:r>
          </w:p>
        </w:tc>
      </w:tr>
      <w:tr w:rsidR="00493E4F" w:rsidRPr="00350248" w:rsidTr="00493E4F">
        <w:trPr>
          <w:cantSplit/>
        </w:trPr>
        <w:tc>
          <w:tcPr>
            <w:tcW w:w="734" w:type="dxa"/>
            <w:vMerge/>
            <w:tcBorders>
              <w:top w:val="single" w:sz="8" w:space="0" w:color="152935"/>
              <w:left w:val="nil"/>
              <w:bottom w:val="nil"/>
              <w:right w:val="nil"/>
            </w:tcBorders>
            <w:shd w:val="clear" w:color="auto" w:fill="E0E0E0"/>
          </w:tcPr>
          <w:p w:rsidR="00493E4F" w:rsidRPr="00350248"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86.861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.587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350248" w:rsidTr="00493E4F">
        <w:trPr>
          <w:cantSplit/>
        </w:trPr>
        <w:tc>
          <w:tcPr>
            <w:tcW w:w="734" w:type="dxa"/>
            <w:vMerge/>
            <w:tcBorders>
              <w:top w:val="single" w:sz="8" w:space="0" w:color="152935"/>
              <w:left w:val="nil"/>
              <w:bottom w:val="nil"/>
              <w:right w:val="nil"/>
            </w:tcBorders>
            <w:shd w:val="clear" w:color="auto" w:fill="E0E0E0"/>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87.386</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350248" w:rsidTr="00493E4F">
        <w:trPr>
          <w:cantSplit/>
        </w:trPr>
        <w:tc>
          <w:tcPr>
            <w:tcW w:w="734" w:type="dxa"/>
            <w:vMerge w:val="restart"/>
            <w:tcBorders>
              <w:top w:val="single" w:sz="8" w:space="0" w:color="AEAEAE"/>
              <w:left w:val="nil"/>
              <w:bottom w:val="nil"/>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SR</w:t>
            </w:r>
          </w:p>
        </w:tc>
        <w:tc>
          <w:tcPr>
            <w:tcW w:w="1697" w:type="dxa"/>
            <w:tcBorders>
              <w:top w:val="single" w:sz="8" w:space="0" w:color="AEAEAE"/>
              <w:left w:val="nil"/>
              <w:bottom w:val="single" w:sz="8" w:space="0" w:color="AEAEAE"/>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1.781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.445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.513</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.726</w:t>
            </w:r>
          </w:p>
        </w:tc>
      </w:tr>
      <w:tr w:rsidR="00493E4F" w:rsidRPr="00350248" w:rsidTr="00493E4F">
        <w:trPr>
          <w:cantSplit/>
        </w:trPr>
        <w:tc>
          <w:tcPr>
            <w:tcW w:w="734" w:type="dxa"/>
            <w:vMerge/>
            <w:tcBorders>
              <w:top w:val="single" w:sz="8" w:space="0" w:color="AEAEAE"/>
              <w:left w:val="nil"/>
              <w:bottom w:val="nil"/>
              <w:right w:val="nil"/>
            </w:tcBorders>
            <w:shd w:val="clear" w:color="auto" w:fill="E0E0E0"/>
          </w:tcPr>
          <w:p w:rsidR="00493E4F" w:rsidRPr="00350248"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128.454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.868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350248" w:rsidTr="00493E4F">
        <w:trPr>
          <w:cantSplit/>
        </w:trPr>
        <w:tc>
          <w:tcPr>
            <w:tcW w:w="734" w:type="dxa"/>
            <w:vMerge/>
            <w:tcBorders>
              <w:top w:val="single" w:sz="8" w:space="0" w:color="AEAEAE"/>
              <w:left w:val="nil"/>
              <w:bottom w:val="nil"/>
              <w:right w:val="nil"/>
            </w:tcBorders>
            <w:shd w:val="clear" w:color="auto" w:fill="E0E0E0"/>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130.235</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350248" w:rsidTr="00493E4F">
        <w:trPr>
          <w:cantSplit/>
        </w:trPr>
        <w:tc>
          <w:tcPr>
            <w:tcW w:w="734" w:type="dxa"/>
            <w:vMerge w:val="restart"/>
            <w:tcBorders>
              <w:top w:val="single" w:sz="8" w:space="0" w:color="AEAEAE"/>
              <w:left w:val="nil"/>
              <w:bottom w:val="single" w:sz="8" w:space="0" w:color="152935"/>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DP</w:t>
            </w:r>
          </w:p>
        </w:tc>
        <w:tc>
          <w:tcPr>
            <w:tcW w:w="1697" w:type="dxa"/>
            <w:tcBorders>
              <w:top w:val="single" w:sz="8" w:space="0" w:color="AEAEAE"/>
              <w:left w:val="nil"/>
              <w:bottom w:val="single" w:sz="8" w:space="0" w:color="AEAEAE"/>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.963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.241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.420</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.794</w:t>
            </w:r>
          </w:p>
        </w:tc>
      </w:tr>
      <w:tr w:rsidR="00493E4F" w:rsidRPr="00350248" w:rsidTr="00493E4F">
        <w:trPr>
          <w:cantSplit/>
        </w:trPr>
        <w:tc>
          <w:tcPr>
            <w:tcW w:w="734" w:type="dxa"/>
            <w:vMerge/>
            <w:tcBorders>
              <w:top w:val="single" w:sz="8" w:space="0" w:color="AEAEAE"/>
              <w:left w:val="nil"/>
              <w:bottom w:val="single" w:sz="8" w:space="0" w:color="152935"/>
              <w:right w:val="nil"/>
            </w:tcBorders>
            <w:shd w:val="clear" w:color="auto" w:fill="E0E0E0"/>
          </w:tcPr>
          <w:p w:rsidR="00493E4F" w:rsidRPr="00350248"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84.919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.574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350248" w:rsidTr="00493E4F">
        <w:trPr>
          <w:cantSplit/>
        </w:trPr>
        <w:tc>
          <w:tcPr>
            <w:tcW w:w="734" w:type="dxa"/>
            <w:vMerge/>
            <w:tcBorders>
              <w:top w:val="single" w:sz="8" w:space="0" w:color="AEAEAE"/>
              <w:left w:val="nil"/>
              <w:bottom w:val="single" w:sz="8" w:space="0" w:color="152935"/>
              <w:right w:val="nil"/>
            </w:tcBorders>
            <w:shd w:val="clear" w:color="auto" w:fill="E0E0E0"/>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single" w:sz="8" w:space="0" w:color="152935"/>
              <w:right w:val="nil"/>
            </w:tcBorders>
            <w:shd w:val="clear" w:color="auto" w:fill="E0E0E0"/>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350248">
              <w:rPr>
                <w:rFonts w:asciiTheme="majorBidi" w:hAnsiTheme="majorBidi" w:cstheme="majorBidi"/>
                <w:color w:val="264A6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85.882</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350248"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350248">
              <w:rPr>
                <w:rFonts w:asciiTheme="majorBidi" w:hAnsiTheme="majorBidi" w:cstheme="majorBidi"/>
                <w:color w:val="010205"/>
                <w:sz w:val="18"/>
                <w:szCs w:val="18"/>
              </w:rPr>
              <w:t>152</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rsidR="00493E4F" w:rsidRPr="00350248"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Table 1</w:t>
      </w:r>
      <w:r w:rsidR="00C52DD7">
        <w:rPr>
          <w:rFonts w:asciiTheme="majorBidi" w:hAnsiTheme="majorBidi" w:cstheme="majorBidi"/>
          <w:sz w:val="20"/>
          <w:szCs w:val="20"/>
        </w:rPr>
        <w:t>9 A</w:t>
      </w:r>
      <w:r w:rsidRPr="009B587A">
        <w:rPr>
          <w:rFonts w:asciiTheme="majorBidi" w:hAnsiTheme="majorBidi" w:cstheme="majorBidi"/>
          <w:sz w:val="20"/>
          <w:szCs w:val="20"/>
        </w:rPr>
        <w:t>NOVA test regarding security and satisfaction</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Similar to other factors, the ANOVA test did not show any statistically significant between security and satisfaction (p= 0.925), security reasons (p= 0.726), and data protection (p= 0.794). </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The sample voted favorably when it comes to the security of the online platforms. A cumulative percentage of 79.7% said that they strongly agree and agree that e-banking is secure. 81% of all participants strongly agreed and agreed that e-banking can protect your data. These figures can be justified by having these platforms have strong requirements for passwords and a firewall (70.6%). So even though there was no clear connection between security and satisfaction, it remains an important aspect to enhance e-banking services through. </w:t>
      </w: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4.2.5 Communication in E-banking </w:t>
      </w:r>
    </w:p>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bl>
      <w:tblPr>
        <w:tblW w:w="83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1698"/>
        <w:gridCol w:w="1469"/>
        <w:gridCol w:w="1024"/>
        <w:gridCol w:w="1408"/>
        <w:gridCol w:w="1024"/>
        <w:gridCol w:w="1024"/>
      </w:tblGrid>
      <w:tr w:rsidR="00493E4F" w:rsidRPr="00761DB2" w:rsidTr="00493E4F">
        <w:trPr>
          <w:cantSplit/>
        </w:trPr>
        <w:tc>
          <w:tcPr>
            <w:tcW w:w="8378" w:type="dxa"/>
            <w:gridSpan w:val="7"/>
            <w:tcBorders>
              <w:top w:val="nil"/>
              <w:left w:val="nil"/>
              <w:bottom w:val="nil"/>
              <w:right w:val="nil"/>
            </w:tcBorders>
            <w:shd w:val="clear" w:color="auto" w:fill="FFFFFF"/>
            <w:vAlign w:val="center"/>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rPr>
            </w:pPr>
            <w:r w:rsidRPr="00761DB2">
              <w:rPr>
                <w:rFonts w:asciiTheme="majorBidi" w:hAnsiTheme="majorBidi" w:cstheme="majorBidi"/>
                <w:b/>
                <w:bCs/>
                <w:color w:val="010205"/>
              </w:rPr>
              <w:t>ANOVA</w:t>
            </w:r>
          </w:p>
        </w:tc>
      </w:tr>
      <w:tr w:rsidR="00493E4F" w:rsidRPr="00761DB2" w:rsidTr="00493E4F">
        <w:trPr>
          <w:cantSplit/>
        </w:trPr>
        <w:tc>
          <w:tcPr>
            <w:tcW w:w="2431" w:type="dxa"/>
            <w:gridSpan w:val="2"/>
            <w:tcBorders>
              <w:top w:val="nil"/>
              <w:left w:val="nil"/>
              <w:bottom w:val="single" w:sz="8" w:space="0" w:color="152935"/>
              <w:right w:val="nil"/>
            </w:tcBorders>
            <w:shd w:val="clear" w:color="auto" w:fill="FFFFFF"/>
            <w:vAlign w:val="bottom"/>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Sig.</w:t>
            </w:r>
          </w:p>
        </w:tc>
      </w:tr>
      <w:tr w:rsidR="00493E4F" w:rsidRPr="00761DB2" w:rsidTr="00493E4F">
        <w:trPr>
          <w:cantSplit/>
        </w:trPr>
        <w:tc>
          <w:tcPr>
            <w:tcW w:w="734" w:type="dxa"/>
            <w:vMerge w:val="restart"/>
            <w:tcBorders>
              <w:top w:val="single" w:sz="8" w:space="0" w:color="152935"/>
              <w:left w:val="nil"/>
              <w:bottom w:val="nil"/>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247S</w:t>
            </w:r>
          </w:p>
        </w:tc>
        <w:tc>
          <w:tcPr>
            <w:tcW w:w="1697" w:type="dxa"/>
            <w:tcBorders>
              <w:top w:val="single" w:sz="8" w:space="0" w:color="152935"/>
              <w:left w:val="nil"/>
              <w:bottom w:val="single" w:sz="8" w:space="0" w:color="AEAEAE"/>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Between Groups</w:t>
            </w:r>
          </w:p>
        </w:tc>
        <w:tc>
          <w:tcPr>
            <w:tcW w:w="1468" w:type="dxa"/>
            <w:tcBorders>
              <w:top w:val="single" w:sz="8" w:space="0" w:color="152935"/>
              <w:left w:val="nil"/>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3.619</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4</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.905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1.571</w:t>
            </w:r>
          </w:p>
        </w:tc>
        <w:tc>
          <w:tcPr>
            <w:tcW w:w="1024" w:type="dxa"/>
            <w:tcBorders>
              <w:top w:val="single" w:sz="8" w:space="0" w:color="152935"/>
              <w:left w:val="single" w:sz="8" w:space="0" w:color="E0E0E0"/>
              <w:bottom w:val="single" w:sz="8" w:space="0" w:color="AEAEAE"/>
              <w:right w:val="nil"/>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.185</w:t>
            </w:r>
          </w:p>
        </w:tc>
      </w:tr>
      <w:tr w:rsidR="00493E4F" w:rsidRPr="00761DB2" w:rsidTr="00493E4F">
        <w:trPr>
          <w:cantSplit/>
        </w:trPr>
        <w:tc>
          <w:tcPr>
            <w:tcW w:w="734" w:type="dxa"/>
            <w:vMerge/>
            <w:tcBorders>
              <w:top w:val="single" w:sz="8" w:space="0" w:color="152935"/>
              <w:left w:val="nil"/>
              <w:bottom w:val="nil"/>
              <w:right w:val="nil"/>
            </w:tcBorders>
            <w:shd w:val="clear" w:color="auto" w:fill="E0E0E0"/>
          </w:tcPr>
          <w:p w:rsidR="00493E4F" w:rsidRPr="00761DB2"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85.257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.576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761DB2" w:rsidTr="00493E4F">
        <w:trPr>
          <w:cantSplit/>
        </w:trPr>
        <w:tc>
          <w:tcPr>
            <w:tcW w:w="734" w:type="dxa"/>
            <w:vMerge/>
            <w:tcBorders>
              <w:top w:val="single" w:sz="8" w:space="0" w:color="152935"/>
              <w:left w:val="nil"/>
              <w:bottom w:val="nil"/>
              <w:right w:val="nil"/>
            </w:tcBorders>
            <w:shd w:val="clear" w:color="auto" w:fill="E0E0E0"/>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nil"/>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Total</w:t>
            </w:r>
          </w:p>
        </w:tc>
        <w:tc>
          <w:tcPr>
            <w:tcW w:w="1468" w:type="dxa"/>
            <w:tcBorders>
              <w:top w:val="single" w:sz="8" w:space="0" w:color="AEAEAE"/>
              <w:left w:val="nil"/>
              <w:bottom w:val="nil"/>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88.876</w:t>
            </w:r>
          </w:p>
        </w:tc>
        <w:tc>
          <w:tcPr>
            <w:tcW w:w="1024" w:type="dxa"/>
            <w:tcBorders>
              <w:top w:val="single" w:sz="8" w:space="0" w:color="AEAEAE"/>
              <w:left w:val="single" w:sz="8" w:space="0" w:color="E0E0E0"/>
              <w:bottom w:val="nil"/>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152</w:t>
            </w:r>
          </w:p>
        </w:tc>
        <w:tc>
          <w:tcPr>
            <w:tcW w:w="1407" w:type="dxa"/>
            <w:tcBorders>
              <w:top w:val="single" w:sz="8" w:space="0" w:color="AEAEAE"/>
              <w:left w:val="single" w:sz="8" w:space="0" w:color="E0E0E0"/>
              <w:bottom w:val="nil"/>
              <w:right w:val="single" w:sz="8" w:space="0" w:color="E0E0E0"/>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single" w:sz="8" w:space="0" w:color="E0E0E0"/>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nil"/>
              <w:right w:val="nil"/>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761DB2" w:rsidTr="00493E4F">
        <w:trPr>
          <w:cantSplit/>
        </w:trPr>
        <w:tc>
          <w:tcPr>
            <w:tcW w:w="734" w:type="dxa"/>
            <w:vMerge w:val="restart"/>
            <w:tcBorders>
              <w:top w:val="single" w:sz="8" w:space="0" w:color="AEAEAE"/>
              <w:left w:val="nil"/>
              <w:bottom w:val="single" w:sz="8" w:space="0" w:color="152935"/>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SRS</w:t>
            </w:r>
          </w:p>
        </w:tc>
        <w:tc>
          <w:tcPr>
            <w:tcW w:w="1697" w:type="dxa"/>
            <w:tcBorders>
              <w:top w:val="single" w:sz="8" w:space="0" w:color="AEAEAE"/>
              <w:left w:val="nil"/>
              <w:bottom w:val="single" w:sz="8" w:space="0" w:color="AEAEAE"/>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Between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6.594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4</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1.648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1.701</w:t>
            </w:r>
          </w:p>
        </w:tc>
        <w:tc>
          <w:tcPr>
            <w:tcW w:w="1024" w:type="dxa"/>
            <w:tcBorders>
              <w:top w:val="single" w:sz="8" w:space="0" w:color="AEAEAE"/>
              <w:left w:val="single" w:sz="8" w:space="0" w:color="E0E0E0"/>
              <w:bottom w:val="single" w:sz="8" w:space="0" w:color="AEAEAE"/>
              <w:right w:val="nil"/>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.153</w:t>
            </w:r>
          </w:p>
        </w:tc>
      </w:tr>
      <w:tr w:rsidR="00493E4F" w:rsidRPr="00761DB2" w:rsidTr="00493E4F">
        <w:trPr>
          <w:cantSplit/>
        </w:trPr>
        <w:tc>
          <w:tcPr>
            <w:tcW w:w="734" w:type="dxa"/>
            <w:vMerge/>
            <w:tcBorders>
              <w:top w:val="single" w:sz="8" w:space="0" w:color="AEAEAE"/>
              <w:left w:val="nil"/>
              <w:bottom w:val="single" w:sz="8" w:space="0" w:color="152935"/>
              <w:right w:val="nil"/>
            </w:tcBorders>
            <w:shd w:val="clear" w:color="auto" w:fill="E0E0E0"/>
          </w:tcPr>
          <w:p w:rsidR="00493E4F" w:rsidRPr="00761DB2" w:rsidRDefault="00493E4F" w:rsidP="00493E4F">
            <w:pPr>
              <w:autoSpaceDE w:val="0"/>
              <w:autoSpaceDN w:val="0"/>
              <w:adjustRightInd w:val="0"/>
              <w:spacing w:after="0" w:line="480" w:lineRule="auto"/>
              <w:jc w:val="both"/>
              <w:rPr>
                <w:rFonts w:asciiTheme="majorBidi" w:hAnsiTheme="majorBidi" w:cstheme="majorBidi"/>
                <w:color w:val="010205"/>
                <w:sz w:val="18"/>
                <w:szCs w:val="18"/>
              </w:rPr>
            </w:pPr>
          </w:p>
        </w:tc>
        <w:tc>
          <w:tcPr>
            <w:tcW w:w="1697" w:type="dxa"/>
            <w:tcBorders>
              <w:top w:val="single" w:sz="8" w:space="0" w:color="AEAEAE"/>
              <w:left w:val="nil"/>
              <w:bottom w:val="single" w:sz="8" w:space="0" w:color="AEAEAE"/>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Within Groups</w:t>
            </w:r>
          </w:p>
        </w:tc>
        <w:tc>
          <w:tcPr>
            <w:tcW w:w="1468" w:type="dxa"/>
            <w:tcBorders>
              <w:top w:val="single" w:sz="8" w:space="0" w:color="AEAEAE"/>
              <w:left w:val="nil"/>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143.459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.969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r>
      <w:tr w:rsidR="00493E4F" w:rsidRPr="00761DB2" w:rsidTr="00493E4F">
        <w:trPr>
          <w:cantSplit/>
        </w:trPr>
        <w:tc>
          <w:tcPr>
            <w:tcW w:w="734" w:type="dxa"/>
            <w:vMerge/>
            <w:tcBorders>
              <w:top w:val="single" w:sz="8" w:space="0" w:color="AEAEAE"/>
              <w:left w:val="nil"/>
              <w:bottom w:val="single" w:sz="8" w:space="0" w:color="152935"/>
              <w:right w:val="nil"/>
            </w:tcBorders>
            <w:shd w:val="clear" w:color="auto" w:fill="E0E0E0"/>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697" w:type="dxa"/>
            <w:tcBorders>
              <w:top w:val="single" w:sz="8" w:space="0" w:color="AEAEAE"/>
              <w:left w:val="nil"/>
              <w:bottom w:val="single" w:sz="8" w:space="0" w:color="152935"/>
              <w:right w:val="nil"/>
            </w:tcBorders>
            <w:shd w:val="clear" w:color="auto" w:fill="E0E0E0"/>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264A60"/>
                <w:sz w:val="18"/>
                <w:szCs w:val="18"/>
              </w:rPr>
            </w:pPr>
            <w:r w:rsidRPr="00761DB2">
              <w:rPr>
                <w:rFonts w:asciiTheme="majorBidi" w:hAnsiTheme="majorBidi" w:cstheme="majorBidi"/>
                <w:color w:val="264A6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150.052</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493E4F" w:rsidRPr="00761DB2" w:rsidRDefault="00493E4F" w:rsidP="00493E4F">
            <w:pPr>
              <w:autoSpaceDE w:val="0"/>
              <w:autoSpaceDN w:val="0"/>
              <w:adjustRightInd w:val="0"/>
              <w:spacing w:after="0" w:line="480" w:lineRule="auto"/>
              <w:ind w:left="60" w:right="60"/>
              <w:jc w:val="both"/>
              <w:rPr>
                <w:rFonts w:asciiTheme="majorBidi" w:hAnsiTheme="majorBidi" w:cstheme="majorBidi"/>
                <w:color w:val="010205"/>
                <w:sz w:val="18"/>
                <w:szCs w:val="18"/>
              </w:rPr>
            </w:pPr>
            <w:r w:rsidRPr="00761DB2">
              <w:rPr>
                <w:rFonts w:asciiTheme="majorBidi" w:hAnsiTheme="majorBidi" w:cstheme="majorBidi"/>
                <w:color w:val="010205"/>
                <w:sz w:val="18"/>
                <w:szCs w:val="18"/>
              </w:rPr>
              <w:t>152</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rsidR="00493E4F" w:rsidRPr="00761DB2" w:rsidRDefault="00493E4F" w:rsidP="00493E4F">
            <w:pPr>
              <w:autoSpaceDE w:val="0"/>
              <w:autoSpaceDN w:val="0"/>
              <w:adjustRightInd w:val="0"/>
              <w:spacing w:after="0" w:line="480" w:lineRule="auto"/>
              <w:jc w:val="both"/>
              <w:rPr>
                <w:rFonts w:asciiTheme="majorBidi" w:hAnsiTheme="majorBidi" w:cstheme="majorBidi"/>
                <w:sz w:val="24"/>
                <w:szCs w:val="24"/>
              </w:rPr>
            </w:pPr>
          </w:p>
        </w:tc>
      </w:tr>
    </w:tbl>
    <w:p w:rsidR="00493E4F" w:rsidRPr="009B587A" w:rsidRDefault="00493E4F" w:rsidP="00493E4F">
      <w:pPr>
        <w:autoSpaceDE w:val="0"/>
        <w:autoSpaceDN w:val="0"/>
        <w:adjustRightInd w:val="0"/>
        <w:spacing w:after="0" w:line="480" w:lineRule="auto"/>
        <w:jc w:val="center"/>
        <w:rPr>
          <w:rFonts w:asciiTheme="majorBidi" w:hAnsiTheme="majorBidi" w:cstheme="majorBidi"/>
          <w:sz w:val="20"/>
          <w:szCs w:val="20"/>
        </w:rPr>
      </w:pPr>
      <w:r>
        <w:rPr>
          <w:rFonts w:asciiTheme="majorBidi" w:hAnsiTheme="majorBidi" w:cstheme="majorBidi"/>
          <w:sz w:val="20"/>
          <w:szCs w:val="20"/>
        </w:rPr>
        <w:t xml:space="preserve">Table </w:t>
      </w:r>
      <w:r w:rsidR="00C52DD7">
        <w:rPr>
          <w:rFonts w:asciiTheme="majorBidi" w:hAnsiTheme="majorBidi" w:cstheme="majorBidi"/>
          <w:sz w:val="20"/>
          <w:szCs w:val="20"/>
        </w:rPr>
        <w:t xml:space="preserve">20 </w:t>
      </w:r>
      <w:r w:rsidRPr="009B587A">
        <w:rPr>
          <w:rFonts w:asciiTheme="majorBidi" w:hAnsiTheme="majorBidi" w:cstheme="majorBidi"/>
          <w:sz w:val="20"/>
          <w:szCs w:val="20"/>
        </w:rPr>
        <w:t>ANOVA test for Communication</w:t>
      </w: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1649F2">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The ANOVA test did not yield any statistical significa</w:t>
      </w:r>
      <w:r w:rsidR="001649F2">
        <w:rPr>
          <w:rFonts w:asciiTheme="majorBidi" w:hAnsiTheme="majorBidi" w:cstheme="majorBidi"/>
          <w:sz w:val="24"/>
          <w:szCs w:val="24"/>
        </w:rPr>
        <w:t>nce</w:t>
      </w:r>
      <w:r w:rsidRPr="009B587A">
        <w:rPr>
          <w:rFonts w:asciiTheme="majorBidi" w:hAnsiTheme="majorBidi" w:cstheme="majorBidi"/>
          <w:sz w:val="24"/>
          <w:szCs w:val="24"/>
        </w:rPr>
        <w:t xml:space="preserve"> between satisfaction and having a 24/7 support system (p= 0.185) and being content with the services offered (p= 0.153). </w:t>
      </w:r>
    </w:p>
    <w:p w:rsidR="00493E4F" w:rsidRDefault="00493E4F"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Default="00DB6931" w:rsidP="00493E4F">
      <w:pPr>
        <w:autoSpaceDE w:val="0"/>
        <w:autoSpaceDN w:val="0"/>
        <w:adjustRightInd w:val="0"/>
        <w:spacing w:after="0" w:line="480" w:lineRule="auto"/>
        <w:jc w:val="both"/>
        <w:rPr>
          <w:rFonts w:asciiTheme="majorBidi" w:hAnsiTheme="majorBidi" w:cstheme="majorBidi"/>
          <w:sz w:val="24"/>
          <w:szCs w:val="24"/>
        </w:rPr>
      </w:pPr>
    </w:p>
    <w:p w:rsidR="00DB6931" w:rsidRPr="009B587A" w:rsidRDefault="00DB6931" w:rsidP="00493E4F">
      <w:pPr>
        <w:autoSpaceDE w:val="0"/>
        <w:autoSpaceDN w:val="0"/>
        <w:adjustRightInd w:val="0"/>
        <w:spacing w:after="0" w:line="480" w:lineRule="auto"/>
        <w:jc w:val="both"/>
        <w:rPr>
          <w:rFonts w:asciiTheme="majorBidi" w:hAnsiTheme="majorBidi" w:cstheme="majorBidi"/>
          <w:sz w:val="24"/>
          <w:szCs w:val="24"/>
        </w:rPr>
      </w:pPr>
    </w:p>
    <w:p w:rsidR="00493E4F" w:rsidRPr="009B587A" w:rsidRDefault="00493E4F" w:rsidP="00493E4F">
      <w:pPr>
        <w:autoSpaceDE w:val="0"/>
        <w:autoSpaceDN w:val="0"/>
        <w:adjustRightInd w:val="0"/>
        <w:spacing w:after="0" w:line="480" w:lineRule="auto"/>
        <w:jc w:val="both"/>
        <w:rPr>
          <w:rFonts w:asciiTheme="majorBidi" w:hAnsiTheme="majorBidi" w:cstheme="majorBidi"/>
          <w:sz w:val="24"/>
          <w:szCs w:val="24"/>
        </w:rPr>
      </w:pPr>
      <w:r w:rsidRPr="009B587A">
        <w:rPr>
          <w:rFonts w:asciiTheme="majorBidi" w:hAnsiTheme="majorBidi" w:cstheme="majorBidi"/>
          <w:sz w:val="24"/>
          <w:szCs w:val="24"/>
        </w:rPr>
        <w:t xml:space="preserve">4.2.6 Future of E-banking </w:t>
      </w:r>
    </w:p>
    <w:p w:rsidR="00493E4F" w:rsidRPr="00ED1AA1" w:rsidRDefault="00493E4F" w:rsidP="00493E4F">
      <w:pPr>
        <w:autoSpaceDE w:val="0"/>
        <w:autoSpaceDN w:val="0"/>
        <w:adjustRightInd w:val="0"/>
        <w:spacing w:after="0" w:line="480" w:lineRule="auto"/>
        <w:jc w:val="both"/>
        <w:rPr>
          <w:rFonts w:ascii="Times New Roman" w:hAnsi="Times New Roman" w:cs="Times New Roman"/>
          <w:sz w:val="24"/>
          <w:szCs w:val="24"/>
        </w:rPr>
      </w:pPr>
      <w:r w:rsidRPr="00ED1AA1">
        <w:rPr>
          <w:rFonts w:ascii="Times New Roman" w:hAnsi="Times New Roman" w:cs="Times New Roman"/>
          <w:sz w:val="24"/>
          <w:szCs w:val="24"/>
        </w:rPr>
        <w:t xml:space="preserve">When asked about how they would restore satisfaction, 77.1% of the sample agreed that trust and satisfaction can be regained. However, only 20% of the participants said that they believe that the banking system can recover from this crisis. This underlines how deeply unhappy clients are regarding the performance of banks. It seems that banks are not working diligently to restore satisfaction. This is illustrated in the only open-ended question of the survey that asked if the banks had provided any new services after the crisis. Only one participant out of 153 answered that it allowed withdrawing USD at a rate of 3,900 L.L. from the ATM. </w:t>
      </w:r>
    </w:p>
    <w:p w:rsidR="00493E4F" w:rsidRPr="00ED1AA1" w:rsidRDefault="00493E4F" w:rsidP="00493E4F">
      <w:pPr>
        <w:autoSpaceDE w:val="0"/>
        <w:autoSpaceDN w:val="0"/>
        <w:adjustRightInd w:val="0"/>
        <w:spacing w:after="0" w:line="480" w:lineRule="auto"/>
        <w:jc w:val="both"/>
        <w:rPr>
          <w:rFonts w:ascii="Times New Roman" w:hAnsi="Times New Roman" w:cs="Times New Roman"/>
          <w:sz w:val="24"/>
          <w:szCs w:val="24"/>
        </w:rPr>
      </w:pPr>
      <w:r w:rsidRPr="00ED1AA1">
        <w:rPr>
          <w:rFonts w:ascii="Times New Roman" w:hAnsi="Times New Roman" w:cs="Times New Roman"/>
          <w:sz w:val="24"/>
          <w:szCs w:val="24"/>
        </w:rPr>
        <w:t>Despite being provided with 5 different options, when asked about how to restore the former relationship, the participants said that they mainly want the banks to be more transparent with them (84.3%) and lift the restrictions on the transactions (15.7%). T</w:t>
      </w:r>
      <w:r>
        <w:rPr>
          <w:rFonts w:ascii="Times New Roman" w:hAnsi="Times New Roman" w:cs="Times New Roman"/>
          <w:sz w:val="24"/>
          <w:szCs w:val="24"/>
        </w:rPr>
        <w:t>his distinctive question gives a</w:t>
      </w:r>
      <w:r w:rsidRPr="00ED1AA1">
        <w:rPr>
          <w:rFonts w:ascii="Times New Roman" w:hAnsi="Times New Roman" w:cs="Times New Roman"/>
          <w:sz w:val="24"/>
          <w:szCs w:val="24"/>
        </w:rPr>
        <w:t xml:space="preserve"> clear indication to bankers what is needed to overcome this troubling situation. </w:t>
      </w:r>
    </w:p>
    <w:p w:rsidR="00493E4F" w:rsidRPr="00350248" w:rsidRDefault="00493E4F" w:rsidP="00493E4F">
      <w:pPr>
        <w:autoSpaceDE w:val="0"/>
        <w:autoSpaceDN w:val="0"/>
        <w:adjustRightInd w:val="0"/>
        <w:spacing w:after="0" w:line="480" w:lineRule="auto"/>
        <w:jc w:val="both"/>
        <w:rPr>
          <w:rFonts w:ascii="Times New Roman" w:hAnsi="Times New Roman" w:cs="Times New Roman"/>
          <w:sz w:val="24"/>
          <w:szCs w:val="24"/>
        </w:rPr>
      </w:pPr>
      <w:r w:rsidRPr="00ED1AA1">
        <w:rPr>
          <w:rFonts w:ascii="Times New Roman" w:hAnsi="Times New Roman" w:cs="Times New Roman"/>
          <w:sz w:val="24"/>
          <w:szCs w:val="24"/>
        </w:rPr>
        <w:t>One final result is the question regarding why individuals chose to interact more with e-banking. Surprisingly, only 8.5% said they are more engaged with e-banking because of the financial crisis and 91.5% said that they were prompted to do so because of COVID-19.</w:t>
      </w:r>
    </w:p>
    <w:p w:rsidR="00493E4F" w:rsidRDefault="00493E4F"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p w:rsidR="00DB6931" w:rsidRDefault="00DB6931" w:rsidP="00493E4F">
      <w:pPr>
        <w:autoSpaceDE w:val="0"/>
        <w:autoSpaceDN w:val="0"/>
        <w:adjustRightInd w:val="0"/>
        <w:spacing w:after="0" w:line="400" w:lineRule="atLeast"/>
        <w:rPr>
          <w:rFonts w:ascii="Times New Roman" w:hAnsi="Times New Roman" w:cs="Times New Roman"/>
          <w:sz w:val="24"/>
          <w:szCs w:val="24"/>
        </w:rPr>
      </w:pPr>
    </w:p>
    <w:tbl>
      <w:tblPr>
        <w:tblStyle w:val="Tabellenraster"/>
        <w:tblW w:w="0" w:type="auto"/>
        <w:tblLook w:val="04A0" w:firstRow="1" w:lastRow="0" w:firstColumn="1" w:lastColumn="0" w:noHBand="0" w:noVBand="1"/>
      </w:tblPr>
      <w:tblGrid>
        <w:gridCol w:w="3192"/>
        <w:gridCol w:w="3192"/>
        <w:gridCol w:w="3192"/>
      </w:tblGrid>
      <w:tr w:rsidR="00493E4F" w:rsidRPr="004344D4" w:rsidTr="00493E4F">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lastRenderedPageBreak/>
              <w:t>Hypothesis</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Status</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Remarks </w:t>
            </w:r>
          </w:p>
        </w:tc>
      </w:tr>
      <w:tr w:rsidR="00493E4F" w:rsidRPr="004344D4" w:rsidTr="00493E4F">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H</w:t>
            </w:r>
            <w:r w:rsidRPr="004344D4">
              <w:rPr>
                <w:rFonts w:ascii="Times New Roman" w:hAnsi="Times New Roman" w:cs="Times New Roman"/>
                <w:sz w:val="24"/>
                <w:szCs w:val="24"/>
                <w:vertAlign w:val="subscript"/>
              </w:rPr>
              <w:t>1</w:t>
            </w:r>
            <w:r w:rsidRPr="004344D4">
              <w:rPr>
                <w:rFonts w:ascii="Times New Roman" w:hAnsi="Times New Roman" w:cs="Times New Roman"/>
                <w:sz w:val="24"/>
                <w:szCs w:val="24"/>
              </w:rPr>
              <w:t xml:space="preserve">: The trust in e-banking influences satisfaction. </w:t>
            </w:r>
          </w:p>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Accepted </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Trust in banks can be regained by allowing access to all accounts, </w:t>
            </w:r>
            <w:r w:rsidR="001649F2">
              <w:rPr>
                <w:rFonts w:ascii="Times New Roman" w:hAnsi="Times New Roman" w:cs="Times New Roman"/>
                <w:sz w:val="24"/>
                <w:szCs w:val="24"/>
              </w:rPr>
              <w:t xml:space="preserve">the </w:t>
            </w:r>
            <w:r w:rsidRPr="004344D4">
              <w:rPr>
                <w:rFonts w:ascii="Times New Roman" w:hAnsi="Times New Roman" w:cs="Times New Roman"/>
                <w:sz w:val="24"/>
                <w:szCs w:val="24"/>
              </w:rPr>
              <w:t xml:space="preserve">ability to send money, and the ability to apply for loans. </w:t>
            </w:r>
          </w:p>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Regaining trust is not related to the ability to pay bills, using USD, or sending money abroad. </w:t>
            </w:r>
          </w:p>
        </w:tc>
      </w:tr>
      <w:tr w:rsidR="00493E4F" w:rsidRPr="004344D4" w:rsidTr="00493E4F">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H</w:t>
            </w:r>
            <w:r w:rsidRPr="004344D4">
              <w:rPr>
                <w:rFonts w:ascii="Times New Roman" w:hAnsi="Times New Roman" w:cs="Times New Roman"/>
                <w:sz w:val="24"/>
                <w:szCs w:val="24"/>
                <w:vertAlign w:val="subscript"/>
              </w:rPr>
              <w:t>2</w:t>
            </w:r>
            <w:r w:rsidRPr="004344D4">
              <w:rPr>
                <w:rFonts w:ascii="Times New Roman" w:hAnsi="Times New Roman" w:cs="Times New Roman"/>
                <w:sz w:val="24"/>
                <w:szCs w:val="24"/>
              </w:rPr>
              <w:t xml:space="preserve">: The efficiency of e-banking influences satisfaction. </w:t>
            </w:r>
          </w:p>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Accepted but needs more understanding of factors </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Efficiency was found to be essential for satisfaction, but there were no data to explain the factors that contribute to efficiency. </w:t>
            </w:r>
          </w:p>
        </w:tc>
      </w:tr>
      <w:tr w:rsidR="00493E4F" w:rsidRPr="004344D4" w:rsidTr="00493E4F">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H</w:t>
            </w:r>
            <w:r w:rsidRPr="004344D4">
              <w:rPr>
                <w:rFonts w:ascii="Times New Roman" w:hAnsi="Times New Roman" w:cs="Times New Roman"/>
                <w:sz w:val="24"/>
                <w:szCs w:val="24"/>
                <w:vertAlign w:val="subscript"/>
              </w:rPr>
              <w:t>3</w:t>
            </w:r>
            <w:r w:rsidRPr="004344D4">
              <w:rPr>
                <w:rFonts w:ascii="Times New Roman" w:hAnsi="Times New Roman" w:cs="Times New Roman"/>
                <w:sz w:val="24"/>
                <w:szCs w:val="24"/>
              </w:rPr>
              <w:t xml:space="preserve">: The reliability of e-banking influences satisfaction. </w:t>
            </w:r>
          </w:p>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Accepted </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Participants showed </w:t>
            </w:r>
            <w:r w:rsidR="001649F2">
              <w:rPr>
                <w:rFonts w:ascii="Times New Roman" w:hAnsi="Times New Roman" w:cs="Times New Roman"/>
                <w:sz w:val="24"/>
                <w:szCs w:val="24"/>
              </w:rPr>
              <w:t xml:space="preserve">a </w:t>
            </w:r>
            <w:r w:rsidRPr="004344D4">
              <w:rPr>
                <w:rFonts w:ascii="Times New Roman" w:hAnsi="Times New Roman" w:cs="Times New Roman"/>
                <w:sz w:val="24"/>
                <w:szCs w:val="24"/>
              </w:rPr>
              <w:t xml:space="preserve">strong inclination for engagement with e-banking and increased understanding. </w:t>
            </w:r>
          </w:p>
        </w:tc>
      </w:tr>
      <w:tr w:rsidR="00493E4F" w:rsidRPr="004344D4" w:rsidTr="00493E4F">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H</w:t>
            </w:r>
            <w:r w:rsidRPr="004344D4">
              <w:rPr>
                <w:rFonts w:ascii="Times New Roman" w:hAnsi="Times New Roman" w:cs="Times New Roman"/>
                <w:sz w:val="24"/>
                <w:szCs w:val="24"/>
                <w:vertAlign w:val="subscript"/>
              </w:rPr>
              <w:t>4</w:t>
            </w:r>
            <w:r w:rsidRPr="004344D4">
              <w:rPr>
                <w:rFonts w:ascii="Times New Roman" w:hAnsi="Times New Roman" w:cs="Times New Roman"/>
                <w:sz w:val="24"/>
                <w:szCs w:val="24"/>
              </w:rPr>
              <w:t>: The security and privacy of e-banking influence satisfaction</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Rejected</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ANOVA tests did not indicate any strong correlations. </w:t>
            </w:r>
          </w:p>
        </w:tc>
      </w:tr>
      <w:tr w:rsidR="00493E4F" w:rsidRPr="004344D4" w:rsidTr="00493E4F">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H</w:t>
            </w:r>
            <w:r w:rsidRPr="004344D4">
              <w:rPr>
                <w:rFonts w:ascii="Times New Roman" w:hAnsi="Times New Roman" w:cs="Times New Roman"/>
                <w:sz w:val="24"/>
                <w:szCs w:val="24"/>
                <w:vertAlign w:val="subscript"/>
              </w:rPr>
              <w:t>5</w:t>
            </w:r>
            <w:r w:rsidRPr="004344D4">
              <w:rPr>
                <w:rFonts w:ascii="Times New Roman" w:hAnsi="Times New Roman" w:cs="Times New Roman"/>
                <w:sz w:val="24"/>
                <w:szCs w:val="24"/>
              </w:rPr>
              <w:t>: The communication of e-banking influences satisfaction.</w:t>
            </w:r>
          </w:p>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 xml:space="preserve">Rejected </w:t>
            </w:r>
          </w:p>
        </w:tc>
        <w:tc>
          <w:tcPr>
            <w:tcW w:w="3192" w:type="dxa"/>
          </w:tcPr>
          <w:p w:rsidR="00493E4F" w:rsidRPr="004344D4" w:rsidRDefault="00493E4F" w:rsidP="00493E4F">
            <w:pPr>
              <w:autoSpaceDE w:val="0"/>
              <w:autoSpaceDN w:val="0"/>
              <w:adjustRightInd w:val="0"/>
              <w:spacing w:line="400" w:lineRule="atLeast"/>
              <w:rPr>
                <w:rFonts w:ascii="Times New Roman" w:hAnsi="Times New Roman" w:cs="Times New Roman"/>
                <w:sz w:val="24"/>
                <w:szCs w:val="24"/>
              </w:rPr>
            </w:pPr>
            <w:r w:rsidRPr="004344D4">
              <w:rPr>
                <w:rFonts w:ascii="Times New Roman" w:hAnsi="Times New Roman" w:cs="Times New Roman"/>
                <w:sz w:val="24"/>
                <w:szCs w:val="24"/>
              </w:rPr>
              <w:t>ANOVA tests did not indicate any strong correlations.</w:t>
            </w:r>
          </w:p>
        </w:tc>
      </w:tr>
    </w:tbl>
    <w:p w:rsidR="00493E4F" w:rsidRPr="00E678D2" w:rsidRDefault="00493E4F" w:rsidP="00493E4F">
      <w:pPr>
        <w:autoSpaceDE w:val="0"/>
        <w:autoSpaceDN w:val="0"/>
        <w:adjustRightInd w:val="0"/>
        <w:spacing w:after="0" w:line="400" w:lineRule="atLeast"/>
        <w:jc w:val="center"/>
        <w:rPr>
          <w:rFonts w:ascii="Times New Roman" w:hAnsi="Times New Roman" w:cs="Times New Roman"/>
          <w:sz w:val="20"/>
          <w:szCs w:val="20"/>
        </w:rPr>
      </w:pPr>
      <w:r>
        <w:rPr>
          <w:rFonts w:ascii="Times New Roman" w:hAnsi="Times New Roman" w:cs="Times New Roman"/>
          <w:sz w:val="20"/>
          <w:szCs w:val="20"/>
        </w:rPr>
        <w:t>Table 2</w:t>
      </w:r>
      <w:r w:rsidR="00C52DD7">
        <w:rPr>
          <w:rFonts w:ascii="Times New Roman" w:hAnsi="Times New Roman" w:cs="Times New Roman"/>
          <w:sz w:val="20"/>
          <w:szCs w:val="20"/>
        </w:rPr>
        <w:t xml:space="preserve">1 </w:t>
      </w:r>
      <w:r w:rsidR="0022692C">
        <w:rPr>
          <w:rFonts w:ascii="Times New Roman" w:hAnsi="Times New Roman" w:cs="Times New Roman"/>
          <w:sz w:val="20"/>
          <w:szCs w:val="20"/>
        </w:rPr>
        <w:t>S</w:t>
      </w:r>
      <w:r>
        <w:rPr>
          <w:rFonts w:ascii="Times New Roman" w:hAnsi="Times New Roman" w:cs="Times New Roman"/>
          <w:sz w:val="20"/>
          <w:szCs w:val="20"/>
        </w:rPr>
        <w:t>ummary of Hypotheses</w:t>
      </w:r>
    </w:p>
    <w:p w:rsidR="00493E4F" w:rsidRPr="00943AFB" w:rsidRDefault="00493E4F" w:rsidP="00493E4F">
      <w:pPr>
        <w:autoSpaceDE w:val="0"/>
        <w:autoSpaceDN w:val="0"/>
        <w:adjustRightInd w:val="0"/>
        <w:spacing w:after="0" w:line="400" w:lineRule="atLeast"/>
        <w:jc w:val="both"/>
        <w:rPr>
          <w:rFonts w:ascii="Times New Roman" w:hAnsi="Times New Roman" w:cs="Times New Roman"/>
          <w:sz w:val="24"/>
          <w:szCs w:val="24"/>
        </w:rPr>
      </w:pPr>
    </w:p>
    <w:p w:rsidR="00493E4F" w:rsidRPr="005404B0" w:rsidRDefault="00493E4F" w:rsidP="00493E4F">
      <w:pPr>
        <w:autoSpaceDE w:val="0"/>
        <w:autoSpaceDN w:val="0"/>
        <w:adjustRightInd w:val="0"/>
        <w:spacing w:after="0" w:line="400" w:lineRule="atLeast"/>
        <w:jc w:val="both"/>
        <w:rPr>
          <w:rFonts w:ascii="Times New Roman" w:hAnsi="Times New Roman" w:cs="Times New Roman"/>
          <w:sz w:val="24"/>
          <w:szCs w:val="24"/>
        </w:rPr>
      </w:pPr>
    </w:p>
    <w:p w:rsidR="00493E4F" w:rsidRDefault="00493E4F" w:rsidP="00493E4F">
      <w:pPr>
        <w:autoSpaceDE w:val="0"/>
        <w:autoSpaceDN w:val="0"/>
        <w:adjustRightInd w:val="0"/>
        <w:spacing w:after="0" w:line="400" w:lineRule="atLeast"/>
        <w:rPr>
          <w:rFonts w:ascii="Times New Roman" w:hAnsi="Times New Roman" w:cs="Times New Roman"/>
          <w:sz w:val="24"/>
          <w:szCs w:val="24"/>
        </w:rPr>
      </w:pPr>
    </w:p>
    <w:p w:rsidR="004C5A7A" w:rsidRDefault="004C5A7A" w:rsidP="00493E4F">
      <w:pPr>
        <w:autoSpaceDE w:val="0"/>
        <w:autoSpaceDN w:val="0"/>
        <w:adjustRightInd w:val="0"/>
        <w:spacing w:after="0" w:line="400" w:lineRule="atLeast"/>
        <w:rPr>
          <w:rFonts w:ascii="Times New Roman" w:hAnsi="Times New Roman" w:cs="Times New Roman"/>
          <w:sz w:val="24"/>
          <w:szCs w:val="24"/>
        </w:rPr>
      </w:pPr>
    </w:p>
    <w:p w:rsidR="004C5A7A" w:rsidRDefault="004C5A7A" w:rsidP="00493E4F">
      <w:pPr>
        <w:autoSpaceDE w:val="0"/>
        <w:autoSpaceDN w:val="0"/>
        <w:adjustRightInd w:val="0"/>
        <w:spacing w:after="0" w:line="400" w:lineRule="atLeast"/>
        <w:rPr>
          <w:rFonts w:ascii="Times New Roman" w:hAnsi="Times New Roman" w:cs="Times New Roman"/>
          <w:sz w:val="24"/>
          <w:szCs w:val="24"/>
        </w:rPr>
      </w:pPr>
    </w:p>
    <w:p w:rsidR="004C5A7A" w:rsidRPr="004C5A7A" w:rsidRDefault="004C5A7A" w:rsidP="00493E4F">
      <w:pPr>
        <w:autoSpaceDE w:val="0"/>
        <w:autoSpaceDN w:val="0"/>
        <w:adjustRightInd w:val="0"/>
        <w:spacing w:after="0" w:line="400" w:lineRule="atLeast"/>
        <w:rPr>
          <w:rFonts w:ascii="Times New Roman" w:hAnsi="Times New Roman" w:cs="Times New Roman"/>
          <w:b/>
          <w:bCs/>
          <w:sz w:val="28"/>
          <w:szCs w:val="28"/>
        </w:rPr>
      </w:pPr>
      <w:r w:rsidRPr="004C5A7A">
        <w:rPr>
          <w:rFonts w:ascii="Times New Roman" w:hAnsi="Times New Roman" w:cs="Times New Roman"/>
          <w:b/>
          <w:bCs/>
          <w:sz w:val="28"/>
          <w:szCs w:val="28"/>
        </w:rPr>
        <w:lastRenderedPageBreak/>
        <w:t xml:space="preserve">Chapter 5: Discussion </w:t>
      </w:r>
    </w:p>
    <w:p w:rsidR="004C5A7A" w:rsidRPr="004C5A7A" w:rsidRDefault="004C5A7A" w:rsidP="00493E4F">
      <w:pPr>
        <w:autoSpaceDE w:val="0"/>
        <w:autoSpaceDN w:val="0"/>
        <w:adjustRightInd w:val="0"/>
        <w:spacing w:after="0" w:line="400" w:lineRule="atLeast"/>
        <w:rPr>
          <w:rFonts w:ascii="Times New Roman" w:hAnsi="Times New Roman" w:cs="Times New Roman"/>
          <w:b/>
          <w:bCs/>
          <w:sz w:val="24"/>
          <w:szCs w:val="24"/>
        </w:rPr>
      </w:pP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issue of satisfaction of Lebanese consumers and Lebanese banks presents a challenge in light of all the discrepancies between the performance before and after the financial crisis of 2019. The restrictions of COVID-19 provided a means for Lebanese banks to invest in e-banking as an alternative.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questionnaire was done online instead of in-person to minimize any bias or outer influence on the participants. The data was extracted from the Google Forums as an Excel file and entered into SPSS. There was no manipulation of the data or attempts to alter any data. Google, Excel, SPSS are all credible software in their various fields that are relied upon by millions of users. The questionnaire did not include any questions that disclosed personal information about the participants or their banks. Concerning the questions, it is difficult to exclude bias, but the attempt was made by relying on multiple sources for the questions and including only close-ended questions that would minimize any subjective interpretation. </w:t>
      </w:r>
    </w:p>
    <w:p w:rsidR="00493E4F" w:rsidRPr="00BA2BD4" w:rsidRDefault="00493E4F" w:rsidP="001649F2">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results showed a consistent trend in increasing satisfaction in the banking system through reliance on e-banking. This is consistent with the literature that shows the ability of e-banking to influence the loyalty and satisfaction of bank clients (Ul Haq &amp; Awan, 2020; Ketema, &amp; W/Selassie, 2020; Prasetyo et al., 2021). It seems that satisfaction can be regained through utilizing e-banking provided that certain criteria are satisfied. There needs to be accessib</w:t>
      </w:r>
      <w:r w:rsidR="001649F2">
        <w:rPr>
          <w:rFonts w:ascii="Times New Roman" w:eastAsia="Times New Roman" w:hAnsi="Times New Roman" w:cs="Times New Roman"/>
          <w:color w:val="0E101A"/>
          <w:sz w:val="24"/>
          <w:szCs w:val="24"/>
        </w:rPr>
        <w:t>le</w:t>
      </w:r>
      <w:r w:rsidRPr="00BA2BD4">
        <w:rPr>
          <w:rFonts w:ascii="Times New Roman" w:eastAsia="Times New Roman" w:hAnsi="Times New Roman" w:cs="Times New Roman"/>
          <w:color w:val="0E101A"/>
          <w:sz w:val="24"/>
          <w:szCs w:val="24"/>
        </w:rPr>
        <w:t xml:space="preserve"> to all accounts since many Lebanese people have several accounts especially in the case of loans and other services. Having e-banking connect all the accounts simplifies their lives. Another factor is the ability to transfer money which was highly inhibited following the 2019 crisis (Geldi, 2021). They need assurance that they will not have to wait for hours in line to receive their money or suddenly become denied the ability to access their money. They also want to be able to perform </w:t>
      </w:r>
      <w:r w:rsidRPr="00BA2BD4">
        <w:rPr>
          <w:rFonts w:ascii="Times New Roman" w:eastAsia="Times New Roman" w:hAnsi="Times New Roman" w:cs="Times New Roman"/>
          <w:color w:val="0E101A"/>
          <w:sz w:val="24"/>
          <w:szCs w:val="24"/>
        </w:rPr>
        <w:lastRenderedPageBreak/>
        <w:t>their banking activities without having to stand in endless lines waiting for the bank clerk to attend to them. This was especially dangerous during the early days of the financial crisis of 2019 where there were several acts of violence between people waiting in line amongst themselves and with bank employees. The danger was increased during COVID-19 where there was a real chance of becoming infected and spreading the virus from standing log hours in line with others. Another option that has been denied is the ability to apply for loans. Most banks have stopped giving loans to applicants because of the uncertainty of the financial crisis. Considering that most businesses in Lebanon are small and medium-sized businesses (95% of companies employing 50% of the population), this is a very important blow (Matta, 2018). Without these loans, the majority of the businesses are suffering and struggling to remain afloat. Most of the businesses opted to fire some of their employees which created a huge unemployment crisis that came at the worst time when the entire world shut down and prices skyrocketed. This connection to the Lebanese banks was essential in the relationship between bank and client, and being denied that option has deteriorated the trust and satisfaction between the two sides. Any attempt at regaining satisfaction cannot ignore these factors because they are the basis of the interaction between the two. Paying bills was analyzed, but there is not much evidence that it is an important factor. This is probably because the Lebanese governments and private companies do not put much stock in designing electronic payment methods. But perhaps there was not much motivation to create said systems because online banking is not as ubiquitous in Lebanon as it is in some countries. Therefore, even though these factors might have been influential in some countries, we found no evidence of that being the case in our study. The trust is not easily gained because clients have been deprived of many of the privileges that they had enjoyed before the 2019 crisis.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lastRenderedPageBreak/>
        <w:t>The next part dealt with the relationship between satisfaction and efficiency. Overall, the test did not show any statistically significant correlation between satisfaction and efficiency because of the low p values of the ANOVA test. However, this section highlighted more information regarding how participants view the various factors of efficiency such as availability of all services (Ozatac et al., 2016; Qadeer, 2013)and the importance of having a well-designed platform (Addai et al, 2015; Ling et al., 2016). These indicate that banks should take more time and money to invest in an efficient platform that will aid the users. Reliability is another factor that was found to be essential in the literature. It was measured by considering the levels of engagement and understanding of e-banking. The Chi-Square values were both significant in both questions which would indicate a high level of correlation between these two events and reliability. Reliability is a reoccurring theme in the literature of the study as being an influencing factor on satisfaction (Sleimi et al., 2018; Saha, 2016). E-banking has not been as popular with the Lebanese population, so it would justify why there was not an adequate understanding of how to navigate and interact with e-banking. This seems to be shifting as the enforced incarceration and fear of getting infected with COVID-19 could constitute strong motivations for adopting e-banking.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 xml:space="preserve">Security presented another angle for correlating e-banking with satisfaction. There is no denying that technology has become prevalent in every aspect of our lives, but it also presents several challenges and fears. Security is one of these fears since people are afraid that their identities and accounts can be used by hackers. With tension and dissatisfaction prevailing between clients and Lebanese banks, any source of assurance becomes essential. The results show no concrete correlations between satisfaction and security as represented by the sample. However, there is denying that the sample agrees with the importance of having a secure platform that will protect </w:t>
      </w:r>
      <w:r w:rsidRPr="00BA2BD4">
        <w:rPr>
          <w:rFonts w:ascii="Times New Roman" w:eastAsia="Times New Roman" w:hAnsi="Times New Roman" w:cs="Times New Roman"/>
          <w:color w:val="0E101A"/>
          <w:sz w:val="24"/>
          <w:szCs w:val="24"/>
        </w:rPr>
        <w:lastRenderedPageBreak/>
        <w:t>the data of users. This is in concurrence with the literature that highlights the importance of security in e-banking satisfaction (Kavitha, 2017; Vrincianu &amp; Popa, 2010; Hammoud et al., 2018).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Even with something like e-banking customers will always rely on customer service within the human capacity. In fact, there is a backlash against having everything regaled to answering machines and lists. This provides a personalized touch that can aid in the satisfaction of clients (Chicu et al., 2018). The study did not find any significant correlation, but clearly, it needs to be investigated further seeing that the general Lebanese public will not become completely accustomed to the idea of the absence of any human contact in the banking interactions. Having this human connection can be useful in bridging the gap for those who are not versed in using or comfortable dealing with e-banking. </w:t>
      </w:r>
    </w:p>
    <w:p w:rsidR="00493E4F" w:rsidRPr="00BA2BD4" w:rsidRDefault="00493E4F" w:rsidP="002E500B">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 xml:space="preserve">The sample was not able to conclusively find correlations in many aspects, but what it did establish was how trust is an essential factor in restoring satisfaction after the pandemic. It offers banks a roadmap of areas they can improve upon their online services e-banking is a highly promising medium to regain customers’ trust and restore the reputation of Lebanese banks and the loyalty that the local and international community had in this vital economic sector. It did also highlight that this engagement with e-banking is motivated by the pandemic rather than the financial crisis. There is a real chance that people will not remain as connected to e-banking after the restrictions of the pandemic end. This should motivate the banks to invest more in their online services because it managed to bring some peace to the turbulent relationship between the clients and banks during these last couple of years. Even though the study did not manage to have statistical proof of the correlation between many factors and customer satisfaction, it does </w:t>
      </w:r>
      <w:r w:rsidRPr="00BA2BD4">
        <w:rPr>
          <w:rFonts w:ascii="Times New Roman" w:eastAsia="Times New Roman" w:hAnsi="Times New Roman" w:cs="Times New Roman"/>
          <w:color w:val="0E101A"/>
          <w:sz w:val="24"/>
          <w:szCs w:val="24"/>
        </w:rPr>
        <w:lastRenderedPageBreak/>
        <w:t xml:space="preserve">not negate that these factors apply and should be further investigated </w:t>
      </w:r>
      <w:r w:rsidR="002E500B">
        <w:rPr>
          <w:rFonts w:ascii="Times New Roman" w:eastAsia="Times New Roman" w:hAnsi="Times New Roman" w:cs="Times New Roman"/>
          <w:color w:val="0E101A"/>
          <w:sz w:val="24"/>
          <w:szCs w:val="24"/>
        </w:rPr>
        <w:t>for obtaining clearer results.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b/>
          <w:bCs/>
          <w:color w:val="0E101A"/>
          <w:sz w:val="24"/>
          <w:szCs w:val="24"/>
        </w:rPr>
        <w:t>Conclusion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Lebanese banking system was long considered one of the most important bedrock of the Lebanese economy. This has shifted in the recent two years after the corruption had intensified to the point that the Banque du Liban was incapable of patching up the situation as it has been doing for the decades following the Lebanese Civil War. Satisfaction is essential to maintaining the relationship that clients have with the banks, so unless some measures are taken to restore that satisfaction. This study examined the importance of having trust, efficiency, ease of navigation, reliability, privacy, and communication levels between clients and banks on the overall satisfaction of clients. Trust and reliability were clearly correlated to satisfaction, but it was a bit difficult to conclusively find a statistical correlation for the rest. Although there were no significant correlations established regarding how banks can regain satisfaction, it showed how vital trust for regaining the clients’ satisfaction. It also showcased many factors that will influence security, efficiency and communication have on satisfaction. By using these clues, banks can enhance their online services even if the study failed to establish any statistical proof.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b/>
          <w:bCs/>
          <w:color w:val="0E101A"/>
          <w:sz w:val="24"/>
          <w:szCs w:val="24"/>
        </w:rPr>
        <w:t>Limitations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 xml:space="preserve">This study is an attempt at verifying the possibility of using e-banking for restoring customer satisfaction in Lebanese banks. Adopting a quantitative methodology will naturally result in default limitations. The work focused on statistical tools and figures which would negate the observation of themes and relationships that were not verified by numbers but could prove to be interesting and integral research avenues. Bias is often an issue because the researcher is in </w:t>
      </w:r>
      <w:r w:rsidRPr="00BA2BD4">
        <w:rPr>
          <w:rFonts w:ascii="Times New Roman" w:eastAsia="Times New Roman" w:hAnsi="Times New Roman" w:cs="Times New Roman"/>
          <w:color w:val="0E101A"/>
          <w:sz w:val="24"/>
          <w:szCs w:val="24"/>
        </w:rPr>
        <w:lastRenderedPageBreak/>
        <w:t>complete control of designing the methodology and the nature of the gathered data. The answers will only prove or disprove certain hypotheses without providing explanations. Thus, research bias remains an element even without any deliberate effort by the researcher.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Another limitation is the fact that there is no information regarding the names of the bank of each participant. Various banks have different platforms that offer varying options for e-banking. We cannot be sure that the nature of the bank did not have to influence the results. If the name of the bank was available, it would have been possible to create profiles to verify if the nature of the e-banking services will influence customer satisfaction. This would have added more value to the work because banks would have had the opportunity to gather data about their performance which would enable them to enhance their services.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sample size raises another issue. While it is true that the sample size is adequate and representative of the population, it might not be sufficient in certain areas.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study is limited in another aspect based on the total disregard to demographic data aside from giving a representative picture about the participants. Demographic considerations can influence decisions and opinions, so they have to be taken into consideration. The study should have explored the influence of demographic data on the results. Furthermore, there should have been considered whether or not there is any bias based on the demographic data especially when it comes to gender and income. </w:t>
      </w:r>
    </w:p>
    <w:p w:rsidR="00493E4F"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 </w:t>
      </w:r>
    </w:p>
    <w:p w:rsidR="00B14BBA" w:rsidRDefault="00B14BBA" w:rsidP="00493E4F">
      <w:pPr>
        <w:spacing w:after="0" w:line="480" w:lineRule="auto"/>
        <w:jc w:val="both"/>
        <w:rPr>
          <w:rFonts w:ascii="Times New Roman" w:eastAsia="Times New Roman" w:hAnsi="Times New Roman" w:cs="Times New Roman"/>
          <w:color w:val="0E101A"/>
          <w:sz w:val="24"/>
          <w:szCs w:val="24"/>
        </w:rPr>
      </w:pPr>
    </w:p>
    <w:p w:rsidR="00B14BBA" w:rsidRDefault="00B14BBA" w:rsidP="00493E4F">
      <w:pPr>
        <w:spacing w:after="0" w:line="480" w:lineRule="auto"/>
        <w:jc w:val="both"/>
        <w:rPr>
          <w:rFonts w:ascii="Times New Roman" w:eastAsia="Times New Roman" w:hAnsi="Times New Roman" w:cs="Times New Roman"/>
          <w:color w:val="0E101A"/>
          <w:sz w:val="24"/>
          <w:szCs w:val="24"/>
        </w:rPr>
      </w:pPr>
    </w:p>
    <w:p w:rsidR="00B14BBA" w:rsidRDefault="00B14BBA" w:rsidP="00493E4F">
      <w:pPr>
        <w:spacing w:after="0" w:line="480" w:lineRule="auto"/>
        <w:jc w:val="both"/>
        <w:rPr>
          <w:rFonts w:ascii="Times New Roman" w:eastAsia="Times New Roman" w:hAnsi="Times New Roman" w:cs="Times New Roman"/>
          <w:color w:val="0E101A"/>
          <w:sz w:val="24"/>
          <w:szCs w:val="24"/>
        </w:rPr>
      </w:pPr>
    </w:p>
    <w:p w:rsidR="00B14BBA" w:rsidRPr="00BA2BD4" w:rsidRDefault="00B14BBA" w:rsidP="00493E4F">
      <w:pPr>
        <w:spacing w:after="0" w:line="480" w:lineRule="auto"/>
        <w:jc w:val="both"/>
        <w:rPr>
          <w:rFonts w:ascii="Times New Roman" w:eastAsia="Times New Roman" w:hAnsi="Times New Roman" w:cs="Times New Roman"/>
          <w:color w:val="0E101A"/>
          <w:sz w:val="24"/>
          <w:szCs w:val="24"/>
        </w:rPr>
      </w:pP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lastRenderedPageBreak/>
        <w:t>R</w:t>
      </w:r>
      <w:r w:rsidRPr="00BA2BD4">
        <w:rPr>
          <w:rFonts w:ascii="Times New Roman" w:eastAsia="Times New Roman" w:hAnsi="Times New Roman" w:cs="Times New Roman"/>
          <w:b/>
          <w:bCs/>
          <w:color w:val="0E101A"/>
          <w:sz w:val="24"/>
          <w:szCs w:val="24"/>
        </w:rPr>
        <w:t>ecommendations for Future Studies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There are several available options for future studies. The most obvious option would be to select a smaller sample and proceed to ask open-ended questions that are similar to what was proposed in the survey used in this study. This would augment the results obtained and provide explanations about some of the conclusions. This can also provide some insights to open new avenues of studies regarding some unexplored correlations that were not obvious in the quantitative study. Future studies can expand on the questionnaire that was proposed.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study was limited by choice to gather concrete data and verify certain hypotheses in the literature. However, the scope can be expanded to obtain more insight instead of focusing on proving or disproving the extrapolated hypotheses. The literature review can be expanded to similar studies in other countries to come up with new perspectives to be investigated. With an expanded questionnaire, it would be possible to obtain more data and get a wider understanding of the situation.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The focus of the analysis was not on the demographic data as it correlates to other in-depth analyses. Instead, the emphasis was to correlate everything with satisfaction disregarding demographic factors. Further analysis can be made by replicating the questionnaire to investigate how the demographic influences might skew the data and conclusions. The demographic data should also have included a distinction between urban and rural dwellers which can have an impact on their decisions and choices.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It is also possible to add more richness to the questions by including more numerical values and options that would allow more avenues of investigation especially since the majority of the cases where no significance was found included the ANOVA tests while the Chi-Square tests managed to have more significance. </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lastRenderedPageBreak/>
        <w:t>In light of these recommendations, it is possible to propose new questions for further research.</w:t>
      </w:r>
    </w:p>
    <w:p w:rsidR="00493E4F" w:rsidRPr="00BA2BD4" w:rsidRDefault="00493E4F" w:rsidP="00493E4F">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Q1: How do the specific lists of services provided by the major Lebanese banks affect the customers’ satisfaction?</w:t>
      </w:r>
    </w:p>
    <w:p w:rsidR="002C06C4" w:rsidRPr="002E500B" w:rsidRDefault="00493E4F" w:rsidP="002E500B">
      <w:pPr>
        <w:spacing w:after="0" w:line="480" w:lineRule="auto"/>
        <w:jc w:val="both"/>
        <w:rPr>
          <w:rFonts w:ascii="Times New Roman" w:eastAsia="Times New Roman" w:hAnsi="Times New Roman" w:cs="Times New Roman"/>
          <w:color w:val="0E101A"/>
          <w:sz w:val="24"/>
          <w:szCs w:val="24"/>
        </w:rPr>
      </w:pPr>
      <w:r w:rsidRPr="00BA2BD4">
        <w:rPr>
          <w:rFonts w:ascii="Times New Roman" w:eastAsia="Times New Roman" w:hAnsi="Times New Roman" w:cs="Times New Roman"/>
          <w:color w:val="0E101A"/>
          <w:sz w:val="24"/>
          <w:szCs w:val="24"/>
        </w:rPr>
        <w:t>Q2: How do the demographic differences affect customer satisfaction in Lebanese banks?</w:t>
      </w: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B14BBA" w:rsidRDefault="00B14BBA" w:rsidP="00BA77EA">
      <w:pPr>
        <w:spacing w:line="480" w:lineRule="auto"/>
        <w:rPr>
          <w:rFonts w:asciiTheme="majorBidi" w:hAnsiTheme="majorBidi" w:cstheme="majorBidi"/>
          <w:b/>
          <w:bCs/>
          <w:sz w:val="24"/>
          <w:szCs w:val="24"/>
        </w:rPr>
      </w:pPr>
    </w:p>
    <w:p w:rsidR="00493E4F" w:rsidRDefault="00493E4F" w:rsidP="00BA77EA">
      <w:pPr>
        <w:spacing w:line="480" w:lineRule="auto"/>
        <w:rPr>
          <w:rFonts w:asciiTheme="majorBidi" w:hAnsiTheme="majorBidi" w:cstheme="majorBidi"/>
          <w:b/>
          <w:bCs/>
          <w:sz w:val="24"/>
          <w:szCs w:val="24"/>
        </w:rPr>
      </w:pPr>
      <w:r>
        <w:rPr>
          <w:rFonts w:asciiTheme="majorBidi" w:hAnsiTheme="majorBidi" w:cstheme="majorBidi"/>
          <w:b/>
          <w:bCs/>
          <w:sz w:val="24"/>
          <w:szCs w:val="24"/>
        </w:rPr>
        <w:lastRenderedPageBreak/>
        <w:t xml:space="preserve">References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Abou Ali, A. (2016). Customers’ Acceptance of Internet Banking: An Empirical Study in Lebanon. </w:t>
      </w:r>
      <w:r w:rsidRPr="003658BF">
        <w:rPr>
          <w:rFonts w:asciiTheme="majorBidi" w:hAnsiTheme="majorBidi" w:cstheme="majorBidi"/>
          <w:i/>
          <w:iCs/>
          <w:sz w:val="24"/>
          <w:szCs w:val="24"/>
        </w:rPr>
        <w:t>The Interna</w:t>
      </w:r>
      <w:r w:rsidRPr="003658BF">
        <w:rPr>
          <w:rFonts w:ascii="Roboto" w:hAnsi="Roboto"/>
          <w:color w:val="555555"/>
          <w:sz w:val="21"/>
          <w:szCs w:val="21"/>
          <w:shd w:val="clear" w:color="auto" w:fill="FFFFFF"/>
        </w:rPr>
        <w:t xml:space="preserve"> DOI:</w:t>
      </w:r>
      <w:hyperlink r:id="rId16" w:tgtFrame="_blank" w:history="1">
        <w:r w:rsidRPr="003658BF">
          <w:rPr>
            <w:rFonts w:ascii="Roboto" w:hAnsi="Roboto"/>
            <w:color w:val="0000FF"/>
            <w:sz w:val="21"/>
            <w:szCs w:val="21"/>
            <w:u w:val="single"/>
            <w:bdr w:val="none" w:sz="0" w:space="0" w:color="auto" w:frame="1"/>
            <w:shd w:val="clear" w:color="auto" w:fill="FFFFFF"/>
          </w:rPr>
          <w:t>10.9734/BJEMT/2015/19269</w:t>
        </w:r>
      </w:hyperlink>
      <w:r w:rsidRPr="003658BF">
        <w:rPr>
          <w:rFonts w:asciiTheme="majorBidi" w:hAnsiTheme="majorBidi" w:cstheme="majorBidi"/>
          <w:i/>
          <w:iCs/>
          <w:sz w:val="24"/>
          <w:szCs w:val="24"/>
        </w:rPr>
        <w:t>tional Journal of Management</w:t>
      </w:r>
      <w:r w:rsidRPr="003658BF">
        <w:rPr>
          <w:rFonts w:asciiTheme="majorBidi" w:hAnsiTheme="majorBidi" w:cstheme="majorBidi"/>
          <w:sz w:val="24"/>
          <w:szCs w:val="24"/>
        </w:rPr>
        <w:t>, Vol. (5), Issue (2), pp. 3 – 8</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cstheme="majorBidi"/>
          <w:sz w:val="24"/>
          <w:szCs w:val="24"/>
        </w:rPr>
        <w:t xml:space="preserve">Addai, B. (2015).  </w:t>
      </w:r>
      <w:r w:rsidRPr="003658BF">
        <w:rPr>
          <w:rFonts w:asciiTheme="majorBidi" w:hAnsiTheme="majorBidi"/>
          <w:sz w:val="24"/>
          <w:szCs w:val="24"/>
        </w:rPr>
        <w:t xml:space="preserve">Electronic Banking and Customer Satisfaction: Empirical Evidence from Ghana. </w:t>
      </w:r>
      <w:r w:rsidRPr="003658BF">
        <w:rPr>
          <w:rFonts w:asciiTheme="majorBidi" w:hAnsiTheme="majorBidi" w:cstheme="majorBidi"/>
          <w:sz w:val="24"/>
          <w:szCs w:val="24"/>
        </w:rPr>
        <w:t>DOI:</w:t>
      </w:r>
      <w:hyperlink r:id="rId17" w:tgtFrame="_blank" w:history="1">
        <w:r w:rsidRPr="003658BF">
          <w:rPr>
            <w:rStyle w:val="Hyperlink"/>
            <w:rFonts w:asciiTheme="majorBidi" w:hAnsiTheme="majorBidi" w:cstheme="majorBidi"/>
            <w:sz w:val="24"/>
            <w:szCs w:val="24"/>
          </w:rPr>
          <w:t>10.9734/BJEMT/2015/19269</w:t>
        </w:r>
      </w:hyperlink>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t>Ahmad, S., Wasim, S., Irfan, S., Gogoi, S., Siravastava, A., &amp; Farheen, Z.</w:t>
      </w:r>
      <w:r w:rsidRPr="003658BF">
        <w:rPr>
          <w:rFonts w:asciiTheme="majorBidi" w:hAnsiTheme="majorBidi" w:cstheme="majorBidi"/>
          <w:sz w:val="24"/>
          <w:szCs w:val="24"/>
        </w:rPr>
        <w:t xml:space="preserve"> (2019). Qualitative v/s. Quantitative Research- A Summarized Review. </w:t>
      </w:r>
      <w:r w:rsidRPr="003658BF">
        <w:rPr>
          <w:rFonts w:asciiTheme="majorBidi" w:hAnsiTheme="majorBidi" w:cstheme="majorBidi"/>
          <w:i/>
          <w:iCs/>
          <w:sz w:val="24"/>
          <w:szCs w:val="24"/>
        </w:rPr>
        <w:t xml:space="preserve">Journal of Evidence Based Medical Health, </w:t>
      </w:r>
      <w:r w:rsidRPr="003658BF">
        <w:rPr>
          <w:rFonts w:asciiTheme="majorBidi" w:hAnsiTheme="majorBidi" w:cstheme="majorBidi"/>
          <w:sz w:val="24"/>
          <w:szCs w:val="24"/>
        </w:rPr>
        <w:t xml:space="preserve">Vol. (6), No. (43), pp. 2828 – 2832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Anesti, D. (2004). Interne</w:t>
      </w:r>
      <w:r>
        <w:rPr>
          <w:rFonts w:asciiTheme="majorBidi" w:hAnsiTheme="majorBidi" w:cstheme="majorBidi"/>
          <w:sz w:val="24"/>
          <w:szCs w:val="24"/>
        </w:rPr>
        <w:t>t banking history and strategies</w:t>
      </w:r>
      <w:r w:rsidRPr="003658BF">
        <w:rPr>
          <w:rFonts w:asciiTheme="majorBidi" w:hAnsiTheme="majorBidi" w:cstheme="majorBidi"/>
          <w:sz w:val="24"/>
          <w:szCs w:val="24"/>
        </w:rPr>
        <w:t xml:space="preserve">: a case study of U.S. and Greek banks. Retrieved January 6, 2020 from </w:t>
      </w:r>
      <w:hyperlink r:id="rId18" w:history="1">
        <w:r w:rsidRPr="003658BF">
          <w:rPr>
            <w:rStyle w:val="Hyperlink"/>
            <w:rFonts w:asciiTheme="majorBidi" w:hAnsiTheme="majorBidi" w:cstheme="majorBidi"/>
            <w:sz w:val="24"/>
            <w:szCs w:val="24"/>
          </w:rPr>
          <w:t>https://digitalcommons.csumb.edu/cgi/viewcontent.cgi?article=1369&amp;context=caps_thes</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Arnold, T. (2019). Breakdown of trust in financial system deepens crisis in Lebanon. Retrieved January 12, 2020 from </w:t>
      </w:r>
      <w:hyperlink r:id="rId19" w:history="1">
        <w:r w:rsidRPr="003658BF">
          <w:rPr>
            <w:rStyle w:val="Hyperlink"/>
            <w:rFonts w:asciiTheme="majorBidi" w:hAnsiTheme="majorBidi" w:cstheme="majorBidi"/>
            <w:sz w:val="24"/>
            <w:szCs w:val="24"/>
          </w:rPr>
          <w:t>https://www.reuters.com/article/us-lebanon-protests-banks-analysis-idUSKBN1XN1ER</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Arya, H. (2019). E-Banking: The Emerging Trend. </w:t>
      </w:r>
      <w:r w:rsidRPr="003658BF">
        <w:rPr>
          <w:rFonts w:asciiTheme="majorBidi" w:hAnsiTheme="majorBidi" w:cstheme="majorBidi"/>
          <w:i/>
          <w:iCs/>
          <w:sz w:val="24"/>
          <w:szCs w:val="24"/>
        </w:rPr>
        <w:t xml:space="preserve">International Journal of Trend in Scientific Research and Development, </w:t>
      </w:r>
      <w:r w:rsidRPr="003658BF">
        <w:rPr>
          <w:rFonts w:asciiTheme="majorBidi" w:hAnsiTheme="majorBidi" w:cstheme="majorBidi"/>
          <w:sz w:val="24"/>
          <w:szCs w:val="24"/>
        </w:rPr>
        <w:t>Vol. (3), No. (4), pp. 449 – 455</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Asiyanbi, H., &amp; Ishola, A. (2018). E-Banking services impact and customer satisfaction in selected bank branches in Ibadan metropolis, Oyo state, Nigeria. </w:t>
      </w:r>
      <w:r w:rsidRPr="003658BF">
        <w:rPr>
          <w:rFonts w:asciiTheme="majorBidi" w:hAnsiTheme="majorBidi" w:cstheme="majorBidi"/>
          <w:i/>
          <w:iCs/>
          <w:sz w:val="24"/>
          <w:szCs w:val="24"/>
        </w:rPr>
        <w:t>Accounting</w:t>
      </w:r>
      <w:r w:rsidRPr="003658BF">
        <w:rPr>
          <w:rFonts w:asciiTheme="majorBidi" w:hAnsiTheme="majorBidi" w:cstheme="majorBidi"/>
          <w:sz w:val="24"/>
          <w:szCs w:val="24"/>
        </w:rPr>
        <w:t xml:space="preserve">, Vol. (4), No, (4), pp. 153 – 160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Athiyaman, A. (2004). Antecedents and Consequences of Student Satisfaction with University Services: A longitudinal analysis</w:t>
      </w:r>
      <w:r w:rsidRPr="003658BF">
        <w:rPr>
          <w:rFonts w:asciiTheme="majorBidi" w:hAnsiTheme="majorBidi" w:cstheme="majorBidi"/>
          <w:i/>
          <w:iCs/>
          <w:sz w:val="24"/>
          <w:szCs w:val="24"/>
        </w:rPr>
        <w:t>. Academy of Marketing Studies Journal</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Awdeh, A. (2012). Banking Sector Development and Economic Growth in Lebanon. International Research Journal of Finance and Economics, Vol. (100), pp. 53 – 62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lastRenderedPageBreak/>
        <w:t xml:space="preserve">Baicu, C., Gardan, I., Gardan, D., &amp; Epuran, G. (2020). The impact of COVID-19 on consumer behavior in retail banking. Evidence from Romania. </w:t>
      </w:r>
      <w:r w:rsidRPr="003658BF">
        <w:rPr>
          <w:rFonts w:asciiTheme="majorBidi" w:hAnsiTheme="majorBidi" w:cstheme="majorBidi"/>
          <w:i/>
          <w:iCs/>
          <w:sz w:val="24"/>
          <w:szCs w:val="24"/>
        </w:rPr>
        <w:t>Management and Marketing: Challenges for the Knowledge Society</w:t>
      </w:r>
      <w:r w:rsidRPr="003658BF">
        <w:rPr>
          <w:rFonts w:asciiTheme="majorBidi" w:hAnsiTheme="majorBidi" w:cstheme="majorBidi"/>
          <w:sz w:val="24"/>
          <w:szCs w:val="24"/>
        </w:rPr>
        <w:t xml:space="preserve">, Vol. (15), No. (Special Issue), pp. 534 – 556  </w:t>
      </w:r>
    </w:p>
    <w:p w:rsidR="00493E4F" w:rsidRPr="003658BF" w:rsidRDefault="00493E4F" w:rsidP="00493E4F">
      <w:pPr>
        <w:spacing w:line="360" w:lineRule="auto"/>
        <w:ind w:left="360"/>
        <w:jc w:val="both"/>
        <w:rPr>
          <w:rFonts w:asciiTheme="majorBidi" w:hAnsiTheme="majorBidi"/>
          <w:b/>
          <w:bCs/>
          <w:sz w:val="24"/>
          <w:szCs w:val="24"/>
        </w:rPr>
      </w:pPr>
      <w:r w:rsidRPr="003658BF">
        <w:rPr>
          <w:rFonts w:asciiTheme="majorBidi" w:hAnsiTheme="majorBidi" w:cstheme="majorBidi"/>
          <w:sz w:val="24"/>
          <w:szCs w:val="24"/>
        </w:rPr>
        <w:t xml:space="preserve">Ball, H. (2019). </w:t>
      </w:r>
      <w:r w:rsidRPr="003658BF">
        <w:rPr>
          <w:rFonts w:asciiTheme="majorBidi" w:hAnsiTheme="majorBidi"/>
          <w:sz w:val="24"/>
          <w:szCs w:val="24"/>
        </w:rPr>
        <w:t xml:space="preserve">Conducting Online Surveys. doi: 10.1177/0890334419848734.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Banque du Liban (2020). History. Retrieved Feb. 3, 2021 from </w:t>
      </w:r>
      <w:hyperlink r:id="rId20" w:history="1">
        <w:r w:rsidRPr="003658BF">
          <w:rPr>
            <w:rStyle w:val="Hyperlink"/>
            <w:rFonts w:asciiTheme="majorBidi" w:hAnsiTheme="majorBidi" w:cstheme="majorBidi"/>
            <w:sz w:val="24"/>
            <w:szCs w:val="24"/>
          </w:rPr>
          <w:t>https://www.bdl.gov.lb/pages/index/4/24/History.html</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Banque du Liban (2016). Main Characteristics of Lebanon’s Banking System. Retrieved Feb. 3, 2021 from </w:t>
      </w:r>
      <w:hyperlink r:id="rId21" w:history="1">
        <w:r w:rsidRPr="003658BF">
          <w:rPr>
            <w:rStyle w:val="Hyperlink"/>
            <w:rFonts w:asciiTheme="majorBidi" w:hAnsiTheme="majorBidi" w:cstheme="majorBidi"/>
            <w:sz w:val="24"/>
            <w:szCs w:val="24"/>
          </w:rPr>
          <w:t>http://www.databank.com.lb/docs/Main%20Characteristics%20of%20Lebanon's%20Banking%20System-BDL-2016.pdf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Banque du Liban (2020). List of Financial Institutes. Retrieved January 17, 2021 </w:t>
      </w:r>
      <w:hyperlink r:id="rId22" w:history="1">
        <w:r w:rsidRPr="003658BF">
          <w:rPr>
            <w:rStyle w:val="Hyperlink"/>
            <w:rFonts w:asciiTheme="majorBidi" w:hAnsiTheme="majorBidi" w:cstheme="majorBidi"/>
            <w:sz w:val="24"/>
            <w:szCs w:val="24"/>
          </w:rPr>
          <w:t>https://www.bdl.gov.lb/pages/index/4/25/List-of-InstitutionsSupervised-by-BDL.htm</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Belas, J. (2012). Social Responsibility and Ethics in the Banking Business: Myth or Reality? A case Study from the Slovac Republic. </w:t>
      </w:r>
      <w:r w:rsidRPr="003658BF">
        <w:rPr>
          <w:rFonts w:asciiTheme="majorBidi" w:hAnsiTheme="majorBidi" w:cstheme="majorBidi"/>
          <w:i/>
          <w:iCs/>
          <w:sz w:val="24"/>
          <w:szCs w:val="24"/>
        </w:rPr>
        <w:t xml:space="preserve">Economic Annal, </w:t>
      </w:r>
      <w:r w:rsidRPr="003658BF">
        <w:rPr>
          <w:rFonts w:asciiTheme="majorBidi" w:hAnsiTheme="majorBidi" w:cstheme="majorBidi"/>
          <w:sz w:val="24"/>
          <w:szCs w:val="24"/>
        </w:rPr>
        <w:t xml:space="preserve">Vol. (57), No. (195), pp. 115 – 137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Bena, I. (2010). Evaluating Customer Satisfaction in the Banking Services. </w:t>
      </w:r>
      <w:r w:rsidRPr="003658BF">
        <w:rPr>
          <w:rFonts w:asciiTheme="majorBidi" w:hAnsiTheme="majorBidi" w:cstheme="majorBidi"/>
          <w:i/>
          <w:iCs/>
          <w:sz w:val="24"/>
          <w:szCs w:val="24"/>
        </w:rPr>
        <w:t>Management &amp; Marketing</w:t>
      </w:r>
      <w:r w:rsidRPr="003658BF">
        <w:rPr>
          <w:rFonts w:asciiTheme="majorBidi" w:hAnsiTheme="majorBidi" w:cstheme="majorBidi"/>
          <w:sz w:val="24"/>
          <w:szCs w:val="24"/>
        </w:rPr>
        <w:t xml:space="preserve">, Vol. (5), No. (2), pp. 143 – 150  </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cstheme="majorBidi"/>
          <w:sz w:val="24"/>
          <w:szCs w:val="24"/>
        </w:rPr>
        <w:t xml:space="preserve">Blair, E. (2020). </w:t>
      </w:r>
      <w:r w:rsidRPr="003658BF">
        <w:rPr>
          <w:rFonts w:asciiTheme="majorBidi" w:hAnsiTheme="majorBidi"/>
          <w:sz w:val="24"/>
          <w:szCs w:val="24"/>
        </w:rPr>
        <w:t xml:space="preserve">Explainer: Lebanon's financial meltdown and how it happened. Retrieved January 17, 2021 from </w:t>
      </w:r>
      <w:hyperlink r:id="rId23" w:history="1">
        <w:r w:rsidRPr="003658BF">
          <w:rPr>
            <w:rStyle w:val="Hyperlink"/>
            <w:rFonts w:asciiTheme="majorBidi" w:hAnsiTheme="majorBidi"/>
            <w:sz w:val="24"/>
            <w:szCs w:val="24"/>
          </w:rPr>
          <w:t>https://www.reuters.com/article/uk-lebanon-crisis-financial-explainer-idUKKBN268223</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sz w:val="24"/>
          <w:szCs w:val="24"/>
        </w:rPr>
        <w:t xml:space="preserve">Bjork, S. (2015). Corporate Customer Loyalty within the Banking Sector: the case of SEB. Retrieved April 12, 2021 from </w:t>
      </w:r>
      <w:hyperlink r:id="rId24" w:history="1">
        <w:r w:rsidRPr="003658BF">
          <w:rPr>
            <w:rStyle w:val="Hyperlink"/>
            <w:rFonts w:asciiTheme="majorBidi" w:hAnsiTheme="majorBidi"/>
            <w:sz w:val="24"/>
            <w:szCs w:val="24"/>
          </w:rPr>
          <w:t>http://www.diva-portal.org/smash/get/diva2:886167/FULLTEXT01.pdf</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sz w:val="24"/>
          <w:szCs w:val="24"/>
        </w:rPr>
        <w:t xml:space="preserve">Blominvest (2019). A Historical Analysis of Lebanon’s Public Debt. Retrieved Feb. 12, 2021 from </w:t>
      </w:r>
      <w:hyperlink r:id="rId25" w:history="1">
        <w:r w:rsidRPr="003658BF">
          <w:rPr>
            <w:rStyle w:val="Hyperlink"/>
            <w:rFonts w:asciiTheme="majorBidi" w:hAnsiTheme="majorBidi"/>
            <w:sz w:val="24"/>
            <w:szCs w:val="24"/>
          </w:rPr>
          <w:t>https://blog.blominvestbank.com/wp-content/uploads/2019/05/AHistorical-Analysis-of-Lebanon%E2%80%99s-Public-Debt.pdf</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lastRenderedPageBreak/>
        <w:t xml:space="preserve">Bradley L. &amp; Stewart K. (2002). A Delphi study of the drivers and inhibitors of Internet banking.  </w:t>
      </w:r>
      <w:r w:rsidRPr="003658BF">
        <w:rPr>
          <w:rFonts w:asciiTheme="majorBidi" w:hAnsiTheme="majorBidi" w:cstheme="majorBidi"/>
          <w:i/>
          <w:iCs/>
          <w:sz w:val="24"/>
          <w:szCs w:val="24"/>
        </w:rPr>
        <w:t>The International Journal of Bank Marketing</w:t>
      </w:r>
      <w:r w:rsidRPr="003658BF">
        <w:rPr>
          <w:rFonts w:asciiTheme="majorBidi" w:hAnsiTheme="majorBidi" w:cstheme="majorBidi"/>
          <w:sz w:val="24"/>
          <w:szCs w:val="24"/>
        </w:rPr>
        <w:t>. Vol. (20), No. (6)</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Caldararo, N. (2019). The theory of banking: Why banks exist and why we fear them. </w:t>
      </w:r>
      <w:r w:rsidRPr="003658BF">
        <w:rPr>
          <w:rFonts w:asciiTheme="majorBidi" w:hAnsiTheme="majorBidi" w:cstheme="majorBidi"/>
          <w:i/>
          <w:iCs/>
          <w:sz w:val="24"/>
          <w:szCs w:val="24"/>
        </w:rPr>
        <w:t xml:space="preserve">International Journal of Sociology and Anthropology, </w:t>
      </w:r>
      <w:r w:rsidRPr="003658BF">
        <w:rPr>
          <w:rFonts w:asciiTheme="majorBidi" w:hAnsiTheme="majorBidi" w:cstheme="majorBidi"/>
          <w:sz w:val="24"/>
          <w:szCs w:val="24"/>
        </w:rPr>
        <w:t xml:space="preserve">Vol. (5), No. (4), pp. 116 – 132 </w:t>
      </w:r>
    </w:p>
    <w:p w:rsidR="00493E4F" w:rsidRPr="003658BF" w:rsidRDefault="00493E4F" w:rsidP="00493E4F">
      <w:pPr>
        <w:spacing w:line="360" w:lineRule="auto"/>
        <w:ind w:left="360"/>
        <w:jc w:val="both"/>
        <w:rPr>
          <w:rFonts w:asciiTheme="majorBidi" w:hAnsiTheme="majorBidi"/>
          <w:sz w:val="24"/>
          <w:szCs w:val="24"/>
        </w:rPr>
      </w:pPr>
      <w:r>
        <w:rPr>
          <w:rFonts w:asciiTheme="majorBidi" w:hAnsiTheme="majorBidi" w:cstheme="majorBidi"/>
          <w:sz w:val="24"/>
          <w:szCs w:val="24"/>
        </w:rPr>
        <w:t xml:space="preserve">Chicu, D., Pamies, M., Ryan, G., &amp; Cross, C. </w:t>
      </w:r>
      <w:r w:rsidRPr="003658BF">
        <w:rPr>
          <w:rFonts w:asciiTheme="majorBidi" w:hAnsiTheme="majorBidi" w:cstheme="majorBidi"/>
          <w:sz w:val="24"/>
          <w:szCs w:val="24"/>
        </w:rPr>
        <w:t xml:space="preserve"> (2018). </w:t>
      </w:r>
      <w:r w:rsidRPr="003658BF">
        <w:rPr>
          <w:rFonts w:asciiTheme="majorBidi" w:hAnsiTheme="majorBidi"/>
          <w:sz w:val="24"/>
          <w:szCs w:val="24"/>
        </w:rPr>
        <w:t>Exploring the influence of the human factor on customer satisfaction in call centres. DOI:</w:t>
      </w:r>
      <w:hyperlink r:id="rId26" w:tgtFrame="_blank" w:history="1">
        <w:r w:rsidRPr="003658BF">
          <w:rPr>
            <w:rStyle w:val="Hyperlink"/>
            <w:rFonts w:asciiTheme="majorBidi" w:hAnsiTheme="majorBidi"/>
            <w:sz w:val="24"/>
            <w:szCs w:val="24"/>
          </w:rPr>
          <w:t>10.1016/j.brq.2018.08.004</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Chochoľáková, A., Gabčová, L., Belás, J., Sipko, J. (2015). Bank Customers’ Satisfaction, Customers’ Loyalty and Additional Purchases of Banking Products and Services. A Case Study from the Czech Republic. </w:t>
      </w:r>
      <w:r w:rsidRPr="003658BF">
        <w:rPr>
          <w:rFonts w:asciiTheme="majorBidi" w:hAnsiTheme="majorBidi" w:cstheme="majorBidi"/>
          <w:i/>
          <w:iCs/>
          <w:sz w:val="24"/>
          <w:szCs w:val="24"/>
        </w:rPr>
        <w:t>Economics and Sociology</w:t>
      </w:r>
      <w:r w:rsidRPr="003658BF">
        <w:rPr>
          <w:rFonts w:asciiTheme="majorBidi" w:hAnsiTheme="majorBidi" w:cstheme="majorBidi"/>
          <w:sz w:val="24"/>
          <w:szCs w:val="24"/>
        </w:rPr>
        <w:t xml:space="preserve">, Vol. (8), No (3), pp. 82 – 94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Creswell, J.W., &amp; Plano Clark, V.L. (2007). Designing and conducting mixed methods research. </w:t>
      </w:r>
      <w:r w:rsidRPr="003658BF">
        <w:rPr>
          <w:rFonts w:asciiTheme="majorBidi" w:hAnsiTheme="majorBidi" w:cstheme="majorBidi"/>
          <w:i/>
          <w:iCs/>
          <w:sz w:val="24"/>
          <w:szCs w:val="24"/>
        </w:rPr>
        <w:t>Thousand Oaks, CA: Sage Publications</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Digital (2020). Digital 2020: Lebanon. Retrieved February 12, 2021 from </w:t>
      </w:r>
      <w:hyperlink r:id="rId27" w:anchor=":~:text=There%20were%205.35%20million%20internet,at%2078%25%20in%20January%202020" w:history="1">
        <w:r w:rsidRPr="003658BF">
          <w:rPr>
            <w:rStyle w:val="Hyperlink"/>
            <w:rFonts w:asciiTheme="majorBidi" w:hAnsiTheme="majorBidi" w:cstheme="majorBidi"/>
            <w:sz w:val="24"/>
            <w:szCs w:val="24"/>
          </w:rPr>
          <w:t>https://datareportal.com/reports/digital-2020-lebanon#:~:text=There%20were%205.35%20million%20internet,at%2078%25%20in%20January%202020</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Dewatripont, M., Rochet, J.C., &amp; Tirole, J. (2010). Balancing the Banks: Global lessons from the financial crisis. </w:t>
      </w:r>
      <w:r>
        <w:rPr>
          <w:rFonts w:asciiTheme="majorBidi" w:hAnsiTheme="majorBidi" w:cstheme="majorBidi"/>
          <w:sz w:val="24"/>
          <w:szCs w:val="24"/>
        </w:rPr>
        <w:t xml:space="preserve">Retrieved January, 15, 2021 from </w:t>
      </w:r>
      <w:hyperlink r:id="rId28" w:history="1">
        <w:r w:rsidRPr="00870042">
          <w:rPr>
            <w:rStyle w:val="Hyperlink"/>
            <w:rFonts w:asciiTheme="majorBidi" w:hAnsiTheme="majorBidi" w:cstheme="majorBidi"/>
            <w:sz w:val="24"/>
            <w:szCs w:val="24"/>
          </w:rPr>
          <w:t>http://www.library.fa.ru/files/Tirole-Balancing.pdf</w:t>
        </w:r>
      </w:hyperlink>
      <w:r>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Duncan, E. &amp; Elliot, G. (2004). Efficiency, Customer Service and Financial Performance Among Australian Financial Institutions. </w:t>
      </w:r>
      <w:r w:rsidRPr="003658BF">
        <w:rPr>
          <w:rFonts w:asciiTheme="majorBidi" w:hAnsiTheme="majorBidi" w:cstheme="majorBidi"/>
          <w:i/>
          <w:iCs/>
          <w:sz w:val="24"/>
          <w:szCs w:val="24"/>
        </w:rPr>
        <w:t>The International Journal of Bank Marketing</w:t>
      </w:r>
      <w:r w:rsidRPr="003658BF">
        <w:rPr>
          <w:rFonts w:asciiTheme="majorBidi" w:hAnsiTheme="majorBidi" w:cstheme="majorBidi"/>
          <w:sz w:val="24"/>
          <w:szCs w:val="24"/>
        </w:rPr>
        <w:t xml:space="preserve">, Vol. (22), No. (5), pp. 319 – 342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Elia, J. (2020). Lebanese Banks: A Factor of the Current Lebanese Financial Crisis (2019-2020). Retrieved Feb. 13, 2021 from </w:t>
      </w:r>
      <w:hyperlink r:id="rId29" w:history="1">
        <w:r w:rsidRPr="003658BF">
          <w:rPr>
            <w:rStyle w:val="Hyperlink"/>
            <w:rFonts w:asciiTheme="majorBidi" w:hAnsiTheme="majorBidi" w:cstheme="majorBidi"/>
            <w:sz w:val="24"/>
            <w:szCs w:val="24"/>
          </w:rPr>
          <w:t>http://edoc.bseu.by/</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Einzig P (1947). Primitive Money. </w:t>
      </w:r>
      <w:r w:rsidRPr="003658BF">
        <w:rPr>
          <w:rFonts w:asciiTheme="majorBidi" w:hAnsiTheme="majorBidi" w:cstheme="majorBidi"/>
          <w:i/>
          <w:iCs/>
          <w:sz w:val="24"/>
          <w:szCs w:val="24"/>
        </w:rPr>
        <w:t>Oxford, Pergamon Press</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FAO (2008). Country Profile: Lebanon. Retrieved Feb. 3, 2021 from </w:t>
      </w:r>
      <w:hyperlink r:id="rId30" w:history="1">
        <w:r w:rsidRPr="003658BF">
          <w:rPr>
            <w:rStyle w:val="Hyperlink"/>
            <w:rFonts w:asciiTheme="majorBidi" w:hAnsiTheme="majorBidi" w:cstheme="majorBidi"/>
            <w:sz w:val="24"/>
            <w:szCs w:val="24"/>
          </w:rPr>
          <w:t>http://www.fao.org/3/ca0344en/CA0344EN.pdf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lastRenderedPageBreak/>
        <w:t xml:space="preserve">Festinger, L. (1957). A Theory of Cognitive Dissonance. </w:t>
      </w:r>
      <w:r w:rsidRPr="003658BF">
        <w:rPr>
          <w:rFonts w:asciiTheme="majorBidi" w:hAnsiTheme="majorBidi" w:cstheme="majorBidi"/>
          <w:i/>
          <w:iCs/>
          <w:sz w:val="24"/>
          <w:szCs w:val="24"/>
        </w:rPr>
        <w:t>Stanford, CA: Stanford University Press.</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Furst, K., Lang, W. W. and Nolle, D. E. (2002). Internet banking.  </w:t>
      </w:r>
      <w:r w:rsidRPr="003658BF">
        <w:rPr>
          <w:rFonts w:asciiTheme="majorBidi" w:hAnsiTheme="majorBidi" w:cstheme="majorBidi"/>
          <w:i/>
          <w:iCs/>
          <w:sz w:val="24"/>
          <w:szCs w:val="24"/>
        </w:rPr>
        <w:t>Journal of Financial Services Research</w:t>
      </w:r>
      <w:r w:rsidRPr="003658BF">
        <w:rPr>
          <w:rFonts w:asciiTheme="majorBidi" w:hAnsiTheme="majorBidi" w:cstheme="majorBidi"/>
          <w:sz w:val="24"/>
          <w:szCs w:val="24"/>
        </w:rPr>
        <w:t>, Vol. (22), pp. 95 – 117</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cstheme="majorBidi"/>
          <w:sz w:val="24"/>
          <w:szCs w:val="24"/>
        </w:rPr>
        <w:t xml:space="preserve">Geldi, M. (2021). </w:t>
      </w:r>
      <w:r w:rsidRPr="003658BF">
        <w:rPr>
          <w:rFonts w:asciiTheme="majorBidi" w:hAnsiTheme="majorBidi"/>
          <w:sz w:val="24"/>
          <w:szCs w:val="24"/>
        </w:rPr>
        <w:t xml:space="preserve">Lebanese cannot access money in banks since late 2019. Retrieved January 17, 2021 from </w:t>
      </w:r>
      <w:hyperlink r:id="rId31" w:history="1">
        <w:r w:rsidRPr="003658BF">
          <w:rPr>
            <w:rStyle w:val="Hyperlink"/>
            <w:rFonts w:asciiTheme="majorBidi" w:hAnsiTheme="majorBidi"/>
            <w:sz w:val="24"/>
            <w:szCs w:val="24"/>
          </w:rPr>
          <w:t>https://www.aa.com.tr/en/economy/lebanese-cannot-access-money-in-banks-since-late-2019/2158782</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i/>
          <w:iCs/>
          <w:sz w:val="24"/>
          <w:szCs w:val="24"/>
        </w:rPr>
      </w:pPr>
      <w:r w:rsidRPr="003658BF">
        <w:rPr>
          <w:rFonts w:asciiTheme="majorBidi" w:hAnsiTheme="majorBidi"/>
          <w:sz w:val="24"/>
          <w:szCs w:val="24"/>
        </w:rPr>
        <w:t xml:space="preserve">Hameed, H. (2020). Quantitative and qualitative research methods: Considerations and issues in qualitative research. </w:t>
      </w:r>
      <w:r w:rsidRPr="003658BF">
        <w:rPr>
          <w:rFonts w:asciiTheme="majorBidi" w:hAnsiTheme="majorBidi"/>
          <w:i/>
          <w:iCs/>
          <w:sz w:val="24"/>
          <w:szCs w:val="24"/>
        </w:rPr>
        <w:t>The Maldives National University</w:t>
      </w:r>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sz w:val="24"/>
          <w:szCs w:val="24"/>
        </w:rPr>
        <w:t xml:space="preserve">Hammoud, J., Bizri, R. &amp; El Baba, I. (2018). The Impact of E-Banking Service Quality on Customer Satisfaction: Evidence From the Lebanese Banking Sector. </w:t>
      </w:r>
      <w:hyperlink r:id="rId32" w:history="1">
        <w:r w:rsidRPr="003658BF">
          <w:rPr>
            <w:rStyle w:val="Hyperlink"/>
            <w:rFonts w:asciiTheme="majorBidi" w:hAnsiTheme="majorBidi"/>
            <w:sz w:val="24"/>
            <w:szCs w:val="24"/>
          </w:rPr>
          <w:t>https://doi.org/10.1177/2158244018790633</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sz w:val="24"/>
          <w:szCs w:val="24"/>
        </w:rPr>
        <w:t xml:space="preserve">Hannover (2021). Pandemics. Retrieved Mar. 1, 2021 from </w:t>
      </w:r>
      <w:hyperlink r:id="rId33" w:history="1">
        <w:r w:rsidRPr="003658BF">
          <w:rPr>
            <w:rStyle w:val="Hyperlink"/>
            <w:rFonts w:asciiTheme="majorBidi" w:hAnsiTheme="majorBidi"/>
            <w:sz w:val="24"/>
            <w:szCs w:val="24"/>
          </w:rPr>
          <w:t>https://www.hannover-re.com/180636/pandemics-2021.pdf</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sz w:val="24"/>
          <w:szCs w:val="24"/>
        </w:rPr>
      </w:pPr>
      <w:r>
        <w:rPr>
          <w:rFonts w:asciiTheme="majorBidi" w:hAnsiTheme="majorBidi"/>
          <w:sz w:val="24"/>
          <w:szCs w:val="24"/>
        </w:rPr>
        <w:t xml:space="preserve">Iberahim, H., Taufik, N.K., Adzmir, A.S., &amp; Saharuddin, H. </w:t>
      </w:r>
      <w:r w:rsidRPr="003658BF">
        <w:rPr>
          <w:rFonts w:asciiTheme="majorBidi" w:hAnsiTheme="majorBidi"/>
          <w:sz w:val="24"/>
          <w:szCs w:val="24"/>
        </w:rPr>
        <w:t xml:space="preserve"> (2016). Customer Satisfaction on Reliability and Responsiveness of Self Service Technology for Retail Banking Services. </w:t>
      </w:r>
      <w:r w:rsidRPr="003658BF">
        <w:rPr>
          <w:rFonts w:asciiTheme="majorBidi" w:hAnsiTheme="majorBidi"/>
          <w:i/>
          <w:iCs/>
          <w:sz w:val="24"/>
          <w:szCs w:val="24"/>
        </w:rPr>
        <w:t>Procedia Economics and Finance</w:t>
      </w:r>
      <w:r w:rsidRPr="003658BF">
        <w:rPr>
          <w:rFonts w:asciiTheme="majorBidi" w:hAnsiTheme="majorBidi"/>
          <w:sz w:val="24"/>
          <w:szCs w:val="24"/>
        </w:rPr>
        <w:t>, Vol. (37), pp. 13 – 20</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ILO (2020). Policy Report. Retrieved January 12, 2021 from </w:t>
      </w:r>
      <w:hyperlink r:id="rId34" w:history="1">
        <w:r w:rsidRPr="003658BF">
          <w:rPr>
            <w:rStyle w:val="Hyperlink"/>
            <w:rFonts w:asciiTheme="majorBidi" w:hAnsiTheme="majorBidi" w:cstheme="majorBidi"/>
            <w:sz w:val="24"/>
            <w:szCs w:val="24"/>
          </w:rPr>
          <w:t>https://www.ilo.org/wcmsp5/groups/public/---ed_emp/documents/publication/wcms_754666.pdf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Isac, F. &amp; Rusu, S. (2014). Theories of Consumer’s Satisfaction and the Operationalization of the Expectation Disconfirmation Paradigm. </w:t>
      </w:r>
      <w:r w:rsidRPr="003658BF">
        <w:rPr>
          <w:rFonts w:asciiTheme="majorBidi" w:hAnsiTheme="majorBidi" w:cstheme="majorBidi"/>
          <w:i/>
          <w:iCs/>
          <w:sz w:val="24"/>
          <w:szCs w:val="24"/>
        </w:rPr>
        <w:t xml:space="preserve">Annals of the “Constantin Brâncuşi” University of Târgu Jiu, Economy Series, </w:t>
      </w:r>
      <w:r w:rsidRPr="003658BF">
        <w:rPr>
          <w:rFonts w:asciiTheme="majorBidi" w:hAnsiTheme="majorBidi" w:cstheme="majorBidi"/>
          <w:sz w:val="24"/>
          <w:szCs w:val="24"/>
        </w:rPr>
        <w:t>Vol. (2)</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Ishrakieh, L., Dagher, L., &amp; El Hariri, S. (2020). A financial stress index for a highly dollarized developing country: The case of Lebanon. </w:t>
      </w:r>
      <w:r w:rsidRPr="003658BF">
        <w:rPr>
          <w:rFonts w:asciiTheme="majorBidi" w:hAnsiTheme="majorBidi" w:cstheme="majorBidi"/>
          <w:i/>
          <w:iCs/>
          <w:sz w:val="24"/>
          <w:szCs w:val="24"/>
        </w:rPr>
        <w:t xml:space="preserve">Central Bank Review, </w:t>
      </w:r>
      <w:r w:rsidRPr="003658BF">
        <w:rPr>
          <w:rFonts w:asciiTheme="majorBidi" w:hAnsiTheme="majorBidi" w:cstheme="majorBidi"/>
          <w:sz w:val="24"/>
          <w:szCs w:val="24"/>
        </w:rPr>
        <w:t xml:space="preserve">Vol. (20), pp. 43 – 52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lastRenderedPageBreak/>
        <w:t xml:space="preserve">Jain, S. K., &amp; Gupta, G. (2004). Measuring service quality: SERVQUAL vs. SERVPERF scales. </w:t>
      </w:r>
      <w:r w:rsidRPr="003658BF">
        <w:rPr>
          <w:rFonts w:asciiTheme="majorBidi" w:hAnsiTheme="majorBidi" w:cstheme="majorBidi"/>
          <w:i/>
          <w:iCs/>
          <w:sz w:val="24"/>
          <w:szCs w:val="24"/>
        </w:rPr>
        <w:t>Vikalpa</w:t>
      </w:r>
      <w:r w:rsidRPr="003658BF">
        <w:rPr>
          <w:rFonts w:asciiTheme="majorBidi" w:hAnsiTheme="majorBidi" w:cstheme="majorBidi"/>
          <w:sz w:val="24"/>
          <w:szCs w:val="24"/>
        </w:rPr>
        <w:t xml:space="preserve">, Vol. (29), No. (2), pp. 25 – 38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Kano, N., N. Seraku, et al (1996). Must-be Quality and Attractive Quality. </w:t>
      </w:r>
      <w:r w:rsidRPr="003658BF">
        <w:rPr>
          <w:rFonts w:asciiTheme="majorBidi" w:hAnsiTheme="majorBidi" w:cstheme="majorBidi"/>
          <w:i/>
          <w:iCs/>
          <w:sz w:val="24"/>
          <w:szCs w:val="24"/>
        </w:rPr>
        <w:t>The Best on Quality,</w:t>
      </w:r>
      <w:r w:rsidRPr="003658BF">
        <w:rPr>
          <w:rFonts w:asciiTheme="majorBidi" w:hAnsiTheme="majorBidi" w:cstheme="majorBidi"/>
          <w:sz w:val="24"/>
          <w:szCs w:val="24"/>
        </w:rPr>
        <w:t xml:space="preserve"> 7: 165.</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Kavitha, S. (2017). Factors Influencing Satisfaction on E-Banking. </w:t>
      </w:r>
      <w:hyperlink r:id="rId35" w:history="1">
        <w:r w:rsidRPr="003658BF">
          <w:rPr>
            <w:rStyle w:val="Hyperlink"/>
            <w:rFonts w:asciiTheme="majorBidi" w:hAnsiTheme="majorBidi" w:cstheme="majorBidi"/>
            <w:i/>
            <w:iCs/>
            <w:sz w:val="24"/>
            <w:szCs w:val="24"/>
          </w:rPr>
          <w:t>AIMS International Journal of Management</w:t>
        </w:r>
      </w:hyperlink>
      <w:r w:rsidRPr="003658BF">
        <w:rPr>
          <w:rFonts w:asciiTheme="majorBidi" w:hAnsiTheme="majorBidi" w:cstheme="majorBidi"/>
          <w:i/>
          <w:iCs/>
          <w:sz w:val="24"/>
          <w:szCs w:val="24"/>
        </w:rPr>
        <w:t xml:space="preserve">, </w:t>
      </w:r>
      <w:r w:rsidRPr="003658BF">
        <w:rPr>
          <w:rFonts w:asciiTheme="majorBidi" w:hAnsiTheme="majorBidi" w:cstheme="majorBidi"/>
          <w:sz w:val="24"/>
          <w:szCs w:val="24"/>
        </w:rPr>
        <w:t xml:space="preserve">Vol. (11), No. (2), pp. 103 – 115 </w:t>
      </w:r>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t xml:space="preserve">Keivani, F., Jouzbarkand, M., Kodadadi, M., &amp; Sourkouhi, Z. </w:t>
      </w:r>
      <w:r w:rsidRPr="003658BF">
        <w:rPr>
          <w:rFonts w:asciiTheme="majorBidi" w:hAnsiTheme="majorBidi" w:cstheme="majorBidi"/>
          <w:sz w:val="24"/>
          <w:szCs w:val="24"/>
        </w:rPr>
        <w:t xml:space="preserve"> (2012). A General View on the E-banking. Retrieved January 17, 2021 from </w:t>
      </w:r>
      <w:hyperlink r:id="rId36" w:history="1">
        <w:r w:rsidRPr="003658BF">
          <w:rPr>
            <w:rStyle w:val="Hyperlink"/>
            <w:rFonts w:asciiTheme="majorBidi" w:hAnsiTheme="majorBidi" w:cstheme="majorBidi"/>
            <w:sz w:val="24"/>
            <w:szCs w:val="24"/>
          </w:rPr>
          <w:t>http://ipedr.com/vol43/013-ICFME2012-M00033.pdf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Ketema, E. and W/Selassie, Y. (2020). The impact of M-banking quality service on customer’s satisfaction during Covid-19 lock down: The case of Bank of Abyssinia, Ethiopia. </w:t>
      </w:r>
      <w:r w:rsidRPr="003658BF">
        <w:rPr>
          <w:rFonts w:asciiTheme="majorBidi" w:hAnsiTheme="majorBidi" w:cstheme="majorBidi"/>
          <w:i/>
          <w:iCs/>
          <w:sz w:val="24"/>
          <w:szCs w:val="24"/>
        </w:rPr>
        <w:t xml:space="preserve">African Journal of Marketing Management, </w:t>
      </w:r>
      <w:r w:rsidRPr="003658BF">
        <w:rPr>
          <w:rFonts w:asciiTheme="majorBidi" w:hAnsiTheme="majorBidi" w:cstheme="majorBidi"/>
          <w:sz w:val="24"/>
          <w:szCs w:val="24"/>
        </w:rPr>
        <w:t xml:space="preserve">Vol. (12), No. (2), pp. 21 – 36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Khalek, Y. (2019). Online Banking in Emerging Markets: Lebanese Case. </w:t>
      </w:r>
      <w:r w:rsidRPr="003658BF">
        <w:rPr>
          <w:rFonts w:asciiTheme="majorBidi" w:hAnsiTheme="majorBidi" w:cstheme="majorBidi"/>
          <w:i/>
          <w:iCs/>
          <w:sz w:val="24"/>
          <w:szCs w:val="24"/>
        </w:rPr>
        <w:t>International Journal of Scientific and Research Publications</w:t>
      </w:r>
      <w:r w:rsidRPr="003658BF">
        <w:rPr>
          <w:rFonts w:asciiTheme="majorBidi" w:hAnsiTheme="majorBidi" w:cstheme="majorBidi"/>
          <w:sz w:val="24"/>
          <w:szCs w:val="24"/>
        </w:rPr>
        <w:t>, Vol. (9), No. (8)</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Kohn, D. (2009). Monetary policy research and the financial crisis: Strength and shortcomings. </w:t>
      </w:r>
      <w:r w:rsidRPr="003658BF">
        <w:rPr>
          <w:rFonts w:asciiTheme="majorBidi" w:hAnsiTheme="majorBidi" w:cstheme="majorBidi"/>
          <w:i/>
          <w:iCs/>
          <w:sz w:val="24"/>
          <w:szCs w:val="24"/>
        </w:rPr>
        <w:t>Speech at the Federal Reserve Conference on key developments in monetary policy, Washington, D.C.</w:t>
      </w:r>
    </w:p>
    <w:p w:rsidR="00493E4F" w:rsidRPr="003658BF" w:rsidRDefault="00493E4F" w:rsidP="00493E4F">
      <w:pPr>
        <w:spacing w:line="360" w:lineRule="auto"/>
        <w:ind w:left="360"/>
        <w:jc w:val="both"/>
        <w:rPr>
          <w:rFonts w:asciiTheme="majorBidi" w:hAnsiTheme="majorBidi" w:cstheme="majorBidi"/>
          <w:i/>
          <w:iCs/>
          <w:sz w:val="24"/>
          <w:szCs w:val="24"/>
        </w:rPr>
      </w:pPr>
      <w:r w:rsidRPr="003658BF">
        <w:rPr>
          <w:rFonts w:asciiTheme="majorBidi" w:hAnsiTheme="majorBidi" w:cstheme="majorBidi"/>
          <w:sz w:val="24"/>
          <w:szCs w:val="24"/>
        </w:rPr>
        <w:t xml:space="preserve">Kotler, P., &amp; Keller, K. (2011). Marketing management (14th ed.). </w:t>
      </w:r>
      <w:r w:rsidRPr="003658BF">
        <w:rPr>
          <w:rFonts w:asciiTheme="majorBidi" w:hAnsiTheme="majorBidi" w:cstheme="majorBidi"/>
          <w:i/>
          <w:iCs/>
          <w:sz w:val="24"/>
          <w:szCs w:val="24"/>
        </w:rPr>
        <w:t>New York, NY: Pearson.</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Lebanon Economic Monitor (2019). So when gravity beckons, the poor don’t fall. Retrieved Feb. 12, 2021 from </w:t>
      </w:r>
      <w:hyperlink r:id="rId37" w:history="1">
        <w:r w:rsidRPr="003658BF">
          <w:rPr>
            <w:rStyle w:val="Hyperlink"/>
            <w:rFonts w:asciiTheme="majorBidi" w:hAnsiTheme="majorBidi" w:cstheme="majorBidi"/>
            <w:sz w:val="24"/>
            <w:szCs w:val="24"/>
          </w:rPr>
          <w:t>https://openknowledge.worldbank.org/handle/10986/33279</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t>Ling, G., Fern, Y. S., Boon, L. K., &amp; Huat, T. S.</w:t>
      </w:r>
      <w:r w:rsidRPr="003658BF">
        <w:rPr>
          <w:rFonts w:asciiTheme="majorBidi" w:hAnsiTheme="majorBidi" w:cstheme="majorBidi"/>
          <w:sz w:val="24"/>
          <w:szCs w:val="24"/>
        </w:rPr>
        <w:t xml:space="preserve"> (2016). Understanding Customer Satisfaction of Internet Banking: A Case Study in Malacca. </w:t>
      </w:r>
      <w:r w:rsidRPr="003658BF">
        <w:rPr>
          <w:rFonts w:asciiTheme="majorBidi" w:hAnsiTheme="majorBidi" w:cstheme="majorBidi"/>
          <w:i/>
          <w:iCs/>
          <w:sz w:val="24"/>
          <w:szCs w:val="24"/>
        </w:rPr>
        <w:t>Procedia Economics and Finance,</w:t>
      </w:r>
      <w:r w:rsidRPr="003658BF">
        <w:rPr>
          <w:rFonts w:asciiTheme="majorBidi" w:hAnsiTheme="majorBidi" w:cstheme="majorBidi"/>
          <w:sz w:val="24"/>
          <w:szCs w:val="24"/>
        </w:rPr>
        <w:t xml:space="preserve"> Vol. (37), pp. 80 – 85</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Loeb, S.</w:t>
      </w:r>
      <w:r>
        <w:rPr>
          <w:rFonts w:asciiTheme="majorBidi" w:hAnsiTheme="majorBidi" w:cstheme="majorBidi"/>
          <w:sz w:val="24"/>
          <w:szCs w:val="24"/>
        </w:rPr>
        <w:t xml:space="preserve">, Morris, P., Dynarski, S., Reardon, S., McFarland, D., &amp; Reber, S. </w:t>
      </w:r>
      <w:r w:rsidRPr="003658BF">
        <w:rPr>
          <w:rFonts w:asciiTheme="majorBidi" w:hAnsiTheme="majorBidi" w:cstheme="majorBidi"/>
          <w:sz w:val="24"/>
          <w:szCs w:val="24"/>
        </w:rPr>
        <w:t xml:space="preserve">(2017). Descriptive analysis in education: A guide for researchers. Retrieved May 10, 2021 from </w:t>
      </w:r>
      <w:hyperlink r:id="rId38" w:history="1">
        <w:r w:rsidRPr="003658BF">
          <w:rPr>
            <w:rStyle w:val="Hyperlink"/>
            <w:rFonts w:asciiTheme="majorBidi" w:hAnsiTheme="majorBidi" w:cstheme="majorBidi"/>
            <w:sz w:val="24"/>
            <w:szCs w:val="24"/>
          </w:rPr>
          <w:t>https://files.eric.ed.gov/fulltext/ED573325.pdf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lastRenderedPageBreak/>
        <w:t xml:space="preserve">Majid, U. </w:t>
      </w:r>
      <w:r w:rsidRPr="003658BF">
        <w:rPr>
          <w:rFonts w:asciiTheme="majorBidi" w:hAnsiTheme="majorBidi" w:cstheme="majorBidi"/>
          <w:sz w:val="24"/>
          <w:szCs w:val="24"/>
        </w:rPr>
        <w:t xml:space="preserve">(2018). Research Fundamentals: Study Design, Population, and Sample Size. </w:t>
      </w:r>
      <w:r w:rsidRPr="003658BF">
        <w:rPr>
          <w:rFonts w:asciiTheme="majorBidi" w:hAnsiTheme="majorBidi" w:cstheme="majorBidi"/>
          <w:i/>
          <w:iCs/>
          <w:sz w:val="24"/>
          <w:szCs w:val="24"/>
        </w:rPr>
        <w:t>URNCST Journal</w:t>
      </w:r>
      <w:r w:rsidRPr="003658BF">
        <w:rPr>
          <w:rFonts w:asciiTheme="majorBidi" w:hAnsiTheme="majorBidi" w:cstheme="majorBidi"/>
          <w:sz w:val="24"/>
          <w:szCs w:val="24"/>
        </w:rPr>
        <w:t>, Volume (2), No. (1)</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Matta, J. (2018). M/SMEs in Lebanon: Status, strategy and outcomes. Retrieved May 12, 2021 from </w:t>
      </w:r>
      <w:hyperlink r:id="rId39" w:history="1">
        <w:r w:rsidRPr="003658BF">
          <w:rPr>
            <w:rStyle w:val="Hyperlink"/>
            <w:rFonts w:asciiTheme="majorBidi" w:hAnsiTheme="majorBidi" w:cstheme="majorBidi"/>
            <w:sz w:val="24"/>
            <w:szCs w:val="24"/>
          </w:rPr>
          <w:t>https://www.economy.gov.lb/media/11222/smes-in-lebanon-180412-19-website.pdf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Merhi, M., Hone, K. &amp; Tarhini, A. (2019). A cross-cultural study of the intention to use mobile banking between Lebanese and British consumers: Extending UTAUT2 with security, privacy and trust. </w:t>
      </w:r>
      <w:r w:rsidRPr="003658BF">
        <w:rPr>
          <w:rFonts w:asciiTheme="majorBidi" w:hAnsiTheme="majorBidi" w:cstheme="majorBidi"/>
          <w:i/>
          <w:iCs/>
          <w:sz w:val="24"/>
          <w:szCs w:val="24"/>
        </w:rPr>
        <w:t xml:space="preserve">Technology in Society, </w:t>
      </w:r>
      <w:r w:rsidRPr="003658BF">
        <w:rPr>
          <w:rFonts w:asciiTheme="majorBidi" w:hAnsiTheme="majorBidi" w:cstheme="majorBidi"/>
          <w:sz w:val="24"/>
          <w:szCs w:val="24"/>
        </w:rPr>
        <w:t>Vol. (59)</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Mcillen, M. (2012). Islamic Banking: A Brief Introduction. Retrieved Feb. 18, 2021 from : </w:t>
      </w:r>
      <w:hyperlink r:id="rId40" w:history="1">
        <w:r w:rsidRPr="003658BF">
          <w:rPr>
            <w:rStyle w:val="Hyperlink"/>
            <w:rFonts w:asciiTheme="majorBidi" w:hAnsiTheme="majorBidi" w:cstheme="majorBidi"/>
            <w:sz w:val="24"/>
            <w:szCs w:val="24"/>
          </w:rPr>
          <w:t>https://www.researchgate.net/publication/277948029</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sz w:val="24"/>
          <w:szCs w:val="24"/>
        </w:rPr>
      </w:pPr>
      <w:r w:rsidRPr="003658BF">
        <w:rPr>
          <w:rFonts w:asciiTheme="majorBidi" w:hAnsiTheme="majorBidi" w:cstheme="majorBidi"/>
          <w:sz w:val="24"/>
          <w:szCs w:val="24"/>
        </w:rPr>
        <w:t xml:space="preserve">Meynkhard, A. (2019). </w:t>
      </w:r>
      <w:r w:rsidRPr="003658BF">
        <w:rPr>
          <w:rFonts w:asciiTheme="majorBidi" w:hAnsiTheme="majorBidi"/>
          <w:sz w:val="24"/>
          <w:szCs w:val="24"/>
        </w:rPr>
        <w:t>Fair market value of bitcoin: halving effect.</w:t>
      </w:r>
      <w:r w:rsidRPr="003658BF">
        <w:rPr>
          <w:rFonts w:asciiTheme="majorBidi" w:hAnsiTheme="majorBidi"/>
          <w:i/>
          <w:iCs/>
          <w:sz w:val="24"/>
          <w:szCs w:val="24"/>
        </w:rPr>
        <w:t xml:space="preserve"> </w:t>
      </w:r>
      <w:hyperlink r:id="rId41" w:history="1">
        <w:r w:rsidRPr="003658BF">
          <w:rPr>
            <w:rStyle w:val="Hyperlink"/>
            <w:rFonts w:asciiTheme="majorBidi" w:hAnsiTheme="majorBidi"/>
            <w:i/>
            <w:iCs/>
            <w:sz w:val="24"/>
            <w:szCs w:val="24"/>
          </w:rPr>
          <w:t>Investment Management and Financial Innovations</w:t>
        </w:r>
      </w:hyperlink>
      <w:r w:rsidRPr="003658BF">
        <w:rPr>
          <w:rFonts w:asciiTheme="majorBidi" w:hAnsiTheme="majorBidi"/>
          <w:sz w:val="24"/>
          <w:szCs w:val="24"/>
        </w:rPr>
        <w:t xml:space="preserve">, Vol.(16), No. (4), pp. 72 – 85 </w:t>
      </w:r>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t xml:space="preserve">Mia, A., Rahman, M., &amp; Uddin, M. </w:t>
      </w:r>
      <w:r w:rsidRPr="003658BF">
        <w:rPr>
          <w:rFonts w:asciiTheme="majorBidi" w:hAnsiTheme="majorBidi" w:cstheme="majorBidi"/>
          <w:sz w:val="24"/>
          <w:szCs w:val="24"/>
        </w:rPr>
        <w:t xml:space="preserve"> (2007). E-Banking: Evolution, Status and Prospects. </w:t>
      </w:r>
      <w:r w:rsidRPr="003658BF">
        <w:rPr>
          <w:rFonts w:asciiTheme="majorBidi" w:hAnsiTheme="majorBidi" w:cstheme="majorBidi"/>
          <w:i/>
          <w:iCs/>
          <w:sz w:val="24"/>
          <w:szCs w:val="24"/>
        </w:rPr>
        <w:t xml:space="preserve">The Cost and Management, </w:t>
      </w:r>
      <w:r w:rsidRPr="003658BF">
        <w:rPr>
          <w:rFonts w:asciiTheme="majorBidi" w:hAnsiTheme="majorBidi" w:cstheme="majorBidi"/>
          <w:sz w:val="24"/>
          <w:szCs w:val="24"/>
        </w:rPr>
        <w:t xml:space="preserve">Vol. (35), No. (1), pp. 36 – 48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Mill, R. (2011). A Comprehensive Model of Customer Satisfaction In Hospitality And Tourism: Strategic Implications For Management. </w:t>
      </w:r>
      <w:r w:rsidRPr="003658BF">
        <w:rPr>
          <w:rFonts w:asciiTheme="majorBidi" w:hAnsiTheme="majorBidi" w:cstheme="majorBidi"/>
          <w:i/>
          <w:iCs/>
          <w:sz w:val="24"/>
          <w:szCs w:val="24"/>
        </w:rPr>
        <w:t>International Business &amp;Economics Research Journal</w:t>
      </w:r>
      <w:r w:rsidRPr="003658BF">
        <w:rPr>
          <w:rFonts w:asciiTheme="majorBidi" w:hAnsiTheme="majorBidi" w:cstheme="majorBidi"/>
          <w:sz w:val="24"/>
          <w:szCs w:val="24"/>
        </w:rPr>
        <w:t xml:space="preserve">, Vol. (1), No. (6), pp. 7 – 18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Mukaka, M. (2012). Statistics Corner: A guide to appropriate use of Correlation coefficient in medical research. </w:t>
      </w:r>
      <w:r w:rsidRPr="003658BF">
        <w:rPr>
          <w:rFonts w:asciiTheme="majorBidi" w:hAnsiTheme="majorBidi" w:cstheme="majorBidi"/>
          <w:i/>
          <w:iCs/>
          <w:sz w:val="24"/>
          <w:szCs w:val="24"/>
        </w:rPr>
        <w:t xml:space="preserve">Malawi Medical Journal, </w:t>
      </w:r>
      <w:r w:rsidRPr="003658BF">
        <w:rPr>
          <w:rFonts w:asciiTheme="majorBidi" w:hAnsiTheme="majorBidi" w:cstheme="majorBidi"/>
          <w:sz w:val="24"/>
          <w:szCs w:val="24"/>
        </w:rPr>
        <w:t xml:space="preserve">Vol. (24), No. (3), pp. 69 – 71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Murugiah, L. &amp; Akgam, H. (2015). Study of Customer Satisfaction in the Banking Sector in Libya. </w:t>
      </w:r>
      <w:r w:rsidRPr="003658BF">
        <w:rPr>
          <w:rFonts w:asciiTheme="majorBidi" w:hAnsiTheme="majorBidi" w:cstheme="majorBidi"/>
          <w:i/>
          <w:iCs/>
          <w:sz w:val="24"/>
          <w:szCs w:val="24"/>
        </w:rPr>
        <w:t>Journal of Economics, Business and Management</w:t>
      </w:r>
      <w:r w:rsidRPr="003658BF">
        <w:rPr>
          <w:rFonts w:asciiTheme="majorBidi" w:hAnsiTheme="majorBidi" w:cstheme="majorBidi"/>
          <w:sz w:val="24"/>
          <w:szCs w:val="24"/>
        </w:rPr>
        <w:t xml:space="preserve">, Vol. (3), No. (7), pp. 674 – 677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Oliver (1980) “Theoretical Bases of Consumer Satisfaction Research: Review, critique, and future direction. </w:t>
      </w:r>
      <w:r w:rsidRPr="003658BF">
        <w:rPr>
          <w:rFonts w:asciiTheme="majorBidi" w:hAnsiTheme="majorBidi" w:cstheme="majorBidi"/>
          <w:i/>
          <w:iCs/>
          <w:sz w:val="24"/>
          <w:szCs w:val="24"/>
        </w:rPr>
        <w:t>C. Lamb &amp; P. Dunne (Eds), Theoretical Developments in Marketing,</w:t>
      </w:r>
      <w:r w:rsidRPr="003658BF">
        <w:rPr>
          <w:rFonts w:asciiTheme="majorBidi" w:hAnsiTheme="majorBidi" w:cstheme="majorBidi"/>
          <w:sz w:val="24"/>
          <w:szCs w:val="24"/>
        </w:rPr>
        <w:t xml:space="preserve"> pp. 206 – 210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Ozatac, N.</w:t>
      </w:r>
      <w:r>
        <w:rPr>
          <w:rFonts w:asciiTheme="majorBidi" w:hAnsiTheme="majorBidi" w:cstheme="majorBidi"/>
          <w:sz w:val="24"/>
          <w:szCs w:val="24"/>
        </w:rPr>
        <w:t>, Saner, T., &amp; Sen, Z.</w:t>
      </w:r>
      <w:r w:rsidRPr="003658BF">
        <w:rPr>
          <w:rFonts w:asciiTheme="majorBidi" w:hAnsiTheme="majorBidi" w:cstheme="majorBidi"/>
          <w:sz w:val="24"/>
          <w:szCs w:val="24"/>
        </w:rPr>
        <w:t xml:space="preserve"> (2016). Customer Satisfaction in the Banking Sector : The Case of North Cyprus. doi: 10.1016/S2212-5671(16)30247-7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lastRenderedPageBreak/>
        <w:t xml:space="preserve">Pagano, M., (1993). Financial markets and growth: An overview. </w:t>
      </w:r>
      <w:r w:rsidRPr="003658BF">
        <w:rPr>
          <w:rFonts w:asciiTheme="majorBidi" w:hAnsiTheme="majorBidi" w:cstheme="majorBidi"/>
          <w:i/>
          <w:iCs/>
          <w:sz w:val="24"/>
          <w:szCs w:val="24"/>
        </w:rPr>
        <w:t>European Economic Review</w:t>
      </w:r>
      <w:r w:rsidRPr="003658BF">
        <w:rPr>
          <w:rFonts w:asciiTheme="majorBidi" w:hAnsiTheme="majorBidi" w:cstheme="majorBidi"/>
          <w:sz w:val="24"/>
          <w:szCs w:val="24"/>
        </w:rPr>
        <w:t xml:space="preserve">, Vol. (37), pp. 613 – 622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Parasuraman, A., Valarie, A. Zeithamal, and Leonard L. Berry (1988). “SERVQUAL: A Multiple-Item Scale for Measuring consumer Perceptions of Service Quality. </w:t>
      </w:r>
      <w:r w:rsidRPr="003658BF">
        <w:rPr>
          <w:rFonts w:asciiTheme="majorBidi" w:hAnsiTheme="majorBidi" w:cstheme="majorBidi"/>
          <w:i/>
          <w:iCs/>
          <w:sz w:val="24"/>
          <w:szCs w:val="24"/>
        </w:rPr>
        <w:t>Journal of Retailing</w:t>
      </w:r>
      <w:r w:rsidRPr="003658BF">
        <w:rPr>
          <w:rFonts w:asciiTheme="majorBidi" w:hAnsiTheme="majorBidi" w:cstheme="majorBidi"/>
          <w:sz w:val="24"/>
          <w:szCs w:val="24"/>
        </w:rPr>
        <w:t xml:space="preserve">, Vol. (64), No.(1), pp. 12 – 40  </w:t>
      </w:r>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t>Park, K., Cha, M., &amp; Rhim, E.</w:t>
      </w:r>
      <w:r w:rsidRPr="003658BF">
        <w:rPr>
          <w:rFonts w:asciiTheme="majorBidi" w:hAnsiTheme="majorBidi" w:cstheme="majorBidi"/>
          <w:sz w:val="24"/>
          <w:szCs w:val="24"/>
        </w:rPr>
        <w:t xml:space="preserve"> (2016). Positivity Bias in Customer Satisfaction Ratings. Retrieved April 12, 2021 from </w:t>
      </w:r>
      <w:hyperlink r:id="rId42" w:history="1">
        <w:r w:rsidRPr="003658BF">
          <w:rPr>
            <w:rStyle w:val="Hyperlink"/>
            <w:rFonts w:asciiTheme="majorBidi" w:hAnsiTheme="majorBidi" w:cstheme="majorBidi"/>
            <w:sz w:val="24"/>
            <w:szCs w:val="24"/>
          </w:rPr>
          <w:t>https://arxiv.org/pdf/1803.03346.pdf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t>Peters, D., Raad, E., &amp; Sinkey, J.</w:t>
      </w:r>
      <w:r w:rsidRPr="003658BF">
        <w:rPr>
          <w:rFonts w:asciiTheme="majorBidi" w:hAnsiTheme="majorBidi" w:cstheme="majorBidi"/>
          <w:sz w:val="24"/>
          <w:szCs w:val="24"/>
        </w:rPr>
        <w:t xml:space="preserve"> (2004). The Performance of Banks in Post-war Lebanon. </w:t>
      </w:r>
      <w:r w:rsidRPr="003658BF">
        <w:rPr>
          <w:rFonts w:asciiTheme="majorBidi" w:hAnsiTheme="majorBidi" w:cstheme="majorBidi"/>
          <w:i/>
          <w:iCs/>
          <w:sz w:val="24"/>
          <w:szCs w:val="24"/>
        </w:rPr>
        <w:t xml:space="preserve">International Journal of Business, </w:t>
      </w:r>
      <w:r w:rsidRPr="003658BF">
        <w:rPr>
          <w:rFonts w:asciiTheme="majorBidi" w:hAnsiTheme="majorBidi" w:cstheme="majorBidi"/>
          <w:sz w:val="24"/>
          <w:szCs w:val="24"/>
        </w:rPr>
        <w:t xml:space="preserve">Vol. (9), No. (3), pp. 259 – 286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Peyton, R., Pitts, S., Kamery, R.H., (2003). Consumer Satisfaction/Dissatisfaction: a review of the literature prior to the 1990’s. </w:t>
      </w:r>
      <w:r w:rsidRPr="003658BF">
        <w:rPr>
          <w:rFonts w:asciiTheme="majorBidi" w:hAnsiTheme="majorBidi" w:cstheme="majorBidi"/>
          <w:i/>
          <w:iCs/>
          <w:sz w:val="24"/>
          <w:szCs w:val="24"/>
        </w:rPr>
        <w:t>Proceedings of the Academy of Organizational Culture, Communication and Conflict</w:t>
      </w:r>
      <w:r w:rsidRPr="003658BF">
        <w:rPr>
          <w:rFonts w:asciiTheme="majorBidi" w:hAnsiTheme="majorBidi" w:cstheme="majorBidi"/>
          <w:sz w:val="24"/>
          <w:szCs w:val="24"/>
        </w:rPr>
        <w:t>, Vol. (7), No. (2)</w:t>
      </w:r>
    </w:p>
    <w:p w:rsidR="00493E4F" w:rsidRPr="003658BF" w:rsidRDefault="00493E4F" w:rsidP="00493E4F">
      <w:pPr>
        <w:spacing w:line="360" w:lineRule="auto"/>
        <w:ind w:left="360"/>
        <w:jc w:val="both"/>
        <w:rPr>
          <w:rFonts w:asciiTheme="majorBidi" w:hAnsiTheme="majorBidi" w:cstheme="majorBidi"/>
          <w:sz w:val="24"/>
          <w:szCs w:val="24"/>
        </w:rPr>
      </w:pPr>
      <w:r>
        <w:rPr>
          <w:rFonts w:asciiTheme="majorBidi" w:hAnsiTheme="majorBidi" w:cstheme="majorBidi"/>
          <w:sz w:val="24"/>
          <w:szCs w:val="24"/>
        </w:rPr>
        <w:t>Prasetyo, Y., Tanto, H., Mariyanto, M., Hanjaya, C., Young, M., Pesada, S., Miraja, B., and Redi, A.</w:t>
      </w:r>
      <w:r w:rsidRPr="003658BF">
        <w:rPr>
          <w:rFonts w:asciiTheme="majorBidi" w:hAnsiTheme="majorBidi" w:cstheme="majorBidi"/>
          <w:sz w:val="24"/>
          <w:szCs w:val="24"/>
        </w:rPr>
        <w:t xml:space="preserve"> (2021). Factors Affecting Customer Satisfaction and Loyalty in Online Food Delivery Service during the COVID-19 Pandemic: Its Relation with Open Innovation. </w:t>
      </w:r>
      <w:r w:rsidRPr="003658BF">
        <w:rPr>
          <w:rFonts w:asciiTheme="majorBidi" w:hAnsiTheme="majorBidi" w:cstheme="majorBidi"/>
          <w:i/>
          <w:iCs/>
          <w:sz w:val="24"/>
          <w:szCs w:val="24"/>
        </w:rPr>
        <w:t xml:space="preserve">Journal of Open Innovation, </w:t>
      </w:r>
      <w:r w:rsidRPr="003658BF">
        <w:rPr>
          <w:rFonts w:asciiTheme="majorBidi" w:hAnsiTheme="majorBidi" w:cstheme="majorBidi"/>
          <w:sz w:val="24"/>
          <w:szCs w:val="24"/>
        </w:rPr>
        <w:t xml:space="preserve">Vol. (7),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Pyun C. S., Scruggs L., Nam K., (2002).  Internet banking in the U.S.., Japan and Europe. </w:t>
      </w:r>
      <w:r w:rsidRPr="003658BF">
        <w:rPr>
          <w:rFonts w:asciiTheme="majorBidi" w:hAnsiTheme="majorBidi" w:cstheme="majorBidi"/>
          <w:i/>
          <w:iCs/>
          <w:sz w:val="24"/>
          <w:szCs w:val="24"/>
        </w:rPr>
        <w:t>Multinational Business Review</w:t>
      </w:r>
      <w:r w:rsidRPr="003658BF">
        <w:rPr>
          <w:rFonts w:asciiTheme="majorBidi" w:hAnsiTheme="majorBidi" w:cstheme="majorBidi"/>
          <w:sz w:val="24"/>
          <w:szCs w:val="24"/>
        </w:rPr>
        <w:t xml:space="preserve">, Vol. (10), No. (2), pp. 73 – 81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Qadeer, S. (2013). Service Quality &amp; Customer Satisfaction A case study in Banking Sector. Retrieved May 16, 2021 from </w:t>
      </w:r>
      <w:hyperlink r:id="rId43" w:history="1">
        <w:r w:rsidRPr="003658BF">
          <w:rPr>
            <w:rStyle w:val="Hyperlink"/>
            <w:rFonts w:asciiTheme="majorBidi" w:hAnsiTheme="majorBidi" w:cstheme="majorBidi"/>
            <w:sz w:val="24"/>
            <w:szCs w:val="24"/>
          </w:rPr>
          <w:t>http://www.diva-portal.org/smash/get/diva2:706160/FULLTEXT02.pdf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Saha, S. (2016). An Analysis of Internet Banking Service Quality Affecting Customer Satisfaction with a focus on United Commercial Bank Limited in Bangladesh. Journal of Marketing and Consumer Research, Vol. (20), pp. 48 – 63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Salehi, M. &amp; Alipour, M. (2010). E-Banking in Emerging Economy: Empirical Evidence of Iran. </w:t>
      </w:r>
      <w:r w:rsidRPr="003658BF">
        <w:rPr>
          <w:rFonts w:asciiTheme="majorBidi" w:hAnsiTheme="majorBidi" w:cstheme="majorBidi"/>
          <w:i/>
          <w:iCs/>
          <w:sz w:val="24"/>
          <w:szCs w:val="24"/>
        </w:rPr>
        <w:t xml:space="preserve">International Journal of Economics and Finance, </w:t>
      </w:r>
      <w:r w:rsidRPr="003658BF">
        <w:rPr>
          <w:rFonts w:asciiTheme="majorBidi" w:hAnsiTheme="majorBidi" w:cstheme="majorBidi"/>
          <w:sz w:val="24"/>
          <w:szCs w:val="24"/>
        </w:rPr>
        <w:t xml:space="preserve">Vol. (2), No. (1), pp. 201 – 209 </w:t>
      </w:r>
    </w:p>
    <w:p w:rsidR="00493E4F" w:rsidRPr="003658BF" w:rsidRDefault="00493E4F" w:rsidP="00493E4F">
      <w:pPr>
        <w:spacing w:line="360" w:lineRule="auto"/>
        <w:ind w:left="360"/>
        <w:jc w:val="both"/>
        <w:rPr>
          <w:rFonts w:asciiTheme="majorBidi" w:hAnsiTheme="majorBidi"/>
          <w:sz w:val="24"/>
          <w:szCs w:val="24"/>
        </w:rPr>
      </w:pPr>
      <w:r>
        <w:rPr>
          <w:rFonts w:asciiTheme="majorBidi" w:hAnsiTheme="majorBidi" w:cstheme="majorBidi"/>
          <w:sz w:val="24"/>
          <w:szCs w:val="24"/>
        </w:rPr>
        <w:lastRenderedPageBreak/>
        <w:t xml:space="preserve">Sleimi, M., Karam, A., &amp; Qubbaj, I. </w:t>
      </w:r>
      <w:r w:rsidRPr="003658BF">
        <w:rPr>
          <w:rFonts w:asciiTheme="majorBidi" w:hAnsiTheme="majorBidi" w:cstheme="majorBidi"/>
          <w:sz w:val="24"/>
          <w:szCs w:val="24"/>
        </w:rPr>
        <w:t xml:space="preserve">(2018). </w:t>
      </w:r>
      <w:r w:rsidRPr="003658BF">
        <w:rPr>
          <w:rFonts w:asciiTheme="majorBidi" w:hAnsiTheme="majorBidi"/>
          <w:sz w:val="24"/>
          <w:szCs w:val="24"/>
        </w:rPr>
        <w:t>The Impact of E-Banking Services Quality on Customers Satisfaction Moderated by Customer Trust: Survey on Arab Bank in Amman, Jordan. DOI:</w:t>
      </w:r>
      <w:hyperlink r:id="rId44" w:tgtFrame="_blank" w:history="1">
        <w:r w:rsidRPr="003658BF">
          <w:rPr>
            <w:rStyle w:val="Hyperlink"/>
            <w:rFonts w:asciiTheme="majorBidi" w:hAnsiTheme="majorBidi"/>
            <w:sz w:val="24"/>
            <w:szCs w:val="24"/>
          </w:rPr>
          <w:t>10.5281/zenodo.1405450</w:t>
        </w:r>
      </w:hyperlink>
      <w:r w:rsidRPr="003658BF">
        <w:rPr>
          <w:rFonts w:asciiTheme="majorBidi" w:hAnsi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i/>
          <w:iCs/>
          <w:sz w:val="24"/>
          <w:szCs w:val="24"/>
        </w:rPr>
      </w:pPr>
      <w:r w:rsidRPr="003658BF">
        <w:rPr>
          <w:rFonts w:asciiTheme="majorBidi" w:hAnsiTheme="majorBidi" w:cstheme="majorBidi"/>
          <w:sz w:val="24"/>
          <w:szCs w:val="24"/>
        </w:rPr>
        <w:t xml:space="preserve">Samuelson, P., &amp; Nordhaus, W. (1995). Economics. </w:t>
      </w:r>
      <w:r w:rsidRPr="003658BF">
        <w:rPr>
          <w:rFonts w:asciiTheme="majorBidi" w:hAnsiTheme="majorBidi" w:cstheme="majorBidi"/>
          <w:i/>
          <w:iCs/>
          <w:sz w:val="24"/>
          <w:szCs w:val="24"/>
        </w:rPr>
        <w:t>New York: McGraw-Hill</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Soiferman, L. (2010). Compare and Contrast Inductive and Deductive: Research Approaches. Retrieved Mar. 1, 2021 from </w:t>
      </w:r>
      <w:hyperlink r:id="rId45" w:history="1">
        <w:r w:rsidRPr="003658BF">
          <w:rPr>
            <w:rStyle w:val="Hyperlink"/>
            <w:rFonts w:asciiTheme="majorBidi" w:hAnsiTheme="majorBidi" w:cstheme="majorBidi"/>
            <w:sz w:val="24"/>
            <w:szCs w:val="24"/>
          </w:rPr>
          <w:t>https://files.eric.ed.gov/fulltext/ED542066.pdf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i/>
          <w:iCs/>
          <w:sz w:val="24"/>
          <w:szCs w:val="24"/>
        </w:rPr>
      </w:pPr>
      <w:r w:rsidRPr="003658BF">
        <w:rPr>
          <w:rFonts w:asciiTheme="majorBidi" w:hAnsiTheme="majorBidi" w:cstheme="majorBidi"/>
          <w:sz w:val="24"/>
          <w:szCs w:val="24"/>
        </w:rPr>
        <w:t xml:space="preserve">Taherdoost, H. (2016). Sampling Methods in Research Methodology; How to Choose a Sampling Technique for Research. </w:t>
      </w:r>
      <w:r w:rsidRPr="003658BF">
        <w:rPr>
          <w:rFonts w:asciiTheme="majorBidi" w:hAnsiTheme="majorBidi" w:cstheme="majorBidi"/>
          <w:i/>
          <w:iCs/>
          <w:sz w:val="24"/>
          <w:szCs w:val="24"/>
        </w:rPr>
        <w:t>International Journal of Academic Research in Management,</w:t>
      </w:r>
      <w:r w:rsidRPr="003658BF">
        <w:rPr>
          <w:rFonts w:asciiTheme="majorBidi" w:hAnsiTheme="majorBidi" w:cstheme="majorBidi"/>
          <w:sz w:val="24"/>
          <w:szCs w:val="24"/>
        </w:rPr>
        <w:t xml:space="preserve"> Vol. (5), No. (1), pp. 18 – 27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Thosmas, L. (2020). Independent and dependent variables. Retrieved Feb 3, 2021 from </w:t>
      </w:r>
      <w:hyperlink r:id="rId46" w:history="1">
        <w:r w:rsidRPr="003658BF">
          <w:rPr>
            <w:rStyle w:val="Hyperlink"/>
            <w:rFonts w:asciiTheme="majorBidi" w:hAnsiTheme="majorBidi" w:cstheme="majorBidi"/>
            <w:sz w:val="24"/>
            <w:szCs w:val="24"/>
          </w:rPr>
          <w:t>https://www.scribbr.com/methodology/independent-and-dependent-variables/</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Tolba, A.</w:t>
      </w:r>
      <w:r>
        <w:rPr>
          <w:rFonts w:asciiTheme="majorBidi" w:hAnsiTheme="majorBidi" w:cstheme="majorBidi"/>
          <w:sz w:val="24"/>
          <w:szCs w:val="24"/>
        </w:rPr>
        <w:t>, Seoudi, I., Meshriki, H., &amp; AbdelShahid, M.</w:t>
      </w:r>
      <w:r w:rsidRPr="003658BF">
        <w:rPr>
          <w:rFonts w:asciiTheme="majorBidi" w:hAnsiTheme="majorBidi" w:cstheme="majorBidi"/>
          <w:sz w:val="24"/>
          <w:szCs w:val="24"/>
        </w:rPr>
        <w:t xml:space="preserve"> (2015). Impact of Ethical Sales Behavior, Quality and Image on Customer Satisfaction and Loyalty: Evidence from Retail Banking in Egypt. </w:t>
      </w:r>
      <w:r w:rsidRPr="003658BF">
        <w:rPr>
          <w:rFonts w:asciiTheme="majorBidi" w:hAnsiTheme="majorBidi" w:cstheme="majorBidi"/>
          <w:i/>
          <w:iCs/>
          <w:sz w:val="24"/>
          <w:szCs w:val="24"/>
        </w:rPr>
        <w:t xml:space="preserve">International Journal of Management and Marketing Research, </w:t>
      </w:r>
      <w:r w:rsidRPr="003658BF">
        <w:rPr>
          <w:rFonts w:asciiTheme="majorBidi" w:hAnsiTheme="majorBidi" w:cstheme="majorBidi"/>
          <w:sz w:val="24"/>
          <w:szCs w:val="24"/>
        </w:rPr>
        <w:t>Vol. (8), No.( 2),  pp. 1 – 18</w:t>
      </w:r>
      <w:r w:rsidRPr="003658BF">
        <w:rPr>
          <w:rFonts w:asciiTheme="majorBidi" w:hAnsiTheme="majorBidi" w:cstheme="majorBidi"/>
          <w:i/>
          <w:iCs/>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Trade Economics (2020). World Population Review 2020. Retrieved Feb 17, 2021 from  https://tradingeconomics.com/ country-list/government-debt-to-gdp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Torbey, A. (2017). The Role of the Banking Sector in the Growth of Lebanese Economy. Retrieved January 13, 2021 from </w:t>
      </w:r>
      <w:hyperlink r:id="rId47" w:history="1">
        <w:r w:rsidRPr="003658BF">
          <w:rPr>
            <w:rStyle w:val="Hyperlink"/>
            <w:rFonts w:asciiTheme="majorBidi" w:hAnsiTheme="majorBidi" w:cstheme="majorBidi"/>
            <w:sz w:val="24"/>
            <w:szCs w:val="24"/>
          </w:rPr>
          <w:t>https://lebanon.eptalex.com/sites/default/files/Banking-Sector-and-Lebanese-Economy.pdf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Ul Haq, I. and Awan, T. (2020). Impact of e-banking service quality on e-loyalty in pandemic times through interplay of e-satisfaction. </w:t>
      </w:r>
      <w:r w:rsidRPr="003658BF">
        <w:rPr>
          <w:rFonts w:asciiTheme="majorBidi" w:hAnsiTheme="majorBidi" w:cstheme="majorBidi"/>
          <w:i/>
          <w:iCs/>
          <w:sz w:val="24"/>
          <w:szCs w:val="24"/>
        </w:rPr>
        <w:t xml:space="preserve">Vilakshan - XIMB Journal of Management, </w:t>
      </w:r>
      <w:r w:rsidRPr="003658BF">
        <w:rPr>
          <w:rFonts w:asciiTheme="majorBidi" w:hAnsiTheme="majorBidi" w:cstheme="majorBidi"/>
          <w:sz w:val="24"/>
          <w:szCs w:val="24"/>
        </w:rPr>
        <w:t xml:space="preserve">Vol. (17), No. (1/2), pp. 39 – 55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UNESCO (2020). Cultural Policies and Development. Retrieved Feb. 3, 2021 from </w:t>
      </w:r>
      <w:hyperlink r:id="rId48" w:history="1">
        <w:r w:rsidRPr="003658BF">
          <w:rPr>
            <w:rStyle w:val="Hyperlink"/>
            <w:rFonts w:asciiTheme="majorBidi" w:hAnsiTheme="majorBidi" w:cstheme="majorBidi"/>
            <w:sz w:val="24"/>
            <w:szCs w:val="24"/>
          </w:rPr>
          <w:t>https://en.unesco.org/sites/default/files/clt-cpd_lebanon_analysis_2020.pdf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lastRenderedPageBreak/>
        <w:t xml:space="preserve">Vavra, T.G. (1997). Improving Your Measurement of Customer Satisfaction: A Guide to Creating, Conducting, Analyzing, and Reporting Customer Satisfaction Measurement Programs. </w:t>
      </w:r>
      <w:r w:rsidRPr="003658BF">
        <w:rPr>
          <w:rFonts w:asciiTheme="majorBidi" w:hAnsiTheme="majorBidi" w:cstheme="majorBidi"/>
          <w:i/>
          <w:iCs/>
          <w:sz w:val="24"/>
          <w:szCs w:val="24"/>
        </w:rPr>
        <w:t>American Society for Quality</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Vrincianu, M. &amp; Popa, L. (2010). Considerations Regarding the Security and Portection of E-banking Services Consumers’ Interest. Retrieved May 13, 2021 from </w:t>
      </w:r>
      <w:hyperlink r:id="rId49" w:history="1">
        <w:r w:rsidRPr="003658BF">
          <w:rPr>
            <w:rStyle w:val="Hyperlink"/>
            <w:rFonts w:asciiTheme="majorBidi" w:hAnsiTheme="majorBidi" w:cstheme="majorBidi"/>
            <w:sz w:val="24"/>
            <w:szCs w:val="24"/>
          </w:rPr>
          <w:t>https://core.ac.uk/download/pdf/6492899.pdf</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Werner, R. (2015). A lost century in economics: Three theories of banking and the conclusive evidence. Retrieved Feb 18, 2021 from </w:t>
      </w:r>
      <w:hyperlink r:id="rId50" w:history="1">
        <w:r w:rsidRPr="003658BF">
          <w:rPr>
            <w:rStyle w:val="Hyperlink"/>
            <w:rFonts w:asciiTheme="majorBidi" w:hAnsiTheme="majorBidi" w:cstheme="majorBidi"/>
            <w:sz w:val="24"/>
            <w:szCs w:val="24"/>
          </w:rPr>
          <w:t>http://creativecommons.org/licenses/by-nc-nd/4.0/</w:t>
        </w:r>
      </w:hyperlink>
      <w:r w:rsidRPr="003658BF">
        <w:rPr>
          <w:rFonts w:asciiTheme="majorBidi" w:hAnsiTheme="majorBidi" w:cstheme="majorBidi"/>
          <w:sz w:val="24"/>
          <w:szCs w:val="24"/>
        </w:rPr>
        <w:t xml:space="preserve"> </w:t>
      </w:r>
    </w:p>
    <w:p w:rsidR="00493E4F" w:rsidRPr="003658BF" w:rsidRDefault="00493E4F" w:rsidP="00493E4F">
      <w:pPr>
        <w:spacing w:line="360" w:lineRule="auto"/>
        <w:ind w:left="360"/>
        <w:jc w:val="both"/>
        <w:rPr>
          <w:rFonts w:asciiTheme="majorBidi" w:hAnsiTheme="majorBidi" w:cstheme="majorBidi"/>
          <w:sz w:val="24"/>
          <w:szCs w:val="24"/>
        </w:rPr>
      </w:pPr>
      <w:r w:rsidRPr="003658BF">
        <w:rPr>
          <w:rFonts w:asciiTheme="majorBidi" w:hAnsiTheme="majorBidi" w:cstheme="majorBidi"/>
          <w:sz w:val="24"/>
          <w:szCs w:val="24"/>
        </w:rPr>
        <w:t xml:space="preserve">World Bank (2019). Lebanon Economic Monitor: So when gravity beckons, the poor don’t fall. Retrieved January 11, 2021 from </w:t>
      </w:r>
      <w:hyperlink r:id="rId51" w:history="1">
        <w:r w:rsidRPr="003658BF">
          <w:rPr>
            <w:rStyle w:val="Hyperlink"/>
            <w:rFonts w:asciiTheme="majorBidi" w:hAnsiTheme="majorBidi" w:cstheme="majorBidi"/>
            <w:sz w:val="24"/>
            <w:szCs w:val="24"/>
          </w:rPr>
          <w:t>https://www.worldbank.org/en/country/lebanon/publication/lebanon-economic-monitor-fall-2019</w:t>
        </w:r>
      </w:hyperlink>
      <w:r w:rsidRPr="003658BF">
        <w:rPr>
          <w:rFonts w:asciiTheme="majorBidi" w:hAnsiTheme="majorBidi" w:cstheme="majorBidi"/>
          <w:sz w:val="24"/>
          <w:szCs w:val="24"/>
        </w:rPr>
        <w:t xml:space="preserve"> </w:t>
      </w:r>
    </w:p>
    <w:p w:rsidR="00493E4F" w:rsidRDefault="00493E4F" w:rsidP="00493E4F">
      <w:pPr>
        <w:spacing w:line="360" w:lineRule="auto"/>
        <w:ind w:left="360"/>
        <w:jc w:val="both"/>
        <w:rPr>
          <w:rFonts w:asciiTheme="majorBidi" w:hAnsiTheme="majorBidi"/>
          <w:sz w:val="24"/>
          <w:szCs w:val="24"/>
        </w:rPr>
      </w:pPr>
      <w:r w:rsidRPr="003658BF">
        <w:rPr>
          <w:rFonts w:asciiTheme="majorBidi" w:hAnsiTheme="majorBidi" w:cstheme="majorBidi"/>
          <w:sz w:val="24"/>
          <w:szCs w:val="24"/>
        </w:rPr>
        <w:t xml:space="preserve">Yee, V. (2019). </w:t>
      </w:r>
      <w:r w:rsidRPr="003658BF">
        <w:rPr>
          <w:rFonts w:asciiTheme="majorBidi" w:hAnsiTheme="majorBidi"/>
          <w:sz w:val="24"/>
          <w:szCs w:val="24"/>
        </w:rPr>
        <w:t xml:space="preserve">Lebanon Protesters Shut Down Parliament and Clash with Police. Retrieved January 12, 2021 from </w:t>
      </w:r>
      <w:hyperlink r:id="rId52" w:history="1">
        <w:r w:rsidRPr="003658BF">
          <w:rPr>
            <w:rStyle w:val="Hyperlink"/>
            <w:rFonts w:asciiTheme="majorBidi" w:hAnsiTheme="majorBidi"/>
            <w:sz w:val="24"/>
            <w:szCs w:val="24"/>
          </w:rPr>
          <w:t>https://www.nytimes.com/2019/11/19/world/middleeast/lebanon-parliament-protest.html</w:t>
        </w:r>
      </w:hyperlink>
      <w:r w:rsidRPr="003658BF">
        <w:rPr>
          <w:rFonts w:asciiTheme="majorBidi" w:hAnsiTheme="majorBidi"/>
          <w:sz w:val="24"/>
          <w:szCs w:val="24"/>
        </w:rPr>
        <w:t xml:space="preserve"> </w:t>
      </w:r>
    </w:p>
    <w:p w:rsidR="002C06C4" w:rsidRDefault="002C06C4" w:rsidP="00493E4F">
      <w:pPr>
        <w:spacing w:line="360" w:lineRule="auto"/>
        <w:ind w:left="360"/>
        <w:jc w:val="both"/>
        <w:rPr>
          <w:rFonts w:asciiTheme="majorBidi" w:hAnsiTheme="majorBidi"/>
          <w:sz w:val="24"/>
          <w:szCs w:val="24"/>
        </w:rPr>
      </w:pPr>
    </w:p>
    <w:p w:rsidR="002C06C4" w:rsidRDefault="002C06C4" w:rsidP="00493E4F">
      <w:pPr>
        <w:spacing w:line="360" w:lineRule="auto"/>
        <w:ind w:left="360"/>
        <w:jc w:val="both"/>
        <w:rPr>
          <w:rFonts w:asciiTheme="majorBidi" w:hAnsiTheme="majorBidi"/>
          <w:sz w:val="24"/>
          <w:szCs w:val="24"/>
        </w:rPr>
      </w:pPr>
    </w:p>
    <w:p w:rsidR="002C06C4" w:rsidRDefault="002C06C4" w:rsidP="00493E4F">
      <w:pPr>
        <w:spacing w:line="360" w:lineRule="auto"/>
        <w:ind w:left="360"/>
        <w:jc w:val="both"/>
        <w:rPr>
          <w:rFonts w:asciiTheme="majorBidi" w:hAnsiTheme="majorBidi"/>
          <w:sz w:val="24"/>
          <w:szCs w:val="24"/>
        </w:rPr>
      </w:pPr>
    </w:p>
    <w:p w:rsidR="002C06C4" w:rsidRDefault="002C06C4" w:rsidP="00493E4F">
      <w:pPr>
        <w:spacing w:line="360" w:lineRule="auto"/>
        <w:ind w:left="360"/>
        <w:jc w:val="both"/>
        <w:rPr>
          <w:rFonts w:asciiTheme="majorBidi" w:hAnsiTheme="majorBidi"/>
          <w:sz w:val="24"/>
          <w:szCs w:val="24"/>
        </w:rPr>
      </w:pPr>
    </w:p>
    <w:p w:rsidR="002C06C4" w:rsidRDefault="002C06C4" w:rsidP="00493E4F">
      <w:pPr>
        <w:spacing w:line="360" w:lineRule="auto"/>
        <w:ind w:left="360"/>
        <w:jc w:val="both"/>
        <w:rPr>
          <w:rFonts w:asciiTheme="majorBidi" w:hAnsiTheme="majorBidi"/>
          <w:sz w:val="24"/>
          <w:szCs w:val="24"/>
        </w:rPr>
      </w:pPr>
    </w:p>
    <w:p w:rsidR="002C06C4" w:rsidRDefault="002C06C4" w:rsidP="00493E4F">
      <w:pPr>
        <w:spacing w:line="360" w:lineRule="auto"/>
        <w:ind w:left="360"/>
        <w:jc w:val="both"/>
        <w:rPr>
          <w:rFonts w:asciiTheme="majorBidi" w:hAnsiTheme="majorBidi"/>
          <w:sz w:val="24"/>
          <w:szCs w:val="24"/>
        </w:rPr>
      </w:pPr>
    </w:p>
    <w:p w:rsidR="002C06C4" w:rsidRDefault="002C06C4" w:rsidP="00493E4F">
      <w:pPr>
        <w:spacing w:line="360" w:lineRule="auto"/>
        <w:ind w:left="360"/>
        <w:jc w:val="both"/>
        <w:rPr>
          <w:rFonts w:asciiTheme="majorBidi" w:hAnsiTheme="majorBidi"/>
          <w:sz w:val="24"/>
          <w:szCs w:val="24"/>
        </w:rPr>
      </w:pPr>
    </w:p>
    <w:p w:rsidR="00D05606" w:rsidRDefault="00D05606" w:rsidP="002B2B24">
      <w:pPr>
        <w:spacing w:line="360" w:lineRule="auto"/>
        <w:jc w:val="both"/>
        <w:rPr>
          <w:rFonts w:asciiTheme="majorBidi" w:hAnsiTheme="majorBidi"/>
          <w:sz w:val="24"/>
          <w:szCs w:val="24"/>
        </w:rPr>
      </w:pPr>
    </w:p>
    <w:p w:rsidR="002B2B24" w:rsidRDefault="002B2B24" w:rsidP="002B2B24">
      <w:pPr>
        <w:spacing w:line="360" w:lineRule="auto"/>
        <w:jc w:val="both"/>
        <w:rPr>
          <w:rFonts w:asciiTheme="majorBidi" w:hAnsiTheme="majorBidi"/>
          <w:b/>
          <w:bCs/>
          <w:sz w:val="24"/>
          <w:szCs w:val="24"/>
        </w:rPr>
      </w:pPr>
    </w:p>
    <w:p w:rsidR="002C06C4" w:rsidRDefault="004E7338" w:rsidP="00493E4F">
      <w:pPr>
        <w:spacing w:line="360" w:lineRule="auto"/>
        <w:ind w:left="360"/>
        <w:jc w:val="both"/>
        <w:rPr>
          <w:rFonts w:asciiTheme="majorBidi" w:hAnsiTheme="majorBidi"/>
          <w:b/>
          <w:bCs/>
          <w:sz w:val="24"/>
          <w:szCs w:val="24"/>
        </w:rPr>
      </w:pPr>
      <w:r>
        <w:rPr>
          <w:rFonts w:asciiTheme="majorBidi" w:hAnsiTheme="majorBidi"/>
          <w:b/>
          <w:bCs/>
          <w:sz w:val="24"/>
          <w:szCs w:val="24"/>
        </w:rPr>
        <w:lastRenderedPageBreak/>
        <w:t xml:space="preserve">Appendices </w:t>
      </w:r>
    </w:p>
    <w:p w:rsidR="004E7338" w:rsidRDefault="004E7338" w:rsidP="00493E4F">
      <w:pPr>
        <w:spacing w:line="360" w:lineRule="auto"/>
        <w:ind w:left="360"/>
        <w:jc w:val="both"/>
        <w:rPr>
          <w:rFonts w:asciiTheme="majorBidi" w:hAnsiTheme="majorBidi"/>
          <w:sz w:val="24"/>
          <w:szCs w:val="24"/>
        </w:rPr>
      </w:pPr>
      <w:r>
        <w:rPr>
          <w:rFonts w:asciiTheme="majorBidi" w:hAnsiTheme="majorBidi"/>
          <w:sz w:val="24"/>
          <w:szCs w:val="24"/>
        </w:rPr>
        <w:t xml:space="preserve">Appendix 1: Questionnaire </w:t>
      </w:r>
    </w:p>
    <w:p w:rsidR="00F7749E" w:rsidRDefault="00F7749E" w:rsidP="00F7749E">
      <w:pPr>
        <w:tabs>
          <w:tab w:val="left" w:pos="6660"/>
        </w:tabs>
        <w:jc w:val="both"/>
        <w:rPr>
          <w:rFonts w:asciiTheme="majorBidi" w:hAnsiTheme="majorBidi" w:cstheme="majorBidi"/>
          <w:sz w:val="24"/>
          <w:szCs w:val="24"/>
        </w:rPr>
      </w:pPr>
      <w:r>
        <w:rPr>
          <w:rFonts w:asciiTheme="majorBidi" w:hAnsiTheme="majorBidi" w:cstheme="majorBidi"/>
          <w:sz w:val="24"/>
          <w:szCs w:val="24"/>
        </w:rPr>
        <w:t xml:space="preserve">Disclaimer: This questionnaire is completely voluntary and there are no obligations for sharing any information. All the gathered data will only be used within the context of this study. No personal information will be requested, and if any is provided, they will not be shared with any third party. There are no monetary or otherwise incentives for participation in this study. </w:t>
      </w:r>
    </w:p>
    <w:p w:rsidR="00F7749E" w:rsidRDefault="00F7749E" w:rsidP="00F7749E">
      <w:pPr>
        <w:rPr>
          <w:rFonts w:asciiTheme="majorBidi" w:hAnsiTheme="majorBidi" w:cstheme="majorBidi"/>
          <w:sz w:val="24"/>
          <w:szCs w:val="24"/>
        </w:rPr>
      </w:pPr>
    </w:p>
    <w:p w:rsidR="00F7749E" w:rsidRDefault="00F7749E" w:rsidP="00F7749E">
      <w:pPr>
        <w:rPr>
          <w:rFonts w:asciiTheme="majorBidi" w:hAnsiTheme="majorBidi" w:cstheme="majorBidi"/>
          <w:sz w:val="24"/>
          <w:szCs w:val="24"/>
        </w:rPr>
      </w:pPr>
      <w:r>
        <w:rPr>
          <w:rFonts w:asciiTheme="majorBidi" w:hAnsiTheme="majorBidi" w:cstheme="majorBidi"/>
          <w:sz w:val="24"/>
          <w:szCs w:val="24"/>
        </w:rPr>
        <w:t xml:space="preserve">Section I: Demographic Data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Age</w:t>
      </w:r>
    </w:p>
    <w:p w:rsidR="00F7749E" w:rsidRDefault="00F7749E" w:rsidP="00F7749E">
      <w:pPr>
        <w:pStyle w:val="Listenabsatz"/>
        <w:numPr>
          <w:ilvl w:val="0"/>
          <w:numId w:val="8"/>
        </w:numPr>
        <w:rPr>
          <w:rFonts w:asciiTheme="majorBidi" w:hAnsiTheme="majorBidi" w:cstheme="majorBidi"/>
          <w:sz w:val="24"/>
          <w:szCs w:val="24"/>
        </w:rPr>
      </w:pPr>
      <w:r>
        <w:rPr>
          <w:rFonts w:asciiTheme="majorBidi" w:hAnsiTheme="majorBidi" w:cstheme="majorBidi"/>
          <w:sz w:val="24"/>
          <w:szCs w:val="24"/>
        </w:rPr>
        <w:t>18-21</w:t>
      </w:r>
    </w:p>
    <w:p w:rsidR="00F7749E" w:rsidRDefault="00F7749E" w:rsidP="00F7749E">
      <w:pPr>
        <w:pStyle w:val="Listenabsatz"/>
        <w:numPr>
          <w:ilvl w:val="0"/>
          <w:numId w:val="8"/>
        </w:numPr>
        <w:rPr>
          <w:rFonts w:asciiTheme="majorBidi" w:hAnsiTheme="majorBidi" w:cstheme="majorBidi"/>
          <w:sz w:val="24"/>
          <w:szCs w:val="24"/>
        </w:rPr>
      </w:pPr>
      <w:r>
        <w:rPr>
          <w:rFonts w:asciiTheme="majorBidi" w:hAnsiTheme="majorBidi" w:cstheme="majorBidi"/>
          <w:sz w:val="24"/>
          <w:szCs w:val="24"/>
        </w:rPr>
        <w:t>22-30</w:t>
      </w:r>
    </w:p>
    <w:p w:rsidR="00F7749E" w:rsidRDefault="00F7749E" w:rsidP="00F7749E">
      <w:pPr>
        <w:pStyle w:val="Listenabsatz"/>
        <w:numPr>
          <w:ilvl w:val="0"/>
          <w:numId w:val="8"/>
        </w:numPr>
        <w:rPr>
          <w:rFonts w:asciiTheme="majorBidi" w:hAnsiTheme="majorBidi" w:cstheme="majorBidi"/>
          <w:sz w:val="24"/>
          <w:szCs w:val="24"/>
        </w:rPr>
      </w:pPr>
      <w:r>
        <w:rPr>
          <w:rFonts w:asciiTheme="majorBidi" w:hAnsiTheme="majorBidi" w:cstheme="majorBidi"/>
          <w:sz w:val="24"/>
          <w:szCs w:val="24"/>
        </w:rPr>
        <w:t>30-40</w:t>
      </w:r>
    </w:p>
    <w:p w:rsidR="00F7749E" w:rsidRDefault="00F7749E" w:rsidP="00F7749E">
      <w:pPr>
        <w:pStyle w:val="Listenabsatz"/>
        <w:numPr>
          <w:ilvl w:val="0"/>
          <w:numId w:val="8"/>
        </w:numPr>
        <w:rPr>
          <w:rFonts w:asciiTheme="majorBidi" w:hAnsiTheme="majorBidi" w:cstheme="majorBidi"/>
          <w:sz w:val="24"/>
          <w:szCs w:val="24"/>
        </w:rPr>
      </w:pPr>
      <w:r>
        <w:rPr>
          <w:rFonts w:asciiTheme="majorBidi" w:hAnsiTheme="majorBidi" w:cstheme="majorBidi"/>
          <w:sz w:val="24"/>
          <w:szCs w:val="24"/>
        </w:rPr>
        <w:t>40+</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Gender</w:t>
      </w:r>
    </w:p>
    <w:p w:rsidR="00F7749E" w:rsidRDefault="00F7749E" w:rsidP="00F7749E">
      <w:pPr>
        <w:pStyle w:val="Listenabsatz"/>
        <w:numPr>
          <w:ilvl w:val="0"/>
          <w:numId w:val="9"/>
        </w:numPr>
        <w:rPr>
          <w:rFonts w:asciiTheme="majorBidi" w:hAnsiTheme="majorBidi" w:cstheme="majorBidi"/>
          <w:sz w:val="24"/>
          <w:szCs w:val="24"/>
        </w:rPr>
      </w:pPr>
      <w:r>
        <w:rPr>
          <w:rFonts w:asciiTheme="majorBidi" w:hAnsiTheme="majorBidi" w:cstheme="majorBidi"/>
          <w:sz w:val="24"/>
          <w:szCs w:val="24"/>
        </w:rPr>
        <w:t xml:space="preserve">Male </w:t>
      </w:r>
    </w:p>
    <w:p w:rsidR="00F7749E" w:rsidRDefault="00F7749E" w:rsidP="00F7749E">
      <w:pPr>
        <w:pStyle w:val="Listenabsatz"/>
        <w:numPr>
          <w:ilvl w:val="0"/>
          <w:numId w:val="9"/>
        </w:numPr>
        <w:rPr>
          <w:rFonts w:asciiTheme="majorBidi" w:hAnsiTheme="majorBidi" w:cstheme="majorBidi"/>
          <w:sz w:val="24"/>
          <w:szCs w:val="24"/>
        </w:rPr>
      </w:pPr>
      <w:r>
        <w:rPr>
          <w:rFonts w:asciiTheme="majorBidi" w:hAnsiTheme="majorBidi" w:cstheme="majorBidi"/>
          <w:sz w:val="24"/>
          <w:szCs w:val="24"/>
        </w:rPr>
        <w:t xml:space="preserve">Female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Education level </w:t>
      </w:r>
    </w:p>
    <w:p w:rsidR="00F7749E" w:rsidRDefault="00F7749E" w:rsidP="00F7749E">
      <w:pPr>
        <w:pStyle w:val="Listenabsatz"/>
        <w:numPr>
          <w:ilvl w:val="0"/>
          <w:numId w:val="10"/>
        </w:numPr>
        <w:rPr>
          <w:rFonts w:asciiTheme="majorBidi" w:hAnsiTheme="majorBidi" w:cstheme="majorBidi"/>
          <w:sz w:val="24"/>
          <w:szCs w:val="24"/>
        </w:rPr>
      </w:pPr>
      <w:r>
        <w:rPr>
          <w:rFonts w:asciiTheme="majorBidi" w:hAnsiTheme="majorBidi" w:cstheme="majorBidi"/>
          <w:sz w:val="24"/>
          <w:szCs w:val="24"/>
        </w:rPr>
        <w:t xml:space="preserve">School </w:t>
      </w:r>
    </w:p>
    <w:p w:rsidR="00F7749E" w:rsidRDefault="00F7749E" w:rsidP="00F7749E">
      <w:pPr>
        <w:pStyle w:val="Listenabsatz"/>
        <w:numPr>
          <w:ilvl w:val="0"/>
          <w:numId w:val="10"/>
        </w:numPr>
        <w:rPr>
          <w:rFonts w:asciiTheme="majorBidi" w:hAnsiTheme="majorBidi" w:cstheme="majorBidi"/>
          <w:sz w:val="24"/>
          <w:szCs w:val="24"/>
        </w:rPr>
      </w:pPr>
      <w:r>
        <w:rPr>
          <w:rFonts w:asciiTheme="majorBidi" w:hAnsiTheme="majorBidi" w:cstheme="majorBidi"/>
          <w:sz w:val="24"/>
          <w:szCs w:val="24"/>
        </w:rPr>
        <w:t xml:space="preserve">License </w:t>
      </w:r>
    </w:p>
    <w:p w:rsidR="00F7749E" w:rsidRDefault="00F7749E" w:rsidP="00F7749E">
      <w:pPr>
        <w:pStyle w:val="Listenabsatz"/>
        <w:numPr>
          <w:ilvl w:val="0"/>
          <w:numId w:val="10"/>
        </w:numPr>
        <w:rPr>
          <w:rFonts w:asciiTheme="majorBidi" w:hAnsiTheme="majorBidi" w:cstheme="majorBidi"/>
          <w:sz w:val="24"/>
          <w:szCs w:val="24"/>
        </w:rPr>
      </w:pPr>
      <w:r>
        <w:rPr>
          <w:rFonts w:asciiTheme="majorBidi" w:hAnsiTheme="majorBidi" w:cstheme="majorBidi"/>
          <w:sz w:val="24"/>
          <w:szCs w:val="24"/>
        </w:rPr>
        <w:t xml:space="preserve">Masters </w:t>
      </w:r>
    </w:p>
    <w:p w:rsidR="00F7749E" w:rsidRDefault="00F7749E" w:rsidP="00F7749E">
      <w:pPr>
        <w:pStyle w:val="Listenabsatz"/>
        <w:numPr>
          <w:ilvl w:val="0"/>
          <w:numId w:val="10"/>
        </w:numPr>
        <w:rPr>
          <w:rFonts w:asciiTheme="majorBidi" w:hAnsiTheme="majorBidi" w:cstheme="majorBidi"/>
          <w:sz w:val="24"/>
          <w:szCs w:val="24"/>
        </w:rPr>
      </w:pPr>
      <w:r>
        <w:rPr>
          <w:rFonts w:asciiTheme="majorBidi" w:hAnsiTheme="majorBidi" w:cstheme="majorBidi"/>
          <w:sz w:val="24"/>
          <w:szCs w:val="24"/>
        </w:rPr>
        <w:t xml:space="preserve">PhD </w:t>
      </w:r>
    </w:p>
    <w:p w:rsidR="00F7749E" w:rsidRPr="003B48BA"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Income </w:t>
      </w:r>
    </w:p>
    <w:p w:rsidR="00F7749E" w:rsidRDefault="00F7749E" w:rsidP="00F7749E">
      <w:pPr>
        <w:pStyle w:val="Listenabsatz"/>
        <w:numPr>
          <w:ilvl w:val="0"/>
          <w:numId w:val="11"/>
        </w:numPr>
        <w:rPr>
          <w:rFonts w:asciiTheme="majorBidi" w:hAnsiTheme="majorBidi" w:cstheme="majorBidi"/>
          <w:sz w:val="24"/>
          <w:szCs w:val="24"/>
        </w:rPr>
      </w:pPr>
      <w:r>
        <w:rPr>
          <w:rFonts w:asciiTheme="majorBidi" w:hAnsiTheme="majorBidi" w:cstheme="majorBidi"/>
          <w:sz w:val="24"/>
          <w:szCs w:val="24"/>
        </w:rPr>
        <w:t>675,000 LL</w:t>
      </w:r>
    </w:p>
    <w:p w:rsidR="00F7749E" w:rsidRDefault="00F7749E" w:rsidP="00F7749E">
      <w:pPr>
        <w:pStyle w:val="Listenabsatz"/>
        <w:numPr>
          <w:ilvl w:val="0"/>
          <w:numId w:val="11"/>
        </w:numPr>
        <w:rPr>
          <w:rFonts w:asciiTheme="majorBidi" w:hAnsiTheme="majorBidi" w:cstheme="majorBidi"/>
          <w:sz w:val="24"/>
          <w:szCs w:val="24"/>
        </w:rPr>
      </w:pPr>
      <w:r>
        <w:rPr>
          <w:rFonts w:asciiTheme="majorBidi" w:hAnsiTheme="majorBidi" w:cstheme="majorBidi"/>
          <w:sz w:val="24"/>
          <w:szCs w:val="24"/>
        </w:rPr>
        <w:t xml:space="preserve">676,000 LL – 2,250,00 LL </w:t>
      </w:r>
    </w:p>
    <w:p w:rsidR="00F7749E" w:rsidRPr="003B48BA" w:rsidRDefault="00F7749E" w:rsidP="00F7749E">
      <w:pPr>
        <w:pStyle w:val="Listenabsatz"/>
        <w:numPr>
          <w:ilvl w:val="0"/>
          <w:numId w:val="11"/>
        </w:numPr>
        <w:rPr>
          <w:rFonts w:asciiTheme="majorBidi" w:hAnsiTheme="majorBidi" w:cstheme="majorBidi"/>
          <w:sz w:val="24"/>
          <w:szCs w:val="24"/>
        </w:rPr>
      </w:pPr>
      <w:r w:rsidRPr="003B48BA">
        <w:rPr>
          <w:rFonts w:asciiTheme="majorBidi" w:hAnsiTheme="majorBidi" w:cstheme="majorBidi"/>
          <w:sz w:val="24"/>
          <w:szCs w:val="24"/>
        </w:rPr>
        <w:t>2,251,000 LL – 3,750,000 LL</w:t>
      </w:r>
    </w:p>
    <w:p w:rsidR="00F7749E" w:rsidRDefault="00F7749E" w:rsidP="00F7749E">
      <w:pPr>
        <w:pStyle w:val="Listenabsatz"/>
        <w:numPr>
          <w:ilvl w:val="0"/>
          <w:numId w:val="11"/>
        </w:numPr>
        <w:rPr>
          <w:rFonts w:asciiTheme="majorBidi" w:hAnsiTheme="majorBidi" w:cstheme="majorBidi"/>
          <w:sz w:val="24"/>
          <w:szCs w:val="24"/>
        </w:rPr>
      </w:pPr>
      <w:r>
        <w:rPr>
          <w:rFonts w:asciiTheme="majorBidi" w:hAnsiTheme="majorBidi" w:cstheme="majorBidi"/>
          <w:sz w:val="24"/>
          <w:szCs w:val="24"/>
        </w:rPr>
        <w:t xml:space="preserve">3,751,000 LL +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Duration of electronic account </w:t>
      </w:r>
    </w:p>
    <w:p w:rsidR="00F7749E" w:rsidRDefault="00F7749E" w:rsidP="00F7749E">
      <w:pPr>
        <w:pStyle w:val="Listenabsatz"/>
        <w:numPr>
          <w:ilvl w:val="0"/>
          <w:numId w:val="12"/>
        </w:numPr>
        <w:rPr>
          <w:rFonts w:asciiTheme="majorBidi" w:hAnsiTheme="majorBidi" w:cstheme="majorBidi"/>
          <w:sz w:val="24"/>
          <w:szCs w:val="24"/>
        </w:rPr>
      </w:pPr>
      <w:r>
        <w:rPr>
          <w:rFonts w:asciiTheme="majorBidi" w:hAnsiTheme="majorBidi" w:cstheme="majorBidi"/>
          <w:sz w:val="24"/>
          <w:szCs w:val="24"/>
        </w:rPr>
        <w:t xml:space="preserve">Less than a year </w:t>
      </w:r>
    </w:p>
    <w:p w:rsidR="00F7749E" w:rsidRDefault="00F7749E" w:rsidP="00F7749E">
      <w:pPr>
        <w:pStyle w:val="Listenabsatz"/>
        <w:numPr>
          <w:ilvl w:val="0"/>
          <w:numId w:val="12"/>
        </w:numPr>
        <w:rPr>
          <w:rFonts w:asciiTheme="majorBidi" w:hAnsiTheme="majorBidi" w:cstheme="majorBidi"/>
          <w:sz w:val="24"/>
          <w:szCs w:val="24"/>
        </w:rPr>
      </w:pPr>
      <w:r>
        <w:rPr>
          <w:rFonts w:asciiTheme="majorBidi" w:hAnsiTheme="majorBidi" w:cstheme="majorBidi"/>
          <w:sz w:val="24"/>
          <w:szCs w:val="24"/>
        </w:rPr>
        <w:t xml:space="preserve">1 – 3 years </w:t>
      </w:r>
    </w:p>
    <w:p w:rsidR="00F7749E" w:rsidRDefault="00F7749E" w:rsidP="00F7749E">
      <w:pPr>
        <w:pStyle w:val="Listenabsatz"/>
        <w:numPr>
          <w:ilvl w:val="0"/>
          <w:numId w:val="12"/>
        </w:numPr>
        <w:rPr>
          <w:rFonts w:asciiTheme="majorBidi" w:hAnsiTheme="majorBidi" w:cstheme="majorBidi"/>
          <w:sz w:val="24"/>
          <w:szCs w:val="24"/>
        </w:rPr>
      </w:pPr>
      <w:r>
        <w:rPr>
          <w:rFonts w:asciiTheme="majorBidi" w:hAnsiTheme="majorBidi" w:cstheme="majorBidi"/>
          <w:sz w:val="24"/>
          <w:szCs w:val="24"/>
        </w:rPr>
        <w:t xml:space="preserve">4 – 7 years </w:t>
      </w:r>
    </w:p>
    <w:p w:rsidR="00F7749E" w:rsidRDefault="00F7749E" w:rsidP="00F7749E">
      <w:pPr>
        <w:pStyle w:val="Listenabsatz"/>
        <w:numPr>
          <w:ilvl w:val="0"/>
          <w:numId w:val="12"/>
        </w:numPr>
        <w:rPr>
          <w:rFonts w:asciiTheme="majorBidi" w:hAnsiTheme="majorBidi" w:cstheme="majorBidi"/>
          <w:sz w:val="24"/>
          <w:szCs w:val="24"/>
        </w:rPr>
      </w:pPr>
      <w:r>
        <w:rPr>
          <w:rFonts w:asciiTheme="majorBidi" w:hAnsiTheme="majorBidi" w:cstheme="majorBidi"/>
          <w:sz w:val="24"/>
          <w:szCs w:val="24"/>
        </w:rPr>
        <w:t>More than 8 years</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Frequency of using e-banking per week. </w:t>
      </w:r>
    </w:p>
    <w:p w:rsidR="00F7749E" w:rsidRDefault="00F7749E" w:rsidP="00F7749E">
      <w:pPr>
        <w:pStyle w:val="Listenabsatz"/>
        <w:numPr>
          <w:ilvl w:val="0"/>
          <w:numId w:val="22"/>
        </w:numPr>
        <w:rPr>
          <w:rFonts w:asciiTheme="majorBidi" w:hAnsiTheme="majorBidi" w:cstheme="majorBidi"/>
          <w:sz w:val="24"/>
          <w:szCs w:val="24"/>
        </w:rPr>
      </w:pPr>
      <w:r>
        <w:rPr>
          <w:rFonts w:asciiTheme="majorBidi" w:hAnsiTheme="majorBidi" w:cstheme="majorBidi"/>
          <w:sz w:val="24"/>
          <w:szCs w:val="24"/>
        </w:rPr>
        <w:t xml:space="preserve">0-1 </w:t>
      </w:r>
    </w:p>
    <w:p w:rsidR="00F7749E" w:rsidRDefault="00F7749E" w:rsidP="00F7749E">
      <w:pPr>
        <w:pStyle w:val="Listenabsatz"/>
        <w:numPr>
          <w:ilvl w:val="0"/>
          <w:numId w:val="22"/>
        </w:numPr>
        <w:rPr>
          <w:rFonts w:asciiTheme="majorBidi" w:hAnsiTheme="majorBidi" w:cstheme="majorBidi"/>
          <w:sz w:val="24"/>
          <w:szCs w:val="24"/>
        </w:rPr>
      </w:pPr>
      <w:r>
        <w:rPr>
          <w:rFonts w:asciiTheme="majorBidi" w:hAnsiTheme="majorBidi" w:cstheme="majorBidi"/>
          <w:sz w:val="24"/>
          <w:szCs w:val="24"/>
        </w:rPr>
        <w:t xml:space="preserve">2-3 </w:t>
      </w:r>
    </w:p>
    <w:p w:rsidR="00F7749E" w:rsidRDefault="00F7749E" w:rsidP="00F7749E">
      <w:pPr>
        <w:pStyle w:val="Listenabsatz"/>
        <w:numPr>
          <w:ilvl w:val="0"/>
          <w:numId w:val="22"/>
        </w:numPr>
        <w:rPr>
          <w:rFonts w:asciiTheme="majorBidi" w:hAnsiTheme="majorBidi" w:cstheme="majorBidi"/>
          <w:sz w:val="24"/>
          <w:szCs w:val="24"/>
        </w:rPr>
      </w:pPr>
      <w:r>
        <w:rPr>
          <w:rFonts w:asciiTheme="majorBidi" w:hAnsiTheme="majorBidi" w:cstheme="majorBidi"/>
          <w:sz w:val="24"/>
          <w:szCs w:val="24"/>
        </w:rPr>
        <w:t xml:space="preserve">4-5 </w:t>
      </w:r>
    </w:p>
    <w:p w:rsidR="00F7749E" w:rsidRDefault="00F7749E" w:rsidP="00F7749E">
      <w:pPr>
        <w:pStyle w:val="Listenabsatz"/>
        <w:numPr>
          <w:ilvl w:val="0"/>
          <w:numId w:val="22"/>
        </w:numPr>
        <w:rPr>
          <w:rFonts w:asciiTheme="majorBidi" w:hAnsiTheme="majorBidi" w:cstheme="majorBidi"/>
          <w:sz w:val="24"/>
          <w:szCs w:val="24"/>
        </w:rPr>
      </w:pPr>
      <w:r>
        <w:rPr>
          <w:rFonts w:asciiTheme="majorBidi" w:hAnsiTheme="majorBidi" w:cstheme="majorBidi"/>
          <w:sz w:val="24"/>
          <w:szCs w:val="24"/>
        </w:rPr>
        <w:t xml:space="preserve">Daily  </w:t>
      </w:r>
    </w:p>
    <w:p w:rsidR="00F7749E" w:rsidRDefault="00F7749E" w:rsidP="00F7749E">
      <w:pPr>
        <w:rPr>
          <w:rFonts w:asciiTheme="majorBidi" w:hAnsiTheme="majorBidi" w:cstheme="majorBidi"/>
          <w:sz w:val="24"/>
          <w:szCs w:val="24"/>
        </w:rPr>
      </w:pPr>
      <w:r>
        <w:rPr>
          <w:rFonts w:asciiTheme="majorBidi" w:hAnsiTheme="majorBidi" w:cstheme="majorBidi"/>
          <w:sz w:val="24"/>
          <w:szCs w:val="24"/>
        </w:rPr>
        <w:lastRenderedPageBreak/>
        <w:t xml:space="preserve">Section II: E-banking satisfaction </w:t>
      </w:r>
    </w:p>
    <w:p w:rsidR="00F7749E" w:rsidRDefault="00F7749E" w:rsidP="00F7749E">
      <w:pPr>
        <w:jc w:val="both"/>
        <w:rPr>
          <w:rFonts w:asciiTheme="majorBidi" w:hAnsiTheme="majorBidi" w:cstheme="majorBidi"/>
          <w:sz w:val="24"/>
          <w:szCs w:val="24"/>
        </w:rPr>
      </w:pPr>
      <w:r>
        <w:rPr>
          <w:rFonts w:asciiTheme="majorBidi" w:hAnsiTheme="majorBidi" w:cstheme="majorBidi"/>
          <w:sz w:val="24"/>
          <w:szCs w:val="24"/>
        </w:rPr>
        <w:t>For questions 7 and 8, not</w:t>
      </w:r>
      <w:r w:rsidR="00992330">
        <w:rPr>
          <w:rFonts w:asciiTheme="majorBidi" w:hAnsiTheme="majorBidi" w:cstheme="majorBidi"/>
          <w:sz w:val="24"/>
          <w:szCs w:val="24"/>
        </w:rPr>
        <w:t>e</w:t>
      </w:r>
      <w:r>
        <w:rPr>
          <w:rFonts w:asciiTheme="majorBidi" w:hAnsiTheme="majorBidi" w:cstheme="majorBidi"/>
          <w:sz w:val="24"/>
          <w:szCs w:val="24"/>
        </w:rPr>
        <w:t xml:space="preserve"> that 1 represents poor satisfaction with the performance of banks while 5 represents the highest levels of satisfaction with the performance.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Rate your satisfaction with e-banking before the pandemic</w:t>
      </w:r>
    </w:p>
    <w:tbl>
      <w:tblPr>
        <w:tblStyle w:val="Tabellenraster"/>
        <w:tblW w:w="0" w:type="auto"/>
        <w:tblInd w:w="720" w:type="dxa"/>
        <w:tblLook w:val="04A0" w:firstRow="1" w:lastRow="0" w:firstColumn="1" w:lastColumn="0" w:noHBand="0" w:noVBand="1"/>
      </w:tblPr>
      <w:tblGrid>
        <w:gridCol w:w="1771"/>
        <w:gridCol w:w="1771"/>
        <w:gridCol w:w="1771"/>
        <w:gridCol w:w="1771"/>
        <w:gridCol w:w="1772"/>
      </w:tblGrid>
      <w:tr w:rsidR="00F7749E" w:rsidTr="00D84BB3">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1</w:t>
            </w:r>
          </w:p>
        </w:tc>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2</w:t>
            </w:r>
          </w:p>
        </w:tc>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3</w:t>
            </w:r>
          </w:p>
        </w:tc>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4</w:t>
            </w:r>
          </w:p>
        </w:tc>
        <w:tc>
          <w:tcPr>
            <w:tcW w:w="1916"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5</w:t>
            </w:r>
          </w:p>
        </w:tc>
      </w:tr>
    </w:tbl>
    <w:p w:rsidR="00F7749E" w:rsidRPr="003B48BA" w:rsidRDefault="00F7749E" w:rsidP="00F7749E">
      <w:pPr>
        <w:pStyle w:val="Listenabsatz"/>
        <w:rPr>
          <w:rFonts w:asciiTheme="majorBidi" w:hAnsiTheme="majorBidi" w:cstheme="majorBidi"/>
          <w:sz w:val="24"/>
          <w:szCs w:val="24"/>
        </w:rPr>
      </w:pP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Rate your satisfaction with e-banking after the pandemic</w:t>
      </w:r>
    </w:p>
    <w:tbl>
      <w:tblPr>
        <w:tblStyle w:val="Tabellenraster"/>
        <w:tblW w:w="0" w:type="auto"/>
        <w:tblInd w:w="720" w:type="dxa"/>
        <w:tblLook w:val="04A0" w:firstRow="1" w:lastRow="0" w:firstColumn="1" w:lastColumn="0" w:noHBand="0" w:noVBand="1"/>
      </w:tblPr>
      <w:tblGrid>
        <w:gridCol w:w="1771"/>
        <w:gridCol w:w="1771"/>
        <w:gridCol w:w="1771"/>
        <w:gridCol w:w="1771"/>
        <w:gridCol w:w="1772"/>
      </w:tblGrid>
      <w:tr w:rsidR="00F7749E" w:rsidTr="00D84BB3">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1</w:t>
            </w:r>
          </w:p>
        </w:tc>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2</w:t>
            </w:r>
          </w:p>
        </w:tc>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3</w:t>
            </w:r>
          </w:p>
        </w:tc>
        <w:tc>
          <w:tcPr>
            <w:tcW w:w="1915"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4</w:t>
            </w:r>
          </w:p>
        </w:tc>
        <w:tc>
          <w:tcPr>
            <w:tcW w:w="1916" w:type="dxa"/>
          </w:tcPr>
          <w:p w:rsidR="00F7749E" w:rsidRDefault="00F7749E" w:rsidP="00D84BB3">
            <w:pPr>
              <w:pStyle w:val="Listenabsatz"/>
              <w:ind w:left="0"/>
              <w:jc w:val="center"/>
              <w:rPr>
                <w:rFonts w:asciiTheme="majorBidi" w:hAnsiTheme="majorBidi" w:cstheme="majorBidi"/>
                <w:sz w:val="24"/>
                <w:szCs w:val="24"/>
              </w:rPr>
            </w:pPr>
            <w:r>
              <w:rPr>
                <w:rFonts w:asciiTheme="majorBidi" w:hAnsiTheme="majorBidi" w:cstheme="majorBidi"/>
                <w:sz w:val="24"/>
                <w:szCs w:val="24"/>
              </w:rPr>
              <w:t>5</w:t>
            </w:r>
          </w:p>
        </w:tc>
      </w:tr>
    </w:tbl>
    <w:p w:rsidR="00F7749E" w:rsidRDefault="00F7749E" w:rsidP="00F7749E">
      <w:pPr>
        <w:pStyle w:val="Listenabsatz"/>
        <w:rPr>
          <w:rFonts w:asciiTheme="majorBidi" w:hAnsiTheme="majorBidi" w:cstheme="majorBidi"/>
          <w:sz w:val="24"/>
          <w:szCs w:val="24"/>
        </w:rPr>
      </w:pP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Your online banking provides access to all accounts. </w:t>
      </w:r>
    </w:p>
    <w:p w:rsidR="00F7749E" w:rsidRDefault="00F7749E" w:rsidP="00F7749E">
      <w:pPr>
        <w:pStyle w:val="Listenabsatz"/>
        <w:numPr>
          <w:ilvl w:val="0"/>
          <w:numId w:val="32"/>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32"/>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Your online banking provides the ability to transfer money from one account to another. </w:t>
      </w:r>
    </w:p>
    <w:p w:rsidR="00F7749E" w:rsidRDefault="00F7749E" w:rsidP="00F7749E">
      <w:pPr>
        <w:pStyle w:val="Listenabsatz"/>
        <w:numPr>
          <w:ilvl w:val="0"/>
          <w:numId w:val="33"/>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33"/>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Your online banking provides the ability to pay bills. </w:t>
      </w:r>
    </w:p>
    <w:p w:rsidR="00F7749E" w:rsidRDefault="00F7749E" w:rsidP="00F7749E">
      <w:pPr>
        <w:pStyle w:val="Listenabsatz"/>
        <w:numPr>
          <w:ilvl w:val="0"/>
          <w:numId w:val="34"/>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34"/>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Your online banking allows you to apply for loans. </w:t>
      </w:r>
    </w:p>
    <w:p w:rsidR="00F7749E" w:rsidRDefault="00F7749E" w:rsidP="00F7749E">
      <w:pPr>
        <w:pStyle w:val="Listenabsatz"/>
        <w:numPr>
          <w:ilvl w:val="0"/>
          <w:numId w:val="35"/>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35"/>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Your online banking allows you access to services that require US dollars.</w:t>
      </w:r>
    </w:p>
    <w:p w:rsidR="00F7749E" w:rsidRDefault="00F7749E" w:rsidP="00F7749E">
      <w:pPr>
        <w:pStyle w:val="Listenabsatz"/>
        <w:numPr>
          <w:ilvl w:val="0"/>
          <w:numId w:val="36"/>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36"/>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Your online banking allows you to transfer money abroad. </w:t>
      </w:r>
    </w:p>
    <w:p w:rsidR="00F7749E" w:rsidRDefault="00F7749E" w:rsidP="00F7749E">
      <w:pPr>
        <w:pStyle w:val="Listenabsatz"/>
        <w:numPr>
          <w:ilvl w:val="0"/>
          <w:numId w:val="37"/>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37"/>
        </w:numPr>
        <w:rPr>
          <w:rFonts w:asciiTheme="majorBidi" w:hAnsiTheme="majorBidi" w:cstheme="majorBidi"/>
          <w:sz w:val="24"/>
          <w:szCs w:val="24"/>
        </w:rPr>
      </w:pPr>
      <w:r>
        <w:rPr>
          <w:rFonts w:asciiTheme="majorBidi" w:hAnsiTheme="majorBidi" w:cstheme="majorBidi"/>
          <w:sz w:val="24"/>
          <w:szCs w:val="24"/>
        </w:rPr>
        <w:t>No</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Your access to services has changed after 2019. </w:t>
      </w:r>
    </w:p>
    <w:p w:rsidR="00F7749E" w:rsidRDefault="00F7749E" w:rsidP="00F7749E">
      <w:pPr>
        <w:pStyle w:val="Listenabsatz"/>
        <w:numPr>
          <w:ilvl w:val="0"/>
          <w:numId w:val="38"/>
        </w:numPr>
        <w:rPr>
          <w:rFonts w:asciiTheme="majorBidi" w:hAnsiTheme="majorBidi" w:cstheme="majorBidi"/>
          <w:sz w:val="24"/>
          <w:szCs w:val="24"/>
        </w:rPr>
      </w:pPr>
      <w:r>
        <w:rPr>
          <w:rFonts w:asciiTheme="majorBidi" w:hAnsiTheme="majorBidi" w:cstheme="majorBidi"/>
          <w:sz w:val="24"/>
          <w:szCs w:val="24"/>
        </w:rPr>
        <w:t xml:space="preserve">Yes </w:t>
      </w:r>
    </w:p>
    <w:p w:rsidR="00F7749E" w:rsidRPr="003D3F70" w:rsidRDefault="00F7749E" w:rsidP="00F7749E">
      <w:pPr>
        <w:pStyle w:val="Listenabsatz"/>
        <w:numPr>
          <w:ilvl w:val="0"/>
          <w:numId w:val="38"/>
        </w:numPr>
        <w:rPr>
          <w:rFonts w:asciiTheme="majorBidi" w:hAnsiTheme="majorBidi" w:cstheme="majorBidi"/>
          <w:sz w:val="24"/>
          <w:szCs w:val="24"/>
        </w:rPr>
      </w:pPr>
      <w:r>
        <w:rPr>
          <w:rFonts w:asciiTheme="majorBidi" w:hAnsiTheme="majorBidi" w:cstheme="majorBidi"/>
          <w:sz w:val="24"/>
          <w:szCs w:val="24"/>
        </w:rPr>
        <w:t>No</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E-banking is efficient:</w:t>
      </w:r>
    </w:p>
    <w:p w:rsidR="00F7749E" w:rsidRDefault="00F7749E" w:rsidP="00F7749E">
      <w:pPr>
        <w:pStyle w:val="Listenabsatz"/>
        <w:numPr>
          <w:ilvl w:val="0"/>
          <w:numId w:val="13"/>
        </w:numPr>
        <w:rPr>
          <w:rFonts w:asciiTheme="majorBidi" w:hAnsiTheme="majorBidi" w:cstheme="majorBidi"/>
          <w:sz w:val="24"/>
          <w:szCs w:val="24"/>
        </w:rPr>
      </w:pPr>
      <w:r>
        <w:rPr>
          <w:rFonts w:asciiTheme="majorBidi" w:hAnsiTheme="majorBidi" w:cstheme="majorBidi"/>
          <w:sz w:val="24"/>
          <w:szCs w:val="24"/>
        </w:rPr>
        <w:t>Strongly agree</w:t>
      </w:r>
    </w:p>
    <w:p w:rsidR="00F7749E" w:rsidRDefault="00F7749E" w:rsidP="00F7749E">
      <w:pPr>
        <w:pStyle w:val="Listenabsatz"/>
        <w:numPr>
          <w:ilvl w:val="0"/>
          <w:numId w:val="13"/>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13"/>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13"/>
        </w:numPr>
        <w:rPr>
          <w:rFonts w:asciiTheme="majorBidi" w:hAnsiTheme="majorBidi" w:cstheme="majorBidi"/>
          <w:sz w:val="24"/>
          <w:szCs w:val="24"/>
        </w:rPr>
      </w:pPr>
      <w:r>
        <w:rPr>
          <w:rFonts w:asciiTheme="majorBidi" w:hAnsiTheme="majorBidi" w:cstheme="majorBidi"/>
          <w:sz w:val="24"/>
          <w:szCs w:val="24"/>
        </w:rPr>
        <w:t>Disagree</w:t>
      </w:r>
    </w:p>
    <w:p w:rsidR="00F7749E" w:rsidRDefault="00F7749E" w:rsidP="00F7749E">
      <w:pPr>
        <w:pStyle w:val="Listenabsatz"/>
        <w:numPr>
          <w:ilvl w:val="0"/>
          <w:numId w:val="13"/>
        </w:numPr>
        <w:rPr>
          <w:rFonts w:asciiTheme="majorBidi" w:hAnsiTheme="majorBidi" w:cstheme="majorBidi"/>
          <w:sz w:val="24"/>
          <w:szCs w:val="24"/>
        </w:rPr>
      </w:pPr>
      <w:r>
        <w:rPr>
          <w:rFonts w:asciiTheme="majorBidi" w:hAnsiTheme="majorBidi" w:cstheme="majorBidi"/>
          <w:sz w:val="24"/>
          <w:szCs w:val="24"/>
        </w:rPr>
        <w:t>Strongly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Efficiency of e-banking is mainly due to:</w:t>
      </w:r>
    </w:p>
    <w:p w:rsidR="00F7749E" w:rsidRDefault="00F7749E" w:rsidP="00F7749E">
      <w:pPr>
        <w:pStyle w:val="Listenabsatz"/>
        <w:numPr>
          <w:ilvl w:val="0"/>
          <w:numId w:val="28"/>
        </w:numPr>
        <w:rPr>
          <w:rFonts w:asciiTheme="majorBidi" w:hAnsiTheme="majorBidi" w:cstheme="majorBidi"/>
          <w:sz w:val="24"/>
          <w:szCs w:val="24"/>
        </w:rPr>
      </w:pPr>
      <w:r>
        <w:rPr>
          <w:rFonts w:asciiTheme="majorBidi" w:hAnsiTheme="majorBidi" w:cstheme="majorBidi"/>
          <w:sz w:val="24"/>
          <w:szCs w:val="24"/>
        </w:rPr>
        <w:t xml:space="preserve">Saves trips to bank </w:t>
      </w:r>
    </w:p>
    <w:p w:rsidR="00F7749E" w:rsidRDefault="00F7749E" w:rsidP="00F7749E">
      <w:pPr>
        <w:pStyle w:val="Listenabsatz"/>
        <w:numPr>
          <w:ilvl w:val="0"/>
          <w:numId w:val="28"/>
        </w:numPr>
        <w:rPr>
          <w:rFonts w:asciiTheme="majorBidi" w:hAnsiTheme="majorBidi" w:cstheme="majorBidi"/>
          <w:sz w:val="24"/>
          <w:szCs w:val="24"/>
        </w:rPr>
      </w:pPr>
      <w:r>
        <w:rPr>
          <w:rFonts w:asciiTheme="majorBidi" w:hAnsiTheme="majorBidi" w:cstheme="majorBidi"/>
          <w:sz w:val="24"/>
          <w:szCs w:val="24"/>
        </w:rPr>
        <w:t xml:space="preserve">Has all services available in real time </w:t>
      </w:r>
    </w:p>
    <w:p w:rsidR="00F7749E" w:rsidRDefault="00F7749E" w:rsidP="00F7749E">
      <w:pPr>
        <w:pStyle w:val="Listenabsatz"/>
        <w:numPr>
          <w:ilvl w:val="0"/>
          <w:numId w:val="28"/>
        </w:numPr>
        <w:rPr>
          <w:rFonts w:asciiTheme="majorBidi" w:hAnsiTheme="majorBidi" w:cstheme="majorBidi"/>
          <w:sz w:val="24"/>
          <w:szCs w:val="24"/>
        </w:rPr>
      </w:pPr>
      <w:r>
        <w:rPr>
          <w:rFonts w:asciiTheme="majorBidi" w:hAnsiTheme="majorBidi" w:cstheme="majorBidi"/>
          <w:sz w:val="24"/>
          <w:szCs w:val="24"/>
        </w:rPr>
        <w:lastRenderedPageBreak/>
        <w:t xml:space="preserve">Easy to obtain help </w:t>
      </w:r>
    </w:p>
    <w:p w:rsidR="00F7749E" w:rsidRDefault="00F7749E" w:rsidP="00F7749E">
      <w:pPr>
        <w:pStyle w:val="Listenabsatz"/>
        <w:numPr>
          <w:ilvl w:val="0"/>
          <w:numId w:val="28"/>
        </w:numPr>
        <w:rPr>
          <w:rFonts w:asciiTheme="majorBidi" w:hAnsiTheme="majorBidi" w:cstheme="majorBidi"/>
          <w:sz w:val="24"/>
          <w:szCs w:val="24"/>
        </w:rPr>
      </w:pPr>
      <w:r>
        <w:rPr>
          <w:rFonts w:asciiTheme="majorBidi" w:hAnsiTheme="majorBidi" w:cstheme="majorBidi"/>
          <w:sz w:val="24"/>
          <w:szCs w:val="24"/>
        </w:rPr>
        <w:t xml:space="preserve">Others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E-banking saves time:</w:t>
      </w:r>
    </w:p>
    <w:p w:rsidR="00F7749E" w:rsidRDefault="00F7749E" w:rsidP="00F7749E">
      <w:pPr>
        <w:pStyle w:val="Listenabsatz"/>
        <w:numPr>
          <w:ilvl w:val="0"/>
          <w:numId w:val="14"/>
        </w:numPr>
        <w:rPr>
          <w:rFonts w:asciiTheme="majorBidi" w:hAnsiTheme="majorBidi" w:cstheme="majorBidi"/>
          <w:sz w:val="24"/>
          <w:szCs w:val="24"/>
        </w:rPr>
      </w:pPr>
      <w:r>
        <w:rPr>
          <w:rFonts w:asciiTheme="majorBidi" w:hAnsiTheme="majorBidi" w:cstheme="majorBidi"/>
          <w:sz w:val="24"/>
          <w:szCs w:val="24"/>
        </w:rPr>
        <w:t xml:space="preserve">Strongly agree </w:t>
      </w:r>
    </w:p>
    <w:p w:rsidR="00F7749E" w:rsidRDefault="00F7749E" w:rsidP="00F7749E">
      <w:pPr>
        <w:pStyle w:val="Listenabsatz"/>
        <w:numPr>
          <w:ilvl w:val="0"/>
          <w:numId w:val="14"/>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14"/>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14"/>
        </w:numPr>
        <w:rPr>
          <w:rFonts w:asciiTheme="majorBidi" w:hAnsiTheme="majorBidi" w:cstheme="majorBidi"/>
          <w:sz w:val="24"/>
          <w:szCs w:val="24"/>
        </w:rPr>
      </w:pPr>
      <w:r>
        <w:rPr>
          <w:rFonts w:asciiTheme="majorBidi" w:hAnsiTheme="majorBidi" w:cstheme="majorBidi"/>
          <w:sz w:val="24"/>
          <w:szCs w:val="24"/>
        </w:rPr>
        <w:t xml:space="preserve">Disagree </w:t>
      </w:r>
    </w:p>
    <w:p w:rsidR="00F7749E" w:rsidRDefault="00F7749E" w:rsidP="00F7749E">
      <w:pPr>
        <w:pStyle w:val="Listenabsatz"/>
        <w:numPr>
          <w:ilvl w:val="0"/>
          <w:numId w:val="14"/>
        </w:numPr>
        <w:rPr>
          <w:rFonts w:asciiTheme="majorBidi" w:hAnsiTheme="majorBidi" w:cstheme="majorBidi"/>
          <w:sz w:val="24"/>
          <w:szCs w:val="24"/>
        </w:rPr>
      </w:pPr>
      <w:r>
        <w:rPr>
          <w:rFonts w:asciiTheme="majorBidi" w:hAnsiTheme="majorBidi" w:cstheme="majorBidi"/>
          <w:sz w:val="24"/>
          <w:szCs w:val="24"/>
        </w:rPr>
        <w:t xml:space="preserve">Strongly disagree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Saving time in e-banking is mainly due to:</w:t>
      </w:r>
    </w:p>
    <w:p w:rsidR="00F7749E" w:rsidRDefault="00F7749E" w:rsidP="00F7749E">
      <w:pPr>
        <w:pStyle w:val="Listenabsatz"/>
        <w:numPr>
          <w:ilvl w:val="0"/>
          <w:numId w:val="29"/>
        </w:numPr>
        <w:rPr>
          <w:rFonts w:asciiTheme="majorBidi" w:hAnsiTheme="majorBidi" w:cstheme="majorBidi"/>
          <w:sz w:val="24"/>
          <w:szCs w:val="24"/>
        </w:rPr>
      </w:pPr>
      <w:r>
        <w:rPr>
          <w:rFonts w:asciiTheme="majorBidi" w:hAnsiTheme="majorBidi" w:cstheme="majorBidi"/>
          <w:sz w:val="24"/>
          <w:szCs w:val="24"/>
        </w:rPr>
        <w:t xml:space="preserve">Well-designed website and/or application </w:t>
      </w:r>
    </w:p>
    <w:p w:rsidR="00F7749E" w:rsidRDefault="00F7749E" w:rsidP="00F7749E">
      <w:pPr>
        <w:pStyle w:val="Listenabsatz"/>
        <w:numPr>
          <w:ilvl w:val="0"/>
          <w:numId w:val="29"/>
        </w:numPr>
        <w:rPr>
          <w:rFonts w:asciiTheme="majorBidi" w:hAnsiTheme="majorBidi" w:cstheme="majorBidi"/>
          <w:sz w:val="24"/>
          <w:szCs w:val="24"/>
        </w:rPr>
      </w:pPr>
      <w:r>
        <w:rPr>
          <w:rFonts w:asciiTheme="majorBidi" w:hAnsiTheme="majorBidi" w:cstheme="majorBidi"/>
          <w:sz w:val="24"/>
          <w:szCs w:val="24"/>
        </w:rPr>
        <w:t xml:space="preserve">Ease of navigation </w:t>
      </w:r>
    </w:p>
    <w:p w:rsidR="00F7749E" w:rsidRDefault="00F7749E" w:rsidP="00F7749E">
      <w:pPr>
        <w:pStyle w:val="Listenabsatz"/>
        <w:numPr>
          <w:ilvl w:val="0"/>
          <w:numId w:val="29"/>
        </w:numPr>
        <w:rPr>
          <w:rFonts w:asciiTheme="majorBidi" w:hAnsiTheme="majorBidi" w:cstheme="majorBidi"/>
          <w:sz w:val="24"/>
          <w:szCs w:val="24"/>
        </w:rPr>
      </w:pPr>
      <w:r>
        <w:rPr>
          <w:rFonts w:asciiTheme="majorBidi" w:hAnsiTheme="majorBidi" w:cstheme="majorBidi"/>
          <w:sz w:val="24"/>
          <w:szCs w:val="24"/>
        </w:rPr>
        <w:t xml:space="preserve">Access to banking staff </w:t>
      </w:r>
    </w:p>
    <w:p w:rsidR="00F7749E" w:rsidRDefault="00F7749E" w:rsidP="00F7749E">
      <w:pPr>
        <w:pStyle w:val="Listenabsatz"/>
        <w:numPr>
          <w:ilvl w:val="0"/>
          <w:numId w:val="29"/>
        </w:numPr>
        <w:rPr>
          <w:rFonts w:asciiTheme="majorBidi" w:hAnsiTheme="majorBidi" w:cstheme="majorBidi"/>
          <w:sz w:val="24"/>
          <w:szCs w:val="24"/>
        </w:rPr>
      </w:pPr>
      <w:r>
        <w:rPr>
          <w:rFonts w:asciiTheme="majorBidi" w:hAnsiTheme="majorBidi" w:cstheme="majorBidi"/>
          <w:sz w:val="24"/>
          <w:szCs w:val="24"/>
        </w:rPr>
        <w:t xml:space="preserve">Others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E-banking is easy to navigate.</w:t>
      </w:r>
    </w:p>
    <w:p w:rsidR="00F7749E" w:rsidRDefault="00F7749E" w:rsidP="00F7749E">
      <w:pPr>
        <w:pStyle w:val="Listenabsatz"/>
        <w:numPr>
          <w:ilvl w:val="0"/>
          <w:numId w:val="15"/>
        </w:numPr>
        <w:rPr>
          <w:rFonts w:asciiTheme="majorBidi" w:hAnsiTheme="majorBidi" w:cstheme="majorBidi"/>
          <w:sz w:val="24"/>
          <w:szCs w:val="24"/>
        </w:rPr>
      </w:pPr>
      <w:r>
        <w:rPr>
          <w:rFonts w:asciiTheme="majorBidi" w:hAnsiTheme="majorBidi" w:cstheme="majorBidi"/>
          <w:sz w:val="24"/>
          <w:szCs w:val="24"/>
        </w:rPr>
        <w:t>Strongly agree</w:t>
      </w:r>
    </w:p>
    <w:p w:rsidR="00F7749E" w:rsidRDefault="00F7749E" w:rsidP="00F7749E">
      <w:pPr>
        <w:pStyle w:val="Listenabsatz"/>
        <w:numPr>
          <w:ilvl w:val="0"/>
          <w:numId w:val="15"/>
        </w:numPr>
        <w:rPr>
          <w:rFonts w:asciiTheme="majorBidi" w:hAnsiTheme="majorBidi" w:cstheme="majorBidi"/>
          <w:sz w:val="24"/>
          <w:szCs w:val="24"/>
        </w:rPr>
      </w:pPr>
      <w:r>
        <w:rPr>
          <w:rFonts w:asciiTheme="majorBidi" w:hAnsiTheme="majorBidi" w:cstheme="majorBidi"/>
          <w:sz w:val="24"/>
          <w:szCs w:val="24"/>
        </w:rPr>
        <w:t xml:space="preserve">Agree </w:t>
      </w:r>
    </w:p>
    <w:p w:rsidR="00F7749E" w:rsidRDefault="00F7749E" w:rsidP="00F7749E">
      <w:pPr>
        <w:pStyle w:val="Listenabsatz"/>
        <w:numPr>
          <w:ilvl w:val="0"/>
          <w:numId w:val="15"/>
        </w:numPr>
        <w:rPr>
          <w:rFonts w:asciiTheme="majorBidi" w:hAnsiTheme="majorBidi" w:cstheme="majorBidi"/>
          <w:sz w:val="24"/>
          <w:szCs w:val="24"/>
        </w:rPr>
      </w:pPr>
      <w:r>
        <w:rPr>
          <w:rFonts w:asciiTheme="majorBidi" w:hAnsiTheme="majorBidi" w:cstheme="majorBidi"/>
          <w:sz w:val="24"/>
          <w:szCs w:val="24"/>
        </w:rPr>
        <w:t xml:space="preserve">Neither agree nor disagree </w:t>
      </w:r>
    </w:p>
    <w:p w:rsidR="00F7749E" w:rsidRDefault="00F7749E" w:rsidP="00F7749E">
      <w:pPr>
        <w:pStyle w:val="Listenabsatz"/>
        <w:numPr>
          <w:ilvl w:val="0"/>
          <w:numId w:val="15"/>
        </w:numPr>
        <w:rPr>
          <w:rFonts w:asciiTheme="majorBidi" w:hAnsiTheme="majorBidi" w:cstheme="majorBidi"/>
          <w:sz w:val="24"/>
          <w:szCs w:val="24"/>
        </w:rPr>
      </w:pPr>
      <w:r>
        <w:rPr>
          <w:rFonts w:asciiTheme="majorBidi" w:hAnsiTheme="majorBidi" w:cstheme="majorBidi"/>
          <w:sz w:val="24"/>
          <w:szCs w:val="24"/>
        </w:rPr>
        <w:t xml:space="preserve">Disagree </w:t>
      </w:r>
    </w:p>
    <w:p w:rsidR="00F7749E" w:rsidRDefault="00F7749E" w:rsidP="00F7749E">
      <w:pPr>
        <w:pStyle w:val="Listenabsatz"/>
        <w:numPr>
          <w:ilvl w:val="0"/>
          <w:numId w:val="15"/>
        </w:numPr>
        <w:rPr>
          <w:rFonts w:asciiTheme="majorBidi" w:hAnsiTheme="majorBidi" w:cstheme="majorBidi"/>
          <w:sz w:val="24"/>
          <w:szCs w:val="24"/>
        </w:rPr>
      </w:pPr>
      <w:r>
        <w:rPr>
          <w:rFonts w:asciiTheme="majorBidi" w:hAnsiTheme="majorBidi" w:cstheme="majorBidi"/>
          <w:sz w:val="24"/>
          <w:szCs w:val="24"/>
        </w:rPr>
        <w:t>Strongly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Ease of navigation is mainly due to:</w:t>
      </w:r>
    </w:p>
    <w:p w:rsidR="00F7749E" w:rsidRDefault="00F7749E" w:rsidP="00F7749E">
      <w:pPr>
        <w:pStyle w:val="Listenabsatz"/>
        <w:numPr>
          <w:ilvl w:val="0"/>
          <w:numId w:val="30"/>
        </w:numPr>
        <w:rPr>
          <w:rFonts w:asciiTheme="majorBidi" w:hAnsiTheme="majorBidi" w:cstheme="majorBidi"/>
          <w:sz w:val="24"/>
          <w:szCs w:val="24"/>
        </w:rPr>
      </w:pPr>
      <w:r>
        <w:rPr>
          <w:rFonts w:asciiTheme="majorBidi" w:hAnsiTheme="majorBidi" w:cstheme="majorBidi"/>
          <w:sz w:val="24"/>
          <w:szCs w:val="24"/>
        </w:rPr>
        <w:t xml:space="preserve">Easily defined layout </w:t>
      </w:r>
    </w:p>
    <w:p w:rsidR="00F7749E" w:rsidRDefault="00F7749E" w:rsidP="00F7749E">
      <w:pPr>
        <w:pStyle w:val="Listenabsatz"/>
        <w:numPr>
          <w:ilvl w:val="0"/>
          <w:numId w:val="30"/>
        </w:numPr>
        <w:rPr>
          <w:rFonts w:asciiTheme="majorBidi" w:hAnsiTheme="majorBidi" w:cstheme="majorBidi"/>
          <w:sz w:val="24"/>
          <w:szCs w:val="24"/>
        </w:rPr>
      </w:pPr>
      <w:r>
        <w:rPr>
          <w:rFonts w:asciiTheme="majorBidi" w:hAnsiTheme="majorBidi" w:cstheme="majorBidi"/>
          <w:sz w:val="24"/>
          <w:szCs w:val="24"/>
        </w:rPr>
        <w:t xml:space="preserve">Accurate sequencing of services </w:t>
      </w:r>
    </w:p>
    <w:p w:rsidR="00F7749E" w:rsidRDefault="00F7749E" w:rsidP="00F7749E">
      <w:pPr>
        <w:pStyle w:val="Listenabsatz"/>
        <w:numPr>
          <w:ilvl w:val="0"/>
          <w:numId w:val="30"/>
        </w:numPr>
        <w:rPr>
          <w:rFonts w:asciiTheme="majorBidi" w:hAnsiTheme="majorBidi" w:cstheme="majorBidi"/>
          <w:sz w:val="24"/>
          <w:szCs w:val="24"/>
        </w:rPr>
      </w:pPr>
      <w:r>
        <w:rPr>
          <w:rFonts w:asciiTheme="majorBidi" w:hAnsiTheme="majorBidi" w:cstheme="majorBidi"/>
          <w:sz w:val="24"/>
          <w:szCs w:val="24"/>
        </w:rPr>
        <w:t xml:space="preserve">Properly divided pages </w:t>
      </w:r>
    </w:p>
    <w:p w:rsidR="00F7749E" w:rsidRDefault="00F7749E" w:rsidP="00F7749E">
      <w:pPr>
        <w:pStyle w:val="Listenabsatz"/>
        <w:numPr>
          <w:ilvl w:val="0"/>
          <w:numId w:val="30"/>
        </w:numPr>
        <w:rPr>
          <w:rFonts w:asciiTheme="majorBidi" w:hAnsiTheme="majorBidi" w:cstheme="majorBidi"/>
          <w:sz w:val="24"/>
          <w:szCs w:val="24"/>
        </w:rPr>
      </w:pPr>
      <w:r>
        <w:rPr>
          <w:rFonts w:asciiTheme="majorBidi" w:hAnsiTheme="majorBidi" w:cstheme="majorBidi"/>
          <w:sz w:val="24"/>
          <w:szCs w:val="24"/>
        </w:rPr>
        <w:t xml:space="preserve">Others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E-banking has an easy to navigate platform. </w:t>
      </w:r>
    </w:p>
    <w:p w:rsidR="00F7749E" w:rsidRDefault="00F7749E" w:rsidP="00F7749E">
      <w:pPr>
        <w:pStyle w:val="Listenabsatz"/>
        <w:numPr>
          <w:ilvl w:val="0"/>
          <w:numId w:val="16"/>
        </w:numPr>
        <w:rPr>
          <w:rFonts w:asciiTheme="majorBidi" w:hAnsiTheme="majorBidi" w:cstheme="majorBidi"/>
          <w:sz w:val="24"/>
          <w:szCs w:val="24"/>
        </w:rPr>
      </w:pPr>
      <w:r>
        <w:rPr>
          <w:rFonts w:asciiTheme="majorBidi" w:hAnsiTheme="majorBidi" w:cstheme="majorBidi"/>
          <w:sz w:val="24"/>
          <w:szCs w:val="24"/>
        </w:rPr>
        <w:t xml:space="preserve">Strongly agree </w:t>
      </w:r>
    </w:p>
    <w:p w:rsidR="00F7749E" w:rsidRDefault="00F7749E" w:rsidP="00F7749E">
      <w:pPr>
        <w:pStyle w:val="Listenabsatz"/>
        <w:numPr>
          <w:ilvl w:val="0"/>
          <w:numId w:val="16"/>
        </w:numPr>
        <w:rPr>
          <w:rFonts w:asciiTheme="majorBidi" w:hAnsiTheme="majorBidi" w:cstheme="majorBidi"/>
          <w:sz w:val="24"/>
          <w:szCs w:val="24"/>
        </w:rPr>
      </w:pPr>
      <w:r>
        <w:rPr>
          <w:rFonts w:asciiTheme="majorBidi" w:hAnsiTheme="majorBidi" w:cstheme="majorBidi"/>
          <w:sz w:val="24"/>
          <w:szCs w:val="24"/>
        </w:rPr>
        <w:t xml:space="preserve">Agree </w:t>
      </w:r>
    </w:p>
    <w:p w:rsidR="00F7749E" w:rsidRDefault="00F7749E" w:rsidP="00F7749E">
      <w:pPr>
        <w:pStyle w:val="Listenabsatz"/>
        <w:numPr>
          <w:ilvl w:val="0"/>
          <w:numId w:val="16"/>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16"/>
        </w:numPr>
        <w:rPr>
          <w:rFonts w:asciiTheme="majorBidi" w:hAnsiTheme="majorBidi" w:cstheme="majorBidi"/>
          <w:sz w:val="24"/>
          <w:szCs w:val="24"/>
        </w:rPr>
      </w:pPr>
      <w:r>
        <w:rPr>
          <w:rFonts w:asciiTheme="majorBidi" w:hAnsiTheme="majorBidi" w:cstheme="majorBidi"/>
          <w:sz w:val="24"/>
          <w:szCs w:val="24"/>
        </w:rPr>
        <w:t xml:space="preserve">Disagree </w:t>
      </w:r>
    </w:p>
    <w:p w:rsidR="00F7749E" w:rsidRDefault="00F7749E" w:rsidP="00F7749E">
      <w:pPr>
        <w:pStyle w:val="Listenabsatz"/>
        <w:numPr>
          <w:ilvl w:val="0"/>
          <w:numId w:val="16"/>
        </w:numPr>
        <w:rPr>
          <w:rFonts w:asciiTheme="majorBidi" w:hAnsiTheme="majorBidi" w:cstheme="majorBidi"/>
          <w:sz w:val="24"/>
          <w:szCs w:val="24"/>
        </w:rPr>
      </w:pPr>
      <w:r>
        <w:rPr>
          <w:rFonts w:asciiTheme="majorBidi" w:hAnsiTheme="majorBidi" w:cstheme="majorBidi"/>
          <w:sz w:val="24"/>
          <w:szCs w:val="24"/>
        </w:rPr>
        <w:t>Strongly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E-banking is a secure mode of action. </w:t>
      </w:r>
    </w:p>
    <w:p w:rsidR="00F7749E" w:rsidRDefault="00F7749E" w:rsidP="00F7749E">
      <w:pPr>
        <w:pStyle w:val="Listenabsatz"/>
        <w:numPr>
          <w:ilvl w:val="0"/>
          <w:numId w:val="17"/>
        </w:numPr>
        <w:rPr>
          <w:rFonts w:asciiTheme="majorBidi" w:hAnsiTheme="majorBidi" w:cstheme="majorBidi"/>
          <w:sz w:val="24"/>
          <w:szCs w:val="24"/>
        </w:rPr>
      </w:pPr>
      <w:r>
        <w:rPr>
          <w:rFonts w:asciiTheme="majorBidi" w:hAnsiTheme="majorBidi" w:cstheme="majorBidi"/>
          <w:sz w:val="24"/>
          <w:szCs w:val="24"/>
        </w:rPr>
        <w:t>Strongly agree</w:t>
      </w:r>
    </w:p>
    <w:p w:rsidR="00F7749E" w:rsidRDefault="00F7749E" w:rsidP="00F7749E">
      <w:pPr>
        <w:pStyle w:val="Listenabsatz"/>
        <w:numPr>
          <w:ilvl w:val="0"/>
          <w:numId w:val="17"/>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17"/>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17"/>
        </w:numPr>
        <w:rPr>
          <w:rFonts w:asciiTheme="majorBidi" w:hAnsiTheme="majorBidi" w:cstheme="majorBidi"/>
          <w:sz w:val="24"/>
          <w:szCs w:val="24"/>
        </w:rPr>
      </w:pPr>
      <w:r>
        <w:rPr>
          <w:rFonts w:asciiTheme="majorBidi" w:hAnsiTheme="majorBidi" w:cstheme="majorBidi"/>
          <w:sz w:val="24"/>
          <w:szCs w:val="24"/>
        </w:rPr>
        <w:t>Disagree</w:t>
      </w:r>
    </w:p>
    <w:p w:rsidR="00F7749E" w:rsidRDefault="00F7749E" w:rsidP="00F7749E">
      <w:pPr>
        <w:pStyle w:val="Listenabsatz"/>
        <w:numPr>
          <w:ilvl w:val="0"/>
          <w:numId w:val="17"/>
        </w:numPr>
        <w:rPr>
          <w:rFonts w:asciiTheme="majorBidi" w:hAnsiTheme="majorBidi" w:cstheme="majorBidi"/>
          <w:sz w:val="24"/>
          <w:szCs w:val="24"/>
        </w:rPr>
      </w:pPr>
      <w:r>
        <w:rPr>
          <w:rFonts w:asciiTheme="majorBidi" w:hAnsiTheme="majorBidi" w:cstheme="majorBidi"/>
          <w:sz w:val="24"/>
          <w:szCs w:val="24"/>
        </w:rPr>
        <w:t>Strongly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E-banking security is mainly due to:</w:t>
      </w:r>
    </w:p>
    <w:p w:rsidR="00F7749E" w:rsidRDefault="00F7749E" w:rsidP="00F7749E">
      <w:pPr>
        <w:pStyle w:val="Listenabsatz"/>
        <w:numPr>
          <w:ilvl w:val="0"/>
          <w:numId w:val="31"/>
        </w:numPr>
        <w:rPr>
          <w:rFonts w:asciiTheme="majorBidi" w:hAnsiTheme="majorBidi" w:cstheme="majorBidi"/>
          <w:sz w:val="24"/>
          <w:szCs w:val="24"/>
        </w:rPr>
      </w:pPr>
      <w:r>
        <w:rPr>
          <w:rFonts w:asciiTheme="majorBidi" w:hAnsiTheme="majorBidi" w:cstheme="majorBidi"/>
          <w:sz w:val="24"/>
          <w:szCs w:val="24"/>
        </w:rPr>
        <w:t>Having strong requirements for password</w:t>
      </w:r>
    </w:p>
    <w:p w:rsidR="00F7749E" w:rsidRDefault="00F7749E" w:rsidP="00F7749E">
      <w:pPr>
        <w:pStyle w:val="Listenabsatz"/>
        <w:numPr>
          <w:ilvl w:val="0"/>
          <w:numId w:val="31"/>
        </w:numPr>
        <w:rPr>
          <w:rFonts w:asciiTheme="majorBidi" w:hAnsiTheme="majorBidi" w:cstheme="majorBidi"/>
          <w:sz w:val="24"/>
          <w:szCs w:val="24"/>
        </w:rPr>
      </w:pPr>
      <w:r>
        <w:rPr>
          <w:rFonts w:asciiTheme="majorBidi" w:hAnsiTheme="majorBidi" w:cstheme="majorBidi"/>
          <w:sz w:val="24"/>
          <w:szCs w:val="24"/>
        </w:rPr>
        <w:t>Having a strong firewall and/or antivirus</w:t>
      </w:r>
    </w:p>
    <w:p w:rsidR="00F7749E" w:rsidRDefault="00F7749E" w:rsidP="00F7749E">
      <w:pPr>
        <w:pStyle w:val="Listenabsatz"/>
        <w:numPr>
          <w:ilvl w:val="0"/>
          <w:numId w:val="31"/>
        </w:numPr>
        <w:rPr>
          <w:rFonts w:asciiTheme="majorBidi" w:hAnsiTheme="majorBidi" w:cstheme="majorBidi"/>
          <w:sz w:val="24"/>
          <w:szCs w:val="24"/>
        </w:rPr>
      </w:pPr>
      <w:r>
        <w:rPr>
          <w:rFonts w:asciiTheme="majorBidi" w:hAnsiTheme="majorBidi" w:cstheme="majorBidi"/>
          <w:sz w:val="24"/>
          <w:szCs w:val="24"/>
        </w:rPr>
        <w:t>Having any credentials to prove security</w:t>
      </w:r>
    </w:p>
    <w:p w:rsidR="00F7749E" w:rsidRDefault="00F7749E" w:rsidP="00F7749E">
      <w:pPr>
        <w:pStyle w:val="Listenabsatz"/>
        <w:numPr>
          <w:ilvl w:val="0"/>
          <w:numId w:val="31"/>
        </w:numPr>
        <w:rPr>
          <w:rFonts w:asciiTheme="majorBidi" w:hAnsiTheme="majorBidi" w:cstheme="majorBidi"/>
          <w:sz w:val="24"/>
          <w:szCs w:val="24"/>
        </w:rPr>
      </w:pPr>
      <w:r>
        <w:rPr>
          <w:rFonts w:asciiTheme="majorBidi" w:hAnsiTheme="majorBidi" w:cstheme="majorBidi"/>
          <w:sz w:val="24"/>
          <w:szCs w:val="24"/>
        </w:rPr>
        <w:lastRenderedPageBreak/>
        <w:t xml:space="preserve">Others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E-banking protects your data.</w:t>
      </w:r>
    </w:p>
    <w:p w:rsidR="00F7749E" w:rsidRDefault="00F7749E" w:rsidP="00F7749E">
      <w:pPr>
        <w:pStyle w:val="Listenabsatz"/>
        <w:numPr>
          <w:ilvl w:val="0"/>
          <w:numId w:val="18"/>
        </w:numPr>
        <w:rPr>
          <w:rFonts w:asciiTheme="majorBidi" w:hAnsiTheme="majorBidi" w:cstheme="majorBidi"/>
          <w:sz w:val="24"/>
          <w:szCs w:val="24"/>
        </w:rPr>
      </w:pPr>
      <w:r>
        <w:rPr>
          <w:rFonts w:asciiTheme="majorBidi" w:hAnsiTheme="majorBidi" w:cstheme="majorBidi"/>
          <w:sz w:val="24"/>
          <w:szCs w:val="24"/>
        </w:rPr>
        <w:t>Strongly agree</w:t>
      </w:r>
    </w:p>
    <w:p w:rsidR="00F7749E" w:rsidRDefault="00F7749E" w:rsidP="00F7749E">
      <w:pPr>
        <w:pStyle w:val="Listenabsatz"/>
        <w:numPr>
          <w:ilvl w:val="0"/>
          <w:numId w:val="18"/>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18"/>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18"/>
        </w:numPr>
        <w:rPr>
          <w:rFonts w:asciiTheme="majorBidi" w:hAnsiTheme="majorBidi" w:cstheme="majorBidi"/>
          <w:sz w:val="24"/>
          <w:szCs w:val="24"/>
        </w:rPr>
      </w:pPr>
      <w:r>
        <w:rPr>
          <w:rFonts w:asciiTheme="majorBidi" w:hAnsiTheme="majorBidi" w:cstheme="majorBidi"/>
          <w:sz w:val="24"/>
          <w:szCs w:val="24"/>
        </w:rPr>
        <w:t xml:space="preserve">Disagree </w:t>
      </w:r>
    </w:p>
    <w:p w:rsidR="00F7749E" w:rsidRDefault="00F7749E" w:rsidP="00F7749E">
      <w:pPr>
        <w:pStyle w:val="Listenabsatz"/>
        <w:numPr>
          <w:ilvl w:val="0"/>
          <w:numId w:val="18"/>
        </w:numPr>
        <w:rPr>
          <w:rFonts w:asciiTheme="majorBidi" w:hAnsiTheme="majorBidi" w:cstheme="majorBidi"/>
          <w:sz w:val="24"/>
          <w:szCs w:val="24"/>
        </w:rPr>
      </w:pPr>
      <w:r>
        <w:rPr>
          <w:rFonts w:asciiTheme="majorBidi" w:hAnsiTheme="majorBidi" w:cstheme="majorBidi"/>
          <w:sz w:val="24"/>
          <w:szCs w:val="24"/>
        </w:rPr>
        <w:t>Strongly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E-banking has adequate support 24/7. </w:t>
      </w:r>
    </w:p>
    <w:p w:rsidR="00F7749E" w:rsidRDefault="00F7749E" w:rsidP="00F7749E">
      <w:pPr>
        <w:pStyle w:val="Listenabsatz"/>
        <w:numPr>
          <w:ilvl w:val="0"/>
          <w:numId w:val="19"/>
        </w:numPr>
        <w:rPr>
          <w:rFonts w:asciiTheme="majorBidi" w:hAnsiTheme="majorBidi" w:cstheme="majorBidi"/>
          <w:sz w:val="24"/>
          <w:szCs w:val="24"/>
        </w:rPr>
      </w:pPr>
      <w:r>
        <w:rPr>
          <w:rFonts w:asciiTheme="majorBidi" w:hAnsiTheme="majorBidi" w:cstheme="majorBidi"/>
          <w:sz w:val="24"/>
          <w:szCs w:val="24"/>
        </w:rPr>
        <w:t xml:space="preserve">Strongly agree </w:t>
      </w:r>
    </w:p>
    <w:p w:rsidR="00F7749E" w:rsidRDefault="00F7749E" w:rsidP="00F7749E">
      <w:pPr>
        <w:pStyle w:val="Listenabsatz"/>
        <w:numPr>
          <w:ilvl w:val="0"/>
          <w:numId w:val="19"/>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19"/>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19"/>
        </w:numPr>
        <w:rPr>
          <w:rFonts w:asciiTheme="majorBidi" w:hAnsiTheme="majorBidi" w:cstheme="majorBidi"/>
          <w:sz w:val="24"/>
          <w:szCs w:val="24"/>
        </w:rPr>
      </w:pPr>
      <w:r>
        <w:rPr>
          <w:rFonts w:asciiTheme="majorBidi" w:hAnsiTheme="majorBidi" w:cstheme="majorBidi"/>
          <w:sz w:val="24"/>
          <w:szCs w:val="24"/>
        </w:rPr>
        <w:t>Disagree</w:t>
      </w:r>
    </w:p>
    <w:p w:rsidR="00F7749E" w:rsidRDefault="00F7749E" w:rsidP="00F7749E">
      <w:pPr>
        <w:pStyle w:val="Listenabsatz"/>
        <w:numPr>
          <w:ilvl w:val="0"/>
          <w:numId w:val="19"/>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I am satisfied with the range of services provided by e-banking. </w:t>
      </w:r>
    </w:p>
    <w:p w:rsidR="00F7749E" w:rsidRDefault="00F7749E" w:rsidP="00F7749E">
      <w:pPr>
        <w:pStyle w:val="Listenabsatz"/>
        <w:numPr>
          <w:ilvl w:val="0"/>
          <w:numId w:val="20"/>
        </w:numPr>
        <w:rPr>
          <w:rFonts w:asciiTheme="majorBidi" w:hAnsiTheme="majorBidi" w:cstheme="majorBidi"/>
          <w:sz w:val="24"/>
          <w:szCs w:val="24"/>
        </w:rPr>
      </w:pPr>
      <w:r>
        <w:rPr>
          <w:rFonts w:asciiTheme="majorBidi" w:hAnsiTheme="majorBidi" w:cstheme="majorBidi"/>
          <w:sz w:val="24"/>
          <w:szCs w:val="24"/>
        </w:rPr>
        <w:t xml:space="preserve">Strongly agree </w:t>
      </w:r>
    </w:p>
    <w:p w:rsidR="00F7749E" w:rsidRDefault="00F7749E" w:rsidP="00F7749E">
      <w:pPr>
        <w:pStyle w:val="Listenabsatz"/>
        <w:numPr>
          <w:ilvl w:val="0"/>
          <w:numId w:val="20"/>
        </w:numPr>
        <w:rPr>
          <w:rFonts w:asciiTheme="majorBidi" w:hAnsiTheme="majorBidi" w:cstheme="majorBidi"/>
          <w:sz w:val="24"/>
          <w:szCs w:val="24"/>
        </w:rPr>
      </w:pPr>
      <w:r>
        <w:rPr>
          <w:rFonts w:asciiTheme="majorBidi" w:hAnsiTheme="majorBidi" w:cstheme="majorBidi"/>
          <w:sz w:val="24"/>
          <w:szCs w:val="24"/>
        </w:rPr>
        <w:t xml:space="preserve">Agree </w:t>
      </w:r>
    </w:p>
    <w:p w:rsidR="00F7749E" w:rsidRDefault="00F7749E" w:rsidP="00F7749E">
      <w:pPr>
        <w:pStyle w:val="Listenabsatz"/>
        <w:numPr>
          <w:ilvl w:val="0"/>
          <w:numId w:val="20"/>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20"/>
        </w:numPr>
        <w:rPr>
          <w:rFonts w:asciiTheme="majorBidi" w:hAnsiTheme="majorBidi" w:cstheme="majorBidi"/>
          <w:sz w:val="24"/>
          <w:szCs w:val="24"/>
        </w:rPr>
      </w:pPr>
      <w:r>
        <w:rPr>
          <w:rFonts w:asciiTheme="majorBidi" w:hAnsiTheme="majorBidi" w:cstheme="majorBidi"/>
          <w:sz w:val="24"/>
          <w:szCs w:val="24"/>
        </w:rPr>
        <w:t>Disagree</w:t>
      </w:r>
    </w:p>
    <w:p w:rsidR="00F7749E" w:rsidRDefault="00F7749E" w:rsidP="00F7749E">
      <w:pPr>
        <w:pStyle w:val="Listenabsatz"/>
        <w:numPr>
          <w:ilvl w:val="0"/>
          <w:numId w:val="20"/>
        </w:numPr>
        <w:rPr>
          <w:rFonts w:asciiTheme="majorBidi" w:hAnsiTheme="majorBidi" w:cstheme="majorBidi"/>
          <w:sz w:val="24"/>
          <w:szCs w:val="24"/>
        </w:rPr>
      </w:pPr>
      <w:r>
        <w:rPr>
          <w:rFonts w:asciiTheme="majorBidi" w:hAnsiTheme="majorBidi" w:cstheme="majorBidi"/>
          <w:sz w:val="24"/>
          <w:szCs w:val="24"/>
        </w:rPr>
        <w:t>Strongly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E-banking is better than regular banking. </w:t>
      </w:r>
    </w:p>
    <w:p w:rsidR="00F7749E" w:rsidRDefault="00F7749E" w:rsidP="00F7749E">
      <w:pPr>
        <w:pStyle w:val="Listenabsatz"/>
        <w:numPr>
          <w:ilvl w:val="0"/>
          <w:numId w:val="21"/>
        </w:numPr>
        <w:rPr>
          <w:rFonts w:asciiTheme="majorBidi" w:hAnsiTheme="majorBidi" w:cstheme="majorBidi"/>
          <w:sz w:val="24"/>
          <w:szCs w:val="24"/>
        </w:rPr>
      </w:pPr>
      <w:r>
        <w:rPr>
          <w:rFonts w:asciiTheme="majorBidi" w:hAnsiTheme="majorBidi" w:cstheme="majorBidi"/>
          <w:sz w:val="24"/>
          <w:szCs w:val="24"/>
        </w:rPr>
        <w:t xml:space="preserve">Strongly agree </w:t>
      </w:r>
    </w:p>
    <w:p w:rsidR="00F7749E" w:rsidRDefault="00F7749E" w:rsidP="00F7749E">
      <w:pPr>
        <w:pStyle w:val="Listenabsatz"/>
        <w:numPr>
          <w:ilvl w:val="0"/>
          <w:numId w:val="21"/>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21"/>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21"/>
        </w:numPr>
        <w:rPr>
          <w:rFonts w:asciiTheme="majorBidi" w:hAnsiTheme="majorBidi" w:cstheme="majorBidi"/>
          <w:sz w:val="24"/>
          <w:szCs w:val="24"/>
        </w:rPr>
      </w:pPr>
      <w:r>
        <w:rPr>
          <w:rFonts w:asciiTheme="majorBidi" w:hAnsiTheme="majorBidi" w:cstheme="majorBidi"/>
          <w:sz w:val="24"/>
          <w:szCs w:val="24"/>
        </w:rPr>
        <w:t xml:space="preserve">Disagree </w:t>
      </w:r>
    </w:p>
    <w:p w:rsidR="00F7749E" w:rsidRDefault="00F7749E" w:rsidP="00F7749E">
      <w:pPr>
        <w:pStyle w:val="Listenabsatz"/>
        <w:numPr>
          <w:ilvl w:val="0"/>
          <w:numId w:val="21"/>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Banks can restore satisfaction by regaining trust.</w:t>
      </w:r>
    </w:p>
    <w:p w:rsidR="00F7749E" w:rsidRDefault="00F7749E" w:rsidP="00F7749E">
      <w:pPr>
        <w:pStyle w:val="Listenabsatz"/>
        <w:numPr>
          <w:ilvl w:val="0"/>
          <w:numId w:val="23"/>
        </w:numPr>
        <w:rPr>
          <w:rFonts w:asciiTheme="majorBidi" w:hAnsiTheme="majorBidi" w:cstheme="majorBidi"/>
          <w:sz w:val="24"/>
          <w:szCs w:val="24"/>
        </w:rPr>
      </w:pPr>
      <w:r>
        <w:rPr>
          <w:rFonts w:asciiTheme="majorBidi" w:hAnsiTheme="majorBidi" w:cstheme="majorBidi"/>
          <w:sz w:val="24"/>
          <w:szCs w:val="24"/>
        </w:rPr>
        <w:t xml:space="preserve">Strongly agree </w:t>
      </w:r>
    </w:p>
    <w:p w:rsidR="00F7749E" w:rsidRDefault="00F7749E" w:rsidP="00F7749E">
      <w:pPr>
        <w:pStyle w:val="Listenabsatz"/>
        <w:numPr>
          <w:ilvl w:val="0"/>
          <w:numId w:val="23"/>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23"/>
        </w:numPr>
        <w:rPr>
          <w:rFonts w:asciiTheme="majorBidi" w:hAnsiTheme="majorBidi" w:cstheme="majorBidi"/>
          <w:sz w:val="24"/>
          <w:szCs w:val="24"/>
        </w:rPr>
      </w:pPr>
      <w:r>
        <w:rPr>
          <w:rFonts w:asciiTheme="majorBidi" w:hAnsiTheme="majorBidi" w:cstheme="majorBidi"/>
          <w:sz w:val="24"/>
          <w:szCs w:val="24"/>
        </w:rPr>
        <w:t xml:space="preserve">Neither agree nor disagree </w:t>
      </w:r>
    </w:p>
    <w:p w:rsidR="00F7749E" w:rsidRDefault="00F7749E" w:rsidP="00F7749E">
      <w:pPr>
        <w:pStyle w:val="Listenabsatz"/>
        <w:numPr>
          <w:ilvl w:val="0"/>
          <w:numId w:val="23"/>
        </w:numPr>
        <w:rPr>
          <w:rFonts w:asciiTheme="majorBidi" w:hAnsiTheme="majorBidi" w:cstheme="majorBidi"/>
          <w:sz w:val="24"/>
          <w:szCs w:val="24"/>
        </w:rPr>
      </w:pPr>
      <w:r>
        <w:rPr>
          <w:rFonts w:asciiTheme="majorBidi" w:hAnsiTheme="majorBidi" w:cstheme="majorBidi"/>
          <w:sz w:val="24"/>
          <w:szCs w:val="24"/>
        </w:rPr>
        <w:t>Disagree</w:t>
      </w:r>
    </w:p>
    <w:p w:rsidR="00F7749E" w:rsidRDefault="00F7749E" w:rsidP="00F7749E">
      <w:pPr>
        <w:pStyle w:val="Listenabsatz"/>
        <w:numPr>
          <w:ilvl w:val="0"/>
          <w:numId w:val="23"/>
        </w:numPr>
        <w:rPr>
          <w:rFonts w:asciiTheme="majorBidi" w:hAnsiTheme="majorBidi" w:cstheme="majorBidi"/>
          <w:sz w:val="24"/>
          <w:szCs w:val="24"/>
        </w:rPr>
      </w:pPr>
      <w:r>
        <w:rPr>
          <w:rFonts w:asciiTheme="majorBidi" w:hAnsiTheme="majorBidi" w:cstheme="majorBidi"/>
          <w:sz w:val="24"/>
          <w:szCs w:val="24"/>
        </w:rPr>
        <w:t xml:space="preserve">Neither agree nor disagree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Trust can be regained by: (more than one option is permissible)</w:t>
      </w:r>
    </w:p>
    <w:p w:rsidR="00F7749E" w:rsidRDefault="00F7749E" w:rsidP="00F7749E">
      <w:pPr>
        <w:pStyle w:val="Listenabsatz"/>
        <w:numPr>
          <w:ilvl w:val="0"/>
          <w:numId w:val="24"/>
        </w:numPr>
        <w:rPr>
          <w:rFonts w:asciiTheme="majorBidi" w:hAnsiTheme="majorBidi" w:cstheme="majorBidi"/>
          <w:sz w:val="24"/>
          <w:szCs w:val="24"/>
        </w:rPr>
      </w:pPr>
      <w:r>
        <w:rPr>
          <w:rFonts w:asciiTheme="majorBidi" w:hAnsiTheme="majorBidi" w:cstheme="majorBidi"/>
          <w:sz w:val="24"/>
          <w:szCs w:val="24"/>
        </w:rPr>
        <w:t xml:space="preserve">Being more transparent with customers </w:t>
      </w:r>
    </w:p>
    <w:p w:rsidR="00F7749E" w:rsidRDefault="00F7749E" w:rsidP="00F7749E">
      <w:pPr>
        <w:pStyle w:val="Listenabsatz"/>
        <w:numPr>
          <w:ilvl w:val="0"/>
          <w:numId w:val="24"/>
        </w:numPr>
        <w:rPr>
          <w:rFonts w:asciiTheme="majorBidi" w:hAnsiTheme="majorBidi" w:cstheme="majorBidi"/>
          <w:sz w:val="24"/>
          <w:szCs w:val="24"/>
        </w:rPr>
      </w:pPr>
      <w:r>
        <w:rPr>
          <w:rFonts w:asciiTheme="majorBidi" w:hAnsiTheme="majorBidi" w:cstheme="majorBidi"/>
          <w:sz w:val="24"/>
          <w:szCs w:val="24"/>
        </w:rPr>
        <w:t xml:space="preserve">Lifting restrictions on transactions </w:t>
      </w:r>
    </w:p>
    <w:p w:rsidR="00F7749E" w:rsidRDefault="00F7749E" w:rsidP="00F7749E">
      <w:pPr>
        <w:pStyle w:val="Listenabsatz"/>
        <w:numPr>
          <w:ilvl w:val="0"/>
          <w:numId w:val="24"/>
        </w:numPr>
        <w:rPr>
          <w:rFonts w:asciiTheme="majorBidi" w:hAnsiTheme="majorBidi" w:cstheme="majorBidi"/>
          <w:sz w:val="24"/>
          <w:szCs w:val="24"/>
        </w:rPr>
      </w:pPr>
      <w:r>
        <w:rPr>
          <w:rFonts w:asciiTheme="majorBidi" w:hAnsiTheme="majorBidi" w:cstheme="majorBidi"/>
          <w:sz w:val="24"/>
          <w:szCs w:val="24"/>
        </w:rPr>
        <w:t xml:space="preserve">Restoring the value of the Lebanese Lira </w:t>
      </w:r>
    </w:p>
    <w:p w:rsidR="00F7749E" w:rsidRDefault="00F7749E" w:rsidP="00F7749E">
      <w:pPr>
        <w:pStyle w:val="Listenabsatz"/>
        <w:numPr>
          <w:ilvl w:val="0"/>
          <w:numId w:val="24"/>
        </w:numPr>
        <w:rPr>
          <w:rFonts w:asciiTheme="majorBidi" w:hAnsiTheme="majorBidi" w:cstheme="majorBidi"/>
          <w:sz w:val="24"/>
          <w:szCs w:val="24"/>
        </w:rPr>
      </w:pPr>
      <w:r>
        <w:rPr>
          <w:rFonts w:asciiTheme="majorBidi" w:hAnsiTheme="majorBidi" w:cstheme="majorBidi"/>
          <w:sz w:val="24"/>
          <w:szCs w:val="24"/>
        </w:rPr>
        <w:t xml:space="preserve">Allowing external transactions </w:t>
      </w:r>
    </w:p>
    <w:p w:rsidR="00F7749E" w:rsidRDefault="00F7749E" w:rsidP="00F7749E">
      <w:pPr>
        <w:pStyle w:val="Listenabsatz"/>
        <w:numPr>
          <w:ilvl w:val="0"/>
          <w:numId w:val="24"/>
        </w:numPr>
        <w:rPr>
          <w:rFonts w:asciiTheme="majorBidi" w:hAnsiTheme="majorBidi" w:cstheme="majorBidi"/>
          <w:sz w:val="24"/>
          <w:szCs w:val="24"/>
        </w:rPr>
      </w:pPr>
      <w:r>
        <w:rPr>
          <w:rFonts w:asciiTheme="majorBidi" w:hAnsiTheme="majorBidi" w:cstheme="majorBidi"/>
          <w:sz w:val="24"/>
          <w:szCs w:val="24"/>
        </w:rPr>
        <w:t xml:space="preserve">Allowing purchases without restrictions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The events of 2019 have made you more engaged with e-banking. </w:t>
      </w:r>
    </w:p>
    <w:p w:rsidR="00F7749E" w:rsidRDefault="00F7749E" w:rsidP="00F7749E">
      <w:pPr>
        <w:pStyle w:val="Listenabsatz"/>
        <w:numPr>
          <w:ilvl w:val="0"/>
          <w:numId w:val="39"/>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39"/>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lastRenderedPageBreak/>
        <w:t xml:space="preserve">The events of 2019 have given you a better understanding of e-banking. </w:t>
      </w:r>
    </w:p>
    <w:p w:rsidR="00F7749E" w:rsidRDefault="00F7749E" w:rsidP="00F7749E">
      <w:pPr>
        <w:pStyle w:val="Listenabsatz"/>
        <w:numPr>
          <w:ilvl w:val="0"/>
          <w:numId w:val="41"/>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41"/>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Engagement with e-banking is more due to: </w:t>
      </w:r>
    </w:p>
    <w:p w:rsidR="00F7749E" w:rsidRDefault="00F7749E" w:rsidP="00F7749E">
      <w:pPr>
        <w:pStyle w:val="Listenabsatz"/>
        <w:numPr>
          <w:ilvl w:val="0"/>
          <w:numId w:val="40"/>
        </w:numPr>
        <w:rPr>
          <w:rFonts w:asciiTheme="majorBidi" w:hAnsiTheme="majorBidi" w:cstheme="majorBidi"/>
          <w:sz w:val="24"/>
          <w:szCs w:val="24"/>
        </w:rPr>
      </w:pPr>
      <w:r>
        <w:rPr>
          <w:rFonts w:asciiTheme="majorBidi" w:hAnsiTheme="majorBidi" w:cstheme="majorBidi"/>
          <w:sz w:val="24"/>
          <w:szCs w:val="24"/>
        </w:rPr>
        <w:t>Financial crisis of 2019</w:t>
      </w:r>
    </w:p>
    <w:p w:rsidR="00F7749E" w:rsidRPr="000F40E5" w:rsidRDefault="00F7749E" w:rsidP="00F7749E">
      <w:pPr>
        <w:pStyle w:val="Listenabsatz"/>
        <w:numPr>
          <w:ilvl w:val="0"/>
          <w:numId w:val="40"/>
        </w:numPr>
        <w:rPr>
          <w:rFonts w:asciiTheme="majorBidi" w:hAnsiTheme="majorBidi" w:cstheme="majorBidi"/>
          <w:sz w:val="24"/>
          <w:szCs w:val="24"/>
        </w:rPr>
      </w:pPr>
      <w:r>
        <w:rPr>
          <w:rFonts w:asciiTheme="majorBidi" w:hAnsiTheme="majorBidi" w:cstheme="majorBidi"/>
          <w:sz w:val="24"/>
          <w:szCs w:val="24"/>
        </w:rPr>
        <w:t xml:space="preserve">Onset of COVID-19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Has your bank provided any new services post 2019?</w:t>
      </w:r>
    </w:p>
    <w:p w:rsidR="00F7749E" w:rsidRDefault="00F7749E" w:rsidP="00F7749E">
      <w:pPr>
        <w:pStyle w:val="Listenabsatz"/>
        <w:numPr>
          <w:ilvl w:val="0"/>
          <w:numId w:val="26"/>
        </w:numPr>
        <w:rPr>
          <w:rFonts w:asciiTheme="majorBidi" w:hAnsiTheme="majorBidi" w:cstheme="majorBidi"/>
          <w:sz w:val="24"/>
          <w:szCs w:val="24"/>
        </w:rPr>
      </w:pPr>
      <w:r>
        <w:rPr>
          <w:rFonts w:asciiTheme="majorBidi" w:hAnsiTheme="majorBidi" w:cstheme="majorBidi"/>
          <w:sz w:val="24"/>
          <w:szCs w:val="24"/>
        </w:rPr>
        <w:t xml:space="preserve">Yes </w:t>
      </w:r>
    </w:p>
    <w:p w:rsidR="00F7749E" w:rsidRDefault="00F7749E" w:rsidP="00F7749E">
      <w:pPr>
        <w:pStyle w:val="Listenabsatz"/>
        <w:numPr>
          <w:ilvl w:val="0"/>
          <w:numId w:val="26"/>
        </w:numPr>
        <w:rPr>
          <w:rFonts w:asciiTheme="majorBidi" w:hAnsiTheme="majorBidi" w:cstheme="majorBidi"/>
          <w:sz w:val="24"/>
          <w:szCs w:val="24"/>
        </w:rPr>
      </w:pPr>
      <w:r>
        <w:rPr>
          <w:rFonts w:asciiTheme="majorBidi" w:hAnsiTheme="majorBidi" w:cstheme="majorBidi"/>
          <w:sz w:val="24"/>
          <w:szCs w:val="24"/>
        </w:rPr>
        <w:t xml:space="preserve">No </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If yes, please provide these services. </w:t>
      </w:r>
    </w:p>
    <w:p w:rsidR="00F7749E" w:rsidRDefault="00F7749E" w:rsidP="00F7749E">
      <w:pPr>
        <w:pStyle w:val="Listenabsatz"/>
        <w:numPr>
          <w:ilvl w:val="0"/>
          <w:numId w:val="27"/>
        </w:numPr>
        <w:rPr>
          <w:rFonts w:asciiTheme="majorBidi" w:hAnsiTheme="majorBidi" w:cstheme="majorBidi"/>
          <w:sz w:val="24"/>
          <w:szCs w:val="24"/>
        </w:rPr>
      </w:pPr>
      <w:r>
        <w:rPr>
          <w:rFonts w:asciiTheme="majorBidi" w:hAnsiTheme="majorBidi" w:cstheme="majorBidi"/>
          <w:sz w:val="24"/>
          <w:szCs w:val="24"/>
        </w:rPr>
        <w:t xml:space="preserve">New services: </w:t>
      </w:r>
    </w:p>
    <w:p w:rsidR="00F7749E" w:rsidRDefault="00F7749E" w:rsidP="00F7749E">
      <w:pPr>
        <w:pStyle w:val="Listenabsatz"/>
        <w:numPr>
          <w:ilvl w:val="0"/>
          <w:numId w:val="27"/>
        </w:numPr>
        <w:rPr>
          <w:rFonts w:asciiTheme="majorBidi" w:hAnsiTheme="majorBidi" w:cstheme="majorBidi"/>
          <w:sz w:val="24"/>
          <w:szCs w:val="24"/>
        </w:rPr>
      </w:pPr>
      <w:r>
        <w:rPr>
          <w:rFonts w:asciiTheme="majorBidi" w:hAnsiTheme="majorBidi" w:cstheme="majorBidi"/>
          <w:sz w:val="24"/>
          <w:szCs w:val="24"/>
        </w:rPr>
        <w:t>N/A</w:t>
      </w:r>
    </w:p>
    <w:p w:rsidR="00F7749E" w:rsidRDefault="00F7749E" w:rsidP="00F7749E">
      <w:pPr>
        <w:pStyle w:val="Listenabsatz"/>
        <w:numPr>
          <w:ilvl w:val="0"/>
          <w:numId w:val="7"/>
        </w:numPr>
        <w:rPr>
          <w:rFonts w:asciiTheme="majorBidi" w:hAnsiTheme="majorBidi" w:cstheme="majorBidi"/>
          <w:sz w:val="24"/>
          <w:szCs w:val="24"/>
        </w:rPr>
      </w:pPr>
      <w:r>
        <w:rPr>
          <w:rFonts w:asciiTheme="majorBidi" w:hAnsiTheme="majorBidi" w:cstheme="majorBidi"/>
          <w:sz w:val="24"/>
          <w:szCs w:val="24"/>
        </w:rPr>
        <w:t xml:space="preserve">The banking sector can recover from this crisis. </w:t>
      </w:r>
    </w:p>
    <w:p w:rsidR="00F7749E" w:rsidRDefault="00F7749E" w:rsidP="00F7749E">
      <w:pPr>
        <w:pStyle w:val="Listenabsatz"/>
        <w:numPr>
          <w:ilvl w:val="0"/>
          <w:numId w:val="25"/>
        </w:numPr>
        <w:rPr>
          <w:rFonts w:asciiTheme="majorBidi" w:hAnsiTheme="majorBidi" w:cstheme="majorBidi"/>
          <w:sz w:val="24"/>
          <w:szCs w:val="24"/>
        </w:rPr>
      </w:pPr>
      <w:r>
        <w:rPr>
          <w:rFonts w:asciiTheme="majorBidi" w:hAnsiTheme="majorBidi" w:cstheme="majorBidi"/>
          <w:sz w:val="24"/>
          <w:szCs w:val="24"/>
        </w:rPr>
        <w:t>Strongly agree</w:t>
      </w:r>
    </w:p>
    <w:p w:rsidR="00F7749E" w:rsidRDefault="00F7749E" w:rsidP="00F7749E">
      <w:pPr>
        <w:pStyle w:val="Listenabsatz"/>
        <w:numPr>
          <w:ilvl w:val="0"/>
          <w:numId w:val="25"/>
        </w:numPr>
        <w:rPr>
          <w:rFonts w:asciiTheme="majorBidi" w:hAnsiTheme="majorBidi" w:cstheme="majorBidi"/>
          <w:sz w:val="24"/>
          <w:szCs w:val="24"/>
        </w:rPr>
      </w:pPr>
      <w:r>
        <w:rPr>
          <w:rFonts w:asciiTheme="majorBidi" w:hAnsiTheme="majorBidi" w:cstheme="majorBidi"/>
          <w:sz w:val="24"/>
          <w:szCs w:val="24"/>
        </w:rPr>
        <w:t>Agree</w:t>
      </w:r>
    </w:p>
    <w:p w:rsidR="00F7749E" w:rsidRDefault="00F7749E" w:rsidP="00F7749E">
      <w:pPr>
        <w:pStyle w:val="Listenabsatz"/>
        <w:numPr>
          <w:ilvl w:val="0"/>
          <w:numId w:val="25"/>
        </w:numPr>
        <w:rPr>
          <w:rFonts w:asciiTheme="majorBidi" w:hAnsiTheme="majorBidi" w:cstheme="majorBidi"/>
          <w:sz w:val="24"/>
          <w:szCs w:val="24"/>
        </w:rPr>
      </w:pPr>
      <w:r>
        <w:rPr>
          <w:rFonts w:asciiTheme="majorBidi" w:hAnsiTheme="majorBidi" w:cstheme="majorBidi"/>
          <w:sz w:val="24"/>
          <w:szCs w:val="24"/>
        </w:rPr>
        <w:t>Neither agree nor disagree</w:t>
      </w:r>
    </w:p>
    <w:p w:rsidR="00F7749E" w:rsidRDefault="00F7749E" w:rsidP="00F7749E">
      <w:pPr>
        <w:pStyle w:val="Listenabsatz"/>
        <w:numPr>
          <w:ilvl w:val="0"/>
          <w:numId w:val="25"/>
        </w:numPr>
        <w:rPr>
          <w:rFonts w:asciiTheme="majorBidi" w:hAnsiTheme="majorBidi" w:cstheme="majorBidi"/>
          <w:sz w:val="24"/>
          <w:szCs w:val="24"/>
        </w:rPr>
      </w:pPr>
      <w:r>
        <w:rPr>
          <w:rFonts w:asciiTheme="majorBidi" w:hAnsiTheme="majorBidi" w:cstheme="majorBidi"/>
          <w:sz w:val="24"/>
          <w:szCs w:val="24"/>
        </w:rPr>
        <w:t>Disagree</w:t>
      </w:r>
    </w:p>
    <w:p w:rsidR="00F7749E" w:rsidRPr="00E35466" w:rsidRDefault="00F7749E" w:rsidP="00F7749E">
      <w:pPr>
        <w:pStyle w:val="Listenabsatz"/>
        <w:numPr>
          <w:ilvl w:val="0"/>
          <w:numId w:val="25"/>
        </w:numPr>
        <w:rPr>
          <w:rFonts w:asciiTheme="majorBidi" w:hAnsiTheme="majorBidi" w:cstheme="majorBidi"/>
          <w:sz w:val="24"/>
          <w:szCs w:val="24"/>
        </w:rPr>
      </w:pPr>
      <w:r>
        <w:rPr>
          <w:rFonts w:asciiTheme="majorBidi" w:hAnsiTheme="majorBidi" w:cstheme="majorBidi"/>
          <w:sz w:val="24"/>
          <w:szCs w:val="24"/>
        </w:rPr>
        <w:t xml:space="preserve">Strongly disagree </w:t>
      </w:r>
    </w:p>
    <w:p w:rsidR="004E7338" w:rsidRDefault="004E7338" w:rsidP="00493E4F">
      <w:pPr>
        <w:spacing w:line="360" w:lineRule="auto"/>
        <w:ind w:left="360"/>
        <w:jc w:val="both"/>
        <w:rPr>
          <w:rFonts w:asciiTheme="majorBidi" w:hAnsiTheme="majorBidi"/>
          <w:sz w:val="24"/>
          <w:szCs w:val="24"/>
        </w:rPr>
      </w:pPr>
    </w:p>
    <w:p w:rsidR="00F7749E" w:rsidRDefault="00F7749E" w:rsidP="00493E4F">
      <w:pPr>
        <w:spacing w:line="360" w:lineRule="auto"/>
        <w:ind w:left="360"/>
        <w:jc w:val="both"/>
        <w:rPr>
          <w:rFonts w:asciiTheme="majorBidi" w:hAnsiTheme="majorBidi"/>
          <w:sz w:val="24"/>
          <w:szCs w:val="24"/>
        </w:rPr>
      </w:pPr>
    </w:p>
    <w:p w:rsidR="00F7749E" w:rsidRDefault="00F7749E" w:rsidP="00493E4F">
      <w:pPr>
        <w:spacing w:line="360" w:lineRule="auto"/>
        <w:ind w:left="360"/>
        <w:jc w:val="both"/>
        <w:rPr>
          <w:rFonts w:asciiTheme="majorBidi" w:hAnsiTheme="majorBidi"/>
          <w:sz w:val="24"/>
          <w:szCs w:val="24"/>
        </w:rPr>
      </w:pPr>
    </w:p>
    <w:p w:rsidR="00F7749E" w:rsidRDefault="00F7749E" w:rsidP="0035694C">
      <w:pPr>
        <w:spacing w:line="360" w:lineRule="auto"/>
        <w:jc w:val="both"/>
        <w:rPr>
          <w:rFonts w:asciiTheme="majorBidi" w:hAnsiTheme="majorBidi"/>
          <w:sz w:val="24"/>
          <w:szCs w:val="24"/>
        </w:rPr>
      </w:pPr>
    </w:p>
    <w:p w:rsidR="00493E4F" w:rsidRPr="00493E4F" w:rsidRDefault="00493E4F" w:rsidP="00BA77EA">
      <w:pPr>
        <w:spacing w:line="480" w:lineRule="auto"/>
        <w:rPr>
          <w:rFonts w:asciiTheme="majorBidi" w:hAnsiTheme="majorBidi" w:cstheme="majorBidi"/>
          <w:b/>
          <w:bCs/>
          <w:sz w:val="24"/>
          <w:szCs w:val="24"/>
        </w:rPr>
      </w:pPr>
    </w:p>
    <w:sectPr w:rsidR="00493E4F" w:rsidRPr="00493E4F" w:rsidSect="00F553BA">
      <w:headerReference w:type="default" r:id="rId53"/>
      <w:footerReference w:type="default" r:id="rId54"/>
      <w:headerReference w:type="first" r:id="rId5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3BD8" w:rsidRDefault="00E23BD8" w:rsidP="007947CB">
      <w:pPr>
        <w:spacing w:after="0" w:line="240" w:lineRule="auto"/>
      </w:pPr>
      <w:r>
        <w:separator/>
      </w:r>
    </w:p>
  </w:endnote>
  <w:endnote w:type="continuationSeparator" w:id="0">
    <w:p w:rsidR="00E23BD8" w:rsidRDefault="00E23BD8" w:rsidP="0079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altName w:val="Times New Roman"/>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6256536"/>
      <w:docPartObj>
        <w:docPartGallery w:val="Page Numbers (Bottom of Page)"/>
        <w:docPartUnique/>
      </w:docPartObj>
    </w:sdtPr>
    <w:sdtEndPr>
      <w:rPr>
        <w:noProof/>
      </w:rPr>
    </w:sdtEndPr>
    <w:sdtContent>
      <w:p w:rsidR="00496BDC" w:rsidRDefault="00496BDC">
        <w:pPr>
          <w:pStyle w:val="Fuzeile"/>
          <w:jc w:val="center"/>
        </w:pPr>
        <w:r>
          <w:fldChar w:fldCharType="begin"/>
        </w:r>
        <w:r>
          <w:instrText xml:space="preserve"> PAGE   \* MERGEFORMAT </w:instrText>
        </w:r>
        <w:r>
          <w:fldChar w:fldCharType="separate"/>
        </w:r>
        <w:r w:rsidR="009963BB">
          <w:rPr>
            <w:noProof/>
          </w:rPr>
          <w:t>16</w:t>
        </w:r>
        <w:r>
          <w:rPr>
            <w:noProof/>
          </w:rPr>
          <w:fldChar w:fldCharType="end"/>
        </w:r>
      </w:p>
    </w:sdtContent>
  </w:sdt>
  <w:p w:rsidR="00496BDC" w:rsidRDefault="00496BDC">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3BD8" w:rsidRDefault="00E23BD8" w:rsidP="007947CB">
      <w:pPr>
        <w:spacing w:after="0" w:line="240" w:lineRule="auto"/>
      </w:pPr>
      <w:r>
        <w:separator/>
      </w:r>
    </w:p>
  </w:footnote>
  <w:footnote w:type="continuationSeparator" w:id="0">
    <w:p w:rsidR="00E23BD8" w:rsidRDefault="00E23BD8" w:rsidP="007947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BDC" w:rsidRDefault="00496BDC" w:rsidP="00830EE4">
    <w:pPr>
      <w:pStyle w:val="Kopfzeile"/>
    </w:pPr>
  </w:p>
  <w:p w:rsidR="00496BDC" w:rsidRDefault="00496BDC">
    <w:pPr>
      <w:pStyle w:val="Kopfzeile"/>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Seitenzahl"/>
      </w:rPr>
      <w:id w:val="774376108"/>
      <w:docPartObj>
        <w:docPartGallery w:val="Page Numbers (Top of Page)"/>
        <w:docPartUnique/>
      </w:docPartObj>
    </w:sdtPr>
    <w:sdtContent>
      <w:p w:rsidR="00496BDC" w:rsidRDefault="00496BDC" w:rsidP="00496BDC">
        <w:pPr>
          <w:pStyle w:val="Kopf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separate"/>
        </w:r>
        <w:r w:rsidR="009963BB">
          <w:rPr>
            <w:rStyle w:val="Seitenzahl"/>
            <w:noProof/>
          </w:rPr>
          <w:t>0</w:t>
        </w:r>
        <w:r>
          <w:rPr>
            <w:rStyle w:val="Seitenzahl"/>
          </w:rPr>
          <w:fldChar w:fldCharType="end"/>
        </w:r>
      </w:p>
    </w:sdtContent>
  </w:sdt>
  <w:p w:rsidR="00496BDC" w:rsidRDefault="00496BDC" w:rsidP="00D425C4">
    <w:pPr>
      <w:pStyle w:val="Kopfzeile"/>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97F3B"/>
    <w:multiLevelType w:val="hybridMultilevel"/>
    <w:tmpl w:val="183617BE"/>
    <w:lvl w:ilvl="0" w:tplc="33DCF86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7364C15"/>
    <w:multiLevelType w:val="hybridMultilevel"/>
    <w:tmpl w:val="588C53B8"/>
    <w:lvl w:ilvl="0" w:tplc="5B1CA18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B196F6C"/>
    <w:multiLevelType w:val="hybridMultilevel"/>
    <w:tmpl w:val="F3163BBC"/>
    <w:lvl w:ilvl="0" w:tplc="36CEEC8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8F2F8E"/>
    <w:multiLevelType w:val="hybridMultilevel"/>
    <w:tmpl w:val="2C1EE7F8"/>
    <w:lvl w:ilvl="0" w:tplc="0666DD08">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F3E6B9D"/>
    <w:multiLevelType w:val="hybridMultilevel"/>
    <w:tmpl w:val="1196155C"/>
    <w:lvl w:ilvl="0" w:tplc="31A6F8C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0FB12F8"/>
    <w:multiLevelType w:val="hybridMultilevel"/>
    <w:tmpl w:val="F5C8A246"/>
    <w:lvl w:ilvl="0" w:tplc="BE08BD5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2701088"/>
    <w:multiLevelType w:val="hybridMultilevel"/>
    <w:tmpl w:val="E9D65F9E"/>
    <w:lvl w:ilvl="0" w:tplc="9932B47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12C36F50"/>
    <w:multiLevelType w:val="hybridMultilevel"/>
    <w:tmpl w:val="3C92FD0E"/>
    <w:lvl w:ilvl="0" w:tplc="AD6EE8E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147D2B04"/>
    <w:multiLevelType w:val="hybridMultilevel"/>
    <w:tmpl w:val="B12EA5E0"/>
    <w:lvl w:ilvl="0" w:tplc="5F78D6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19B97411"/>
    <w:multiLevelType w:val="hybridMultilevel"/>
    <w:tmpl w:val="CB344984"/>
    <w:lvl w:ilvl="0" w:tplc="EC04D41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1C372D95"/>
    <w:multiLevelType w:val="hybridMultilevel"/>
    <w:tmpl w:val="FF749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C939A3"/>
    <w:multiLevelType w:val="hybridMultilevel"/>
    <w:tmpl w:val="E6FCEEB4"/>
    <w:lvl w:ilvl="0" w:tplc="BAF0109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6634BFA"/>
    <w:multiLevelType w:val="hybridMultilevel"/>
    <w:tmpl w:val="1EE80BF0"/>
    <w:lvl w:ilvl="0" w:tplc="B168871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270A692A"/>
    <w:multiLevelType w:val="hybridMultilevel"/>
    <w:tmpl w:val="FDDC72B6"/>
    <w:lvl w:ilvl="0" w:tplc="3BC4621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7F21D74"/>
    <w:multiLevelType w:val="hybridMultilevel"/>
    <w:tmpl w:val="3EF23F2E"/>
    <w:lvl w:ilvl="0" w:tplc="3142152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2AE96804"/>
    <w:multiLevelType w:val="hybridMultilevel"/>
    <w:tmpl w:val="C0B686F2"/>
    <w:lvl w:ilvl="0" w:tplc="97AE7D0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31221AFC"/>
    <w:multiLevelType w:val="hybridMultilevel"/>
    <w:tmpl w:val="DE96D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B569DC"/>
    <w:multiLevelType w:val="hybridMultilevel"/>
    <w:tmpl w:val="0A325E10"/>
    <w:lvl w:ilvl="0" w:tplc="12CC659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3939794D"/>
    <w:multiLevelType w:val="hybridMultilevel"/>
    <w:tmpl w:val="C76E56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0A7331"/>
    <w:multiLevelType w:val="hybridMultilevel"/>
    <w:tmpl w:val="74488D4E"/>
    <w:lvl w:ilvl="0" w:tplc="C950AEB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55420B7E"/>
    <w:multiLevelType w:val="hybridMultilevel"/>
    <w:tmpl w:val="6F1C009C"/>
    <w:lvl w:ilvl="0" w:tplc="1B98FCF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554C7B6D"/>
    <w:multiLevelType w:val="hybridMultilevel"/>
    <w:tmpl w:val="AFDA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632D5A"/>
    <w:multiLevelType w:val="hybridMultilevel"/>
    <w:tmpl w:val="06EE2792"/>
    <w:lvl w:ilvl="0" w:tplc="0F9E920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5DED1A5E"/>
    <w:multiLevelType w:val="hybridMultilevel"/>
    <w:tmpl w:val="6CFED8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1402773"/>
    <w:multiLevelType w:val="hybridMultilevel"/>
    <w:tmpl w:val="0A0821F4"/>
    <w:lvl w:ilvl="0" w:tplc="A580BDE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62D66647"/>
    <w:multiLevelType w:val="hybridMultilevel"/>
    <w:tmpl w:val="8C8082F0"/>
    <w:lvl w:ilvl="0" w:tplc="7BFCEF3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65694233"/>
    <w:multiLevelType w:val="hybridMultilevel"/>
    <w:tmpl w:val="D884FE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6115A91"/>
    <w:multiLevelType w:val="hybridMultilevel"/>
    <w:tmpl w:val="477A97C6"/>
    <w:lvl w:ilvl="0" w:tplc="2368B16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66D427BF"/>
    <w:multiLevelType w:val="hybridMultilevel"/>
    <w:tmpl w:val="E04EA026"/>
    <w:lvl w:ilvl="0" w:tplc="3758917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15:restartNumberingAfterBreak="0">
    <w:nsid w:val="671B5271"/>
    <w:multiLevelType w:val="hybridMultilevel"/>
    <w:tmpl w:val="5C3497DC"/>
    <w:lvl w:ilvl="0" w:tplc="9A14922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689C7A07"/>
    <w:multiLevelType w:val="hybridMultilevel"/>
    <w:tmpl w:val="E43ECA1A"/>
    <w:lvl w:ilvl="0" w:tplc="EC1EE29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8D63748"/>
    <w:multiLevelType w:val="hybridMultilevel"/>
    <w:tmpl w:val="A71C48B2"/>
    <w:lvl w:ilvl="0" w:tplc="F936193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15:restartNumberingAfterBreak="0">
    <w:nsid w:val="69054232"/>
    <w:multiLevelType w:val="hybridMultilevel"/>
    <w:tmpl w:val="C428A4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9924A17"/>
    <w:multiLevelType w:val="hybridMultilevel"/>
    <w:tmpl w:val="E506BD42"/>
    <w:lvl w:ilvl="0" w:tplc="F0C43DD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6B91771A"/>
    <w:multiLevelType w:val="hybridMultilevel"/>
    <w:tmpl w:val="2ACC3C54"/>
    <w:lvl w:ilvl="0" w:tplc="A2D43BB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5" w15:restartNumberingAfterBreak="0">
    <w:nsid w:val="72591CD8"/>
    <w:multiLevelType w:val="hybridMultilevel"/>
    <w:tmpl w:val="304413EE"/>
    <w:lvl w:ilvl="0" w:tplc="00BC73E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6" w15:restartNumberingAfterBreak="0">
    <w:nsid w:val="735314E2"/>
    <w:multiLevelType w:val="hybridMultilevel"/>
    <w:tmpl w:val="0D802A92"/>
    <w:lvl w:ilvl="0" w:tplc="36BE917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7" w15:restartNumberingAfterBreak="0">
    <w:nsid w:val="73625141"/>
    <w:multiLevelType w:val="hybridMultilevel"/>
    <w:tmpl w:val="6748CA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3CD582F"/>
    <w:multiLevelType w:val="hybridMultilevel"/>
    <w:tmpl w:val="E37A4632"/>
    <w:lvl w:ilvl="0" w:tplc="59D0E2D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9" w15:restartNumberingAfterBreak="0">
    <w:nsid w:val="74DF5180"/>
    <w:multiLevelType w:val="hybridMultilevel"/>
    <w:tmpl w:val="A2144BB0"/>
    <w:lvl w:ilvl="0" w:tplc="2DF45FF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0" w15:restartNumberingAfterBreak="0">
    <w:nsid w:val="77BC49B5"/>
    <w:multiLevelType w:val="hybridMultilevel"/>
    <w:tmpl w:val="C1C08312"/>
    <w:lvl w:ilvl="0" w:tplc="5ABA06C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1" w15:restartNumberingAfterBreak="0">
    <w:nsid w:val="7A27056D"/>
    <w:multiLevelType w:val="hybridMultilevel"/>
    <w:tmpl w:val="D3A2AAA6"/>
    <w:lvl w:ilvl="0" w:tplc="656A2B6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2" w15:restartNumberingAfterBreak="0">
    <w:nsid w:val="7A6E27A0"/>
    <w:multiLevelType w:val="hybridMultilevel"/>
    <w:tmpl w:val="E5884D86"/>
    <w:lvl w:ilvl="0" w:tplc="9A146FD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2"/>
  </w:num>
  <w:num w:numId="2">
    <w:abstractNumId w:val="18"/>
  </w:num>
  <w:num w:numId="3">
    <w:abstractNumId w:val="37"/>
  </w:num>
  <w:num w:numId="4">
    <w:abstractNumId w:val="26"/>
  </w:num>
  <w:num w:numId="5">
    <w:abstractNumId w:val="23"/>
  </w:num>
  <w:num w:numId="6">
    <w:abstractNumId w:val="16"/>
  </w:num>
  <w:num w:numId="7">
    <w:abstractNumId w:val="10"/>
  </w:num>
  <w:num w:numId="8">
    <w:abstractNumId w:val="24"/>
  </w:num>
  <w:num w:numId="9">
    <w:abstractNumId w:val="27"/>
  </w:num>
  <w:num w:numId="10">
    <w:abstractNumId w:val="7"/>
  </w:num>
  <w:num w:numId="11">
    <w:abstractNumId w:val="17"/>
  </w:num>
  <w:num w:numId="12">
    <w:abstractNumId w:val="34"/>
  </w:num>
  <w:num w:numId="13">
    <w:abstractNumId w:val="20"/>
  </w:num>
  <w:num w:numId="14">
    <w:abstractNumId w:val="30"/>
  </w:num>
  <w:num w:numId="15">
    <w:abstractNumId w:val="41"/>
  </w:num>
  <w:num w:numId="16">
    <w:abstractNumId w:val="28"/>
  </w:num>
  <w:num w:numId="17">
    <w:abstractNumId w:val="22"/>
  </w:num>
  <w:num w:numId="18">
    <w:abstractNumId w:val="13"/>
  </w:num>
  <w:num w:numId="19">
    <w:abstractNumId w:val="38"/>
  </w:num>
  <w:num w:numId="20">
    <w:abstractNumId w:val="5"/>
  </w:num>
  <w:num w:numId="21">
    <w:abstractNumId w:val="4"/>
  </w:num>
  <w:num w:numId="22">
    <w:abstractNumId w:val="1"/>
  </w:num>
  <w:num w:numId="23">
    <w:abstractNumId w:val="35"/>
  </w:num>
  <w:num w:numId="24">
    <w:abstractNumId w:val="9"/>
  </w:num>
  <w:num w:numId="25">
    <w:abstractNumId w:val="40"/>
  </w:num>
  <w:num w:numId="26">
    <w:abstractNumId w:val="0"/>
  </w:num>
  <w:num w:numId="27">
    <w:abstractNumId w:val="42"/>
  </w:num>
  <w:num w:numId="28">
    <w:abstractNumId w:val="39"/>
  </w:num>
  <w:num w:numId="29">
    <w:abstractNumId w:val="15"/>
  </w:num>
  <w:num w:numId="30">
    <w:abstractNumId w:val="25"/>
  </w:num>
  <w:num w:numId="31">
    <w:abstractNumId w:val="33"/>
  </w:num>
  <w:num w:numId="32">
    <w:abstractNumId w:val="6"/>
  </w:num>
  <w:num w:numId="33">
    <w:abstractNumId w:val="2"/>
  </w:num>
  <w:num w:numId="34">
    <w:abstractNumId w:val="11"/>
  </w:num>
  <w:num w:numId="35">
    <w:abstractNumId w:val="19"/>
  </w:num>
  <w:num w:numId="36">
    <w:abstractNumId w:val="8"/>
  </w:num>
  <w:num w:numId="37">
    <w:abstractNumId w:val="36"/>
  </w:num>
  <w:num w:numId="38">
    <w:abstractNumId w:val="29"/>
  </w:num>
  <w:num w:numId="39">
    <w:abstractNumId w:val="31"/>
  </w:num>
  <w:num w:numId="40">
    <w:abstractNumId w:val="12"/>
  </w:num>
  <w:num w:numId="41">
    <w:abstractNumId w:val="14"/>
  </w:num>
  <w:num w:numId="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3"/>
  </w:num>
  <w:num w:numId="4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4CDB"/>
    <w:rsid w:val="0002164A"/>
    <w:rsid w:val="000337D4"/>
    <w:rsid w:val="00034037"/>
    <w:rsid w:val="00036D63"/>
    <w:rsid w:val="00065B51"/>
    <w:rsid w:val="000760A7"/>
    <w:rsid w:val="000A621F"/>
    <w:rsid w:val="000E0CC0"/>
    <w:rsid w:val="000F2F05"/>
    <w:rsid w:val="00137494"/>
    <w:rsid w:val="001649F2"/>
    <w:rsid w:val="001774E8"/>
    <w:rsid w:val="001931F7"/>
    <w:rsid w:val="001A6819"/>
    <w:rsid w:val="001C6B6E"/>
    <w:rsid w:val="001D1952"/>
    <w:rsid w:val="001D67DD"/>
    <w:rsid w:val="0022692C"/>
    <w:rsid w:val="00246ED3"/>
    <w:rsid w:val="002509C1"/>
    <w:rsid w:val="00252038"/>
    <w:rsid w:val="0027010D"/>
    <w:rsid w:val="00281FFD"/>
    <w:rsid w:val="00283C9B"/>
    <w:rsid w:val="00284936"/>
    <w:rsid w:val="0029183B"/>
    <w:rsid w:val="00294C8D"/>
    <w:rsid w:val="002B2B24"/>
    <w:rsid w:val="002C06C4"/>
    <w:rsid w:val="002E500B"/>
    <w:rsid w:val="002E79A3"/>
    <w:rsid w:val="003000F2"/>
    <w:rsid w:val="00306C9E"/>
    <w:rsid w:val="003106F9"/>
    <w:rsid w:val="00346F44"/>
    <w:rsid w:val="0035694C"/>
    <w:rsid w:val="00356B8D"/>
    <w:rsid w:val="00377679"/>
    <w:rsid w:val="003A6020"/>
    <w:rsid w:val="003C7A0B"/>
    <w:rsid w:val="003D31BA"/>
    <w:rsid w:val="003D6DAF"/>
    <w:rsid w:val="00415C20"/>
    <w:rsid w:val="004276BF"/>
    <w:rsid w:val="004502DB"/>
    <w:rsid w:val="00493E4F"/>
    <w:rsid w:val="00496BDC"/>
    <w:rsid w:val="004A7DEC"/>
    <w:rsid w:val="004C5A7A"/>
    <w:rsid w:val="004E5E4E"/>
    <w:rsid w:val="004E7338"/>
    <w:rsid w:val="004E7408"/>
    <w:rsid w:val="004F1E96"/>
    <w:rsid w:val="00580969"/>
    <w:rsid w:val="005D16BB"/>
    <w:rsid w:val="00610E3E"/>
    <w:rsid w:val="00661046"/>
    <w:rsid w:val="006662A0"/>
    <w:rsid w:val="006C1767"/>
    <w:rsid w:val="00717A1A"/>
    <w:rsid w:val="00747554"/>
    <w:rsid w:val="007947CB"/>
    <w:rsid w:val="007E0761"/>
    <w:rsid w:val="007E4FDE"/>
    <w:rsid w:val="007F6ABD"/>
    <w:rsid w:val="007F6F4B"/>
    <w:rsid w:val="00805E4E"/>
    <w:rsid w:val="008241CA"/>
    <w:rsid w:val="00830BBB"/>
    <w:rsid w:val="00830EE4"/>
    <w:rsid w:val="0083422B"/>
    <w:rsid w:val="008C7863"/>
    <w:rsid w:val="008D1E72"/>
    <w:rsid w:val="008E03ED"/>
    <w:rsid w:val="00912678"/>
    <w:rsid w:val="0093698E"/>
    <w:rsid w:val="009406BE"/>
    <w:rsid w:val="00977B39"/>
    <w:rsid w:val="00992330"/>
    <w:rsid w:val="009963BB"/>
    <w:rsid w:val="009963C8"/>
    <w:rsid w:val="009D009A"/>
    <w:rsid w:val="00A03A1F"/>
    <w:rsid w:val="00A123D7"/>
    <w:rsid w:val="00A14F37"/>
    <w:rsid w:val="00A34CDB"/>
    <w:rsid w:val="00A47736"/>
    <w:rsid w:val="00A84889"/>
    <w:rsid w:val="00AC21C1"/>
    <w:rsid w:val="00AD39E7"/>
    <w:rsid w:val="00B14BBA"/>
    <w:rsid w:val="00B3380E"/>
    <w:rsid w:val="00B64187"/>
    <w:rsid w:val="00B6791E"/>
    <w:rsid w:val="00B80339"/>
    <w:rsid w:val="00B94834"/>
    <w:rsid w:val="00BA0C59"/>
    <w:rsid w:val="00BA77EA"/>
    <w:rsid w:val="00BC0353"/>
    <w:rsid w:val="00BD262E"/>
    <w:rsid w:val="00BD2E7E"/>
    <w:rsid w:val="00BD36DF"/>
    <w:rsid w:val="00C0692A"/>
    <w:rsid w:val="00C3213C"/>
    <w:rsid w:val="00C47101"/>
    <w:rsid w:val="00C52DD7"/>
    <w:rsid w:val="00CC2A2D"/>
    <w:rsid w:val="00CE7D25"/>
    <w:rsid w:val="00D05606"/>
    <w:rsid w:val="00D15E6F"/>
    <w:rsid w:val="00D425C4"/>
    <w:rsid w:val="00D573CC"/>
    <w:rsid w:val="00D81147"/>
    <w:rsid w:val="00D84BB3"/>
    <w:rsid w:val="00D94064"/>
    <w:rsid w:val="00DA6612"/>
    <w:rsid w:val="00DB18AA"/>
    <w:rsid w:val="00DB6931"/>
    <w:rsid w:val="00DE3DB0"/>
    <w:rsid w:val="00DE7861"/>
    <w:rsid w:val="00DF6242"/>
    <w:rsid w:val="00E135C1"/>
    <w:rsid w:val="00E2283A"/>
    <w:rsid w:val="00E23BD8"/>
    <w:rsid w:val="00E27D96"/>
    <w:rsid w:val="00E3562E"/>
    <w:rsid w:val="00E872C0"/>
    <w:rsid w:val="00E969A6"/>
    <w:rsid w:val="00EB5787"/>
    <w:rsid w:val="00EB7AB8"/>
    <w:rsid w:val="00ED4B3C"/>
    <w:rsid w:val="00F553BA"/>
    <w:rsid w:val="00F61729"/>
    <w:rsid w:val="00F66F52"/>
    <w:rsid w:val="00F72835"/>
    <w:rsid w:val="00F7749E"/>
    <w:rsid w:val="00F92596"/>
    <w:rsid w:val="00FA08D2"/>
    <w:rsid w:val="00FD5AA2"/>
    <w:rsid w:val="00FE1505"/>
    <w:rsid w:val="00FE49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B1006"/>
  <w15:docId w15:val="{B359FBF3-E0C5-514F-B894-413B8429C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einLeerraum">
    <w:name w:val="No Spacing"/>
    <w:link w:val="KeinLeerraumZchn"/>
    <w:uiPriority w:val="1"/>
    <w:qFormat/>
    <w:rsid w:val="00F553BA"/>
    <w:pPr>
      <w:spacing w:after="0" w:line="240" w:lineRule="auto"/>
    </w:pPr>
    <w:rPr>
      <w:rFonts w:eastAsiaTheme="minorEastAsia"/>
      <w:lang w:eastAsia="ja-JP"/>
    </w:rPr>
  </w:style>
  <w:style w:type="character" w:customStyle="1" w:styleId="KeinLeerraumZchn">
    <w:name w:val="Kein Leerraum Zchn"/>
    <w:basedOn w:val="Absatz-Standardschriftart"/>
    <w:link w:val="KeinLeerraum"/>
    <w:uiPriority w:val="1"/>
    <w:rsid w:val="00F553BA"/>
    <w:rPr>
      <w:rFonts w:eastAsiaTheme="minorEastAsia"/>
      <w:lang w:eastAsia="ja-JP"/>
    </w:rPr>
  </w:style>
  <w:style w:type="paragraph" w:styleId="Sprechblasentext">
    <w:name w:val="Balloon Text"/>
    <w:basedOn w:val="Standard"/>
    <w:link w:val="SprechblasentextZchn"/>
    <w:uiPriority w:val="99"/>
    <w:semiHidden/>
    <w:unhideWhenUsed/>
    <w:rsid w:val="00F553BA"/>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F553BA"/>
    <w:rPr>
      <w:rFonts w:ascii="Tahoma" w:hAnsi="Tahoma" w:cs="Tahoma"/>
      <w:sz w:val="16"/>
      <w:szCs w:val="16"/>
    </w:rPr>
  </w:style>
  <w:style w:type="paragraph" w:styleId="Kopfzeile">
    <w:name w:val="header"/>
    <w:basedOn w:val="Standard"/>
    <w:link w:val="KopfzeileZchn"/>
    <w:uiPriority w:val="99"/>
    <w:unhideWhenUsed/>
    <w:rsid w:val="007947CB"/>
    <w:pPr>
      <w:tabs>
        <w:tab w:val="center" w:pos="4680"/>
        <w:tab w:val="right" w:pos="9360"/>
      </w:tabs>
      <w:spacing w:after="0" w:line="240" w:lineRule="auto"/>
    </w:pPr>
  </w:style>
  <w:style w:type="character" w:customStyle="1" w:styleId="KopfzeileZchn">
    <w:name w:val="Kopfzeile Zchn"/>
    <w:basedOn w:val="Absatz-Standardschriftart"/>
    <w:link w:val="Kopfzeile"/>
    <w:uiPriority w:val="99"/>
    <w:rsid w:val="007947CB"/>
  </w:style>
  <w:style w:type="paragraph" w:styleId="Fuzeile">
    <w:name w:val="footer"/>
    <w:basedOn w:val="Standard"/>
    <w:link w:val="FuzeileZchn"/>
    <w:uiPriority w:val="99"/>
    <w:unhideWhenUsed/>
    <w:rsid w:val="007947CB"/>
    <w:pPr>
      <w:tabs>
        <w:tab w:val="center" w:pos="4680"/>
        <w:tab w:val="right" w:pos="9360"/>
      </w:tabs>
      <w:spacing w:after="0" w:line="240" w:lineRule="auto"/>
    </w:pPr>
  </w:style>
  <w:style w:type="character" w:customStyle="1" w:styleId="FuzeileZchn">
    <w:name w:val="Fußzeile Zchn"/>
    <w:basedOn w:val="Absatz-Standardschriftart"/>
    <w:link w:val="Fuzeile"/>
    <w:uiPriority w:val="99"/>
    <w:rsid w:val="007947CB"/>
  </w:style>
  <w:style w:type="paragraph" w:styleId="Listenabsatz">
    <w:name w:val="List Paragraph"/>
    <w:basedOn w:val="Standard"/>
    <w:uiPriority w:val="34"/>
    <w:qFormat/>
    <w:rsid w:val="00493E4F"/>
    <w:pPr>
      <w:ind w:left="720"/>
      <w:contextualSpacing/>
    </w:pPr>
  </w:style>
  <w:style w:type="character" w:styleId="Hyperlink">
    <w:name w:val="Hyperlink"/>
    <w:basedOn w:val="Absatz-Standardschriftart"/>
    <w:uiPriority w:val="99"/>
    <w:unhideWhenUsed/>
    <w:rsid w:val="00493E4F"/>
    <w:rPr>
      <w:color w:val="0000FF" w:themeColor="hyperlink"/>
      <w:u w:val="single"/>
    </w:rPr>
  </w:style>
  <w:style w:type="table" w:styleId="Tabellenraster">
    <w:name w:val="Table Grid"/>
    <w:basedOn w:val="NormaleTabelle"/>
    <w:uiPriority w:val="59"/>
    <w:rsid w:val="00493E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tandardWeb">
    <w:name w:val="Normal (Web)"/>
    <w:basedOn w:val="Standard"/>
    <w:uiPriority w:val="99"/>
    <w:semiHidden/>
    <w:unhideWhenUsed/>
    <w:rsid w:val="00493E4F"/>
    <w:pPr>
      <w:spacing w:before="100" w:beforeAutospacing="1" w:after="100" w:afterAutospacing="1" w:line="240" w:lineRule="auto"/>
    </w:pPr>
    <w:rPr>
      <w:rFonts w:ascii="Times New Roman" w:eastAsia="Times New Roman" w:hAnsi="Times New Roman" w:cs="Times New Roman"/>
      <w:sz w:val="24"/>
      <w:szCs w:val="24"/>
    </w:rPr>
  </w:style>
  <w:style w:type="character" w:styleId="Seitenzahl">
    <w:name w:val="page number"/>
    <w:basedOn w:val="Absatz-Standardschriftart"/>
    <w:uiPriority w:val="99"/>
    <w:semiHidden/>
    <w:unhideWhenUsed/>
    <w:rsid w:val="00D42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478637">
      <w:bodyDiv w:val="1"/>
      <w:marLeft w:val="0"/>
      <w:marRight w:val="0"/>
      <w:marTop w:val="0"/>
      <w:marBottom w:val="0"/>
      <w:divBdr>
        <w:top w:val="none" w:sz="0" w:space="0" w:color="auto"/>
        <w:left w:val="none" w:sz="0" w:space="0" w:color="auto"/>
        <w:bottom w:val="none" w:sz="0" w:space="0" w:color="auto"/>
        <w:right w:val="none" w:sz="0" w:space="0" w:color="auto"/>
      </w:divBdr>
    </w:div>
    <w:div w:id="1947492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digitalcommons.csumb.edu/cgi/viewcontent.cgi?article=1369&amp;context=caps_thes" TargetMode="External"/><Relationship Id="rId26" Type="http://schemas.openxmlformats.org/officeDocument/2006/relationships/hyperlink" Target="http://dx.doi.org/10.1016/j.brq.2018.08.004" TargetMode="External"/><Relationship Id="rId39" Type="http://schemas.openxmlformats.org/officeDocument/2006/relationships/hyperlink" Target="https://www.economy.gov.lb/media/11222/smes-in-lebanon-180412-19-website.pdf" TargetMode="External"/><Relationship Id="rId21" Type="http://schemas.openxmlformats.org/officeDocument/2006/relationships/hyperlink" Target="http://www.databank.com.lb/docs/Main%20Characteristics%20of%20Lebanon's%20Banking%20System-BDL-2016.pdf" TargetMode="External"/><Relationship Id="rId34" Type="http://schemas.openxmlformats.org/officeDocument/2006/relationships/hyperlink" Target="https://www.ilo.org/wcmsp5/groups/public/---ed_emp/documents/publication/wcms_754666.pdf" TargetMode="External"/><Relationship Id="rId42" Type="http://schemas.openxmlformats.org/officeDocument/2006/relationships/hyperlink" Target="https://arxiv.org/pdf/1803.03346.pdf" TargetMode="External"/><Relationship Id="rId47" Type="http://schemas.openxmlformats.org/officeDocument/2006/relationships/hyperlink" Target="https://lebanon.eptalex.com/sites/default/files/Banking-Sector-and-Lebanese-Economy.pdf" TargetMode="External"/><Relationship Id="rId50" Type="http://schemas.openxmlformats.org/officeDocument/2006/relationships/hyperlink" Target="http://creativecommons.org/licenses/by-nc-nd/4.0/"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dx.doi.org/10.9734/BJEMT/2015/19269" TargetMode="External"/><Relationship Id="rId29" Type="http://schemas.openxmlformats.org/officeDocument/2006/relationships/hyperlink" Target="http://edoc.bseu.by/" TargetMode="External"/><Relationship Id="rId11" Type="http://schemas.openxmlformats.org/officeDocument/2006/relationships/diagramQuickStyle" Target="diagrams/quickStyle1.xml"/><Relationship Id="rId24" Type="http://schemas.openxmlformats.org/officeDocument/2006/relationships/hyperlink" Target="http://www.diva-portal.org/smash/get/diva2:886167/FULLTEXT01.pdf" TargetMode="External"/><Relationship Id="rId32" Type="http://schemas.openxmlformats.org/officeDocument/2006/relationships/hyperlink" Target="https://doi.org/10.1177%2F2158244018790633" TargetMode="External"/><Relationship Id="rId37" Type="http://schemas.openxmlformats.org/officeDocument/2006/relationships/hyperlink" Target="https://openknowledge.worldbank.org/handle/10986/33279" TargetMode="External"/><Relationship Id="rId40" Type="http://schemas.openxmlformats.org/officeDocument/2006/relationships/hyperlink" Target="https://www.researchgate.net/publication/277948029" TargetMode="External"/><Relationship Id="rId45" Type="http://schemas.openxmlformats.org/officeDocument/2006/relationships/hyperlink" Target="https://files.eric.ed.gov/fulltext/ED542066.pdf" TargetMode="External"/><Relationship Id="rId53"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www.reuters.com/article/us-lebanon-protests-banks-analysis-idUSKBN1XN1ER"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bdl.gov.lb/pages/index/4/25/List-of-InstitutionsSupervised-by-BDL.htm" TargetMode="External"/><Relationship Id="rId27" Type="http://schemas.openxmlformats.org/officeDocument/2006/relationships/hyperlink" Target="https://datareportal.com/reports/digital-2020-lebanon" TargetMode="External"/><Relationship Id="rId30" Type="http://schemas.openxmlformats.org/officeDocument/2006/relationships/hyperlink" Target="http://www.fao.org/3/ca0344en/CA0344EN.pdf" TargetMode="External"/><Relationship Id="rId35" Type="http://schemas.openxmlformats.org/officeDocument/2006/relationships/hyperlink" Target="https://www.researchgate.net/journal/AIMS-International-Journal-of-Management-1939-7011" TargetMode="External"/><Relationship Id="rId43" Type="http://schemas.openxmlformats.org/officeDocument/2006/relationships/hyperlink" Target="http://www.diva-portal.org/smash/get/diva2:706160/FULLTEXT02.pdf" TargetMode="External"/><Relationship Id="rId48" Type="http://schemas.openxmlformats.org/officeDocument/2006/relationships/hyperlink" Target="https://en.unesco.org/sites/default/files/clt-cpd_lebanon_analysis_2020.pdf"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worldbank.org/en/country/lebanon/publication/lebanon-economic-monitor-fall-2019"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hyperlink" Target="http://dx.doi.org/10.9734/BJEMT/2015/19269" TargetMode="External"/><Relationship Id="rId25" Type="http://schemas.openxmlformats.org/officeDocument/2006/relationships/hyperlink" Target="https://blog.blominvestbank.com/wp-content/uploads/2019/05/AHistorical-Analysis-of-Lebanon%E2%80%99s-Public-Debt.pdf" TargetMode="External"/><Relationship Id="rId33" Type="http://schemas.openxmlformats.org/officeDocument/2006/relationships/hyperlink" Target="https://www.hannover-re.com/180636/pandemics-2021.pdf" TargetMode="External"/><Relationship Id="rId38" Type="http://schemas.openxmlformats.org/officeDocument/2006/relationships/hyperlink" Target="https://files.eric.ed.gov/fulltext/ED573325.pdf" TargetMode="External"/><Relationship Id="rId46" Type="http://schemas.openxmlformats.org/officeDocument/2006/relationships/hyperlink" Target="https://www.scribbr.com/methodology/independent-and-dependent-variables/" TargetMode="External"/><Relationship Id="rId20" Type="http://schemas.openxmlformats.org/officeDocument/2006/relationships/hyperlink" Target="https://www.bdl.gov.lb/pages/index/4/24/History.html" TargetMode="External"/><Relationship Id="rId41" Type="http://schemas.openxmlformats.org/officeDocument/2006/relationships/hyperlink" Target="https://www.researchgate.net/journal/Investment-Management-and-Financial-Innovations-1812-9358"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reuters.com/article/uk-lebanon-crisis-financial-explainer-idUKKBN268223" TargetMode="External"/><Relationship Id="rId28" Type="http://schemas.openxmlformats.org/officeDocument/2006/relationships/hyperlink" Target="http://www.library.fa.ru/files/Tirole-Balancing.pdf" TargetMode="External"/><Relationship Id="rId36" Type="http://schemas.openxmlformats.org/officeDocument/2006/relationships/hyperlink" Target="http://ipedr.com/vol43/013-ICFME2012-M00033.pdf" TargetMode="External"/><Relationship Id="rId49" Type="http://schemas.openxmlformats.org/officeDocument/2006/relationships/hyperlink" Target="https://core.ac.uk/download/pdf/6492899.pdf" TargetMode="External"/><Relationship Id="rId57" Type="http://schemas.openxmlformats.org/officeDocument/2006/relationships/theme" Target="theme/theme1.xml"/><Relationship Id="rId10" Type="http://schemas.openxmlformats.org/officeDocument/2006/relationships/diagramLayout" Target="diagrams/layout1.xml"/><Relationship Id="rId31" Type="http://schemas.openxmlformats.org/officeDocument/2006/relationships/hyperlink" Target="https://www.aa.com.tr/en/economy/lebanese-cannot-access-money-in-banks-since-late-2019/2158782" TargetMode="External"/><Relationship Id="rId44" Type="http://schemas.openxmlformats.org/officeDocument/2006/relationships/hyperlink" Target="http://dx.doi.org/10.5281/zenodo.1405450" TargetMode="External"/><Relationship Id="rId52" Type="http://schemas.openxmlformats.org/officeDocument/2006/relationships/hyperlink" Target="https://www.nytimes.com/2019/11/19/world/middleeast/lebanon-parliament-protest.html"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31C7CF-D1B5-4A26-9809-3F2B9D3B819B}" type="doc">
      <dgm:prSet loTypeId="urn:microsoft.com/office/officeart/2005/8/layout/hierarchy6" loCatId="hierarchy" qsTypeId="urn:microsoft.com/office/officeart/2005/8/quickstyle/simple2" qsCatId="simple" csTypeId="urn:microsoft.com/office/officeart/2005/8/colors/accent0_1" csCatId="mainScheme" phldr="1"/>
      <dgm:spPr/>
      <dgm:t>
        <a:bodyPr/>
        <a:lstStyle/>
        <a:p>
          <a:endParaRPr lang="en-US"/>
        </a:p>
      </dgm:t>
    </dgm:pt>
    <dgm:pt modelId="{48A65C40-FC25-4CC9-B29A-D8847A1F2D16}">
      <dgm:prSet phldrT="[Text]"/>
      <dgm:spPr>
        <a:xfrm>
          <a:off x="2735952" y="1514"/>
          <a:ext cx="1374916" cy="916610"/>
        </a:xfr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gm:spPr>
      <dgm:t>
        <a:bodyPr/>
        <a:lstStyle/>
        <a:p>
          <a:r>
            <a:rPr lang="en-US" dirty="0">
              <a:solidFill>
                <a:sysClr val="windowText" lastClr="000000">
                  <a:hueOff val="0"/>
                  <a:satOff val="0"/>
                  <a:lumOff val="0"/>
                  <a:alphaOff val="0"/>
                </a:sysClr>
              </a:solidFill>
              <a:latin typeface="Calibri"/>
              <a:ea typeface="+mn-ea"/>
              <a:cs typeface="+mn-cs"/>
            </a:rPr>
            <a:t>E-Commerce</a:t>
          </a:r>
        </a:p>
        <a:p>
          <a:r>
            <a:rPr lang="en-US" dirty="0">
              <a:solidFill>
                <a:sysClr val="windowText" lastClr="000000">
                  <a:hueOff val="0"/>
                  <a:satOff val="0"/>
                  <a:lumOff val="0"/>
                  <a:alphaOff val="0"/>
                </a:sysClr>
              </a:solidFill>
              <a:latin typeface="Calibri"/>
              <a:ea typeface="+mn-ea"/>
              <a:cs typeface="+mn-cs"/>
            </a:rPr>
            <a:t>Includes all electronic transactions</a:t>
          </a:r>
        </a:p>
      </dgm:t>
    </dgm:pt>
    <dgm:pt modelId="{9D145D72-0167-477B-A790-4E1A6E17A9F2}" type="parTrans" cxnId="{2F36B180-32C9-4276-AAA7-C071A9CD4584}">
      <dgm:prSet/>
      <dgm:spPr/>
      <dgm:t>
        <a:bodyPr/>
        <a:lstStyle/>
        <a:p>
          <a:endParaRPr lang="en-US"/>
        </a:p>
      </dgm:t>
    </dgm:pt>
    <dgm:pt modelId="{184FB860-5090-4E2D-A92C-DF08095E3223}" type="sibTrans" cxnId="{2F36B180-32C9-4276-AAA7-C071A9CD4584}">
      <dgm:prSet/>
      <dgm:spPr/>
      <dgm:t>
        <a:bodyPr/>
        <a:lstStyle/>
        <a:p>
          <a:endParaRPr lang="en-US"/>
        </a:p>
      </dgm:t>
    </dgm:pt>
    <dgm:pt modelId="{A9A7656D-A92C-4F22-933E-2263F6FF8DD6}">
      <dgm:prSet phldrT="[Text]"/>
      <dgm:spPr>
        <a:xfrm>
          <a:off x="1842256" y="1284769"/>
          <a:ext cx="1374916" cy="916610"/>
        </a:xfr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gm:spPr>
      <dgm:t>
        <a:bodyPr/>
        <a:lstStyle/>
        <a:p>
          <a:r>
            <a:rPr lang="en-US" dirty="0">
              <a:solidFill>
                <a:sysClr val="windowText" lastClr="000000">
                  <a:hueOff val="0"/>
                  <a:satOff val="0"/>
                  <a:lumOff val="0"/>
                  <a:alphaOff val="0"/>
                </a:sysClr>
              </a:solidFill>
              <a:latin typeface="Calibri"/>
              <a:ea typeface="+mn-ea"/>
              <a:cs typeface="+mn-cs"/>
            </a:rPr>
            <a:t>E-Finance</a:t>
          </a:r>
        </a:p>
        <a:p>
          <a:r>
            <a:rPr lang="en-US" dirty="0">
              <a:solidFill>
                <a:sysClr val="windowText" lastClr="000000">
                  <a:hueOff val="0"/>
                  <a:satOff val="0"/>
                  <a:lumOff val="0"/>
                  <a:alphaOff val="0"/>
                </a:sysClr>
              </a:solidFill>
              <a:latin typeface="Calibri"/>
              <a:ea typeface="+mn-ea"/>
              <a:cs typeface="+mn-cs"/>
            </a:rPr>
            <a:t>All monetary services through electronic channels  </a:t>
          </a:r>
        </a:p>
      </dgm:t>
    </dgm:pt>
    <dgm:pt modelId="{EE541A69-73E7-4B69-B6CF-D75F16D78E47}" type="parTrans" cxnId="{48B5B6AD-618A-43C6-AB2E-BC8630EE1D07}">
      <dgm:prSet/>
      <dgm:spPr>
        <a:xfrm>
          <a:off x="2529714" y="918125"/>
          <a:ext cx="893695" cy="366644"/>
        </a:xfrm>
        <a:noFill/>
        <a:ln w="25400" cap="flat" cmpd="sng" algn="ctr">
          <a:solidFill>
            <a:sysClr val="windowText" lastClr="000000">
              <a:shade val="60000"/>
              <a:hueOff val="0"/>
              <a:satOff val="0"/>
              <a:lumOff val="0"/>
              <a:alphaOff val="0"/>
            </a:sysClr>
          </a:solidFill>
          <a:prstDash val="solid"/>
        </a:ln>
        <a:effectLst/>
      </dgm:spPr>
      <dgm:t>
        <a:bodyPr/>
        <a:lstStyle/>
        <a:p>
          <a:endParaRPr lang="en-US"/>
        </a:p>
      </dgm:t>
    </dgm:pt>
    <dgm:pt modelId="{00D1AC18-1270-4EB3-BDD6-4D1F3FE58283}" type="sibTrans" cxnId="{48B5B6AD-618A-43C6-AB2E-BC8630EE1D07}">
      <dgm:prSet/>
      <dgm:spPr/>
      <dgm:t>
        <a:bodyPr/>
        <a:lstStyle/>
        <a:p>
          <a:endParaRPr lang="en-US"/>
        </a:p>
      </dgm:t>
    </dgm:pt>
    <dgm:pt modelId="{59327A62-F4F9-4AA9-9263-E6B3A8F5CD47}">
      <dgm:prSet phldrT="[Text]"/>
      <dgm:spPr>
        <a:xfrm>
          <a:off x="948561" y="2568024"/>
          <a:ext cx="1374916" cy="916610"/>
        </a:xfr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gm:spPr>
      <dgm:t>
        <a:bodyPr/>
        <a:lstStyle/>
        <a:p>
          <a:r>
            <a:rPr lang="en-US" dirty="0">
              <a:solidFill>
                <a:sysClr val="windowText" lastClr="000000">
                  <a:hueOff val="0"/>
                  <a:satOff val="0"/>
                  <a:lumOff val="0"/>
                  <a:alphaOff val="0"/>
                </a:sysClr>
              </a:solidFill>
              <a:latin typeface="Calibri"/>
              <a:ea typeface="+mn-ea"/>
              <a:cs typeface="+mn-cs"/>
            </a:rPr>
            <a:t>E-Banking</a:t>
          </a:r>
        </a:p>
        <a:p>
          <a:r>
            <a:rPr lang="en-US" dirty="0">
              <a:solidFill>
                <a:sysClr val="windowText" lastClr="000000">
                  <a:hueOff val="0"/>
                  <a:satOff val="0"/>
                  <a:lumOff val="0"/>
                  <a:alphaOff val="0"/>
                </a:sysClr>
              </a:solidFill>
              <a:latin typeface="Calibri"/>
              <a:ea typeface="+mn-ea"/>
              <a:cs typeface="+mn-cs"/>
            </a:rPr>
            <a:t>All banking services and products </a:t>
          </a:r>
        </a:p>
        <a:p>
          <a:r>
            <a:rPr lang="en-US" dirty="0">
              <a:solidFill>
                <a:sysClr val="windowText" lastClr="000000">
                  <a:hueOff val="0"/>
                  <a:satOff val="0"/>
                  <a:lumOff val="0"/>
                  <a:alphaOff val="0"/>
                </a:sysClr>
              </a:solidFill>
              <a:latin typeface="Calibri"/>
              <a:ea typeface="+mn-ea"/>
              <a:cs typeface="+mn-cs"/>
            </a:rPr>
            <a:t>1. Internet banking </a:t>
          </a:r>
        </a:p>
        <a:p>
          <a:r>
            <a:rPr lang="en-US" dirty="0">
              <a:solidFill>
                <a:sysClr val="windowText" lastClr="000000">
                  <a:hueOff val="0"/>
                  <a:satOff val="0"/>
                  <a:lumOff val="0"/>
                  <a:alphaOff val="0"/>
                </a:sysClr>
              </a:solidFill>
              <a:latin typeface="Calibri"/>
              <a:ea typeface="+mn-ea"/>
              <a:cs typeface="+mn-cs"/>
            </a:rPr>
            <a:t>2. Telephone banking </a:t>
          </a:r>
        </a:p>
        <a:p>
          <a:r>
            <a:rPr lang="en-US" dirty="0">
              <a:solidFill>
                <a:sysClr val="windowText" lastClr="000000">
                  <a:hueOff val="0"/>
                  <a:satOff val="0"/>
                  <a:lumOff val="0"/>
                  <a:alphaOff val="0"/>
                </a:sysClr>
              </a:solidFill>
              <a:latin typeface="Calibri"/>
              <a:ea typeface="+mn-ea"/>
              <a:cs typeface="+mn-cs"/>
            </a:rPr>
            <a:t>3. Other electronic devices  </a:t>
          </a:r>
        </a:p>
      </dgm:t>
    </dgm:pt>
    <dgm:pt modelId="{C7D0C9B2-322A-4813-8CFF-5DC24483DA90}" type="parTrans" cxnId="{62546261-9FDE-4CF7-B4DF-39F793EA3059}">
      <dgm:prSet/>
      <dgm:spPr>
        <a:xfrm>
          <a:off x="1636019" y="2201380"/>
          <a:ext cx="893695" cy="366644"/>
        </a:xfrm>
        <a:noFill/>
        <a:ln w="25400" cap="flat" cmpd="sng" algn="ctr">
          <a:solidFill>
            <a:sysClr val="windowText" lastClr="000000">
              <a:shade val="80000"/>
              <a:hueOff val="0"/>
              <a:satOff val="0"/>
              <a:lumOff val="0"/>
              <a:alphaOff val="0"/>
            </a:sysClr>
          </a:solidFill>
          <a:prstDash val="solid"/>
        </a:ln>
        <a:effectLst/>
      </dgm:spPr>
      <dgm:t>
        <a:bodyPr/>
        <a:lstStyle/>
        <a:p>
          <a:endParaRPr lang="en-US"/>
        </a:p>
      </dgm:t>
    </dgm:pt>
    <dgm:pt modelId="{95A75791-59EC-46E5-BD06-04A0E5A464C0}" type="sibTrans" cxnId="{62546261-9FDE-4CF7-B4DF-39F793EA3059}">
      <dgm:prSet/>
      <dgm:spPr/>
      <dgm:t>
        <a:bodyPr/>
        <a:lstStyle/>
        <a:p>
          <a:endParaRPr lang="en-US"/>
        </a:p>
      </dgm:t>
    </dgm:pt>
    <dgm:pt modelId="{8FB4A7FC-B4DB-47FA-B473-4643D1BF0575}">
      <dgm:prSet phldrT="[Text]"/>
      <dgm:spPr>
        <a:xfrm>
          <a:off x="2735952" y="2568024"/>
          <a:ext cx="1374916" cy="916610"/>
        </a:xfr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gm:spPr>
      <dgm:t>
        <a:bodyPr/>
        <a:lstStyle/>
        <a:p>
          <a:r>
            <a:rPr lang="en-US" dirty="0">
              <a:solidFill>
                <a:sysClr val="windowText" lastClr="000000">
                  <a:hueOff val="0"/>
                  <a:satOff val="0"/>
                  <a:lumOff val="0"/>
                  <a:alphaOff val="0"/>
                </a:sysClr>
              </a:solidFill>
              <a:latin typeface="Calibri"/>
              <a:ea typeface="+mn-ea"/>
              <a:cs typeface="+mn-cs"/>
            </a:rPr>
            <a:t>Others</a:t>
          </a:r>
        </a:p>
        <a:p>
          <a:r>
            <a:rPr lang="en-US" dirty="0">
              <a:solidFill>
                <a:sysClr val="windowText" lastClr="000000">
                  <a:hueOff val="0"/>
                  <a:satOff val="0"/>
                  <a:lumOff val="0"/>
                  <a:alphaOff val="0"/>
                </a:sysClr>
              </a:solidFill>
              <a:latin typeface="Calibri"/>
              <a:ea typeface="+mn-ea"/>
              <a:cs typeface="+mn-cs"/>
            </a:rPr>
            <a:t>Transactions such as brokering </a:t>
          </a:r>
        </a:p>
      </dgm:t>
    </dgm:pt>
    <dgm:pt modelId="{6B310A64-3CF0-4B8B-B6B0-30C1DF0C3041}" type="parTrans" cxnId="{A9572733-6043-4538-A40D-7C5C15493D04}">
      <dgm:prSet/>
      <dgm:spPr>
        <a:xfrm>
          <a:off x="2529714" y="2201380"/>
          <a:ext cx="893695" cy="366644"/>
        </a:xfrm>
        <a:noFill/>
        <a:ln w="25400" cap="flat" cmpd="sng" algn="ctr">
          <a:solidFill>
            <a:sysClr val="windowText" lastClr="000000">
              <a:shade val="80000"/>
              <a:hueOff val="0"/>
              <a:satOff val="0"/>
              <a:lumOff val="0"/>
              <a:alphaOff val="0"/>
            </a:sysClr>
          </a:solidFill>
          <a:prstDash val="solid"/>
        </a:ln>
        <a:effectLst/>
      </dgm:spPr>
      <dgm:t>
        <a:bodyPr/>
        <a:lstStyle/>
        <a:p>
          <a:endParaRPr lang="en-US"/>
        </a:p>
      </dgm:t>
    </dgm:pt>
    <dgm:pt modelId="{D9B26751-556A-490A-84A6-CF5D1463DD86}" type="sibTrans" cxnId="{A9572733-6043-4538-A40D-7C5C15493D04}">
      <dgm:prSet/>
      <dgm:spPr/>
      <dgm:t>
        <a:bodyPr/>
        <a:lstStyle/>
        <a:p>
          <a:endParaRPr lang="en-US"/>
        </a:p>
      </dgm:t>
    </dgm:pt>
    <dgm:pt modelId="{9739094C-BB9A-49B8-A884-6463A73FCFB0}">
      <dgm:prSet phldrT="[Text]"/>
      <dgm:spPr>
        <a:xfrm>
          <a:off x="3629647" y="1284769"/>
          <a:ext cx="1374916" cy="916610"/>
        </a:xfr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gm:spPr>
      <dgm:t>
        <a:bodyPr/>
        <a:lstStyle/>
        <a:p>
          <a:r>
            <a:rPr lang="en-US" dirty="0">
              <a:solidFill>
                <a:sysClr val="windowText" lastClr="000000">
                  <a:hueOff val="0"/>
                  <a:satOff val="0"/>
                  <a:lumOff val="0"/>
                  <a:alphaOff val="0"/>
                </a:sysClr>
              </a:solidFill>
              <a:latin typeface="Calibri"/>
              <a:ea typeface="+mn-ea"/>
              <a:cs typeface="+mn-cs"/>
            </a:rPr>
            <a:t>E-Money</a:t>
          </a:r>
        </a:p>
        <a:p>
          <a:r>
            <a:rPr lang="en-US" dirty="0">
              <a:solidFill>
                <a:sysClr val="windowText" lastClr="000000">
                  <a:hueOff val="0"/>
                  <a:satOff val="0"/>
                  <a:lumOff val="0"/>
                  <a:alphaOff val="0"/>
                </a:sysClr>
              </a:solidFill>
              <a:latin typeface="Calibri"/>
              <a:ea typeface="+mn-ea"/>
              <a:cs typeface="+mn-cs"/>
            </a:rPr>
            <a:t>Prepaid values of real money that can be used electronically </a:t>
          </a:r>
        </a:p>
      </dgm:t>
    </dgm:pt>
    <dgm:pt modelId="{12CE54B7-BCD4-4871-99E1-A835AD3510CC}" type="parTrans" cxnId="{97604CA7-6DD1-4AC1-8B7A-880D8CC0B53C}">
      <dgm:prSet/>
      <dgm:spPr>
        <a:xfrm>
          <a:off x="3423410" y="918125"/>
          <a:ext cx="893695" cy="366644"/>
        </a:xfrm>
        <a:noFill/>
        <a:ln w="25400" cap="flat" cmpd="sng" algn="ctr">
          <a:solidFill>
            <a:sysClr val="windowText" lastClr="000000">
              <a:shade val="60000"/>
              <a:hueOff val="0"/>
              <a:satOff val="0"/>
              <a:lumOff val="0"/>
              <a:alphaOff val="0"/>
            </a:sysClr>
          </a:solidFill>
          <a:prstDash val="solid"/>
        </a:ln>
        <a:effectLst/>
      </dgm:spPr>
      <dgm:t>
        <a:bodyPr/>
        <a:lstStyle/>
        <a:p>
          <a:endParaRPr lang="en-US"/>
        </a:p>
      </dgm:t>
    </dgm:pt>
    <dgm:pt modelId="{2282AE0C-4039-4EBF-8CB8-7BCF72C5726F}" type="sibTrans" cxnId="{97604CA7-6DD1-4AC1-8B7A-880D8CC0B53C}">
      <dgm:prSet/>
      <dgm:spPr/>
      <dgm:t>
        <a:bodyPr/>
        <a:lstStyle/>
        <a:p>
          <a:endParaRPr lang="en-US"/>
        </a:p>
      </dgm:t>
    </dgm:pt>
    <dgm:pt modelId="{84504F5A-F3E1-4355-B843-D80CB764AA67}" type="pres">
      <dgm:prSet presAssocID="{0C31C7CF-D1B5-4A26-9809-3F2B9D3B819B}" presName="mainComposite" presStyleCnt="0">
        <dgm:presLayoutVars>
          <dgm:chPref val="1"/>
          <dgm:dir/>
          <dgm:animOne val="branch"/>
          <dgm:animLvl val="lvl"/>
          <dgm:resizeHandles val="exact"/>
        </dgm:presLayoutVars>
      </dgm:prSet>
      <dgm:spPr/>
      <dgm:t>
        <a:bodyPr/>
        <a:lstStyle/>
        <a:p>
          <a:endParaRPr lang="de-DE"/>
        </a:p>
      </dgm:t>
    </dgm:pt>
    <dgm:pt modelId="{0C04793E-C1B8-4861-B6A9-0855C4CD3EB5}" type="pres">
      <dgm:prSet presAssocID="{0C31C7CF-D1B5-4A26-9809-3F2B9D3B819B}" presName="hierFlow" presStyleCnt="0"/>
      <dgm:spPr/>
    </dgm:pt>
    <dgm:pt modelId="{13B3C30C-1F41-4A13-8AEF-194D294A1B6A}" type="pres">
      <dgm:prSet presAssocID="{0C31C7CF-D1B5-4A26-9809-3F2B9D3B819B}" presName="hierChild1" presStyleCnt="0">
        <dgm:presLayoutVars>
          <dgm:chPref val="1"/>
          <dgm:animOne val="branch"/>
          <dgm:animLvl val="lvl"/>
        </dgm:presLayoutVars>
      </dgm:prSet>
      <dgm:spPr/>
    </dgm:pt>
    <dgm:pt modelId="{A3176E79-EB12-4CC7-916D-72ADE6C9F88D}" type="pres">
      <dgm:prSet presAssocID="{48A65C40-FC25-4CC9-B29A-D8847A1F2D16}" presName="Name14" presStyleCnt="0"/>
      <dgm:spPr/>
    </dgm:pt>
    <dgm:pt modelId="{EE9D42E4-503C-491E-9A96-A7616AD6AFB2}" type="pres">
      <dgm:prSet presAssocID="{48A65C40-FC25-4CC9-B29A-D8847A1F2D16}" presName="level1Shape" presStyleLbl="node0" presStyleIdx="0" presStyleCnt="1">
        <dgm:presLayoutVars>
          <dgm:chPref val="3"/>
        </dgm:presLayoutVars>
      </dgm:prSet>
      <dgm:spPr>
        <a:prstGeom prst="roundRect">
          <a:avLst>
            <a:gd name="adj" fmla="val 10000"/>
          </a:avLst>
        </a:prstGeom>
      </dgm:spPr>
      <dgm:t>
        <a:bodyPr/>
        <a:lstStyle/>
        <a:p>
          <a:endParaRPr lang="de-DE"/>
        </a:p>
      </dgm:t>
    </dgm:pt>
    <dgm:pt modelId="{EDA475A4-E426-4EC9-BE5D-103602E6B396}" type="pres">
      <dgm:prSet presAssocID="{48A65C40-FC25-4CC9-B29A-D8847A1F2D16}" presName="hierChild2" presStyleCnt="0"/>
      <dgm:spPr/>
    </dgm:pt>
    <dgm:pt modelId="{BE34D7C2-EBB6-42C3-B5DD-9E78451078C1}" type="pres">
      <dgm:prSet presAssocID="{EE541A69-73E7-4B69-B6CF-D75F16D78E47}" presName="Name19" presStyleLbl="parChTrans1D2" presStyleIdx="0" presStyleCnt="2"/>
      <dgm:spPr>
        <a:custGeom>
          <a:avLst/>
          <a:gdLst/>
          <a:ahLst/>
          <a:cxnLst/>
          <a:rect l="0" t="0" r="0" b="0"/>
          <a:pathLst>
            <a:path>
              <a:moveTo>
                <a:pt x="1524933" y="0"/>
              </a:moveTo>
              <a:lnTo>
                <a:pt x="1524933" y="312806"/>
              </a:lnTo>
              <a:lnTo>
                <a:pt x="0" y="312806"/>
              </a:lnTo>
              <a:lnTo>
                <a:pt x="0" y="625613"/>
              </a:lnTo>
            </a:path>
          </a:pathLst>
        </a:custGeom>
      </dgm:spPr>
      <dgm:t>
        <a:bodyPr/>
        <a:lstStyle/>
        <a:p>
          <a:endParaRPr lang="de-DE"/>
        </a:p>
      </dgm:t>
    </dgm:pt>
    <dgm:pt modelId="{B35B7293-7E61-4DE8-99CA-C960529F2B19}" type="pres">
      <dgm:prSet presAssocID="{A9A7656D-A92C-4F22-933E-2263F6FF8DD6}" presName="Name21" presStyleCnt="0"/>
      <dgm:spPr/>
    </dgm:pt>
    <dgm:pt modelId="{1DCE13CF-4DC1-4066-9B16-3243E5742752}" type="pres">
      <dgm:prSet presAssocID="{A9A7656D-A92C-4F22-933E-2263F6FF8DD6}" presName="level2Shape" presStyleLbl="node2" presStyleIdx="0" presStyleCnt="2"/>
      <dgm:spPr>
        <a:prstGeom prst="roundRect">
          <a:avLst>
            <a:gd name="adj" fmla="val 10000"/>
          </a:avLst>
        </a:prstGeom>
      </dgm:spPr>
      <dgm:t>
        <a:bodyPr/>
        <a:lstStyle/>
        <a:p>
          <a:endParaRPr lang="de-DE"/>
        </a:p>
      </dgm:t>
    </dgm:pt>
    <dgm:pt modelId="{1A204DDA-3336-4F4A-B9C4-259D11B32645}" type="pres">
      <dgm:prSet presAssocID="{A9A7656D-A92C-4F22-933E-2263F6FF8DD6}" presName="hierChild3" presStyleCnt="0"/>
      <dgm:spPr/>
    </dgm:pt>
    <dgm:pt modelId="{0D640AC0-9849-4C28-83C3-35756636E7AC}" type="pres">
      <dgm:prSet presAssocID="{C7D0C9B2-322A-4813-8CFF-5DC24483DA90}" presName="Name19" presStyleLbl="parChTrans1D3" presStyleIdx="0" presStyleCnt="2"/>
      <dgm:spPr>
        <a:custGeom>
          <a:avLst/>
          <a:gdLst/>
          <a:ahLst/>
          <a:cxnLst/>
          <a:rect l="0" t="0" r="0" b="0"/>
          <a:pathLst>
            <a:path>
              <a:moveTo>
                <a:pt x="1524933" y="0"/>
              </a:moveTo>
              <a:lnTo>
                <a:pt x="1524933" y="312806"/>
              </a:lnTo>
              <a:lnTo>
                <a:pt x="0" y="312806"/>
              </a:lnTo>
              <a:lnTo>
                <a:pt x="0" y="625613"/>
              </a:lnTo>
            </a:path>
          </a:pathLst>
        </a:custGeom>
      </dgm:spPr>
      <dgm:t>
        <a:bodyPr/>
        <a:lstStyle/>
        <a:p>
          <a:endParaRPr lang="de-DE"/>
        </a:p>
      </dgm:t>
    </dgm:pt>
    <dgm:pt modelId="{2CEED8BB-C002-49AE-8D16-6B5C26829802}" type="pres">
      <dgm:prSet presAssocID="{59327A62-F4F9-4AA9-9263-E6B3A8F5CD47}" presName="Name21" presStyleCnt="0"/>
      <dgm:spPr/>
    </dgm:pt>
    <dgm:pt modelId="{9B78AE79-CCE2-4723-905E-1A375534F734}" type="pres">
      <dgm:prSet presAssocID="{59327A62-F4F9-4AA9-9263-E6B3A8F5CD47}" presName="level2Shape" presStyleLbl="node3" presStyleIdx="0" presStyleCnt="2"/>
      <dgm:spPr>
        <a:prstGeom prst="roundRect">
          <a:avLst>
            <a:gd name="adj" fmla="val 10000"/>
          </a:avLst>
        </a:prstGeom>
      </dgm:spPr>
      <dgm:t>
        <a:bodyPr/>
        <a:lstStyle/>
        <a:p>
          <a:endParaRPr lang="de-DE"/>
        </a:p>
      </dgm:t>
    </dgm:pt>
    <dgm:pt modelId="{EF2E2CC0-DA30-4090-8198-97017DC35A0D}" type="pres">
      <dgm:prSet presAssocID="{59327A62-F4F9-4AA9-9263-E6B3A8F5CD47}" presName="hierChild3" presStyleCnt="0"/>
      <dgm:spPr/>
    </dgm:pt>
    <dgm:pt modelId="{3A559FA6-A72A-46BF-9AE0-A6758E94C0C0}" type="pres">
      <dgm:prSet presAssocID="{6B310A64-3CF0-4B8B-B6B0-30C1DF0C3041}" presName="Name19" presStyleLbl="parChTrans1D3" presStyleIdx="1" presStyleCnt="2"/>
      <dgm:spPr>
        <a:custGeom>
          <a:avLst/>
          <a:gdLst/>
          <a:ahLst/>
          <a:cxnLst/>
          <a:rect l="0" t="0" r="0" b="0"/>
          <a:pathLst>
            <a:path>
              <a:moveTo>
                <a:pt x="0" y="0"/>
              </a:moveTo>
              <a:lnTo>
                <a:pt x="0" y="312806"/>
              </a:lnTo>
              <a:lnTo>
                <a:pt x="1524933" y="312806"/>
              </a:lnTo>
              <a:lnTo>
                <a:pt x="1524933" y="625613"/>
              </a:lnTo>
            </a:path>
          </a:pathLst>
        </a:custGeom>
      </dgm:spPr>
      <dgm:t>
        <a:bodyPr/>
        <a:lstStyle/>
        <a:p>
          <a:endParaRPr lang="de-DE"/>
        </a:p>
      </dgm:t>
    </dgm:pt>
    <dgm:pt modelId="{1E60EAC3-4595-4AFB-8DF6-21C0D1C9B4C6}" type="pres">
      <dgm:prSet presAssocID="{8FB4A7FC-B4DB-47FA-B473-4643D1BF0575}" presName="Name21" presStyleCnt="0"/>
      <dgm:spPr/>
    </dgm:pt>
    <dgm:pt modelId="{72A3EC38-9688-4A07-B642-0F5681649DF4}" type="pres">
      <dgm:prSet presAssocID="{8FB4A7FC-B4DB-47FA-B473-4643D1BF0575}" presName="level2Shape" presStyleLbl="node3" presStyleIdx="1" presStyleCnt="2"/>
      <dgm:spPr>
        <a:prstGeom prst="roundRect">
          <a:avLst>
            <a:gd name="adj" fmla="val 10000"/>
          </a:avLst>
        </a:prstGeom>
      </dgm:spPr>
      <dgm:t>
        <a:bodyPr/>
        <a:lstStyle/>
        <a:p>
          <a:endParaRPr lang="de-DE"/>
        </a:p>
      </dgm:t>
    </dgm:pt>
    <dgm:pt modelId="{E02E08F2-5291-49E5-B41F-0922E7771C0E}" type="pres">
      <dgm:prSet presAssocID="{8FB4A7FC-B4DB-47FA-B473-4643D1BF0575}" presName="hierChild3" presStyleCnt="0"/>
      <dgm:spPr/>
    </dgm:pt>
    <dgm:pt modelId="{92741167-CAFD-4759-8A9B-53E20EF56059}" type="pres">
      <dgm:prSet presAssocID="{12CE54B7-BCD4-4871-99E1-A835AD3510CC}" presName="Name19" presStyleLbl="parChTrans1D2" presStyleIdx="1" presStyleCnt="2"/>
      <dgm:spPr>
        <a:custGeom>
          <a:avLst/>
          <a:gdLst/>
          <a:ahLst/>
          <a:cxnLst/>
          <a:rect l="0" t="0" r="0" b="0"/>
          <a:pathLst>
            <a:path>
              <a:moveTo>
                <a:pt x="0" y="0"/>
              </a:moveTo>
              <a:lnTo>
                <a:pt x="0" y="312806"/>
              </a:lnTo>
              <a:lnTo>
                <a:pt x="1524933" y="312806"/>
              </a:lnTo>
              <a:lnTo>
                <a:pt x="1524933" y="625613"/>
              </a:lnTo>
            </a:path>
          </a:pathLst>
        </a:custGeom>
      </dgm:spPr>
      <dgm:t>
        <a:bodyPr/>
        <a:lstStyle/>
        <a:p>
          <a:endParaRPr lang="de-DE"/>
        </a:p>
      </dgm:t>
    </dgm:pt>
    <dgm:pt modelId="{276B5273-6E96-4276-ACCB-9D9AF2605CD8}" type="pres">
      <dgm:prSet presAssocID="{9739094C-BB9A-49B8-A884-6463A73FCFB0}" presName="Name21" presStyleCnt="0"/>
      <dgm:spPr/>
    </dgm:pt>
    <dgm:pt modelId="{526D7F92-4773-4712-A8CA-5B1372A31C14}" type="pres">
      <dgm:prSet presAssocID="{9739094C-BB9A-49B8-A884-6463A73FCFB0}" presName="level2Shape" presStyleLbl="node2" presStyleIdx="1" presStyleCnt="2"/>
      <dgm:spPr>
        <a:prstGeom prst="roundRect">
          <a:avLst>
            <a:gd name="adj" fmla="val 10000"/>
          </a:avLst>
        </a:prstGeom>
      </dgm:spPr>
      <dgm:t>
        <a:bodyPr/>
        <a:lstStyle/>
        <a:p>
          <a:endParaRPr lang="de-DE"/>
        </a:p>
      </dgm:t>
    </dgm:pt>
    <dgm:pt modelId="{A0A5D5DE-85A8-43DD-AD55-F4F7D4BC3DCC}" type="pres">
      <dgm:prSet presAssocID="{9739094C-BB9A-49B8-A884-6463A73FCFB0}" presName="hierChild3" presStyleCnt="0"/>
      <dgm:spPr/>
    </dgm:pt>
    <dgm:pt modelId="{D7F3A6EB-9559-47FF-B1C8-0A197BAD991D}" type="pres">
      <dgm:prSet presAssocID="{0C31C7CF-D1B5-4A26-9809-3F2B9D3B819B}" presName="bgShapesFlow" presStyleCnt="0"/>
      <dgm:spPr/>
    </dgm:pt>
  </dgm:ptLst>
  <dgm:cxnLst>
    <dgm:cxn modelId="{48B5B6AD-618A-43C6-AB2E-BC8630EE1D07}" srcId="{48A65C40-FC25-4CC9-B29A-D8847A1F2D16}" destId="{A9A7656D-A92C-4F22-933E-2263F6FF8DD6}" srcOrd="0" destOrd="0" parTransId="{EE541A69-73E7-4B69-B6CF-D75F16D78E47}" sibTransId="{00D1AC18-1270-4EB3-BDD6-4D1F3FE58283}"/>
    <dgm:cxn modelId="{A9572733-6043-4538-A40D-7C5C15493D04}" srcId="{A9A7656D-A92C-4F22-933E-2263F6FF8DD6}" destId="{8FB4A7FC-B4DB-47FA-B473-4643D1BF0575}" srcOrd="1" destOrd="0" parTransId="{6B310A64-3CF0-4B8B-B6B0-30C1DF0C3041}" sibTransId="{D9B26751-556A-490A-84A6-CF5D1463DD86}"/>
    <dgm:cxn modelId="{2F36B180-32C9-4276-AAA7-C071A9CD4584}" srcId="{0C31C7CF-D1B5-4A26-9809-3F2B9D3B819B}" destId="{48A65C40-FC25-4CC9-B29A-D8847A1F2D16}" srcOrd="0" destOrd="0" parTransId="{9D145D72-0167-477B-A790-4E1A6E17A9F2}" sibTransId="{184FB860-5090-4E2D-A92C-DF08095E3223}"/>
    <dgm:cxn modelId="{D20D78EC-0AB4-42A3-AD0B-F3DB2C1E43FB}" type="presOf" srcId="{12CE54B7-BCD4-4871-99E1-A835AD3510CC}" destId="{92741167-CAFD-4759-8A9B-53E20EF56059}" srcOrd="0" destOrd="0" presId="urn:microsoft.com/office/officeart/2005/8/layout/hierarchy6"/>
    <dgm:cxn modelId="{E9A281BC-C3B6-4B97-9E53-7FE22CC1C482}" type="presOf" srcId="{0C31C7CF-D1B5-4A26-9809-3F2B9D3B819B}" destId="{84504F5A-F3E1-4355-B843-D80CB764AA67}" srcOrd="0" destOrd="0" presId="urn:microsoft.com/office/officeart/2005/8/layout/hierarchy6"/>
    <dgm:cxn modelId="{97604CA7-6DD1-4AC1-8B7A-880D8CC0B53C}" srcId="{48A65C40-FC25-4CC9-B29A-D8847A1F2D16}" destId="{9739094C-BB9A-49B8-A884-6463A73FCFB0}" srcOrd="1" destOrd="0" parTransId="{12CE54B7-BCD4-4871-99E1-A835AD3510CC}" sibTransId="{2282AE0C-4039-4EBF-8CB8-7BCF72C5726F}"/>
    <dgm:cxn modelId="{62546261-9FDE-4CF7-B4DF-39F793EA3059}" srcId="{A9A7656D-A92C-4F22-933E-2263F6FF8DD6}" destId="{59327A62-F4F9-4AA9-9263-E6B3A8F5CD47}" srcOrd="0" destOrd="0" parTransId="{C7D0C9B2-322A-4813-8CFF-5DC24483DA90}" sibTransId="{95A75791-59EC-46E5-BD06-04A0E5A464C0}"/>
    <dgm:cxn modelId="{960066AA-43D2-46A2-BF0F-F16FAB7C0E61}" type="presOf" srcId="{6B310A64-3CF0-4B8B-B6B0-30C1DF0C3041}" destId="{3A559FA6-A72A-46BF-9AE0-A6758E94C0C0}" srcOrd="0" destOrd="0" presId="urn:microsoft.com/office/officeart/2005/8/layout/hierarchy6"/>
    <dgm:cxn modelId="{6114FC36-CEDC-4610-81E4-520AC9674A1F}" type="presOf" srcId="{A9A7656D-A92C-4F22-933E-2263F6FF8DD6}" destId="{1DCE13CF-4DC1-4066-9B16-3243E5742752}" srcOrd="0" destOrd="0" presId="urn:microsoft.com/office/officeart/2005/8/layout/hierarchy6"/>
    <dgm:cxn modelId="{8929A2F3-600D-4F52-96A5-07CEC062B324}" type="presOf" srcId="{59327A62-F4F9-4AA9-9263-E6B3A8F5CD47}" destId="{9B78AE79-CCE2-4723-905E-1A375534F734}" srcOrd="0" destOrd="0" presId="urn:microsoft.com/office/officeart/2005/8/layout/hierarchy6"/>
    <dgm:cxn modelId="{A28A2240-231A-4A06-8FEF-73125C4AF7E1}" type="presOf" srcId="{EE541A69-73E7-4B69-B6CF-D75F16D78E47}" destId="{BE34D7C2-EBB6-42C3-B5DD-9E78451078C1}" srcOrd="0" destOrd="0" presId="urn:microsoft.com/office/officeart/2005/8/layout/hierarchy6"/>
    <dgm:cxn modelId="{13064CDC-015C-4F96-BA54-FAABE3D2D0A7}" type="presOf" srcId="{48A65C40-FC25-4CC9-B29A-D8847A1F2D16}" destId="{EE9D42E4-503C-491E-9A96-A7616AD6AFB2}" srcOrd="0" destOrd="0" presId="urn:microsoft.com/office/officeart/2005/8/layout/hierarchy6"/>
    <dgm:cxn modelId="{6F10A10C-7F39-4F0D-900E-2695922C8386}" type="presOf" srcId="{9739094C-BB9A-49B8-A884-6463A73FCFB0}" destId="{526D7F92-4773-4712-A8CA-5B1372A31C14}" srcOrd="0" destOrd="0" presId="urn:microsoft.com/office/officeart/2005/8/layout/hierarchy6"/>
    <dgm:cxn modelId="{ED145EC3-287D-4350-BD7B-E0EA06A5D66E}" type="presOf" srcId="{C7D0C9B2-322A-4813-8CFF-5DC24483DA90}" destId="{0D640AC0-9849-4C28-83C3-35756636E7AC}" srcOrd="0" destOrd="0" presId="urn:microsoft.com/office/officeart/2005/8/layout/hierarchy6"/>
    <dgm:cxn modelId="{B782D478-ADB7-468B-A02D-50EEEBD979D7}" type="presOf" srcId="{8FB4A7FC-B4DB-47FA-B473-4643D1BF0575}" destId="{72A3EC38-9688-4A07-B642-0F5681649DF4}" srcOrd="0" destOrd="0" presId="urn:microsoft.com/office/officeart/2005/8/layout/hierarchy6"/>
    <dgm:cxn modelId="{DAA7AE4F-6F0F-4E06-91F6-AC4BAA3DD788}" type="presParOf" srcId="{84504F5A-F3E1-4355-B843-D80CB764AA67}" destId="{0C04793E-C1B8-4861-B6A9-0855C4CD3EB5}" srcOrd="0" destOrd="0" presId="urn:microsoft.com/office/officeart/2005/8/layout/hierarchy6"/>
    <dgm:cxn modelId="{89481C75-8C64-46B6-B940-65339B4C6809}" type="presParOf" srcId="{0C04793E-C1B8-4861-B6A9-0855C4CD3EB5}" destId="{13B3C30C-1F41-4A13-8AEF-194D294A1B6A}" srcOrd="0" destOrd="0" presId="urn:microsoft.com/office/officeart/2005/8/layout/hierarchy6"/>
    <dgm:cxn modelId="{93F9932C-17F2-4185-B554-2450D3079999}" type="presParOf" srcId="{13B3C30C-1F41-4A13-8AEF-194D294A1B6A}" destId="{A3176E79-EB12-4CC7-916D-72ADE6C9F88D}" srcOrd="0" destOrd="0" presId="urn:microsoft.com/office/officeart/2005/8/layout/hierarchy6"/>
    <dgm:cxn modelId="{2C78DB9A-3742-48E3-ADEF-242C9DEE458D}" type="presParOf" srcId="{A3176E79-EB12-4CC7-916D-72ADE6C9F88D}" destId="{EE9D42E4-503C-491E-9A96-A7616AD6AFB2}" srcOrd="0" destOrd="0" presId="urn:microsoft.com/office/officeart/2005/8/layout/hierarchy6"/>
    <dgm:cxn modelId="{9BD04466-225A-4E9F-89B4-A1297DDAFC03}" type="presParOf" srcId="{A3176E79-EB12-4CC7-916D-72ADE6C9F88D}" destId="{EDA475A4-E426-4EC9-BE5D-103602E6B396}" srcOrd="1" destOrd="0" presId="urn:microsoft.com/office/officeart/2005/8/layout/hierarchy6"/>
    <dgm:cxn modelId="{F323E0C0-0922-4B3E-9F93-550E65F338D1}" type="presParOf" srcId="{EDA475A4-E426-4EC9-BE5D-103602E6B396}" destId="{BE34D7C2-EBB6-42C3-B5DD-9E78451078C1}" srcOrd="0" destOrd="0" presId="urn:microsoft.com/office/officeart/2005/8/layout/hierarchy6"/>
    <dgm:cxn modelId="{B84B9CFC-FADB-4798-857D-3A076D89B791}" type="presParOf" srcId="{EDA475A4-E426-4EC9-BE5D-103602E6B396}" destId="{B35B7293-7E61-4DE8-99CA-C960529F2B19}" srcOrd="1" destOrd="0" presId="urn:microsoft.com/office/officeart/2005/8/layout/hierarchy6"/>
    <dgm:cxn modelId="{6D6BE196-2ECD-4349-84BB-EF258F4E3B32}" type="presParOf" srcId="{B35B7293-7E61-4DE8-99CA-C960529F2B19}" destId="{1DCE13CF-4DC1-4066-9B16-3243E5742752}" srcOrd="0" destOrd="0" presId="urn:microsoft.com/office/officeart/2005/8/layout/hierarchy6"/>
    <dgm:cxn modelId="{1F56201B-3124-41DF-915D-60DE680B56A4}" type="presParOf" srcId="{B35B7293-7E61-4DE8-99CA-C960529F2B19}" destId="{1A204DDA-3336-4F4A-B9C4-259D11B32645}" srcOrd="1" destOrd="0" presId="urn:microsoft.com/office/officeart/2005/8/layout/hierarchy6"/>
    <dgm:cxn modelId="{8189593A-6F3C-4392-AD83-CCBB65624A2B}" type="presParOf" srcId="{1A204DDA-3336-4F4A-B9C4-259D11B32645}" destId="{0D640AC0-9849-4C28-83C3-35756636E7AC}" srcOrd="0" destOrd="0" presId="urn:microsoft.com/office/officeart/2005/8/layout/hierarchy6"/>
    <dgm:cxn modelId="{9033E188-6BB2-4F87-A352-911B6F706E99}" type="presParOf" srcId="{1A204DDA-3336-4F4A-B9C4-259D11B32645}" destId="{2CEED8BB-C002-49AE-8D16-6B5C26829802}" srcOrd="1" destOrd="0" presId="urn:microsoft.com/office/officeart/2005/8/layout/hierarchy6"/>
    <dgm:cxn modelId="{92B45A88-C741-4FC8-AD7D-E8950609E69D}" type="presParOf" srcId="{2CEED8BB-C002-49AE-8D16-6B5C26829802}" destId="{9B78AE79-CCE2-4723-905E-1A375534F734}" srcOrd="0" destOrd="0" presId="urn:microsoft.com/office/officeart/2005/8/layout/hierarchy6"/>
    <dgm:cxn modelId="{DE09050B-CE1F-4C3E-93A6-D65C63E3C901}" type="presParOf" srcId="{2CEED8BB-C002-49AE-8D16-6B5C26829802}" destId="{EF2E2CC0-DA30-4090-8198-97017DC35A0D}" srcOrd="1" destOrd="0" presId="urn:microsoft.com/office/officeart/2005/8/layout/hierarchy6"/>
    <dgm:cxn modelId="{8AEA2064-9280-43F0-83F9-30B6B4573E0E}" type="presParOf" srcId="{1A204DDA-3336-4F4A-B9C4-259D11B32645}" destId="{3A559FA6-A72A-46BF-9AE0-A6758E94C0C0}" srcOrd="2" destOrd="0" presId="urn:microsoft.com/office/officeart/2005/8/layout/hierarchy6"/>
    <dgm:cxn modelId="{11A782AB-834B-4E4C-BA45-276986BA6591}" type="presParOf" srcId="{1A204DDA-3336-4F4A-B9C4-259D11B32645}" destId="{1E60EAC3-4595-4AFB-8DF6-21C0D1C9B4C6}" srcOrd="3" destOrd="0" presId="urn:microsoft.com/office/officeart/2005/8/layout/hierarchy6"/>
    <dgm:cxn modelId="{68775C8C-4328-492C-8312-962147CFA3BD}" type="presParOf" srcId="{1E60EAC3-4595-4AFB-8DF6-21C0D1C9B4C6}" destId="{72A3EC38-9688-4A07-B642-0F5681649DF4}" srcOrd="0" destOrd="0" presId="urn:microsoft.com/office/officeart/2005/8/layout/hierarchy6"/>
    <dgm:cxn modelId="{BE951B79-902C-473E-86CE-B474C90D1055}" type="presParOf" srcId="{1E60EAC3-4595-4AFB-8DF6-21C0D1C9B4C6}" destId="{E02E08F2-5291-49E5-B41F-0922E7771C0E}" srcOrd="1" destOrd="0" presId="urn:microsoft.com/office/officeart/2005/8/layout/hierarchy6"/>
    <dgm:cxn modelId="{99B90A7A-9852-44F1-8181-A56E43C200AB}" type="presParOf" srcId="{EDA475A4-E426-4EC9-BE5D-103602E6B396}" destId="{92741167-CAFD-4759-8A9B-53E20EF56059}" srcOrd="2" destOrd="0" presId="urn:microsoft.com/office/officeart/2005/8/layout/hierarchy6"/>
    <dgm:cxn modelId="{7AB0E9E8-898D-4976-8228-48C5B0EDD631}" type="presParOf" srcId="{EDA475A4-E426-4EC9-BE5D-103602E6B396}" destId="{276B5273-6E96-4276-ACCB-9D9AF2605CD8}" srcOrd="3" destOrd="0" presId="urn:microsoft.com/office/officeart/2005/8/layout/hierarchy6"/>
    <dgm:cxn modelId="{EF47CA1A-21E8-46E6-8C4D-312E8F2CA859}" type="presParOf" srcId="{276B5273-6E96-4276-ACCB-9D9AF2605CD8}" destId="{526D7F92-4773-4712-A8CA-5B1372A31C14}" srcOrd="0" destOrd="0" presId="urn:microsoft.com/office/officeart/2005/8/layout/hierarchy6"/>
    <dgm:cxn modelId="{B3A72E20-3848-40EC-909C-59D447605087}" type="presParOf" srcId="{276B5273-6E96-4276-ACCB-9D9AF2605CD8}" destId="{A0A5D5DE-85A8-43DD-AD55-F4F7D4BC3DCC}" srcOrd="1" destOrd="0" presId="urn:microsoft.com/office/officeart/2005/8/layout/hierarchy6"/>
    <dgm:cxn modelId="{9B272927-40D0-42D6-BB9D-F86AD3DA08DC}" type="presParOf" srcId="{84504F5A-F3E1-4355-B843-D80CB764AA67}" destId="{D7F3A6EB-9559-47FF-B1C8-0A197BAD991D}" srcOrd="1" destOrd="0" presId="urn:microsoft.com/office/officeart/2005/8/layout/hierarchy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9D42E4-503C-491E-9A96-A7616AD6AFB2}">
      <dsp:nvSpPr>
        <dsp:cNvPr id="0" name=""/>
        <dsp:cNvSpPr/>
      </dsp:nvSpPr>
      <dsp:spPr>
        <a:xfrm>
          <a:off x="2901967" y="51"/>
          <a:ext cx="1297113" cy="864742"/>
        </a:xfrm>
        <a:prstGeom prst="roundRect">
          <a:avLst>
            <a:gd name="adj" fmla="val 10000"/>
          </a:avLst>
        </a:prstGeo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E-Commerce</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Includes all electronic transactions</a:t>
          </a:r>
        </a:p>
      </dsp:txBody>
      <dsp:txXfrm>
        <a:off x="2927294" y="25378"/>
        <a:ext cx="1246459" cy="814088"/>
      </dsp:txXfrm>
    </dsp:sp>
    <dsp:sp modelId="{BE34D7C2-EBB6-42C3-B5DD-9E78451078C1}">
      <dsp:nvSpPr>
        <dsp:cNvPr id="0" name=""/>
        <dsp:cNvSpPr/>
      </dsp:nvSpPr>
      <dsp:spPr>
        <a:xfrm>
          <a:off x="2707400" y="864794"/>
          <a:ext cx="843124" cy="345897"/>
        </a:xfrm>
        <a:custGeom>
          <a:avLst/>
          <a:gdLst/>
          <a:ahLst/>
          <a:cxnLst/>
          <a:rect l="0" t="0" r="0" b="0"/>
          <a:pathLst>
            <a:path>
              <a:moveTo>
                <a:pt x="1524933" y="0"/>
              </a:moveTo>
              <a:lnTo>
                <a:pt x="1524933" y="312806"/>
              </a:lnTo>
              <a:lnTo>
                <a:pt x="0" y="312806"/>
              </a:lnTo>
              <a:lnTo>
                <a:pt x="0" y="625613"/>
              </a:lnTo>
            </a:path>
          </a:pathLst>
        </a:custGeom>
        <a:noFill/>
        <a:ln w="25400" cap="flat" cmpd="sng" algn="ctr">
          <a:solidFill>
            <a:sysClr val="windowText" lastClr="000000">
              <a:shade val="60000"/>
              <a:hueOff val="0"/>
              <a:satOff val="0"/>
              <a:lumOff val="0"/>
              <a:alphaOff val="0"/>
            </a:sysClr>
          </a:solidFill>
          <a:prstDash val="solid"/>
        </a:ln>
        <a:effectLst/>
      </dsp:spPr>
      <dsp:style>
        <a:lnRef idx="2">
          <a:scrgbClr r="0" g="0" b="0"/>
        </a:lnRef>
        <a:fillRef idx="0">
          <a:scrgbClr r="0" g="0" b="0"/>
        </a:fillRef>
        <a:effectRef idx="0">
          <a:scrgbClr r="0" g="0" b="0"/>
        </a:effectRef>
        <a:fontRef idx="minor"/>
      </dsp:style>
    </dsp:sp>
    <dsp:sp modelId="{1DCE13CF-4DC1-4066-9B16-3243E5742752}">
      <dsp:nvSpPr>
        <dsp:cNvPr id="0" name=""/>
        <dsp:cNvSpPr/>
      </dsp:nvSpPr>
      <dsp:spPr>
        <a:xfrm>
          <a:off x="2058843" y="1210691"/>
          <a:ext cx="1297113" cy="864742"/>
        </a:xfrm>
        <a:prstGeom prst="roundRect">
          <a:avLst>
            <a:gd name="adj" fmla="val 10000"/>
          </a:avLst>
        </a:prstGeo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E-Finance</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All monetary services through electronic channels  </a:t>
          </a:r>
        </a:p>
      </dsp:txBody>
      <dsp:txXfrm>
        <a:off x="2084170" y="1236018"/>
        <a:ext cx="1246459" cy="814088"/>
      </dsp:txXfrm>
    </dsp:sp>
    <dsp:sp modelId="{0D640AC0-9849-4C28-83C3-35756636E7AC}">
      <dsp:nvSpPr>
        <dsp:cNvPr id="0" name=""/>
        <dsp:cNvSpPr/>
      </dsp:nvSpPr>
      <dsp:spPr>
        <a:xfrm>
          <a:off x="1864276" y="2075433"/>
          <a:ext cx="843124" cy="345897"/>
        </a:xfrm>
        <a:custGeom>
          <a:avLst/>
          <a:gdLst/>
          <a:ahLst/>
          <a:cxnLst/>
          <a:rect l="0" t="0" r="0" b="0"/>
          <a:pathLst>
            <a:path>
              <a:moveTo>
                <a:pt x="1524933" y="0"/>
              </a:moveTo>
              <a:lnTo>
                <a:pt x="1524933" y="312806"/>
              </a:lnTo>
              <a:lnTo>
                <a:pt x="0" y="312806"/>
              </a:lnTo>
              <a:lnTo>
                <a:pt x="0" y="625613"/>
              </a:lnTo>
            </a:path>
          </a:pathLst>
        </a:custGeom>
        <a:noFill/>
        <a:ln w="25400" cap="flat" cmpd="sng" algn="ctr">
          <a:solidFill>
            <a:sysClr val="windowText" lastClr="000000">
              <a:shade val="80000"/>
              <a:hueOff val="0"/>
              <a:satOff val="0"/>
              <a:lumOff val="0"/>
              <a:alphaOff val="0"/>
            </a:sysClr>
          </a:solidFill>
          <a:prstDash val="solid"/>
        </a:ln>
        <a:effectLst/>
      </dsp:spPr>
      <dsp:style>
        <a:lnRef idx="2">
          <a:scrgbClr r="0" g="0" b="0"/>
        </a:lnRef>
        <a:fillRef idx="0">
          <a:scrgbClr r="0" g="0" b="0"/>
        </a:fillRef>
        <a:effectRef idx="0">
          <a:scrgbClr r="0" g="0" b="0"/>
        </a:effectRef>
        <a:fontRef idx="minor"/>
      </dsp:style>
    </dsp:sp>
    <dsp:sp modelId="{9B78AE79-CCE2-4723-905E-1A375534F734}">
      <dsp:nvSpPr>
        <dsp:cNvPr id="0" name=""/>
        <dsp:cNvSpPr/>
      </dsp:nvSpPr>
      <dsp:spPr>
        <a:xfrm>
          <a:off x="1215719" y="2421330"/>
          <a:ext cx="1297113" cy="864742"/>
        </a:xfrm>
        <a:prstGeom prst="roundRect">
          <a:avLst>
            <a:gd name="adj" fmla="val 10000"/>
          </a:avLst>
        </a:prstGeo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E-Banking</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All banking services and products </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1. Internet banking </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2. Telephone banking </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3. Other electronic devices  </a:t>
          </a:r>
        </a:p>
      </dsp:txBody>
      <dsp:txXfrm>
        <a:off x="1241046" y="2446657"/>
        <a:ext cx="1246459" cy="814088"/>
      </dsp:txXfrm>
    </dsp:sp>
    <dsp:sp modelId="{3A559FA6-A72A-46BF-9AE0-A6758E94C0C0}">
      <dsp:nvSpPr>
        <dsp:cNvPr id="0" name=""/>
        <dsp:cNvSpPr/>
      </dsp:nvSpPr>
      <dsp:spPr>
        <a:xfrm>
          <a:off x="2707400" y="2075433"/>
          <a:ext cx="843124" cy="345897"/>
        </a:xfrm>
        <a:custGeom>
          <a:avLst/>
          <a:gdLst/>
          <a:ahLst/>
          <a:cxnLst/>
          <a:rect l="0" t="0" r="0" b="0"/>
          <a:pathLst>
            <a:path>
              <a:moveTo>
                <a:pt x="0" y="0"/>
              </a:moveTo>
              <a:lnTo>
                <a:pt x="0" y="312806"/>
              </a:lnTo>
              <a:lnTo>
                <a:pt x="1524933" y="312806"/>
              </a:lnTo>
              <a:lnTo>
                <a:pt x="1524933" y="625613"/>
              </a:lnTo>
            </a:path>
          </a:pathLst>
        </a:custGeom>
        <a:noFill/>
        <a:ln w="25400" cap="flat" cmpd="sng" algn="ctr">
          <a:solidFill>
            <a:sysClr val="windowText" lastClr="000000">
              <a:shade val="80000"/>
              <a:hueOff val="0"/>
              <a:satOff val="0"/>
              <a:lumOff val="0"/>
              <a:alphaOff val="0"/>
            </a:sysClr>
          </a:solidFill>
          <a:prstDash val="solid"/>
        </a:ln>
        <a:effectLst/>
      </dsp:spPr>
      <dsp:style>
        <a:lnRef idx="2">
          <a:scrgbClr r="0" g="0" b="0"/>
        </a:lnRef>
        <a:fillRef idx="0">
          <a:scrgbClr r="0" g="0" b="0"/>
        </a:fillRef>
        <a:effectRef idx="0">
          <a:scrgbClr r="0" g="0" b="0"/>
        </a:effectRef>
        <a:fontRef idx="minor"/>
      </dsp:style>
    </dsp:sp>
    <dsp:sp modelId="{72A3EC38-9688-4A07-B642-0F5681649DF4}">
      <dsp:nvSpPr>
        <dsp:cNvPr id="0" name=""/>
        <dsp:cNvSpPr/>
      </dsp:nvSpPr>
      <dsp:spPr>
        <a:xfrm>
          <a:off x="2901967" y="2421330"/>
          <a:ext cx="1297113" cy="864742"/>
        </a:xfrm>
        <a:prstGeom prst="roundRect">
          <a:avLst>
            <a:gd name="adj" fmla="val 10000"/>
          </a:avLst>
        </a:prstGeo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Others</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Transactions such as brokering </a:t>
          </a:r>
        </a:p>
      </dsp:txBody>
      <dsp:txXfrm>
        <a:off x="2927294" y="2446657"/>
        <a:ext cx="1246459" cy="814088"/>
      </dsp:txXfrm>
    </dsp:sp>
    <dsp:sp modelId="{92741167-CAFD-4759-8A9B-53E20EF56059}">
      <dsp:nvSpPr>
        <dsp:cNvPr id="0" name=""/>
        <dsp:cNvSpPr/>
      </dsp:nvSpPr>
      <dsp:spPr>
        <a:xfrm>
          <a:off x="3550524" y="864794"/>
          <a:ext cx="843124" cy="345897"/>
        </a:xfrm>
        <a:custGeom>
          <a:avLst/>
          <a:gdLst/>
          <a:ahLst/>
          <a:cxnLst/>
          <a:rect l="0" t="0" r="0" b="0"/>
          <a:pathLst>
            <a:path>
              <a:moveTo>
                <a:pt x="0" y="0"/>
              </a:moveTo>
              <a:lnTo>
                <a:pt x="0" y="312806"/>
              </a:lnTo>
              <a:lnTo>
                <a:pt x="1524933" y="312806"/>
              </a:lnTo>
              <a:lnTo>
                <a:pt x="1524933" y="625613"/>
              </a:lnTo>
            </a:path>
          </a:pathLst>
        </a:custGeom>
        <a:noFill/>
        <a:ln w="25400" cap="flat" cmpd="sng" algn="ctr">
          <a:solidFill>
            <a:sysClr val="windowText" lastClr="000000">
              <a:shade val="60000"/>
              <a:hueOff val="0"/>
              <a:satOff val="0"/>
              <a:lumOff val="0"/>
              <a:alphaOff val="0"/>
            </a:sysClr>
          </a:solidFill>
          <a:prstDash val="solid"/>
        </a:ln>
        <a:effectLst/>
      </dsp:spPr>
      <dsp:style>
        <a:lnRef idx="2">
          <a:scrgbClr r="0" g="0" b="0"/>
        </a:lnRef>
        <a:fillRef idx="0">
          <a:scrgbClr r="0" g="0" b="0"/>
        </a:fillRef>
        <a:effectRef idx="0">
          <a:scrgbClr r="0" g="0" b="0"/>
        </a:effectRef>
        <a:fontRef idx="minor"/>
      </dsp:style>
    </dsp:sp>
    <dsp:sp modelId="{526D7F92-4773-4712-A8CA-5B1372A31C14}">
      <dsp:nvSpPr>
        <dsp:cNvPr id="0" name=""/>
        <dsp:cNvSpPr/>
      </dsp:nvSpPr>
      <dsp:spPr>
        <a:xfrm>
          <a:off x="3745091" y="1210691"/>
          <a:ext cx="1297113" cy="864742"/>
        </a:xfrm>
        <a:prstGeom prst="roundRect">
          <a:avLst>
            <a:gd name="adj" fmla="val 10000"/>
          </a:avLst>
        </a:prstGeom>
        <a:solidFill>
          <a:sysClr val="window" lastClr="FFFFFF">
            <a:hueOff val="0"/>
            <a:satOff val="0"/>
            <a:lumOff val="0"/>
            <a:alphaOff val="0"/>
          </a:sysClr>
        </a:solidFill>
        <a:ln w="38100" cap="flat" cmpd="sng" algn="ctr">
          <a:solidFill>
            <a:sysClr val="windowText" lastClr="000000">
              <a:shade val="80000"/>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E-Money</a:t>
          </a:r>
        </a:p>
        <a:p>
          <a:pPr lvl="0" algn="ctr" defTabSz="311150">
            <a:lnSpc>
              <a:spcPct val="90000"/>
            </a:lnSpc>
            <a:spcBef>
              <a:spcPct val="0"/>
            </a:spcBef>
            <a:spcAft>
              <a:spcPct val="35000"/>
            </a:spcAft>
          </a:pPr>
          <a:r>
            <a:rPr lang="en-US" sz="700" kern="1200" dirty="0">
              <a:solidFill>
                <a:sysClr val="windowText" lastClr="000000">
                  <a:hueOff val="0"/>
                  <a:satOff val="0"/>
                  <a:lumOff val="0"/>
                  <a:alphaOff val="0"/>
                </a:sysClr>
              </a:solidFill>
              <a:latin typeface="Calibri"/>
              <a:ea typeface="+mn-ea"/>
              <a:cs typeface="+mn-cs"/>
            </a:rPr>
            <a:t>Prepaid values of real money that can be used electronically </a:t>
          </a:r>
        </a:p>
      </dsp:txBody>
      <dsp:txXfrm>
        <a:off x="3770418" y="1236018"/>
        <a:ext cx="1246459" cy="81408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2021-05-28T00:00:00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84</Pages>
  <Words>18397</Words>
  <Characters>115905</Characters>
  <Application>Microsoft Office Word</Application>
  <DocSecurity>0</DocSecurity>
  <Lines>965</Lines>
  <Paragraphs>268</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The Impact of E-banking Services on Customer Satisfaction during the Pandemic: Case of Lebanese Banks</vt:lpstr>
      <vt:lpstr>The Impact of E-banking Services on Customer Satisfaction during the Pandemic: Case of Lebanese Banks</vt:lpstr>
    </vt:vector>
  </TitlesOfParts>
  <Company/>
  <LinksUpToDate>false</LinksUpToDate>
  <CharactersWithSpaces>134034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E-banking Services on Customer Satisfaction during the Pandemic: Case of Lebanese Banks</dc:title>
  <dc:subject> Case about the Lebanese banking sector during the COVID-19 pandemic </dc:subject>
  <dc:creator>Windows User</dc:creator>
  <cp:keywords/>
  <dc:description/>
  <cp:lastModifiedBy>El Khalil Amir, M152</cp:lastModifiedBy>
  <cp:revision>17</cp:revision>
  <dcterms:created xsi:type="dcterms:W3CDTF">2021-06-04T08:55:00Z</dcterms:created>
  <dcterms:modified xsi:type="dcterms:W3CDTF">2021-06-04T10:31:00Z</dcterms:modified>
</cp:coreProperties>
</file>