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rPr/>
      </w:pPr>
      <w:bookmarkStart w:colFirst="0" w:colLast="0" w:name="_yd61ilexx7cq" w:id="0"/>
      <w:bookmarkEnd w:id="0"/>
      <w:r w:rsidDel="00000000" w:rsidR="00000000" w:rsidRPr="00000000">
        <w:rPr>
          <w:rtl w:val="0"/>
        </w:rPr>
        <w:t xml:space="preserve">Student Name: Sehrash Ali</w:t>
      </w:r>
    </w:p>
    <w:p w:rsidR="00000000" w:rsidDel="00000000" w:rsidP="00000000" w:rsidRDefault="00000000" w:rsidRPr="00000000" w14:paraId="00000002">
      <w:pPr>
        <w:rPr/>
      </w:pPr>
      <w:bookmarkStart w:colFirst="0" w:colLast="0" w:name="_b9yky5ib4fgo" w:id="1"/>
      <w:bookmarkEnd w:id="1"/>
      <w:r w:rsidDel="00000000" w:rsidR="00000000" w:rsidRPr="00000000">
        <w:rPr>
          <w:rtl w:val="0"/>
        </w:rPr>
        <w:t xml:space="preserve">Student Id: 2440353</w:t>
      </w:r>
    </w:p>
    <w:p w:rsidR="00000000" w:rsidDel="00000000" w:rsidP="00000000" w:rsidRDefault="00000000" w:rsidRPr="00000000" w14:paraId="00000003">
      <w:pPr>
        <w:rPr/>
      </w:pPr>
      <w:bookmarkStart w:colFirst="0" w:colLast="0" w:name="_ugrv15w3bdip" w:id="2"/>
      <w:bookmarkEnd w:id="2"/>
      <w:r w:rsidDel="00000000" w:rsidR="00000000" w:rsidRPr="00000000">
        <w:rPr>
          <w:rtl w:val="0"/>
        </w:rPr>
      </w:r>
    </w:p>
    <w:p w:rsidR="00000000" w:rsidDel="00000000" w:rsidP="00000000" w:rsidRDefault="00000000" w:rsidRPr="00000000" w14:paraId="00000004">
      <w:pPr>
        <w:jc w:val="center"/>
        <w:rPr>
          <w:b w:val="1"/>
          <w:bCs w:val="1"/>
          <w:i w:val="1"/>
          <w:iCs w:val="1"/>
          <w:color w:val="000000"/>
          <w:sz w:val="56"/>
          <w:szCs w:val="56"/>
        </w:rPr>
      </w:pPr>
      <w:r w:rsidDel="00000000" w:rsidR="00000000" w:rsidRPr="00000000">
        <w:rPr>
          <w:b w:val="1"/>
          <w:bCs w:val="1"/>
          <w:i w:val="1"/>
          <w:iCs w:val="1"/>
          <w:color w:val="000000"/>
          <w:sz w:val="56"/>
          <w:szCs w:val="56"/>
          <w:rtl w:val="0"/>
        </w:rPr>
        <w:t xml:space="preserve">LCHS4003 Introduction to Health and Social Care: </w:t>
      </w:r>
    </w:p>
    <w:p w:rsidR="00000000" w:rsidDel="00000000" w:rsidP="00000000" w:rsidRDefault="00000000" w:rsidRPr="00000000" w14:paraId="00000005">
      <w:pPr>
        <w:jc w:val="center"/>
        <w:rPr>
          <w:b w:val="1"/>
          <w:bCs w:val="1"/>
          <w:i w:val="1"/>
          <w:iCs w:val="1"/>
          <w:color w:val="000000"/>
          <w:sz w:val="56"/>
          <w:szCs w:val="56"/>
        </w:rPr>
      </w:pPr>
      <w:r w:rsidDel="00000000" w:rsidR="00000000" w:rsidRPr="00000000">
        <w:rPr>
          <w:b w:val="1"/>
          <w:bCs w:val="1"/>
          <w:i w:val="1"/>
          <w:iCs w:val="1"/>
          <w:color w:val="000000"/>
          <w:sz w:val="56"/>
          <w:szCs w:val="56"/>
          <w:rtl w:val="0"/>
        </w:rPr>
        <w:t xml:space="preserve">Written Assignment   </w:t>
      </w:r>
    </w:p>
    <w:p w:rsidR="00000000" w:rsidDel="00000000" w:rsidP="00000000" w:rsidRDefault="00000000" w:rsidRPr="00000000" w14:paraId="00000006">
      <w:pPr>
        <w:keepNext w:val="1"/>
        <w:keepLines w:val="0"/>
        <w:pageBreakBefore w:val="1"/>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center"/>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Table of Contents</w:t>
      </w:r>
    </w:p>
    <w:sdt>
      <w:sdtPr>
        <w:id w:val="-1781469627"/>
        <w:docPartObj>
          <w:docPartGallery w:val="Table of Contents"/>
          <w:docPartUnique w:val="1"/>
        </w:docPartObj>
      </w:sdtPr>
      <w:sdtContent>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r>
          <w:r w:rsidDel="00000000" w:rsidR="00000000" w:rsidRPr="00000000">
            <w:fldChar w:fldCharType="begin"/>
            <w:instrText xml:space="preserve"> PAGEREF _gntqjxe8tkpm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w:t>
          </w:r>
          <w:r w:rsidDel="00000000" w:rsidR="00000000" w:rsidRPr="00000000">
            <w:fldChar w:fldCharType="begin"/>
            <w:instrText xml:space="preserve"> HYPERLINK \l "_gntqjxe8tkpm"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Effective Communication</w:t>
            <w:tab/>
          </w:r>
          <w:r w:rsidDel="00000000" w:rsidR="00000000" w:rsidRPr="00000000">
            <w:fldChar w:fldCharType="begin"/>
            <w:instrText xml:space="preserve"> PAGEREF _v9wfy0ioad44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w:t>
          </w:r>
          <w:r w:rsidDel="00000000" w:rsidR="00000000" w:rsidRPr="00000000">
            <w:fldChar w:fldCharType="begin"/>
            <w:instrText xml:space="preserve"> HYPERLINK \l "_v9wfy0ioad44"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Administrative Skills &amp; Record Keeping</w:t>
            <w:tab/>
          </w:r>
          <w:r w:rsidDel="00000000" w:rsidR="00000000" w:rsidRPr="00000000">
            <w:fldChar w:fldCharType="begin"/>
            <w:instrText xml:space="preserve"> PAGEREF _4zbm46e0851r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w:t>
          </w:r>
          <w:r w:rsidDel="00000000" w:rsidR="00000000" w:rsidRPr="00000000">
            <w:fldChar w:fldCharType="begin"/>
            <w:instrText xml:space="preserve"> HYPERLINK \l "_4zbm46e0851r"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Collaborative Working</w:t>
            <w:tab/>
          </w:r>
          <w:r w:rsidDel="00000000" w:rsidR="00000000" w:rsidRPr="00000000">
            <w:fldChar w:fldCharType="begin"/>
            <w:instrText xml:space="preserve"> PAGEREF _3e6viksn7aa9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w:t>
          </w:r>
          <w:r w:rsidDel="00000000" w:rsidR="00000000" w:rsidRPr="00000000">
            <w:fldChar w:fldCharType="begin"/>
            <w:instrText xml:space="preserve"> HYPERLINK \l "_3e6viksn7aa9"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r>
          <w:r w:rsidDel="00000000" w:rsidR="00000000" w:rsidRPr="00000000">
            <w:fldChar w:fldCharType="begin"/>
            <w:instrText xml:space="preserve"> PAGEREF _a6mtoxwv68ia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w:t>
          </w:r>
          <w:r w:rsidDel="00000000" w:rsidR="00000000" w:rsidRPr="00000000">
            <w:fldChar w:fldCharType="begin"/>
            <w:instrText xml:space="preserve"> HYPERLINK \l "_a6mtoxwv68ia"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r>
          <w:r w:rsidDel="00000000" w:rsidR="00000000" w:rsidRPr="00000000">
            <w:fldChar w:fldCharType="begin"/>
            <w:instrText xml:space="preserve"> PAGEREF _eynla5366g32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w:t>
          </w:r>
          <w:r w:rsidDel="00000000" w:rsidR="00000000" w:rsidRPr="00000000">
            <w:fldChar w:fldCharType="begin"/>
            <w:instrText xml:space="preserve"> HYPERLINK \l "_eynla5366g32"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E">
      <w:pPr>
        <w:rPr>
          <w:color w:val="000000"/>
        </w:rPr>
      </w:pPr>
      <w:r w:rsidDel="00000000" w:rsidR="00000000" w:rsidRPr="00000000">
        <w:rPr>
          <w:rtl w:val="0"/>
        </w:rPr>
      </w:r>
    </w:p>
    <w:p w:rsidR="00000000" w:rsidDel="00000000" w:rsidP="00000000" w:rsidRDefault="00000000" w:rsidRPr="00000000" w14:paraId="0000000F">
      <w:pPr>
        <w:rPr>
          <w:color w:val="000000"/>
        </w:rPr>
      </w:pPr>
      <w:r w:rsidDel="00000000" w:rsidR="00000000" w:rsidRPr="00000000">
        <w:rPr>
          <w:rtl w:val="0"/>
        </w:rPr>
      </w:r>
    </w:p>
    <w:p w:rsidR="00000000" w:rsidDel="00000000" w:rsidP="00000000" w:rsidRDefault="00000000" w:rsidRPr="00000000" w14:paraId="00000010">
      <w:pPr>
        <w:rPr>
          <w:color w:val="000000"/>
        </w:rPr>
      </w:pPr>
      <w:r w:rsidDel="00000000" w:rsidR="00000000" w:rsidRPr="00000000">
        <w:rPr>
          <w:rtl w:val="0"/>
        </w:rPr>
      </w:r>
    </w:p>
    <w:p w:rsidR="00000000" w:rsidDel="00000000" w:rsidP="00000000" w:rsidRDefault="00000000" w:rsidRPr="00000000" w14:paraId="00000011">
      <w:pPr>
        <w:pStyle w:val="Heading1"/>
        <w:numPr>
          <w:ilvl w:val="0"/>
          <w:numId w:val="1"/>
        </w:numPr>
        <w:ind w:left="0" w:firstLine="0"/>
        <w:rPr/>
      </w:pPr>
      <w:bookmarkStart w:colFirst="0" w:colLast="0" w:name="_gntqjxe8tkpm" w:id="3"/>
      <w:bookmarkEnd w:id="3"/>
      <w:r w:rsidDel="00000000" w:rsidR="00000000" w:rsidRPr="00000000">
        <w:br w:type="page"/>
      </w:r>
      <w:r w:rsidDel="00000000" w:rsidR="00000000" w:rsidRPr="00000000">
        <w:rPr>
          <w:rtl w:val="0"/>
        </w:rPr>
        <w:t xml:space="preserve">Introduction</w:t>
      </w:r>
    </w:p>
    <w:p w:rsidR="00000000" w:rsidDel="00000000" w:rsidP="00000000" w:rsidRDefault="00000000" w:rsidRPr="00000000" w14:paraId="00000012">
      <w:pPr>
        <w:rPr/>
      </w:pPr>
      <w:r w:rsidDel="00000000" w:rsidR="00000000" w:rsidRPr="00000000">
        <w:rPr>
          <w:rtl w:val="0"/>
        </w:rPr>
        <w:t xml:space="preserve">Health and social care services aim at ensuring wellbeing of the individuals with the integrated health care and day-to-day living assistance availed to the patients by multiple distinct professionals (Gavaldà-Espelta et al., 2023). The importance of accountability and continuity of care in this system is marked by an excellent communication system, proper documentation and collaboration with others in order to achieve safety. The researcher in this report presents the case of a 68 year old stroke survivor with low competency in English Mr Ahmed, who was not able to receive a domiciliary visit and was late in taking medicine. The area of discussion review in terms of interdisciplinary collaboration and administrative governance is based on communication practice and is presented in the SOLER communication model and the related legislation. The report evaluates the contribution of the communication and coordination breakdown as the source of risk and the contribution of the professional practice structure provision in the harm mitigation.</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pStyle w:val="Heading1"/>
        <w:numPr>
          <w:ilvl w:val="0"/>
          <w:numId w:val="1"/>
        </w:numPr>
        <w:ind w:left="0" w:firstLine="0"/>
        <w:rPr/>
      </w:pPr>
      <w:bookmarkStart w:colFirst="0" w:colLast="0" w:name="_v9wfy0ioad44" w:id="4"/>
      <w:bookmarkEnd w:id="4"/>
      <w:r w:rsidDel="00000000" w:rsidR="00000000" w:rsidRPr="00000000">
        <w:rPr>
          <w:rtl w:val="0"/>
        </w:rPr>
        <w:t xml:space="preserve">Effective Communication</w:t>
      </w:r>
    </w:p>
    <w:p w:rsidR="00000000" w:rsidDel="00000000" w:rsidP="00000000" w:rsidRDefault="00000000" w:rsidRPr="00000000" w14:paraId="00000015">
      <w:pPr>
        <w:rPr/>
      </w:pPr>
      <w:r w:rsidDel="00000000" w:rsidR="00000000" w:rsidRPr="00000000">
        <w:rPr>
          <w:rtl w:val="0"/>
        </w:rPr>
        <w:t xml:space="preserve">Effective communication in health and social care is not only a related measure of an inter-personal skill, but it is a fundamental undertaking towards patient safety (Kulińska, Rypicz and Zatońska, 2022). Victims also emerge with aphasia of lack of understanding and information processing after a stroke. Such a neurological constraint is complemented by the lack of knowledge of English in Mr Ahmed thus increasing the chances of misunderstanding the instructions that are linked to medication, self-management, and risk management. Missed domiciliary visit in itself, however, is not merely a scheduling error, but also symptomatic of how the communication breakdown can be the direct and harmful cause of the loss of the medication intake provided and potential health condition aggravation. Consequently, communication must be perceived as a clinical preventive action that will dishearten the harm that will not be necessary on the person (Rock, 2021).</w:t>
      </w:r>
    </w:p>
    <w:p w:rsidR="00000000" w:rsidDel="00000000" w:rsidP="00000000" w:rsidRDefault="00000000" w:rsidRPr="00000000" w14:paraId="00000016">
      <w:pPr>
        <w:rPr/>
      </w:pPr>
      <w:r w:rsidDel="00000000" w:rsidR="00000000" w:rsidRPr="00000000">
        <w:rPr>
          <w:rtl w:val="0"/>
        </w:rPr>
        <w:t xml:space="preserve"> </w:t>
        <w:tab/>
        <w:t xml:space="preserve">Since the Equality Act 2010, the services are supposed to offer reasonable 2 adjustments to ensure that people can get care without being disadvantaged (GOV,UK, 2010). Indirect discrimination in the case of Mr Ahmed should be avoided through accessibility to communication as the common English based explanations will reduce him to an unequal status compared to the fluent individuals. Having his wife as the only interpreter may jeopardize the accuracy, confidentiality and informed consent. It is the simplified language and culturally appropriate communication in conjunction with professional interpretation that facilitates the autonomy and provides Mr Ahmed with an opportunity to participate in the decision-making. Without these changes, the care delivery will not only be unsafe but also discriminative and demonstrate that the equality laws impact clinical safety directly.</w:t>
      </w:r>
    </w:p>
    <w:p w:rsidR="00000000" w:rsidDel="00000000" w:rsidP="00000000" w:rsidRDefault="00000000" w:rsidRPr="00000000" w14:paraId="00000017">
      <w:pPr>
        <w:rPr/>
      </w:pPr>
      <w:r w:rsidDel="00000000" w:rsidR="00000000" w:rsidRPr="00000000">
        <w:rPr>
          <w:rtl w:val="0"/>
        </w:rPr>
        <w:t xml:space="preserve"> </w:t>
        <w:tab/>
        <w:t xml:space="preserve">SOLER model (Sit squarely, Open posture, Lean forward, Eye contact, Relax) is a structured approach towards assisting in comprehending the message in those situations when verbal communication is impaired (Stickley, 2011). Another form of non-verbal interaction that can be used to restore stroke-related aphasia is enhancement of a meaning through the utilization of visual stimulus and the application of body language. Eye contact on eye level will improve the focus and the open position will assist in generating the responses by reducing the anxiety and providing open eye contact. The leaning forward will be an indication of listening attentively; hence, the practitioner will be in a position to interpret confusion or discomfort. SOLER, at that, is a compensatory communication aid, which promotes the understanding rather than the mere intensification of the rapport (Howell, 2016).</w:t>
      </w:r>
    </w:p>
    <w:p w:rsidR="00000000" w:rsidDel="00000000" w:rsidP="00000000" w:rsidRDefault="00000000" w:rsidRPr="00000000" w14:paraId="00000018">
      <w:pPr>
        <w:rPr/>
      </w:pPr>
      <w:r w:rsidDel="00000000" w:rsidR="00000000" w:rsidRPr="00000000">
        <w:rPr>
          <w:rtl w:val="0"/>
        </w:rPr>
        <w:t xml:space="preserve"> </w:t>
        <w:tab/>
        <w:t xml:space="preserve">The supportive role of the family members is deemed to be invaluable although over-reliance can result in professional limits. Nevertheless, as much as his wife can help Mr Ahmed to find reassurances and contextual information, practitioners are directly required to converse with Mr Ahmed so that they can continue to assess his capacity and consent. He must at all time keep it a secret and must not in any automatic manner bring out sensitive information via relatives. Family involvement, therefore, works more amicably with support, than they would professional duty as regards to directness, clear and legal communication to the service user.</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pStyle w:val="Heading1"/>
        <w:numPr>
          <w:ilvl w:val="0"/>
          <w:numId w:val="1"/>
        </w:numPr>
        <w:ind w:left="0" w:firstLine="0"/>
        <w:rPr/>
      </w:pPr>
      <w:bookmarkStart w:colFirst="0" w:colLast="0" w:name="_4zbm46e0851r" w:id="5"/>
      <w:bookmarkEnd w:id="5"/>
      <w:r w:rsidDel="00000000" w:rsidR="00000000" w:rsidRPr="00000000">
        <w:rPr>
          <w:rtl w:val="0"/>
        </w:rPr>
        <w:t xml:space="preserve">Administrative Skills &amp; Record Keeping</w:t>
      </w:r>
    </w:p>
    <w:p w:rsidR="00000000" w:rsidDel="00000000" w:rsidP="00000000" w:rsidRDefault="00000000" w:rsidRPr="00000000" w14:paraId="0000001B">
      <w:pPr>
        <w:rPr/>
      </w:pPr>
      <w:r w:rsidDel="00000000" w:rsidR="00000000" w:rsidRPr="00000000">
        <w:rPr>
          <w:rtl w:val="0"/>
        </w:rPr>
        <w:t xml:space="preserve">Proper documentation is the main key to safe professional practice since it provides sustained care and sense of responsibility (Demsash et al., 2023). Health and social care services require written documents to transfer the condition of a human being, treatment and the required intervention among the multiple staffs and organisations. The instance of missed domiciliary visit and late medication dose in case of Mr Ahmed, should be well documented in order to discover what has actually occurred, who needs to take what and whether or not the relevant correct action has been taken. Lack of modern documentation does not enable the practitioners to demonstrate that adequate care was intended to be offered or was offered. Documentation, hence, is clinical evidence (without which, caring cannot be proved, evaluated and justified).</w:t>
      </w:r>
    </w:p>
    <w:p w:rsidR="00000000" w:rsidDel="00000000" w:rsidP="00000000" w:rsidRDefault="00000000" w:rsidRPr="00000000" w14:paraId="0000001C">
      <w:pPr>
        <w:rPr/>
      </w:pPr>
      <w:r w:rsidDel="00000000" w:rsidR="00000000" w:rsidRPr="00000000">
        <w:rPr>
          <w:rtl w:val="0"/>
        </w:rPr>
        <w:t xml:space="preserve"> </w:t>
        <w:tab/>
        <w:t xml:space="preserve">The Data Protection Act 2018 governs the management of personal information within the health and social care sector to give appropriate weight to the confidentiality aspects and the legal aspects of sharing such information (UK Government, 2025). Accuracy, secure handling and sharing whereby it is only provided need to know are some of the main principles. Clinical nursing of Mr Ahmed involves the communication of information between the speech and language therapist, the district nurse, and the GP in order to coordinate the pharmacological collection, treatment of wounds, and safe ingestion. Withholding of information due to overprotective nature regarding privacy, the professionals may end up lacking the requisite information and making insufficient decisions. Conversely, uncontrolled disclosure flaunts the confidentiality. Sharing of information thereby enabled in a good manner would result into coordinated care not at the expense of violating dignity and trust.</w:t>
      </w:r>
    </w:p>
    <w:p w:rsidR="00000000" w:rsidDel="00000000" w:rsidP="00000000" w:rsidRDefault="00000000" w:rsidRPr="00000000" w14:paraId="0000001D">
      <w:pPr>
        <w:rPr/>
      </w:pPr>
      <w:r w:rsidDel="00000000" w:rsidR="00000000" w:rsidRPr="00000000">
        <w:rPr>
          <w:rtl w:val="0"/>
        </w:rPr>
        <w:t xml:space="preserve"> </w:t>
        <w:tab/>
        <w:t xml:space="preserve">The non-occurrence of the regular drug use also makes the professional duty of care, that holds that practitioners would take reasonable care that results not in avoidably foreseeable harm (Ernstmeyer and Christman, 2022). In the situation when a stroke patient is reliant on administered medication but violates the prescribed visit, an imminent risk of deterioration should be anticipated. The record, rota, and visit logs-based accountability chain will be used to conduct the investigation of the event. It might be a manifestation of the breach of the duty of care, in case it is demonstrated that due to the lack of proper monitoring or instance further intensification of the situation, there were no documents on it. The record keeping, therefore, assist in safeguarding the patient, organisational accountability as well.</w:t>
      </w:r>
    </w:p>
    <w:p w:rsidR="00000000" w:rsidDel="00000000" w:rsidP="00000000" w:rsidRDefault="00000000" w:rsidRPr="00000000" w14:paraId="0000001E">
      <w:pPr>
        <w:rPr/>
      </w:pPr>
      <w:r w:rsidDel="00000000" w:rsidR="00000000" w:rsidRPr="00000000">
        <w:rPr>
          <w:rtl w:val="0"/>
        </w:rPr>
        <w:t xml:space="preserve"> </w:t>
        <w:tab/>
        <w:t xml:space="preserve">Repetitions are avoided in the governance processes through the usage of documentation. Medication Administration Records (MAR) charts confirm the dosage given, daily care records track the visits and escalation reporting reports indicating the missing interventions in time (Hammer et al., 2019). When appropriately maintained, such systems allow the supervisors to discover trends and thwart them at an earlier phase.</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pStyle w:val="Heading1"/>
        <w:numPr>
          <w:ilvl w:val="0"/>
          <w:numId w:val="1"/>
        </w:numPr>
        <w:ind w:left="0" w:firstLine="0"/>
        <w:rPr/>
      </w:pPr>
      <w:bookmarkStart w:colFirst="0" w:colLast="0" w:name="_3e6viksn7aa9" w:id="6"/>
      <w:bookmarkEnd w:id="6"/>
      <w:r w:rsidDel="00000000" w:rsidR="00000000" w:rsidRPr="00000000">
        <w:rPr>
          <w:rtl w:val="0"/>
        </w:rPr>
        <w:t xml:space="preserve">Collaborative Working</w:t>
      </w:r>
    </w:p>
    <w:p w:rsidR="00000000" w:rsidDel="00000000" w:rsidP="00000000" w:rsidRDefault="00000000" w:rsidRPr="00000000" w14:paraId="00000021">
      <w:pPr>
        <w:rPr/>
      </w:pPr>
      <w:r w:rsidDel="00000000" w:rsidR="00000000" w:rsidRPr="00000000">
        <w:rPr>
          <w:rtl w:val="0"/>
        </w:rPr>
        <w:t xml:space="preserve">One of the risks of coordination is the existence of multiple providers involved with the organisational boundary of stroke patients that offer health and social care services. The services offered to Mr Ahmed involve domiciliary carers, a GP, a district nurse and a speech and language therapist, which means that they become integrated services when it comes to transfer of information. Although it might not be a single human error, it might be a gap in the human system that might occur during the interprofessional transition. Dispersed services are likely to increase the chance of an ambiguity in responsibility, in other words, the fact is an incident that is caused by the lack of coordination, and nothing to do with personal laxity.</w:t>
      </w:r>
    </w:p>
    <w:p w:rsidR="00000000" w:rsidDel="00000000" w:rsidP="00000000" w:rsidRDefault="00000000" w:rsidRPr="00000000" w14:paraId="00000022">
      <w:pPr>
        <w:rPr/>
      </w:pPr>
      <w:r w:rsidDel="00000000" w:rsidR="00000000" w:rsidRPr="00000000">
        <w:rPr>
          <w:rtl w:val="0"/>
        </w:rPr>
        <w:t xml:space="preserve"> </w:t>
        <w:tab/>
        <w:t xml:space="preserve">The process involves the synthesis of knowledge pertaining to the area of stroke rehabilitation because the patient has a combination of physical, mental and communication disorders. Multi-disciplinary teams bring in the complementary knowledge so as to generate a functional understanding of the need and increase the outcomes of recovery process (Clarke and Forster, 2015). By sharing ideas in terms of medication compliance, safety in swallowing and living, ambivalence in the decision-making is reduced and further care becomes safe.</w:t>
      </w:r>
    </w:p>
    <w:p w:rsidR="00000000" w:rsidDel="00000000" w:rsidP="00000000" w:rsidRDefault="00000000" w:rsidRPr="00000000" w14:paraId="00000023">
      <w:pPr>
        <w:ind w:firstLine="720"/>
        <w:rPr/>
      </w:pPr>
      <w:r w:rsidDel="00000000" w:rsidR="00000000" w:rsidRPr="00000000">
        <w:rPr>
          <w:rtl w:val="0"/>
        </w:rPr>
        <w:t xml:space="preserve">Some of the preventative strategies include shared care records, A named care coordinator and structured hand over processes. Standardised handovers save communication errors and improve patient safety. This implies that prevention of occurrence can only be through redesigning of coordination systems rather than laying blame on the individual staff personnel (Ghosh, Ramamoorthy and Pottakat, 2021).</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pStyle w:val="Heading1"/>
        <w:numPr>
          <w:ilvl w:val="0"/>
          <w:numId w:val="1"/>
        </w:numPr>
        <w:ind w:left="0" w:firstLine="0"/>
        <w:rPr/>
      </w:pPr>
      <w:bookmarkStart w:colFirst="0" w:colLast="0" w:name="_a6mtoxwv68ia" w:id="7"/>
      <w:bookmarkEnd w:id="7"/>
      <w:r w:rsidDel="00000000" w:rsidR="00000000" w:rsidRPr="00000000">
        <w:rPr>
          <w:rtl w:val="0"/>
        </w:rPr>
        <w:t xml:space="preserve">Conclusion</w:t>
      </w:r>
    </w:p>
    <w:p w:rsidR="00000000" w:rsidDel="00000000" w:rsidP="00000000" w:rsidRDefault="00000000" w:rsidRPr="00000000" w14:paraId="00000026">
      <w:pPr>
        <w:rPr/>
      </w:pPr>
      <w:r w:rsidDel="00000000" w:rsidR="00000000" w:rsidRPr="00000000">
        <w:rPr>
          <w:rtl w:val="0"/>
        </w:rPr>
        <w:t xml:space="preserve">Single-hand operations are not enough to take proper care of the needs that are complex. Communication is a protective intervention like it is in the case of Mr Ahmed where the barriers include linguistic and cognitive barriers. Accountability is achieved by properly documented records, investigation is easily made possible and safe information transfer is achieved between professionals. The multidisciplinary collaborative practice lessens the number of cases of missed care through the utilization of knowledge to disregard possible risks and evade further occurrences of care negligence. All these taken together testify to the fact that patient safety is achieved through structured systems, legal responsibility together with a sense of professional awareness among themselves. Joint professional systems constitute the sphere of safe practice as compared to operating in insularity.</w:t>
      </w:r>
    </w:p>
    <w:p w:rsidR="00000000" w:rsidDel="00000000" w:rsidP="00000000" w:rsidRDefault="00000000" w:rsidRPr="00000000" w14:paraId="00000027">
      <w:pPr>
        <w:spacing w:line="240" w:lineRule="auto"/>
        <w:rPr/>
      </w:pPr>
      <w:r w:rsidDel="00000000" w:rsidR="00000000" w:rsidRPr="00000000">
        <w:rPr>
          <w:rtl w:val="0"/>
        </w:rPr>
      </w:r>
    </w:p>
    <w:p w:rsidR="00000000" w:rsidDel="00000000" w:rsidP="00000000" w:rsidRDefault="00000000" w:rsidRPr="00000000" w14:paraId="00000028">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numPr>
          <w:ilvl w:val="0"/>
          <w:numId w:val="1"/>
        </w:numPr>
        <w:ind w:left="0" w:firstLine="0"/>
        <w:rPr/>
      </w:pPr>
      <w:bookmarkStart w:colFirst="0" w:colLast="0" w:name="_eynla5366g32" w:id="8"/>
      <w:bookmarkEnd w:id="8"/>
      <w:r w:rsidDel="00000000" w:rsidR="00000000" w:rsidRPr="00000000">
        <w:rPr>
          <w:rtl w:val="0"/>
        </w:rPr>
        <w:t xml:space="preserve">References</w:t>
      </w:r>
    </w:p>
    <w:p w:rsidR="00000000" w:rsidDel="00000000" w:rsidP="00000000" w:rsidRDefault="00000000" w:rsidRPr="00000000" w14:paraId="0000002A">
      <w:pPr>
        <w:spacing w:after="240" w:line="240" w:lineRule="auto"/>
        <w:ind w:left="900" w:hanging="900"/>
        <w:rPr/>
      </w:pPr>
      <w:r w:rsidDel="00000000" w:rsidR="00000000" w:rsidRPr="00000000">
        <w:rPr>
          <w:rtl w:val="0"/>
        </w:rPr>
        <w:t xml:space="preserve">Clarke, D. and Forster, A. (2015). Improving post-stroke recovery: the Role of the Multidisciplinary Health Care Team. </w:t>
      </w:r>
      <w:r w:rsidDel="00000000" w:rsidR="00000000" w:rsidRPr="00000000">
        <w:rPr>
          <w:i w:val="1"/>
          <w:iCs w:val="1"/>
          <w:rtl w:val="0"/>
        </w:rPr>
        <w:t xml:space="preserve">Journal of Multidisciplinary Healthcare</w:t>
      </w:r>
      <w:r w:rsidDel="00000000" w:rsidR="00000000" w:rsidRPr="00000000">
        <w:rPr>
          <w:rtl w:val="0"/>
        </w:rPr>
        <w:t xml:space="preserve">, [online] 8(1), pp.433–442. doi: </w:t>
      </w:r>
      <w:hyperlink r:id="rId6">
        <w:r w:rsidDel="00000000" w:rsidR="00000000" w:rsidRPr="00000000">
          <w:rPr>
            <w:color w:val="000080"/>
            <w:u w:val="single"/>
            <w:rtl w:val="0"/>
          </w:rPr>
          <w:t xml:space="preserve">https://doi.org/10.2147/jmdh.s68764</w:t>
        </w:r>
      </w:hyperlink>
      <w:r w:rsidDel="00000000" w:rsidR="00000000" w:rsidRPr="00000000">
        <w:rPr>
          <w:rtl w:val="0"/>
        </w:rPr>
        <w:t xml:space="preserve">. </w:t>
      </w:r>
    </w:p>
    <w:p w:rsidR="00000000" w:rsidDel="00000000" w:rsidP="00000000" w:rsidRDefault="00000000" w:rsidRPr="00000000" w14:paraId="0000002B">
      <w:pPr>
        <w:spacing w:after="240" w:line="240" w:lineRule="auto"/>
        <w:ind w:left="900" w:hanging="900"/>
        <w:rPr/>
      </w:pPr>
      <w:r w:rsidDel="00000000" w:rsidR="00000000" w:rsidRPr="00000000">
        <w:rPr>
          <w:rtl w:val="0"/>
        </w:rPr>
        <w:t xml:space="preserve">Demsash, A.W., Kassie, S.Y., Dubale, A.T., Chereka, A.A., Ngusie, H.S., Hunde, M.K., Emanu, M.D., Shibabaw, A.A. and Walle, A.D. (2023). Health professionals’ routine practice documentation and its associated factors in a resource-limited setting: a cross-sectional study. </w:t>
      </w:r>
      <w:r w:rsidDel="00000000" w:rsidR="00000000" w:rsidRPr="00000000">
        <w:rPr>
          <w:i w:val="1"/>
          <w:iCs w:val="1"/>
          <w:rtl w:val="0"/>
        </w:rPr>
        <w:t xml:space="preserve">BMJ Health &amp; Care Informatics</w:t>
      </w:r>
      <w:r w:rsidDel="00000000" w:rsidR="00000000" w:rsidRPr="00000000">
        <w:rPr>
          <w:rtl w:val="0"/>
        </w:rPr>
        <w:t xml:space="preserve">, [online] 30(1), pp.1–7. doi: </w:t>
      </w:r>
      <w:hyperlink r:id="rId7">
        <w:r w:rsidDel="00000000" w:rsidR="00000000" w:rsidRPr="00000000">
          <w:rPr>
            <w:color w:val="000080"/>
            <w:u w:val="single"/>
            <w:rtl w:val="0"/>
          </w:rPr>
          <w:t xml:space="preserve">https://doi.org/10.1136/bmjhci-2022-100699</w:t>
        </w:r>
      </w:hyperlink>
      <w:r w:rsidDel="00000000" w:rsidR="00000000" w:rsidRPr="00000000">
        <w:rPr>
          <w:rtl w:val="0"/>
        </w:rPr>
        <w:t xml:space="preserve">. </w:t>
      </w:r>
    </w:p>
    <w:p w:rsidR="00000000" w:rsidDel="00000000" w:rsidP="00000000" w:rsidRDefault="00000000" w:rsidRPr="00000000" w14:paraId="0000002C">
      <w:pPr>
        <w:spacing w:after="240" w:line="240" w:lineRule="auto"/>
        <w:ind w:left="900" w:hanging="900"/>
        <w:rPr/>
      </w:pPr>
      <w:r w:rsidDel="00000000" w:rsidR="00000000" w:rsidRPr="00000000">
        <w:rPr>
          <w:rtl w:val="0"/>
        </w:rPr>
        <w:t xml:space="preserve">Ernstmeyer, K. and Christman, E. (2022). </w:t>
      </w:r>
      <w:r w:rsidDel="00000000" w:rsidR="00000000" w:rsidRPr="00000000">
        <w:rPr>
          <w:i w:val="1"/>
          <w:iCs w:val="1"/>
          <w:rtl w:val="0"/>
        </w:rPr>
        <w:t xml:space="preserve">Legal and ethical considerations in mental health care</w:t>
      </w:r>
      <w:r w:rsidDel="00000000" w:rsidR="00000000" w:rsidRPr="00000000">
        <w:rPr>
          <w:rtl w:val="0"/>
        </w:rPr>
        <w:t xml:space="preserve">. [online] </w:t>
      </w:r>
      <w:hyperlink r:id="rId8">
        <w:r w:rsidDel="00000000" w:rsidR="00000000" w:rsidRPr="00000000">
          <w:rPr>
            <w:i w:val="1"/>
            <w:iCs w:val="1"/>
            <w:color w:val="000080"/>
            <w:u w:val="single"/>
            <w:rtl w:val="0"/>
          </w:rPr>
          <w:t xml:space="preserve">www.ncbi.nlm.nih.gov</w:t>
        </w:r>
      </w:hyperlink>
      <w:r w:rsidDel="00000000" w:rsidR="00000000" w:rsidRPr="00000000">
        <w:rPr>
          <w:rtl w:val="0"/>
        </w:rPr>
        <w:t xml:space="preserve">. Chippewa Valley Technical College. Available at: </w:t>
      </w:r>
      <w:hyperlink r:id="rId9">
        <w:r w:rsidDel="00000000" w:rsidR="00000000" w:rsidRPr="00000000">
          <w:rPr>
            <w:color w:val="000080"/>
            <w:u w:val="single"/>
            <w:rtl w:val="0"/>
          </w:rPr>
          <w:t xml:space="preserve">https://www.ncbi.nlm.nih.gov/books/NBK590032/</w:t>
        </w:r>
      </w:hyperlink>
      <w:r w:rsidDel="00000000" w:rsidR="00000000" w:rsidRPr="00000000">
        <w:rPr>
          <w:rtl w:val="0"/>
        </w:rPr>
        <w:t xml:space="preserve">.</w:t>
      </w:r>
    </w:p>
    <w:p w:rsidR="00000000" w:rsidDel="00000000" w:rsidP="00000000" w:rsidRDefault="00000000" w:rsidRPr="00000000" w14:paraId="0000002D">
      <w:pPr>
        <w:spacing w:after="240" w:line="240" w:lineRule="auto"/>
        <w:ind w:left="900" w:hanging="900"/>
        <w:rPr/>
      </w:pPr>
      <w:r w:rsidDel="00000000" w:rsidR="00000000" w:rsidRPr="00000000">
        <w:rPr>
          <w:rtl w:val="0"/>
        </w:rPr>
        <w:t xml:space="preserve">Gavaldà-Espelta, E., Maria, Baucells-Lluis, J., Ferré-Ferraté, M., Tomàs-Navarro, B., Curto-Romeu, C., Lucas-Noll, J., Ariza, M.P., Castro-Blanco, E., Sáez, J.F., Martín, C.A., Gonçalves, A.Q. and Ferré-Grau, C. (2023). Innovative Health and Social Integrated Care Model Effectiveness to Improve Quality Care for Chronic Patients: A Single Group Assignment Clinical Trial. </w:t>
      </w:r>
      <w:r w:rsidDel="00000000" w:rsidR="00000000" w:rsidRPr="00000000">
        <w:rPr>
          <w:i w:val="1"/>
          <w:iCs w:val="1"/>
          <w:rtl w:val="0"/>
        </w:rPr>
        <w:t xml:space="preserve">International Journal of Integrated Care</w:t>
      </w:r>
      <w:r w:rsidDel="00000000" w:rsidR="00000000" w:rsidRPr="00000000">
        <w:rPr>
          <w:rtl w:val="0"/>
        </w:rPr>
        <w:t xml:space="preserve">, 23(4). doi: </w:t>
      </w:r>
      <w:hyperlink r:id="rId10">
        <w:r w:rsidDel="00000000" w:rsidR="00000000" w:rsidRPr="00000000">
          <w:rPr>
            <w:color w:val="000080"/>
            <w:u w:val="single"/>
            <w:rtl w:val="0"/>
          </w:rPr>
          <w:t xml:space="preserve">https://doi.org/10.5334/ijic.6759</w:t>
        </w:r>
      </w:hyperlink>
      <w:r w:rsidDel="00000000" w:rsidR="00000000" w:rsidRPr="00000000">
        <w:rPr>
          <w:rtl w:val="0"/>
        </w:rPr>
        <w:t xml:space="preserve">. </w:t>
      </w:r>
    </w:p>
    <w:p w:rsidR="00000000" w:rsidDel="00000000" w:rsidP="00000000" w:rsidRDefault="00000000" w:rsidRPr="00000000" w14:paraId="0000002E">
      <w:pPr>
        <w:spacing w:after="240" w:line="240" w:lineRule="auto"/>
        <w:ind w:left="900" w:hanging="900"/>
        <w:rPr/>
      </w:pPr>
      <w:r w:rsidDel="00000000" w:rsidR="00000000" w:rsidRPr="00000000">
        <w:rPr>
          <w:rtl w:val="0"/>
        </w:rPr>
        <w:t xml:space="preserve">Ghosh, S., Ramamoorthy, L. and Pottakat, B. (2021). Impact of structured clinical handover protocol on communication and patient satisfaction. </w:t>
      </w:r>
      <w:r w:rsidDel="00000000" w:rsidR="00000000" w:rsidRPr="00000000">
        <w:rPr>
          <w:i w:val="1"/>
          <w:iCs w:val="1"/>
          <w:rtl w:val="0"/>
        </w:rPr>
        <w:t xml:space="preserve">Journal of Patient Experience</w:t>
      </w:r>
      <w:r w:rsidDel="00000000" w:rsidR="00000000" w:rsidRPr="00000000">
        <w:rPr>
          <w:rtl w:val="0"/>
        </w:rPr>
        <w:t xml:space="preserve">, 8(1), pp.1–6. doi: </w:t>
      </w:r>
      <w:hyperlink r:id="rId11">
        <w:r w:rsidDel="00000000" w:rsidR="00000000" w:rsidRPr="00000000">
          <w:rPr>
            <w:color w:val="000080"/>
            <w:u w:val="single"/>
            <w:rtl w:val="0"/>
          </w:rPr>
          <w:t xml:space="preserve">https://doi.org/10.1177/2374373521997733</w:t>
        </w:r>
      </w:hyperlink>
      <w:r w:rsidDel="00000000" w:rsidR="00000000" w:rsidRPr="00000000">
        <w:rPr>
          <w:rtl w:val="0"/>
        </w:rPr>
        <w:t xml:space="preserve">.</w:t>
      </w:r>
    </w:p>
    <w:p w:rsidR="00000000" w:rsidDel="00000000" w:rsidP="00000000" w:rsidRDefault="00000000" w:rsidRPr="00000000" w14:paraId="0000002F">
      <w:pPr>
        <w:spacing w:after="240" w:line="240" w:lineRule="auto"/>
        <w:ind w:left="900" w:hanging="900"/>
        <w:rPr/>
      </w:pPr>
      <w:r w:rsidDel="00000000" w:rsidR="00000000" w:rsidRPr="00000000">
        <w:rPr>
          <w:rtl w:val="0"/>
        </w:rPr>
        <w:t xml:space="preserve">GOV,UK (2010). </w:t>
      </w:r>
      <w:r w:rsidDel="00000000" w:rsidR="00000000" w:rsidRPr="00000000">
        <w:rPr>
          <w:i w:val="1"/>
          <w:iCs w:val="1"/>
          <w:rtl w:val="0"/>
        </w:rPr>
        <w:t xml:space="preserve">Equality Act 2010</w:t>
      </w:r>
      <w:r w:rsidDel="00000000" w:rsidR="00000000" w:rsidRPr="00000000">
        <w:rPr>
          <w:rtl w:val="0"/>
        </w:rPr>
        <w:t xml:space="preserve">. [online] Legislation.gov.uk. Available at: </w:t>
      </w:r>
      <w:hyperlink r:id="rId12">
        <w:r w:rsidDel="00000000" w:rsidR="00000000" w:rsidRPr="00000000">
          <w:rPr>
            <w:color w:val="000080"/>
            <w:u w:val="single"/>
            <w:rtl w:val="0"/>
          </w:rPr>
          <w:t xml:space="preserve">https://www.legislation.gov.uk/ukpga/2010/15/contents</w:t>
        </w:r>
      </w:hyperlink>
      <w:r w:rsidDel="00000000" w:rsidR="00000000" w:rsidRPr="00000000">
        <w:rPr>
          <w:rtl w:val="0"/>
        </w:rPr>
        <w:t xml:space="preserve">.</w:t>
      </w:r>
    </w:p>
    <w:p w:rsidR="00000000" w:rsidDel="00000000" w:rsidP="00000000" w:rsidRDefault="00000000" w:rsidRPr="00000000" w14:paraId="00000030">
      <w:pPr>
        <w:spacing w:after="240" w:line="240" w:lineRule="auto"/>
        <w:ind w:left="900" w:hanging="900"/>
        <w:rPr/>
      </w:pPr>
      <w:r w:rsidDel="00000000" w:rsidR="00000000" w:rsidRPr="00000000">
        <w:rPr>
          <w:rtl w:val="0"/>
        </w:rPr>
        <w:t xml:space="preserve">Hammer, A., Wagner, A., Rieger, M.A. and Manser, T. (2019). Assessing the quality of medication documentation: development and feasibility of the MediDocQ instrument for retrospective chart review in the hospital setting. </w:t>
      </w:r>
      <w:r w:rsidDel="00000000" w:rsidR="00000000" w:rsidRPr="00000000">
        <w:rPr>
          <w:i w:val="1"/>
          <w:iCs w:val="1"/>
          <w:rtl w:val="0"/>
        </w:rPr>
        <w:t xml:space="preserve">BMJ Open</w:t>
      </w:r>
      <w:r w:rsidDel="00000000" w:rsidR="00000000" w:rsidRPr="00000000">
        <w:rPr>
          <w:rtl w:val="0"/>
        </w:rPr>
        <w:t xml:space="preserve">, [online] 9(11), p.e034609. doi: </w:t>
      </w:r>
      <w:hyperlink r:id="rId13">
        <w:r w:rsidDel="00000000" w:rsidR="00000000" w:rsidRPr="00000000">
          <w:rPr>
            <w:color w:val="000080"/>
            <w:u w:val="single"/>
            <w:rtl w:val="0"/>
          </w:rPr>
          <w:t xml:space="preserve">https://doi.org/10.1136/bmjopen-2019-034609</w:t>
        </w:r>
      </w:hyperlink>
      <w:r w:rsidDel="00000000" w:rsidR="00000000" w:rsidRPr="00000000">
        <w:rPr>
          <w:rtl w:val="0"/>
        </w:rPr>
        <w:t xml:space="preserve">. </w:t>
      </w:r>
    </w:p>
    <w:p w:rsidR="00000000" w:rsidDel="00000000" w:rsidP="00000000" w:rsidRDefault="00000000" w:rsidRPr="00000000" w14:paraId="00000031">
      <w:pPr>
        <w:spacing w:after="240" w:line="240" w:lineRule="auto"/>
        <w:ind w:left="900" w:hanging="900"/>
        <w:rPr/>
      </w:pPr>
      <w:r w:rsidDel="00000000" w:rsidR="00000000" w:rsidRPr="00000000">
        <w:rPr>
          <w:rtl w:val="0"/>
        </w:rPr>
        <w:t xml:space="preserve">Howell, C. (2016). </w:t>
      </w:r>
      <w:r w:rsidDel="00000000" w:rsidR="00000000" w:rsidRPr="00000000">
        <w:rPr>
          <w:i w:val="1"/>
          <w:iCs w:val="1"/>
          <w:rtl w:val="0"/>
        </w:rPr>
        <w:t xml:space="preserve">Listening, Learning, Caring and Counselling</w:t>
      </w:r>
      <w:r w:rsidDel="00000000" w:rsidR="00000000" w:rsidRPr="00000000">
        <w:rPr>
          <w:rtl w:val="0"/>
        </w:rPr>
        <w:t xml:space="preserve">. [online] Google Books. Available at: </w:t>
      </w:r>
      <w:hyperlink r:id="rId14">
        <w:r w:rsidDel="00000000" w:rsidR="00000000" w:rsidRPr="00000000">
          <w:rPr>
            <w:color w:val="000080"/>
            <w:u w:val="single"/>
            <w:rtl w:val="0"/>
          </w:rPr>
          <w:t xml:space="preserve">https://books.google.com/books</w:t>
        </w:r>
      </w:hyperlink>
      <w:r w:rsidDel="00000000" w:rsidR="00000000" w:rsidRPr="00000000">
        <w:rPr>
          <w:rtl w:val="0"/>
        </w:rPr>
        <w:t xml:space="preserve">.</w:t>
      </w:r>
    </w:p>
    <w:p w:rsidR="00000000" w:rsidDel="00000000" w:rsidP="00000000" w:rsidRDefault="00000000" w:rsidRPr="00000000" w14:paraId="00000032">
      <w:pPr>
        <w:spacing w:after="240" w:line="240" w:lineRule="auto"/>
        <w:ind w:left="900" w:hanging="900"/>
        <w:rPr/>
      </w:pPr>
      <w:r w:rsidDel="00000000" w:rsidR="00000000" w:rsidRPr="00000000">
        <w:rPr>
          <w:rtl w:val="0"/>
        </w:rPr>
        <w:t xml:space="preserve">Kulińska, J., Rypicz, Ł. and Zatońska, K. (2022). The Impact of Effective Communication on Perceptions of Patient Safety—A Prospective Study in Selected Polish Hospitals. </w:t>
      </w:r>
      <w:r w:rsidDel="00000000" w:rsidR="00000000" w:rsidRPr="00000000">
        <w:rPr>
          <w:i w:val="1"/>
          <w:iCs w:val="1"/>
          <w:rtl w:val="0"/>
        </w:rPr>
        <w:t xml:space="preserve">International Journal of Environmental Research and Public Health</w:t>
      </w:r>
      <w:r w:rsidDel="00000000" w:rsidR="00000000" w:rsidRPr="00000000">
        <w:rPr>
          <w:rtl w:val="0"/>
        </w:rPr>
        <w:t xml:space="preserve">, [online] 19(15), p.9174. doi: </w:t>
      </w:r>
      <w:hyperlink r:id="rId15">
        <w:r w:rsidDel="00000000" w:rsidR="00000000" w:rsidRPr="00000000">
          <w:rPr>
            <w:color w:val="000080"/>
            <w:u w:val="single"/>
            <w:rtl w:val="0"/>
          </w:rPr>
          <w:t xml:space="preserve">https://doi.org/10.3390/ijerph19159174</w:t>
        </w:r>
      </w:hyperlink>
      <w:r w:rsidDel="00000000" w:rsidR="00000000" w:rsidRPr="00000000">
        <w:rPr>
          <w:rtl w:val="0"/>
        </w:rPr>
        <w:t xml:space="preserve">. </w:t>
      </w:r>
    </w:p>
    <w:p w:rsidR="00000000" w:rsidDel="00000000" w:rsidP="00000000" w:rsidRDefault="00000000" w:rsidRPr="00000000" w14:paraId="00000033">
      <w:pPr>
        <w:spacing w:after="240" w:line="240" w:lineRule="auto"/>
        <w:ind w:left="900" w:hanging="900"/>
        <w:rPr/>
      </w:pPr>
      <w:r w:rsidDel="00000000" w:rsidR="00000000" w:rsidRPr="00000000">
        <w:rPr>
          <w:rtl w:val="0"/>
        </w:rPr>
        <w:t xml:space="preserve">Rock, L.K. (2021). Communication as a High-Stakes Clinical Skill. </w:t>
      </w:r>
      <w:r w:rsidDel="00000000" w:rsidR="00000000" w:rsidRPr="00000000">
        <w:rPr>
          <w:i w:val="1"/>
          <w:iCs w:val="1"/>
          <w:rtl w:val="0"/>
        </w:rPr>
        <w:t xml:space="preserve">Academic Medicine</w:t>
      </w:r>
      <w:r w:rsidDel="00000000" w:rsidR="00000000" w:rsidRPr="00000000">
        <w:rPr>
          <w:rtl w:val="0"/>
        </w:rPr>
        <w:t xml:space="preserve">, Publish Ahead of Print(11). doi: </w:t>
      </w:r>
      <w:hyperlink r:id="rId16">
        <w:r w:rsidDel="00000000" w:rsidR="00000000" w:rsidRPr="00000000">
          <w:rPr>
            <w:color w:val="000080"/>
            <w:u w:val="single"/>
            <w:rtl w:val="0"/>
          </w:rPr>
          <w:t xml:space="preserve">https://doi.org/10.1097/acm.0000000000004077</w:t>
        </w:r>
      </w:hyperlink>
      <w:r w:rsidDel="00000000" w:rsidR="00000000" w:rsidRPr="00000000">
        <w:rPr>
          <w:rtl w:val="0"/>
        </w:rPr>
        <w:t xml:space="preserve">. </w:t>
      </w:r>
    </w:p>
    <w:p w:rsidR="00000000" w:rsidDel="00000000" w:rsidP="00000000" w:rsidRDefault="00000000" w:rsidRPr="00000000" w14:paraId="00000034">
      <w:pPr>
        <w:spacing w:after="240" w:line="240" w:lineRule="auto"/>
        <w:ind w:left="900" w:hanging="900"/>
        <w:rPr/>
      </w:pPr>
      <w:r w:rsidDel="00000000" w:rsidR="00000000" w:rsidRPr="00000000">
        <w:rPr>
          <w:rtl w:val="0"/>
        </w:rPr>
        <w:t xml:space="preserve">Stickley, T. (2011). </w:t>
      </w:r>
      <w:r w:rsidDel="00000000" w:rsidR="00000000" w:rsidRPr="00000000">
        <w:rPr>
          <w:i w:val="1"/>
          <w:iCs w:val="1"/>
          <w:rtl w:val="0"/>
        </w:rPr>
        <w:t xml:space="preserve">From SOLER to SURETY for Effective Non-Verbal Communication</w:t>
      </w:r>
      <w:r w:rsidDel="00000000" w:rsidR="00000000" w:rsidRPr="00000000">
        <w:rPr>
          <w:rtl w:val="0"/>
        </w:rPr>
        <w:t xml:space="preserve">. [online] Nurse education in practice. Available at: </w:t>
      </w:r>
      <w:hyperlink r:id="rId17">
        <w:r w:rsidDel="00000000" w:rsidR="00000000" w:rsidRPr="00000000">
          <w:rPr>
            <w:color w:val="000080"/>
            <w:u w:val="single"/>
            <w:rtl w:val="0"/>
          </w:rPr>
          <w:t xml:space="preserve">https://pubmed.ncbi.nlm.nih.gov/21489877/</w:t>
        </w:r>
      </w:hyperlink>
      <w:r w:rsidDel="00000000" w:rsidR="00000000" w:rsidRPr="00000000">
        <w:rPr>
          <w:rtl w:val="0"/>
        </w:rPr>
        <w:t xml:space="preserve">.</w:t>
      </w:r>
    </w:p>
    <w:p w:rsidR="00000000" w:rsidDel="00000000" w:rsidP="00000000" w:rsidRDefault="00000000" w:rsidRPr="00000000" w14:paraId="00000035">
      <w:pPr>
        <w:spacing w:after="240" w:line="240" w:lineRule="auto"/>
        <w:ind w:left="900" w:hanging="900"/>
        <w:rPr/>
      </w:pPr>
      <w:r w:rsidDel="00000000" w:rsidR="00000000" w:rsidRPr="00000000">
        <w:rPr>
          <w:rtl w:val="0"/>
        </w:rPr>
        <w:t xml:space="preserve">UK Government (2025). </w:t>
      </w:r>
      <w:r w:rsidDel="00000000" w:rsidR="00000000" w:rsidRPr="00000000">
        <w:rPr>
          <w:i w:val="1"/>
          <w:iCs w:val="1"/>
          <w:rtl w:val="0"/>
        </w:rPr>
        <w:t xml:space="preserve">Data Protection Act</w:t>
      </w:r>
      <w:r w:rsidDel="00000000" w:rsidR="00000000" w:rsidRPr="00000000">
        <w:rPr>
          <w:rtl w:val="0"/>
        </w:rPr>
        <w:t xml:space="preserve">. [online] Gov.uk. Available at: </w:t>
      </w:r>
      <w:hyperlink r:id="rId18">
        <w:r w:rsidDel="00000000" w:rsidR="00000000" w:rsidRPr="00000000">
          <w:rPr>
            <w:color w:val="000080"/>
            <w:u w:val="single"/>
            <w:rtl w:val="0"/>
          </w:rPr>
          <w:t xml:space="preserve">https://www.gov.uk/data-protection</w:t>
        </w:r>
      </w:hyperlink>
      <w:r w:rsidDel="00000000" w:rsidR="00000000" w:rsidRPr="00000000">
        <w:rPr>
          <w:rtl w:val="0"/>
        </w:rPr>
        <w:t xml:space="preserve">.</w:t>
      </w:r>
    </w:p>
    <w:p w:rsidR="00000000" w:rsidDel="00000000" w:rsidP="00000000" w:rsidRDefault="00000000" w:rsidRPr="00000000" w14:paraId="00000036">
      <w:pPr>
        <w:rPr/>
      </w:pPr>
      <w:r w:rsidDel="00000000" w:rsidR="00000000" w:rsidRPr="00000000">
        <w:rPr>
          <w:rtl w:val="0"/>
        </w:rPr>
      </w:r>
    </w:p>
    <w:sectPr>
      <w:footerReference r:id="rId1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
      <w:lvlJc w:val="left"/>
      <w:pPr>
        <w:ind w:left="432" w:hanging="432"/>
      </w:pPr>
      <w:rPr/>
    </w:lvl>
    <w:lvl w:ilvl="1">
      <w:start w:val="1"/>
      <w:numFmt w:val="decimal"/>
      <w:lvlText w:val=""/>
      <w:lvlJc w:val="left"/>
      <w:pPr>
        <w:ind w:left="576" w:hanging="576"/>
      </w:pPr>
      <w:rPr/>
    </w:lvl>
    <w:lvl w:ilvl="2">
      <w:start w:val="1"/>
      <w:numFmt w:val="decimal"/>
      <w:lvlText w:val=""/>
      <w:lvlJc w:val="left"/>
      <w:pPr>
        <w:ind w:left="720" w:hanging="720"/>
      </w:pPr>
      <w:rPr/>
    </w:lvl>
    <w:lvl w:ilvl="3">
      <w:start w:val="1"/>
      <w:numFmt w:val="decimal"/>
      <w:lvlText w:val=""/>
      <w:lvlJc w:val="left"/>
      <w:pPr>
        <w:ind w:left="864" w:hanging="864"/>
      </w:pPr>
      <w:rPr/>
    </w:lvl>
    <w:lvl w:ilvl="4">
      <w:start w:val="1"/>
      <w:numFmt w:val="decimal"/>
      <w:lvlText w:val=""/>
      <w:lvlJc w:val="left"/>
      <w:pPr>
        <w:ind w:left="1008" w:hanging="1008"/>
      </w:pPr>
      <w:rPr/>
    </w:lvl>
    <w:lvl w:ilvl="5">
      <w:start w:val="1"/>
      <w:numFmt w:val="decimal"/>
      <w:lvlText w:val=""/>
      <w:lvlJc w:val="left"/>
      <w:pPr>
        <w:ind w:left="1152" w:hanging="1152"/>
      </w:pPr>
      <w:rPr/>
    </w:lvl>
    <w:lvl w:ilvl="6">
      <w:start w:val="1"/>
      <w:numFmt w:val="decimal"/>
      <w:lvlText w:val=""/>
      <w:lvlJc w:val="left"/>
      <w:pPr>
        <w:ind w:left="1296" w:hanging="1296"/>
      </w:pPr>
      <w:rPr/>
    </w:lvl>
    <w:lvl w:ilvl="7">
      <w:start w:val="1"/>
      <w:numFmt w:val="decimal"/>
      <w:lvlText w:val=""/>
      <w:lvlJc w:val="left"/>
      <w:pPr>
        <w:ind w:left="1440" w:hanging="1440"/>
      </w:pPr>
      <w:rPr/>
    </w:lvl>
    <w:lvl w:ilvl="8">
      <w:start w:val="1"/>
      <w:numFmt w:val="decimal"/>
      <w:lvlText w:val=""/>
      <w:lvlJc w:val="left"/>
      <w:pPr>
        <w:ind w:left="1584" w:hanging="1584"/>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113" w:lineRule="auto"/>
      <w:ind w:left="432" w:hanging="432"/>
    </w:pPr>
    <w:rPr>
      <w:b w:val="1"/>
      <w:bCs w:val="1"/>
      <w:sz w:val="28"/>
      <w:szCs w:val="28"/>
    </w:rPr>
  </w:style>
  <w:style w:type="paragraph" w:styleId="Heading2">
    <w:name w:val="heading 2"/>
    <w:basedOn w:val="Normal"/>
    <w:next w:val="Normal"/>
    <w:pPr>
      <w:keepNext w:val="1"/>
      <w:keepLines w:val="1"/>
      <w:spacing w:before="113" w:lineRule="auto"/>
      <w:ind w:left="576" w:hanging="576"/>
    </w:pPr>
    <w:rPr>
      <w:u w:val="single"/>
    </w:rPr>
  </w:style>
  <w:style w:type="paragraph" w:styleId="Heading3">
    <w:name w:val="heading 3"/>
    <w:basedOn w:val="Normal"/>
    <w:next w:val="Normal"/>
    <w:pPr>
      <w:keepNext w:val="1"/>
      <w:spacing w:after="120" w:before="240" w:lineRule="auto"/>
      <w:ind w:left="720" w:hanging="720"/>
    </w:pPr>
    <w:rPr>
      <w:rFonts w:ascii="Arial" w:cs="Arial" w:eastAsia="Arial" w:hAnsi="Arial"/>
      <w:b w:val="1"/>
      <w:bCs w:val="1"/>
      <w:sz w:val="28"/>
      <w:szCs w:val="28"/>
    </w:rPr>
  </w:style>
  <w:style w:type="paragraph" w:styleId="Heading4">
    <w:name w:val="heading 4"/>
    <w:basedOn w:val="Normal"/>
    <w:next w:val="Normal"/>
    <w:pPr>
      <w:keepNext w:val="1"/>
      <w:spacing w:after="120" w:before="240" w:lineRule="auto"/>
      <w:ind w:left="864" w:hanging="864"/>
    </w:pPr>
    <w:rPr>
      <w:rFonts w:ascii="Arial" w:cs="Arial" w:eastAsia="Arial" w:hAnsi="Arial"/>
      <w:b w:val="1"/>
      <w:bCs w:val="1"/>
      <w:i w:val="1"/>
      <w:iCs w:val="1"/>
      <w:sz w:val="24"/>
      <w:szCs w:val="24"/>
    </w:rPr>
  </w:style>
  <w:style w:type="paragraph" w:styleId="Heading5">
    <w:name w:val="heading 5"/>
    <w:basedOn w:val="Normal"/>
    <w:next w:val="Normal"/>
    <w:pPr>
      <w:keepNext w:val="1"/>
      <w:spacing w:after="120" w:before="240" w:lineRule="auto"/>
      <w:ind w:left="1008" w:hanging="1008"/>
    </w:pPr>
    <w:rPr>
      <w:rFonts w:ascii="Arial" w:cs="Arial" w:eastAsia="Arial" w:hAnsi="Arial"/>
      <w:b w:val="1"/>
      <w:bCs w:val="1"/>
      <w:sz w:val="24"/>
      <w:szCs w:val="24"/>
    </w:rPr>
  </w:style>
  <w:style w:type="paragraph" w:styleId="Heading6">
    <w:name w:val="heading 6"/>
    <w:basedOn w:val="Normal"/>
    <w:next w:val="Normal"/>
    <w:pPr>
      <w:keepNext w:val="1"/>
      <w:spacing w:after="120" w:before="240" w:lineRule="auto"/>
      <w:ind w:left="1152" w:hanging="1152"/>
    </w:pPr>
    <w:rPr>
      <w:rFonts w:ascii="Arial" w:cs="Arial" w:eastAsia="Arial" w:hAnsi="Arial"/>
      <w:b w:val="1"/>
      <w:bCs w:val="1"/>
      <w:sz w:val="21"/>
      <w:szCs w:val="21"/>
    </w:rPr>
  </w:style>
  <w:style w:type="paragraph" w:styleId="Title">
    <w:name w:val="Title"/>
    <w:basedOn w:val="Normal"/>
    <w:next w:val="Normal"/>
    <w:pPr>
      <w:spacing w:after="60" w:before="240" w:lineRule="auto"/>
      <w:jc w:val="center"/>
    </w:pPr>
    <w:rPr>
      <w:rFonts w:ascii="Cambria" w:cs="Cambria" w:eastAsia="Cambria" w:hAnsi="Cambria"/>
      <w:b w:val="1"/>
      <w:bCs w:val="1"/>
      <w:sz w:val="32"/>
      <w:szCs w:val="32"/>
    </w:rPr>
  </w:style>
  <w:style w:type="paragraph" w:styleId="Subtitle">
    <w:name w:val="Subtitle"/>
    <w:basedOn w:val="Normal"/>
    <w:next w:val="Normal"/>
    <w:pPr>
      <w:keepNext w:val="1"/>
      <w:spacing w:after="120" w:before="240" w:lineRule="auto"/>
      <w:jc w:val="center"/>
    </w:pPr>
    <w:rPr>
      <w:rFonts w:ascii="Arial" w:cs="Arial" w:eastAsia="Arial" w:hAnsi="Arial"/>
      <w:i w:val="1"/>
      <w:iCs w:val="1"/>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177/2374373521997733" TargetMode="External"/><Relationship Id="rId10" Type="http://schemas.openxmlformats.org/officeDocument/2006/relationships/hyperlink" Target="https://doi.org/10.5334/ijic.6759" TargetMode="External"/><Relationship Id="rId13" Type="http://schemas.openxmlformats.org/officeDocument/2006/relationships/hyperlink" Target="https://doi.org/10.1136/bmjopen-2019-034609" TargetMode="External"/><Relationship Id="rId12" Type="http://schemas.openxmlformats.org/officeDocument/2006/relationships/hyperlink" Target="https://www.legislation.gov.uk/ukpga/2010/15/content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cbi.nlm.nih.gov/books/NBK590032/" TargetMode="External"/><Relationship Id="rId15" Type="http://schemas.openxmlformats.org/officeDocument/2006/relationships/hyperlink" Target="https://doi.org/10.3390/ijerph19159174" TargetMode="External"/><Relationship Id="rId14" Type="http://schemas.openxmlformats.org/officeDocument/2006/relationships/hyperlink" Target="https://books.google.com/books" TargetMode="External"/><Relationship Id="rId17" Type="http://schemas.openxmlformats.org/officeDocument/2006/relationships/hyperlink" Target="https://pubmed.ncbi.nlm.nih.gov/21489877/" TargetMode="External"/><Relationship Id="rId16" Type="http://schemas.openxmlformats.org/officeDocument/2006/relationships/hyperlink" Target="https://doi.org/10.1097/acm.0000000000004077" TargetMode="External"/><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hyperlink" Target="https://doi.org/10.2147/jmdh.s68764" TargetMode="External"/><Relationship Id="rId18" Type="http://schemas.openxmlformats.org/officeDocument/2006/relationships/hyperlink" Target="https://www.gov.uk/data-protection" TargetMode="External"/><Relationship Id="rId7" Type="http://schemas.openxmlformats.org/officeDocument/2006/relationships/hyperlink" Target="https://doi.org/10.1136/bmjhci-2022-100699" TargetMode="External"/><Relationship Id="rId8" Type="http://schemas.openxmlformats.org/officeDocument/2006/relationships/hyperlink" Target="https://www.ncbi.nlm.nih.go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