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9914C" w14:textId="77777777" w:rsidR="0028324A" w:rsidRPr="002F76C6" w:rsidRDefault="0028324A" w:rsidP="002F76C6">
      <w:pPr>
        <w:spacing w:line="360" w:lineRule="auto"/>
        <w:rPr>
          <w:rFonts w:ascii="Arial" w:hAnsi="Arial" w:cs="Arial"/>
        </w:rPr>
      </w:pPr>
    </w:p>
    <w:p w14:paraId="13318F88" w14:textId="77777777" w:rsidR="00801995" w:rsidRPr="00871EE8" w:rsidRDefault="00801995" w:rsidP="00801995">
      <w:pPr>
        <w:spacing w:line="360" w:lineRule="auto"/>
        <w:jc w:val="both"/>
        <w:rPr>
          <w:rFonts w:ascii="Arial" w:hAnsi="Arial" w:cs="Arial"/>
          <w:b/>
          <w:bCs/>
          <w:spacing w:val="-2"/>
        </w:rPr>
      </w:pPr>
      <w:r w:rsidRPr="00871EE8">
        <w:rPr>
          <w:rFonts w:ascii="Calibri" w:eastAsia="Calibri" w:hAnsi="Calibri" w:cs="Calibri"/>
          <w:noProof/>
          <w:spacing w:val="-2"/>
          <w:sz w:val="22"/>
        </w:rPr>
        <mc:AlternateContent>
          <mc:Choice Requires="wpg">
            <w:drawing>
              <wp:anchor distT="0" distB="0" distL="114300" distR="114300" simplePos="0" relativeHeight="251659264" behindDoc="1" locked="0" layoutInCell="1" allowOverlap="1" wp14:anchorId="0ED438AB" wp14:editId="7E8EA719">
                <wp:simplePos x="0" y="0"/>
                <wp:positionH relativeFrom="column">
                  <wp:posOffset>741045</wp:posOffset>
                </wp:positionH>
                <wp:positionV relativeFrom="paragraph">
                  <wp:posOffset>0</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3196F207" w14:textId="77777777" w:rsidR="00801995" w:rsidRDefault="00801995" w:rsidP="00801995">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06CFBAA8" w14:textId="77777777" w:rsidR="00801995" w:rsidRDefault="00801995" w:rsidP="00801995">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6A3876C7" w14:textId="77777777" w:rsidR="00801995" w:rsidRDefault="00801995" w:rsidP="00801995">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5"/>
                          <a:stretch>
                            <a:fillRect/>
                          </a:stretch>
                        </pic:blipFill>
                        <pic:spPr>
                          <a:xfrm>
                            <a:off x="0" y="6278"/>
                            <a:ext cx="5438775" cy="1328420"/>
                          </a:xfrm>
                          <a:prstGeom prst="rect">
                            <a:avLst/>
                          </a:prstGeom>
                        </pic:spPr>
                      </pic:pic>
                    </wpg:wgp>
                  </a:graphicData>
                </a:graphic>
              </wp:anchor>
            </w:drawing>
          </mc:Choice>
          <mc:Fallback>
            <w:pict>
              <v:group w14:anchorId="0ED438AB" id="Group 23547" o:spid="_x0000_s1026" style="position:absolute;left:0;text-align:left;margin-left:58.35pt;margin-top:0;width:428.25pt;height:119.1pt;z-index:-251657216"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3196F207" w14:textId="77777777" w:rsidR="00801995" w:rsidRDefault="00801995" w:rsidP="00801995">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6CFBAA8" w14:textId="77777777" w:rsidR="00801995" w:rsidRDefault="00801995" w:rsidP="00801995">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6A3876C7" w14:textId="77777777" w:rsidR="00801995" w:rsidRDefault="00801995" w:rsidP="00801995">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6" o:title=""/>
                </v:shape>
                <w10:wrap type="tight"/>
              </v:group>
            </w:pict>
          </mc:Fallback>
        </mc:AlternateContent>
      </w:r>
    </w:p>
    <w:p w14:paraId="6F5C02B6" w14:textId="77777777" w:rsidR="00801995" w:rsidRPr="00871EE8" w:rsidRDefault="00801995" w:rsidP="00801995">
      <w:pPr>
        <w:spacing w:line="360" w:lineRule="auto"/>
        <w:jc w:val="center"/>
        <w:rPr>
          <w:rFonts w:ascii="Arial" w:hAnsi="Arial" w:cs="Arial"/>
          <w:b/>
          <w:bCs/>
          <w:spacing w:val="-2"/>
        </w:rPr>
      </w:pPr>
    </w:p>
    <w:p w14:paraId="37E0E3B3" w14:textId="77777777" w:rsidR="00801995" w:rsidRPr="00871EE8" w:rsidRDefault="00801995" w:rsidP="00801995">
      <w:pPr>
        <w:spacing w:line="360" w:lineRule="auto"/>
        <w:jc w:val="center"/>
        <w:rPr>
          <w:rFonts w:ascii="Arial" w:hAnsi="Arial" w:cs="Arial"/>
          <w:b/>
          <w:bCs/>
          <w:spacing w:val="-2"/>
        </w:rPr>
      </w:pPr>
    </w:p>
    <w:p w14:paraId="498C0CF0" w14:textId="77777777" w:rsidR="00801995" w:rsidRPr="00871EE8" w:rsidRDefault="00801995" w:rsidP="00801995">
      <w:pPr>
        <w:spacing w:line="360" w:lineRule="auto"/>
        <w:jc w:val="center"/>
        <w:rPr>
          <w:rFonts w:ascii="Arial" w:hAnsi="Arial" w:cs="Arial"/>
          <w:b/>
          <w:bCs/>
          <w:spacing w:val="-2"/>
        </w:rPr>
      </w:pPr>
    </w:p>
    <w:p w14:paraId="1CD934E5" w14:textId="019963B5" w:rsidR="00801995" w:rsidRPr="00871EE8" w:rsidRDefault="00801995" w:rsidP="00801995">
      <w:pPr>
        <w:spacing w:line="360" w:lineRule="auto"/>
        <w:jc w:val="center"/>
        <w:rPr>
          <w:rFonts w:ascii="Arial" w:hAnsi="Arial" w:cs="Arial"/>
          <w:spacing w:val="-2"/>
        </w:rPr>
      </w:pPr>
      <w:r w:rsidRPr="00871EE8">
        <w:rPr>
          <w:rFonts w:ascii="Arial" w:hAnsi="Arial" w:cs="Arial"/>
          <w:b/>
          <w:bCs/>
          <w:spacing w:val="-2"/>
        </w:rPr>
        <w:t>Module:</w:t>
      </w:r>
      <w:r w:rsidRPr="00871EE8">
        <w:rPr>
          <w:rFonts w:ascii="Arial" w:hAnsi="Arial" w:cs="Arial"/>
          <w:spacing w:val="-2"/>
        </w:rPr>
        <w:t xml:space="preserve"> </w:t>
      </w:r>
      <w:r w:rsidRPr="00801995">
        <w:rPr>
          <w:rFonts w:ascii="Arial" w:hAnsi="Arial" w:cs="Arial"/>
          <w:spacing w:val="-2"/>
        </w:rPr>
        <w:t>International Marketing: Principles and Practices</w:t>
      </w:r>
    </w:p>
    <w:p w14:paraId="53CF09A2" w14:textId="697994E6" w:rsidR="00801995" w:rsidRPr="00871EE8" w:rsidRDefault="00801995" w:rsidP="00801995">
      <w:pPr>
        <w:spacing w:line="360" w:lineRule="auto"/>
        <w:jc w:val="center"/>
        <w:rPr>
          <w:rFonts w:ascii="Arial" w:hAnsi="Arial" w:cs="Arial"/>
          <w:spacing w:val="-2"/>
        </w:rPr>
      </w:pPr>
      <w:r w:rsidRPr="00871EE8">
        <w:rPr>
          <w:rFonts w:ascii="Arial" w:hAnsi="Arial" w:cs="Arial"/>
          <w:b/>
          <w:bCs/>
          <w:spacing w:val="-2"/>
        </w:rPr>
        <w:t>Module Code:</w:t>
      </w:r>
      <w:r w:rsidRPr="00871EE8">
        <w:rPr>
          <w:rFonts w:ascii="Arial" w:hAnsi="Arial" w:cs="Arial"/>
          <w:spacing w:val="-2"/>
        </w:rPr>
        <w:t xml:space="preserve"> LCMB70</w:t>
      </w:r>
      <w:r>
        <w:rPr>
          <w:rFonts w:ascii="Arial" w:hAnsi="Arial" w:cs="Arial"/>
          <w:spacing w:val="-2"/>
        </w:rPr>
        <w:t>26</w:t>
      </w:r>
    </w:p>
    <w:p w14:paraId="6E68FB87" w14:textId="77777777" w:rsidR="00801995" w:rsidRPr="00801995" w:rsidRDefault="00801995" w:rsidP="00801995">
      <w:pPr>
        <w:spacing w:line="360" w:lineRule="auto"/>
        <w:jc w:val="center"/>
        <w:rPr>
          <w:rFonts w:ascii="Arial" w:hAnsi="Arial" w:cs="Arial"/>
          <w:spacing w:val="-2"/>
        </w:rPr>
      </w:pPr>
      <w:r w:rsidRPr="00871EE8">
        <w:rPr>
          <w:rFonts w:ascii="Arial" w:hAnsi="Arial" w:cs="Arial"/>
          <w:b/>
          <w:bCs/>
          <w:spacing w:val="-2"/>
        </w:rPr>
        <w:t>Assignment Title:</w:t>
      </w:r>
      <w:r w:rsidRPr="00871EE8">
        <w:rPr>
          <w:rFonts w:ascii="Arial" w:hAnsi="Arial" w:cs="Arial"/>
          <w:spacing w:val="-2"/>
        </w:rPr>
        <w:t xml:space="preserve"> </w:t>
      </w:r>
      <w:r w:rsidRPr="00801995">
        <w:rPr>
          <w:rFonts w:ascii="Arial" w:hAnsi="Arial" w:cs="Arial"/>
          <w:spacing w:val="-2"/>
        </w:rPr>
        <w:t>International Market Entry Strategy and Marketing Mix Analysis:</w:t>
      </w:r>
    </w:p>
    <w:p w14:paraId="48B180E4" w14:textId="4C8663F3" w:rsidR="00801995" w:rsidRPr="00871EE8" w:rsidRDefault="00801995" w:rsidP="00801995">
      <w:pPr>
        <w:spacing w:line="360" w:lineRule="auto"/>
        <w:jc w:val="center"/>
        <w:rPr>
          <w:rFonts w:ascii="Arial" w:hAnsi="Arial" w:cs="Arial"/>
          <w:spacing w:val="-2"/>
        </w:rPr>
      </w:pPr>
      <w:r w:rsidRPr="00801995">
        <w:rPr>
          <w:rFonts w:ascii="Arial" w:hAnsi="Arial" w:cs="Arial"/>
          <w:spacing w:val="-2"/>
        </w:rPr>
        <w:t>Mercedes-Benz in Germany and the United Arab Emirates</w:t>
      </w:r>
    </w:p>
    <w:p w14:paraId="5CAA7A07" w14:textId="54B60A6A" w:rsidR="00801995" w:rsidRPr="00871EE8" w:rsidRDefault="00801995" w:rsidP="00801995">
      <w:pPr>
        <w:spacing w:line="360" w:lineRule="auto"/>
        <w:jc w:val="center"/>
        <w:rPr>
          <w:rFonts w:ascii="Arial" w:hAnsi="Arial" w:cs="Arial"/>
          <w:spacing w:val="-2"/>
        </w:rPr>
      </w:pPr>
      <w:r w:rsidRPr="00871EE8">
        <w:rPr>
          <w:rFonts w:ascii="Arial" w:hAnsi="Arial" w:cs="Arial"/>
          <w:b/>
          <w:bCs/>
          <w:spacing w:val="-2"/>
        </w:rPr>
        <w:t>Word Count</w:t>
      </w:r>
      <w:r w:rsidRPr="00871EE8">
        <w:rPr>
          <w:rFonts w:ascii="Arial" w:hAnsi="Arial" w:cs="Arial"/>
          <w:spacing w:val="-2"/>
        </w:rPr>
        <w:t xml:space="preserve">: </w:t>
      </w:r>
      <w:r>
        <w:rPr>
          <w:rFonts w:ascii="Arial" w:hAnsi="Arial" w:cs="Arial"/>
          <w:spacing w:val="-2"/>
        </w:rPr>
        <w:t>5199</w:t>
      </w:r>
    </w:p>
    <w:p w14:paraId="13183829" w14:textId="62DBBD32" w:rsidR="00801995" w:rsidRDefault="00801995" w:rsidP="00801995">
      <w:pPr>
        <w:spacing w:line="360" w:lineRule="auto"/>
        <w:jc w:val="center"/>
        <w:rPr>
          <w:rFonts w:ascii="Arial" w:hAnsi="Arial" w:cs="Arial"/>
          <w:spacing w:val="-2"/>
        </w:rPr>
      </w:pPr>
      <w:r w:rsidRPr="00871EE8">
        <w:rPr>
          <w:rFonts w:ascii="Arial" w:hAnsi="Arial" w:cs="Arial"/>
          <w:b/>
          <w:bCs/>
          <w:spacing w:val="-2"/>
        </w:rPr>
        <w:t>Submission D</w:t>
      </w:r>
      <w:r>
        <w:rPr>
          <w:rFonts w:ascii="Arial" w:hAnsi="Arial" w:cs="Arial"/>
          <w:b/>
          <w:bCs/>
          <w:spacing w:val="-2"/>
        </w:rPr>
        <w:t>eadline</w:t>
      </w:r>
      <w:r w:rsidRPr="00871EE8">
        <w:rPr>
          <w:rFonts w:ascii="Arial" w:hAnsi="Arial" w:cs="Arial"/>
          <w:b/>
          <w:bCs/>
          <w:spacing w:val="-2"/>
        </w:rPr>
        <w:t>:</w:t>
      </w:r>
      <w:r w:rsidRPr="00871EE8">
        <w:rPr>
          <w:rFonts w:ascii="Arial" w:hAnsi="Arial" w:cs="Arial"/>
          <w:spacing w:val="-2"/>
        </w:rPr>
        <w:t xml:space="preserve"> </w:t>
      </w:r>
      <w:r>
        <w:rPr>
          <w:rFonts w:ascii="Arial" w:hAnsi="Arial" w:cs="Arial"/>
          <w:spacing w:val="-2"/>
        </w:rPr>
        <w:t>27</w:t>
      </w:r>
      <w:r w:rsidRPr="00801995">
        <w:rPr>
          <w:rFonts w:ascii="Arial" w:hAnsi="Arial" w:cs="Arial"/>
          <w:spacing w:val="-2"/>
          <w:vertAlign w:val="superscript"/>
        </w:rPr>
        <w:t>th</w:t>
      </w:r>
      <w:r>
        <w:rPr>
          <w:rFonts w:ascii="Arial" w:hAnsi="Arial" w:cs="Arial"/>
          <w:spacing w:val="-2"/>
        </w:rPr>
        <w:t xml:space="preserve"> of</w:t>
      </w:r>
      <w:r w:rsidRPr="00D949CD">
        <w:rPr>
          <w:rFonts w:ascii="Arial" w:hAnsi="Arial" w:cs="Arial"/>
          <w:spacing w:val="-2"/>
        </w:rPr>
        <w:t xml:space="preserve"> </w:t>
      </w:r>
      <w:r>
        <w:rPr>
          <w:rFonts w:ascii="Arial" w:hAnsi="Arial" w:cs="Arial"/>
          <w:spacing w:val="-2"/>
        </w:rPr>
        <w:t>March</w:t>
      </w:r>
      <w:r w:rsidRPr="00D949CD">
        <w:rPr>
          <w:rFonts w:ascii="Arial" w:hAnsi="Arial" w:cs="Arial"/>
          <w:spacing w:val="-2"/>
        </w:rPr>
        <w:t xml:space="preserve"> 2026</w:t>
      </w:r>
      <w:r>
        <w:rPr>
          <w:rFonts w:ascii="Arial" w:hAnsi="Arial" w:cs="Arial"/>
          <w:spacing w:val="-2"/>
        </w:rPr>
        <w:t>, 14:00</w:t>
      </w:r>
    </w:p>
    <w:p w14:paraId="232F39AA" w14:textId="2BE700DB" w:rsidR="00801995" w:rsidRPr="00871EE8" w:rsidRDefault="00801995" w:rsidP="00801995">
      <w:pPr>
        <w:spacing w:line="360" w:lineRule="auto"/>
        <w:jc w:val="center"/>
        <w:rPr>
          <w:rFonts w:ascii="Arial" w:hAnsi="Arial" w:cs="Arial"/>
          <w:spacing w:val="-2"/>
        </w:rPr>
      </w:pPr>
      <w:r w:rsidRPr="00871EE8">
        <w:rPr>
          <w:rFonts w:ascii="Arial" w:hAnsi="Arial" w:cs="Arial"/>
          <w:b/>
          <w:bCs/>
          <w:spacing w:val="-2"/>
        </w:rPr>
        <w:t>Lecturer:</w:t>
      </w:r>
      <w:r w:rsidRPr="00871EE8">
        <w:rPr>
          <w:rFonts w:ascii="Arial" w:hAnsi="Arial" w:cs="Arial"/>
          <w:spacing w:val="-2"/>
        </w:rPr>
        <w:t xml:space="preserve"> </w:t>
      </w:r>
      <w:r>
        <w:rPr>
          <w:rFonts w:ascii="Arial" w:hAnsi="Arial" w:cs="Arial"/>
          <w:b/>
          <w:sz w:val="22"/>
          <w:szCs w:val="22"/>
        </w:rPr>
        <w:t xml:space="preserve">Dian </w:t>
      </w:r>
      <w:proofErr w:type="spellStart"/>
      <w:r>
        <w:rPr>
          <w:rFonts w:ascii="Arial" w:hAnsi="Arial" w:cs="Arial"/>
          <w:b/>
          <w:sz w:val="22"/>
          <w:szCs w:val="22"/>
        </w:rPr>
        <w:t>Mayasari</w:t>
      </w:r>
      <w:proofErr w:type="spellEnd"/>
    </w:p>
    <w:p w14:paraId="65C3EE25" w14:textId="77777777" w:rsidR="00801995" w:rsidRPr="00871EE8" w:rsidRDefault="00801995" w:rsidP="00801995">
      <w:pPr>
        <w:spacing w:line="360" w:lineRule="auto"/>
        <w:jc w:val="center"/>
        <w:rPr>
          <w:rFonts w:ascii="Arial" w:hAnsi="Arial" w:cs="Arial"/>
          <w:spacing w:val="-2"/>
        </w:rPr>
      </w:pPr>
      <w:r w:rsidRPr="00871EE8">
        <w:rPr>
          <w:rFonts w:ascii="Arial" w:hAnsi="Arial" w:cs="Arial"/>
          <w:b/>
          <w:bCs/>
          <w:spacing w:val="-2"/>
        </w:rPr>
        <w:t>Student Name:</w:t>
      </w:r>
      <w:r w:rsidRPr="00871EE8">
        <w:rPr>
          <w:rFonts w:ascii="Arial" w:hAnsi="Arial" w:cs="Arial"/>
          <w:spacing w:val="-2"/>
        </w:rPr>
        <w:t xml:space="preserve"> Dragos Rosu</w:t>
      </w:r>
    </w:p>
    <w:p w14:paraId="2893F4E8" w14:textId="77777777" w:rsidR="00801995" w:rsidRPr="00871EE8" w:rsidRDefault="00801995" w:rsidP="00801995">
      <w:pPr>
        <w:spacing w:line="360" w:lineRule="auto"/>
        <w:jc w:val="center"/>
        <w:rPr>
          <w:rFonts w:ascii="Arial" w:hAnsi="Arial" w:cs="Arial"/>
          <w:spacing w:val="-2"/>
        </w:rPr>
      </w:pPr>
      <w:r w:rsidRPr="00871EE8">
        <w:rPr>
          <w:rFonts w:ascii="Arial" w:hAnsi="Arial" w:cs="Arial"/>
          <w:b/>
          <w:bCs/>
          <w:spacing w:val="-2"/>
        </w:rPr>
        <w:t>Student ID:</w:t>
      </w:r>
      <w:r w:rsidRPr="00871EE8">
        <w:rPr>
          <w:rFonts w:ascii="Arial" w:hAnsi="Arial" w:cs="Arial"/>
          <w:spacing w:val="-2"/>
        </w:rPr>
        <w:t xml:space="preserve"> 2210549</w:t>
      </w:r>
    </w:p>
    <w:p w14:paraId="4F273E99" w14:textId="77777777" w:rsidR="00801995" w:rsidRPr="00871EE8" w:rsidRDefault="00801995" w:rsidP="00801995">
      <w:pPr>
        <w:spacing w:line="360" w:lineRule="auto"/>
        <w:rPr>
          <w:rFonts w:ascii="Arial" w:hAnsi="Arial" w:cs="Arial"/>
          <w:spacing w:val="-2"/>
        </w:rPr>
      </w:pPr>
    </w:p>
    <w:p w14:paraId="2F995703" w14:textId="77777777" w:rsidR="00801995" w:rsidRPr="00871EE8" w:rsidRDefault="00801995" w:rsidP="00801995">
      <w:pPr>
        <w:spacing w:line="360" w:lineRule="auto"/>
        <w:rPr>
          <w:rFonts w:ascii="Arial" w:hAnsi="Arial" w:cs="Arial"/>
          <w:b/>
          <w:bCs/>
          <w:spacing w:val="-2"/>
        </w:rPr>
      </w:pPr>
    </w:p>
    <w:p w14:paraId="28ABE95B" w14:textId="77777777" w:rsidR="00801995" w:rsidRPr="00871EE8" w:rsidRDefault="00801995" w:rsidP="00801995">
      <w:pPr>
        <w:spacing w:line="360" w:lineRule="auto"/>
        <w:rPr>
          <w:rFonts w:ascii="Arial" w:hAnsi="Arial" w:cs="Arial"/>
          <w:spacing w:val="-2"/>
        </w:rPr>
      </w:pPr>
      <w:r w:rsidRPr="00871EE8">
        <w:rPr>
          <w:rFonts w:ascii="Arial" w:hAnsi="Arial" w:cs="Arial"/>
          <w:spacing w:val="-2"/>
        </w:rPr>
        <w:t>Submitted in partial fulfilment of the requirements for the award of the Master of Business Administration (MBA).</w:t>
      </w:r>
    </w:p>
    <w:p w14:paraId="662404AC" w14:textId="77777777" w:rsidR="00801995" w:rsidRPr="00CF6FE9" w:rsidRDefault="00801995" w:rsidP="00801995">
      <w:pPr>
        <w:spacing w:line="360" w:lineRule="auto"/>
        <w:rPr>
          <w:rFonts w:ascii="Arial" w:hAnsi="Arial" w:cs="Arial"/>
        </w:rPr>
      </w:pPr>
    </w:p>
    <w:p w14:paraId="32281388" w14:textId="77777777" w:rsidR="0028324A" w:rsidRPr="002F76C6" w:rsidRDefault="0028324A" w:rsidP="002F76C6">
      <w:pPr>
        <w:spacing w:line="360" w:lineRule="auto"/>
        <w:rPr>
          <w:rFonts w:ascii="Arial" w:hAnsi="Arial" w:cs="Arial"/>
        </w:rPr>
      </w:pPr>
    </w:p>
    <w:p w14:paraId="092C3F47" w14:textId="77777777" w:rsidR="0028324A" w:rsidRPr="002F76C6" w:rsidRDefault="0028324A" w:rsidP="002F76C6">
      <w:pPr>
        <w:spacing w:line="360" w:lineRule="auto"/>
        <w:rPr>
          <w:rFonts w:ascii="Arial" w:hAnsi="Arial" w:cs="Arial"/>
        </w:rPr>
      </w:pPr>
    </w:p>
    <w:p w14:paraId="4A238A92" w14:textId="77777777" w:rsidR="0028324A" w:rsidRPr="002F76C6" w:rsidRDefault="0028324A" w:rsidP="002F76C6">
      <w:pPr>
        <w:spacing w:line="360" w:lineRule="auto"/>
        <w:rPr>
          <w:rFonts w:ascii="Arial" w:hAnsi="Arial" w:cs="Arial"/>
        </w:rPr>
      </w:pPr>
    </w:p>
    <w:p w14:paraId="0A6A7BC3" w14:textId="77777777" w:rsidR="0028324A" w:rsidRPr="002F76C6" w:rsidRDefault="0028324A" w:rsidP="002F76C6">
      <w:pPr>
        <w:spacing w:line="360" w:lineRule="auto"/>
        <w:rPr>
          <w:rFonts w:ascii="Arial" w:hAnsi="Arial" w:cs="Arial"/>
        </w:rPr>
      </w:pPr>
    </w:p>
    <w:p w14:paraId="015C6234" w14:textId="77777777" w:rsidR="007472AD" w:rsidRDefault="007472AD" w:rsidP="002F76C6">
      <w:pPr>
        <w:spacing w:line="360" w:lineRule="auto"/>
        <w:rPr>
          <w:rFonts w:ascii="Arial" w:hAnsi="Arial" w:cs="Arial"/>
        </w:rPr>
      </w:pPr>
    </w:p>
    <w:p w14:paraId="1D76D1EB" w14:textId="77777777" w:rsidR="0028324A" w:rsidRPr="002F76C6" w:rsidRDefault="0028324A" w:rsidP="002F76C6">
      <w:pPr>
        <w:spacing w:line="360" w:lineRule="auto"/>
        <w:rPr>
          <w:rFonts w:ascii="Arial" w:hAnsi="Arial" w:cs="Arial"/>
        </w:rPr>
      </w:pPr>
    </w:p>
    <w:sdt>
      <w:sdtPr>
        <w:rPr>
          <w:rFonts w:ascii="Arial" w:eastAsiaTheme="minorHAnsi" w:hAnsi="Arial" w:cs="Arial"/>
          <w:color w:val="auto"/>
          <w:kern w:val="2"/>
          <w:sz w:val="24"/>
          <w:szCs w:val="24"/>
          <w:lang w:val="en-GB"/>
          <w14:ligatures w14:val="standardContextual"/>
        </w:rPr>
        <w:id w:val="30165017"/>
        <w:docPartObj>
          <w:docPartGallery w:val="Table of Contents"/>
          <w:docPartUnique/>
        </w:docPartObj>
      </w:sdtPr>
      <w:sdtEndPr>
        <w:rPr>
          <w:b/>
          <w:bCs/>
          <w:noProof/>
        </w:rPr>
      </w:sdtEndPr>
      <w:sdtContent>
        <w:p w14:paraId="4793D01F" w14:textId="595FF93F" w:rsidR="002F76C6" w:rsidRPr="007472AD" w:rsidRDefault="002F76C6" w:rsidP="002F76C6">
          <w:pPr>
            <w:pStyle w:val="TOCHeading"/>
            <w:spacing w:line="360" w:lineRule="auto"/>
            <w:rPr>
              <w:rFonts w:ascii="Arial" w:hAnsi="Arial" w:cs="Arial"/>
              <w:b/>
              <w:bCs/>
              <w:sz w:val="24"/>
              <w:szCs w:val="24"/>
            </w:rPr>
          </w:pPr>
          <w:r w:rsidRPr="007472AD">
            <w:rPr>
              <w:rFonts w:ascii="Arial" w:hAnsi="Arial" w:cs="Arial"/>
              <w:b/>
              <w:bCs/>
              <w:sz w:val="24"/>
              <w:szCs w:val="24"/>
            </w:rPr>
            <w:t>Table of Contents</w:t>
          </w:r>
        </w:p>
        <w:p w14:paraId="41E81410" w14:textId="1E63172A" w:rsidR="007472AD" w:rsidRPr="0022737D" w:rsidRDefault="002F76C6">
          <w:pPr>
            <w:pStyle w:val="TOC1"/>
            <w:tabs>
              <w:tab w:val="right" w:leader="dot" w:pos="9016"/>
            </w:tabs>
            <w:rPr>
              <w:rFonts w:eastAsiaTheme="minorEastAsia"/>
              <w:noProof/>
              <w:lang w:eastAsia="en-GB"/>
            </w:rPr>
          </w:pPr>
          <w:r w:rsidRPr="0022737D">
            <w:rPr>
              <w:rFonts w:ascii="Arial" w:hAnsi="Arial" w:cs="Arial"/>
            </w:rPr>
            <w:fldChar w:fldCharType="begin"/>
          </w:r>
          <w:r w:rsidRPr="0022737D">
            <w:rPr>
              <w:rFonts w:ascii="Arial" w:hAnsi="Arial" w:cs="Arial"/>
            </w:rPr>
            <w:instrText xml:space="preserve"> TOC \o "1-3" \h \z \u </w:instrText>
          </w:r>
          <w:r w:rsidRPr="0022737D">
            <w:rPr>
              <w:rFonts w:ascii="Arial" w:hAnsi="Arial" w:cs="Arial"/>
            </w:rPr>
            <w:fldChar w:fldCharType="separate"/>
          </w:r>
          <w:hyperlink w:anchor="_Toc223435174" w:history="1">
            <w:r w:rsidR="007472AD" w:rsidRPr="0022737D">
              <w:rPr>
                <w:rStyle w:val="Hyperlink"/>
                <w:rFonts w:ascii="Arial" w:hAnsi="Arial" w:cs="Arial"/>
                <w:noProof/>
              </w:rPr>
              <w:t>1. Introduction</w:t>
            </w:r>
            <w:r w:rsidR="007472AD" w:rsidRPr="0022737D">
              <w:rPr>
                <w:noProof/>
                <w:webHidden/>
              </w:rPr>
              <w:tab/>
            </w:r>
            <w:r w:rsidR="007472AD" w:rsidRPr="0022737D">
              <w:rPr>
                <w:noProof/>
                <w:webHidden/>
              </w:rPr>
              <w:fldChar w:fldCharType="begin"/>
            </w:r>
            <w:r w:rsidR="007472AD" w:rsidRPr="0022737D">
              <w:rPr>
                <w:noProof/>
                <w:webHidden/>
              </w:rPr>
              <w:instrText xml:space="preserve"> PAGEREF _Toc223435174 \h </w:instrText>
            </w:r>
            <w:r w:rsidR="007472AD" w:rsidRPr="0022737D">
              <w:rPr>
                <w:noProof/>
                <w:webHidden/>
              </w:rPr>
            </w:r>
            <w:r w:rsidR="007472AD" w:rsidRPr="0022737D">
              <w:rPr>
                <w:noProof/>
                <w:webHidden/>
              </w:rPr>
              <w:fldChar w:fldCharType="separate"/>
            </w:r>
            <w:r w:rsidR="007472AD" w:rsidRPr="0022737D">
              <w:rPr>
                <w:noProof/>
                <w:webHidden/>
              </w:rPr>
              <w:t>3</w:t>
            </w:r>
            <w:r w:rsidR="007472AD" w:rsidRPr="0022737D">
              <w:rPr>
                <w:noProof/>
                <w:webHidden/>
              </w:rPr>
              <w:fldChar w:fldCharType="end"/>
            </w:r>
          </w:hyperlink>
        </w:p>
        <w:p w14:paraId="7F567BEE" w14:textId="73038B01" w:rsidR="007472AD" w:rsidRPr="0022737D" w:rsidRDefault="007472AD">
          <w:pPr>
            <w:pStyle w:val="TOC1"/>
            <w:tabs>
              <w:tab w:val="right" w:leader="dot" w:pos="9016"/>
            </w:tabs>
            <w:rPr>
              <w:rFonts w:eastAsiaTheme="minorEastAsia"/>
              <w:noProof/>
              <w:lang w:eastAsia="en-GB"/>
            </w:rPr>
          </w:pPr>
          <w:hyperlink w:anchor="_Toc223435175" w:history="1">
            <w:r w:rsidRPr="0022737D">
              <w:rPr>
                <w:rStyle w:val="Hyperlink"/>
                <w:rFonts w:ascii="Arial" w:hAnsi="Arial" w:cs="Arial"/>
                <w:noProof/>
              </w:rPr>
              <w:t>2. Comparative Macro-Environmental Analysis (PESTEL)</w:t>
            </w:r>
            <w:r w:rsidRPr="0022737D">
              <w:rPr>
                <w:noProof/>
                <w:webHidden/>
              </w:rPr>
              <w:tab/>
            </w:r>
            <w:r w:rsidRPr="0022737D">
              <w:rPr>
                <w:noProof/>
                <w:webHidden/>
              </w:rPr>
              <w:fldChar w:fldCharType="begin"/>
            </w:r>
            <w:r w:rsidRPr="0022737D">
              <w:rPr>
                <w:noProof/>
                <w:webHidden/>
              </w:rPr>
              <w:instrText xml:space="preserve"> PAGEREF _Toc223435175 \h </w:instrText>
            </w:r>
            <w:r w:rsidRPr="0022737D">
              <w:rPr>
                <w:noProof/>
                <w:webHidden/>
              </w:rPr>
            </w:r>
            <w:r w:rsidRPr="0022737D">
              <w:rPr>
                <w:noProof/>
                <w:webHidden/>
              </w:rPr>
              <w:fldChar w:fldCharType="separate"/>
            </w:r>
            <w:r w:rsidRPr="0022737D">
              <w:rPr>
                <w:noProof/>
                <w:webHidden/>
              </w:rPr>
              <w:t>4</w:t>
            </w:r>
            <w:r w:rsidRPr="0022737D">
              <w:rPr>
                <w:noProof/>
                <w:webHidden/>
              </w:rPr>
              <w:fldChar w:fldCharType="end"/>
            </w:r>
          </w:hyperlink>
        </w:p>
        <w:p w14:paraId="33DD5CA9" w14:textId="01C6AB15" w:rsidR="007472AD" w:rsidRPr="0022737D" w:rsidRDefault="007472AD">
          <w:pPr>
            <w:pStyle w:val="TOC2"/>
            <w:tabs>
              <w:tab w:val="right" w:leader="dot" w:pos="9016"/>
            </w:tabs>
            <w:rPr>
              <w:rFonts w:eastAsiaTheme="minorEastAsia"/>
              <w:noProof/>
              <w:lang w:eastAsia="en-GB"/>
            </w:rPr>
          </w:pPr>
          <w:hyperlink w:anchor="_Toc223435176" w:history="1">
            <w:r w:rsidRPr="0022737D">
              <w:rPr>
                <w:rStyle w:val="Hyperlink"/>
                <w:rFonts w:ascii="Arial" w:hAnsi="Arial" w:cs="Arial"/>
                <w:noProof/>
              </w:rPr>
              <w:t>2.1 Political and Legal Environment</w:t>
            </w:r>
            <w:r w:rsidRPr="0022737D">
              <w:rPr>
                <w:noProof/>
                <w:webHidden/>
              </w:rPr>
              <w:tab/>
            </w:r>
            <w:r w:rsidRPr="0022737D">
              <w:rPr>
                <w:noProof/>
                <w:webHidden/>
              </w:rPr>
              <w:fldChar w:fldCharType="begin"/>
            </w:r>
            <w:r w:rsidRPr="0022737D">
              <w:rPr>
                <w:noProof/>
                <w:webHidden/>
              </w:rPr>
              <w:instrText xml:space="preserve"> PAGEREF _Toc223435176 \h </w:instrText>
            </w:r>
            <w:r w:rsidRPr="0022737D">
              <w:rPr>
                <w:noProof/>
                <w:webHidden/>
              </w:rPr>
            </w:r>
            <w:r w:rsidRPr="0022737D">
              <w:rPr>
                <w:noProof/>
                <w:webHidden/>
              </w:rPr>
              <w:fldChar w:fldCharType="separate"/>
            </w:r>
            <w:r w:rsidRPr="0022737D">
              <w:rPr>
                <w:noProof/>
                <w:webHidden/>
              </w:rPr>
              <w:t>5</w:t>
            </w:r>
            <w:r w:rsidRPr="0022737D">
              <w:rPr>
                <w:noProof/>
                <w:webHidden/>
              </w:rPr>
              <w:fldChar w:fldCharType="end"/>
            </w:r>
          </w:hyperlink>
        </w:p>
        <w:p w14:paraId="4E389B55" w14:textId="6E24ADEC" w:rsidR="007472AD" w:rsidRPr="0022737D" w:rsidRDefault="007472AD">
          <w:pPr>
            <w:pStyle w:val="TOC2"/>
            <w:tabs>
              <w:tab w:val="right" w:leader="dot" w:pos="9016"/>
            </w:tabs>
            <w:rPr>
              <w:rFonts w:eastAsiaTheme="minorEastAsia"/>
              <w:noProof/>
              <w:lang w:eastAsia="en-GB"/>
            </w:rPr>
          </w:pPr>
          <w:hyperlink w:anchor="_Toc223435177" w:history="1">
            <w:r w:rsidRPr="0022737D">
              <w:rPr>
                <w:rStyle w:val="Hyperlink"/>
                <w:rFonts w:ascii="Arial" w:hAnsi="Arial" w:cs="Arial"/>
                <w:noProof/>
              </w:rPr>
              <w:t>2.2 Economic Environment</w:t>
            </w:r>
            <w:r w:rsidRPr="0022737D">
              <w:rPr>
                <w:noProof/>
                <w:webHidden/>
              </w:rPr>
              <w:tab/>
            </w:r>
            <w:r w:rsidRPr="0022737D">
              <w:rPr>
                <w:noProof/>
                <w:webHidden/>
              </w:rPr>
              <w:fldChar w:fldCharType="begin"/>
            </w:r>
            <w:r w:rsidRPr="0022737D">
              <w:rPr>
                <w:noProof/>
                <w:webHidden/>
              </w:rPr>
              <w:instrText xml:space="preserve"> PAGEREF _Toc223435177 \h </w:instrText>
            </w:r>
            <w:r w:rsidRPr="0022737D">
              <w:rPr>
                <w:noProof/>
                <w:webHidden/>
              </w:rPr>
            </w:r>
            <w:r w:rsidRPr="0022737D">
              <w:rPr>
                <w:noProof/>
                <w:webHidden/>
              </w:rPr>
              <w:fldChar w:fldCharType="separate"/>
            </w:r>
            <w:r w:rsidRPr="0022737D">
              <w:rPr>
                <w:noProof/>
                <w:webHidden/>
              </w:rPr>
              <w:t>5</w:t>
            </w:r>
            <w:r w:rsidRPr="0022737D">
              <w:rPr>
                <w:noProof/>
                <w:webHidden/>
              </w:rPr>
              <w:fldChar w:fldCharType="end"/>
            </w:r>
          </w:hyperlink>
        </w:p>
        <w:p w14:paraId="6CABE0D8" w14:textId="4A746E2D" w:rsidR="007472AD" w:rsidRPr="0022737D" w:rsidRDefault="007472AD">
          <w:pPr>
            <w:pStyle w:val="TOC2"/>
            <w:tabs>
              <w:tab w:val="right" w:leader="dot" w:pos="9016"/>
            </w:tabs>
            <w:rPr>
              <w:rFonts w:eastAsiaTheme="minorEastAsia"/>
              <w:noProof/>
              <w:lang w:eastAsia="en-GB"/>
            </w:rPr>
          </w:pPr>
          <w:hyperlink w:anchor="_Toc223435178" w:history="1">
            <w:r w:rsidRPr="0022737D">
              <w:rPr>
                <w:rStyle w:val="Hyperlink"/>
                <w:rFonts w:ascii="Arial" w:hAnsi="Arial" w:cs="Arial"/>
                <w:noProof/>
              </w:rPr>
              <w:t>2.3 Social and Cultural Environment</w:t>
            </w:r>
            <w:r w:rsidRPr="0022737D">
              <w:rPr>
                <w:noProof/>
                <w:webHidden/>
              </w:rPr>
              <w:tab/>
            </w:r>
            <w:r w:rsidRPr="0022737D">
              <w:rPr>
                <w:noProof/>
                <w:webHidden/>
              </w:rPr>
              <w:fldChar w:fldCharType="begin"/>
            </w:r>
            <w:r w:rsidRPr="0022737D">
              <w:rPr>
                <w:noProof/>
                <w:webHidden/>
              </w:rPr>
              <w:instrText xml:space="preserve"> PAGEREF _Toc223435178 \h </w:instrText>
            </w:r>
            <w:r w:rsidRPr="0022737D">
              <w:rPr>
                <w:noProof/>
                <w:webHidden/>
              </w:rPr>
            </w:r>
            <w:r w:rsidRPr="0022737D">
              <w:rPr>
                <w:noProof/>
                <w:webHidden/>
              </w:rPr>
              <w:fldChar w:fldCharType="separate"/>
            </w:r>
            <w:r w:rsidRPr="0022737D">
              <w:rPr>
                <w:noProof/>
                <w:webHidden/>
              </w:rPr>
              <w:t>6</w:t>
            </w:r>
            <w:r w:rsidRPr="0022737D">
              <w:rPr>
                <w:noProof/>
                <w:webHidden/>
              </w:rPr>
              <w:fldChar w:fldCharType="end"/>
            </w:r>
          </w:hyperlink>
        </w:p>
        <w:p w14:paraId="18DDBDED" w14:textId="5773ACD3" w:rsidR="007472AD" w:rsidRPr="0022737D" w:rsidRDefault="007472AD">
          <w:pPr>
            <w:pStyle w:val="TOC2"/>
            <w:tabs>
              <w:tab w:val="right" w:leader="dot" w:pos="9016"/>
            </w:tabs>
            <w:rPr>
              <w:rFonts w:eastAsiaTheme="minorEastAsia"/>
              <w:noProof/>
              <w:lang w:eastAsia="en-GB"/>
            </w:rPr>
          </w:pPr>
          <w:hyperlink w:anchor="_Toc223435179" w:history="1">
            <w:r w:rsidRPr="0022737D">
              <w:rPr>
                <w:rStyle w:val="Hyperlink"/>
                <w:rFonts w:ascii="Arial" w:hAnsi="Arial" w:cs="Arial"/>
                <w:noProof/>
              </w:rPr>
              <w:t>2.4 Technological and Environmental Factors</w:t>
            </w:r>
            <w:r w:rsidRPr="0022737D">
              <w:rPr>
                <w:noProof/>
                <w:webHidden/>
              </w:rPr>
              <w:tab/>
            </w:r>
            <w:r w:rsidRPr="0022737D">
              <w:rPr>
                <w:noProof/>
                <w:webHidden/>
              </w:rPr>
              <w:fldChar w:fldCharType="begin"/>
            </w:r>
            <w:r w:rsidRPr="0022737D">
              <w:rPr>
                <w:noProof/>
                <w:webHidden/>
              </w:rPr>
              <w:instrText xml:space="preserve"> PAGEREF _Toc223435179 \h </w:instrText>
            </w:r>
            <w:r w:rsidRPr="0022737D">
              <w:rPr>
                <w:noProof/>
                <w:webHidden/>
              </w:rPr>
            </w:r>
            <w:r w:rsidRPr="0022737D">
              <w:rPr>
                <w:noProof/>
                <w:webHidden/>
              </w:rPr>
              <w:fldChar w:fldCharType="separate"/>
            </w:r>
            <w:r w:rsidRPr="0022737D">
              <w:rPr>
                <w:noProof/>
                <w:webHidden/>
              </w:rPr>
              <w:t>7</w:t>
            </w:r>
            <w:r w:rsidRPr="0022737D">
              <w:rPr>
                <w:noProof/>
                <w:webHidden/>
              </w:rPr>
              <w:fldChar w:fldCharType="end"/>
            </w:r>
          </w:hyperlink>
        </w:p>
        <w:p w14:paraId="0DCBDF87" w14:textId="76A925AB" w:rsidR="007472AD" w:rsidRPr="0022737D" w:rsidRDefault="007472AD">
          <w:pPr>
            <w:pStyle w:val="TOC1"/>
            <w:tabs>
              <w:tab w:val="right" w:leader="dot" w:pos="9016"/>
            </w:tabs>
            <w:rPr>
              <w:rFonts w:eastAsiaTheme="minorEastAsia"/>
              <w:noProof/>
              <w:lang w:eastAsia="en-GB"/>
            </w:rPr>
          </w:pPr>
          <w:hyperlink w:anchor="_Toc223435180" w:history="1">
            <w:r w:rsidRPr="0022737D">
              <w:rPr>
                <w:rStyle w:val="Hyperlink"/>
                <w:rFonts w:ascii="Arial" w:hAnsi="Arial" w:cs="Arial"/>
                <w:noProof/>
              </w:rPr>
              <w:t>3. Comparative STP Analysis</w:t>
            </w:r>
            <w:r w:rsidRPr="0022737D">
              <w:rPr>
                <w:noProof/>
                <w:webHidden/>
              </w:rPr>
              <w:tab/>
            </w:r>
            <w:r w:rsidRPr="0022737D">
              <w:rPr>
                <w:noProof/>
                <w:webHidden/>
              </w:rPr>
              <w:fldChar w:fldCharType="begin"/>
            </w:r>
            <w:r w:rsidRPr="0022737D">
              <w:rPr>
                <w:noProof/>
                <w:webHidden/>
              </w:rPr>
              <w:instrText xml:space="preserve"> PAGEREF _Toc223435180 \h </w:instrText>
            </w:r>
            <w:r w:rsidRPr="0022737D">
              <w:rPr>
                <w:noProof/>
                <w:webHidden/>
              </w:rPr>
            </w:r>
            <w:r w:rsidRPr="0022737D">
              <w:rPr>
                <w:noProof/>
                <w:webHidden/>
              </w:rPr>
              <w:fldChar w:fldCharType="separate"/>
            </w:r>
            <w:r w:rsidRPr="0022737D">
              <w:rPr>
                <w:noProof/>
                <w:webHidden/>
              </w:rPr>
              <w:t>9</w:t>
            </w:r>
            <w:r w:rsidRPr="0022737D">
              <w:rPr>
                <w:noProof/>
                <w:webHidden/>
              </w:rPr>
              <w:fldChar w:fldCharType="end"/>
            </w:r>
          </w:hyperlink>
        </w:p>
        <w:p w14:paraId="614AFAE2" w14:textId="58E0FBD5" w:rsidR="007472AD" w:rsidRPr="0022737D" w:rsidRDefault="007472AD">
          <w:pPr>
            <w:pStyle w:val="TOC2"/>
            <w:tabs>
              <w:tab w:val="right" w:leader="dot" w:pos="9016"/>
            </w:tabs>
            <w:rPr>
              <w:rFonts w:eastAsiaTheme="minorEastAsia"/>
              <w:noProof/>
              <w:lang w:eastAsia="en-GB"/>
            </w:rPr>
          </w:pPr>
          <w:hyperlink w:anchor="_Toc223435181" w:history="1">
            <w:r w:rsidRPr="0022737D">
              <w:rPr>
                <w:rStyle w:val="Hyperlink"/>
                <w:rFonts w:ascii="Arial" w:hAnsi="Arial" w:cs="Arial"/>
                <w:noProof/>
              </w:rPr>
              <w:t>3.1 Segmentation</w:t>
            </w:r>
            <w:r w:rsidRPr="0022737D">
              <w:rPr>
                <w:noProof/>
                <w:webHidden/>
              </w:rPr>
              <w:tab/>
            </w:r>
            <w:r w:rsidRPr="0022737D">
              <w:rPr>
                <w:noProof/>
                <w:webHidden/>
              </w:rPr>
              <w:fldChar w:fldCharType="begin"/>
            </w:r>
            <w:r w:rsidRPr="0022737D">
              <w:rPr>
                <w:noProof/>
                <w:webHidden/>
              </w:rPr>
              <w:instrText xml:space="preserve"> PAGEREF _Toc223435181 \h </w:instrText>
            </w:r>
            <w:r w:rsidRPr="0022737D">
              <w:rPr>
                <w:noProof/>
                <w:webHidden/>
              </w:rPr>
            </w:r>
            <w:r w:rsidRPr="0022737D">
              <w:rPr>
                <w:noProof/>
                <w:webHidden/>
              </w:rPr>
              <w:fldChar w:fldCharType="separate"/>
            </w:r>
            <w:r w:rsidRPr="0022737D">
              <w:rPr>
                <w:noProof/>
                <w:webHidden/>
              </w:rPr>
              <w:t>9</w:t>
            </w:r>
            <w:r w:rsidRPr="0022737D">
              <w:rPr>
                <w:noProof/>
                <w:webHidden/>
              </w:rPr>
              <w:fldChar w:fldCharType="end"/>
            </w:r>
          </w:hyperlink>
        </w:p>
        <w:p w14:paraId="14879CD3" w14:textId="46097FD6" w:rsidR="007472AD" w:rsidRPr="0022737D" w:rsidRDefault="007472AD">
          <w:pPr>
            <w:pStyle w:val="TOC2"/>
            <w:tabs>
              <w:tab w:val="right" w:leader="dot" w:pos="9016"/>
            </w:tabs>
            <w:rPr>
              <w:rFonts w:eastAsiaTheme="minorEastAsia"/>
              <w:noProof/>
              <w:lang w:eastAsia="en-GB"/>
            </w:rPr>
          </w:pPr>
          <w:hyperlink w:anchor="_Toc223435182" w:history="1">
            <w:r w:rsidRPr="0022737D">
              <w:rPr>
                <w:rStyle w:val="Hyperlink"/>
                <w:rFonts w:ascii="Arial" w:hAnsi="Arial" w:cs="Arial"/>
                <w:noProof/>
              </w:rPr>
              <w:t>3.2 Targeting</w:t>
            </w:r>
            <w:r w:rsidRPr="0022737D">
              <w:rPr>
                <w:noProof/>
                <w:webHidden/>
              </w:rPr>
              <w:tab/>
            </w:r>
            <w:r w:rsidRPr="0022737D">
              <w:rPr>
                <w:noProof/>
                <w:webHidden/>
              </w:rPr>
              <w:fldChar w:fldCharType="begin"/>
            </w:r>
            <w:r w:rsidRPr="0022737D">
              <w:rPr>
                <w:noProof/>
                <w:webHidden/>
              </w:rPr>
              <w:instrText xml:space="preserve"> PAGEREF _Toc223435182 \h </w:instrText>
            </w:r>
            <w:r w:rsidRPr="0022737D">
              <w:rPr>
                <w:noProof/>
                <w:webHidden/>
              </w:rPr>
            </w:r>
            <w:r w:rsidRPr="0022737D">
              <w:rPr>
                <w:noProof/>
                <w:webHidden/>
              </w:rPr>
              <w:fldChar w:fldCharType="separate"/>
            </w:r>
            <w:r w:rsidRPr="0022737D">
              <w:rPr>
                <w:noProof/>
                <w:webHidden/>
              </w:rPr>
              <w:t>10</w:t>
            </w:r>
            <w:r w:rsidRPr="0022737D">
              <w:rPr>
                <w:noProof/>
                <w:webHidden/>
              </w:rPr>
              <w:fldChar w:fldCharType="end"/>
            </w:r>
          </w:hyperlink>
        </w:p>
        <w:p w14:paraId="319813A2" w14:textId="6588A791" w:rsidR="007472AD" w:rsidRPr="0022737D" w:rsidRDefault="007472AD">
          <w:pPr>
            <w:pStyle w:val="TOC2"/>
            <w:tabs>
              <w:tab w:val="right" w:leader="dot" w:pos="9016"/>
            </w:tabs>
            <w:rPr>
              <w:rFonts w:eastAsiaTheme="minorEastAsia"/>
              <w:noProof/>
              <w:lang w:eastAsia="en-GB"/>
            </w:rPr>
          </w:pPr>
          <w:hyperlink w:anchor="_Toc223435183" w:history="1">
            <w:r w:rsidRPr="0022737D">
              <w:rPr>
                <w:rStyle w:val="Hyperlink"/>
                <w:rFonts w:ascii="Arial" w:hAnsi="Arial" w:cs="Arial"/>
                <w:noProof/>
              </w:rPr>
              <w:t>3.3 Positioning</w:t>
            </w:r>
            <w:r w:rsidRPr="0022737D">
              <w:rPr>
                <w:noProof/>
                <w:webHidden/>
              </w:rPr>
              <w:tab/>
            </w:r>
            <w:r w:rsidRPr="0022737D">
              <w:rPr>
                <w:noProof/>
                <w:webHidden/>
              </w:rPr>
              <w:fldChar w:fldCharType="begin"/>
            </w:r>
            <w:r w:rsidRPr="0022737D">
              <w:rPr>
                <w:noProof/>
                <w:webHidden/>
              </w:rPr>
              <w:instrText xml:space="preserve"> PAGEREF _Toc223435183 \h </w:instrText>
            </w:r>
            <w:r w:rsidRPr="0022737D">
              <w:rPr>
                <w:noProof/>
                <w:webHidden/>
              </w:rPr>
            </w:r>
            <w:r w:rsidRPr="0022737D">
              <w:rPr>
                <w:noProof/>
                <w:webHidden/>
              </w:rPr>
              <w:fldChar w:fldCharType="separate"/>
            </w:r>
            <w:r w:rsidRPr="0022737D">
              <w:rPr>
                <w:noProof/>
                <w:webHidden/>
              </w:rPr>
              <w:t>11</w:t>
            </w:r>
            <w:r w:rsidRPr="0022737D">
              <w:rPr>
                <w:noProof/>
                <w:webHidden/>
              </w:rPr>
              <w:fldChar w:fldCharType="end"/>
            </w:r>
          </w:hyperlink>
        </w:p>
        <w:p w14:paraId="3236048B" w14:textId="51A549EE" w:rsidR="007472AD" w:rsidRPr="0022737D" w:rsidRDefault="007472AD">
          <w:pPr>
            <w:pStyle w:val="TOC1"/>
            <w:tabs>
              <w:tab w:val="right" w:leader="dot" w:pos="9016"/>
            </w:tabs>
            <w:rPr>
              <w:rFonts w:eastAsiaTheme="minorEastAsia"/>
              <w:noProof/>
              <w:lang w:eastAsia="en-GB"/>
            </w:rPr>
          </w:pPr>
          <w:hyperlink w:anchor="_Toc223435184" w:history="1">
            <w:r w:rsidRPr="0022737D">
              <w:rPr>
                <w:rStyle w:val="Hyperlink"/>
                <w:rFonts w:ascii="Arial" w:hAnsi="Arial" w:cs="Arial"/>
                <w:noProof/>
              </w:rPr>
              <w:t>4. Comparative Evaluation of the International Marketing Mix (7Ps) in Germany and the UAE</w:t>
            </w:r>
            <w:r w:rsidRPr="0022737D">
              <w:rPr>
                <w:noProof/>
                <w:webHidden/>
              </w:rPr>
              <w:tab/>
            </w:r>
            <w:r w:rsidRPr="0022737D">
              <w:rPr>
                <w:noProof/>
                <w:webHidden/>
              </w:rPr>
              <w:fldChar w:fldCharType="begin"/>
            </w:r>
            <w:r w:rsidRPr="0022737D">
              <w:rPr>
                <w:noProof/>
                <w:webHidden/>
              </w:rPr>
              <w:instrText xml:space="preserve"> PAGEREF _Toc223435184 \h </w:instrText>
            </w:r>
            <w:r w:rsidRPr="0022737D">
              <w:rPr>
                <w:noProof/>
                <w:webHidden/>
              </w:rPr>
            </w:r>
            <w:r w:rsidRPr="0022737D">
              <w:rPr>
                <w:noProof/>
                <w:webHidden/>
              </w:rPr>
              <w:fldChar w:fldCharType="separate"/>
            </w:r>
            <w:r w:rsidRPr="0022737D">
              <w:rPr>
                <w:noProof/>
                <w:webHidden/>
              </w:rPr>
              <w:t>12</w:t>
            </w:r>
            <w:r w:rsidRPr="0022737D">
              <w:rPr>
                <w:noProof/>
                <w:webHidden/>
              </w:rPr>
              <w:fldChar w:fldCharType="end"/>
            </w:r>
          </w:hyperlink>
        </w:p>
        <w:p w14:paraId="5D592867" w14:textId="474968AA" w:rsidR="007472AD" w:rsidRPr="0022737D" w:rsidRDefault="007472AD">
          <w:pPr>
            <w:pStyle w:val="TOC2"/>
            <w:tabs>
              <w:tab w:val="right" w:leader="dot" w:pos="9016"/>
            </w:tabs>
            <w:rPr>
              <w:rFonts w:eastAsiaTheme="minorEastAsia"/>
              <w:noProof/>
              <w:lang w:eastAsia="en-GB"/>
            </w:rPr>
          </w:pPr>
          <w:hyperlink w:anchor="_Toc223435185" w:history="1">
            <w:r w:rsidRPr="0022737D">
              <w:rPr>
                <w:rStyle w:val="Hyperlink"/>
                <w:rFonts w:ascii="Arial" w:hAnsi="Arial" w:cs="Arial"/>
                <w:noProof/>
              </w:rPr>
              <w:t>4.1 Product</w:t>
            </w:r>
            <w:r w:rsidRPr="0022737D">
              <w:rPr>
                <w:noProof/>
                <w:webHidden/>
              </w:rPr>
              <w:tab/>
            </w:r>
            <w:r w:rsidRPr="0022737D">
              <w:rPr>
                <w:noProof/>
                <w:webHidden/>
              </w:rPr>
              <w:fldChar w:fldCharType="begin"/>
            </w:r>
            <w:r w:rsidRPr="0022737D">
              <w:rPr>
                <w:noProof/>
                <w:webHidden/>
              </w:rPr>
              <w:instrText xml:space="preserve"> PAGEREF _Toc223435185 \h </w:instrText>
            </w:r>
            <w:r w:rsidRPr="0022737D">
              <w:rPr>
                <w:noProof/>
                <w:webHidden/>
              </w:rPr>
            </w:r>
            <w:r w:rsidRPr="0022737D">
              <w:rPr>
                <w:noProof/>
                <w:webHidden/>
              </w:rPr>
              <w:fldChar w:fldCharType="separate"/>
            </w:r>
            <w:r w:rsidRPr="0022737D">
              <w:rPr>
                <w:noProof/>
                <w:webHidden/>
              </w:rPr>
              <w:t>12</w:t>
            </w:r>
            <w:r w:rsidRPr="0022737D">
              <w:rPr>
                <w:noProof/>
                <w:webHidden/>
              </w:rPr>
              <w:fldChar w:fldCharType="end"/>
            </w:r>
          </w:hyperlink>
        </w:p>
        <w:p w14:paraId="406FE470" w14:textId="68C72588" w:rsidR="007472AD" w:rsidRPr="0022737D" w:rsidRDefault="007472AD">
          <w:pPr>
            <w:pStyle w:val="TOC2"/>
            <w:tabs>
              <w:tab w:val="right" w:leader="dot" w:pos="9016"/>
            </w:tabs>
            <w:rPr>
              <w:rFonts w:eastAsiaTheme="minorEastAsia"/>
              <w:noProof/>
              <w:lang w:eastAsia="en-GB"/>
            </w:rPr>
          </w:pPr>
          <w:hyperlink w:anchor="_Toc223435186" w:history="1">
            <w:r w:rsidRPr="0022737D">
              <w:rPr>
                <w:rStyle w:val="Hyperlink"/>
                <w:rFonts w:ascii="Arial" w:hAnsi="Arial" w:cs="Arial"/>
                <w:noProof/>
              </w:rPr>
              <w:t>4.2 Price</w:t>
            </w:r>
            <w:r w:rsidRPr="0022737D">
              <w:rPr>
                <w:noProof/>
                <w:webHidden/>
              </w:rPr>
              <w:tab/>
            </w:r>
            <w:r w:rsidRPr="0022737D">
              <w:rPr>
                <w:noProof/>
                <w:webHidden/>
              </w:rPr>
              <w:fldChar w:fldCharType="begin"/>
            </w:r>
            <w:r w:rsidRPr="0022737D">
              <w:rPr>
                <w:noProof/>
                <w:webHidden/>
              </w:rPr>
              <w:instrText xml:space="preserve"> PAGEREF _Toc223435186 \h </w:instrText>
            </w:r>
            <w:r w:rsidRPr="0022737D">
              <w:rPr>
                <w:noProof/>
                <w:webHidden/>
              </w:rPr>
            </w:r>
            <w:r w:rsidRPr="0022737D">
              <w:rPr>
                <w:noProof/>
                <w:webHidden/>
              </w:rPr>
              <w:fldChar w:fldCharType="separate"/>
            </w:r>
            <w:r w:rsidRPr="0022737D">
              <w:rPr>
                <w:noProof/>
                <w:webHidden/>
              </w:rPr>
              <w:t>13</w:t>
            </w:r>
            <w:r w:rsidRPr="0022737D">
              <w:rPr>
                <w:noProof/>
                <w:webHidden/>
              </w:rPr>
              <w:fldChar w:fldCharType="end"/>
            </w:r>
          </w:hyperlink>
        </w:p>
        <w:p w14:paraId="1F9B818B" w14:textId="4C74E917" w:rsidR="007472AD" w:rsidRPr="0022737D" w:rsidRDefault="007472AD">
          <w:pPr>
            <w:pStyle w:val="TOC2"/>
            <w:tabs>
              <w:tab w:val="right" w:leader="dot" w:pos="9016"/>
            </w:tabs>
            <w:rPr>
              <w:rFonts w:eastAsiaTheme="minorEastAsia"/>
              <w:noProof/>
              <w:lang w:eastAsia="en-GB"/>
            </w:rPr>
          </w:pPr>
          <w:hyperlink w:anchor="_Toc223435187" w:history="1">
            <w:r w:rsidRPr="0022737D">
              <w:rPr>
                <w:rStyle w:val="Hyperlink"/>
                <w:rFonts w:ascii="Arial" w:hAnsi="Arial" w:cs="Arial"/>
                <w:noProof/>
              </w:rPr>
              <w:t>4.3 Place (Distribution)</w:t>
            </w:r>
            <w:r w:rsidRPr="0022737D">
              <w:rPr>
                <w:noProof/>
                <w:webHidden/>
              </w:rPr>
              <w:tab/>
            </w:r>
            <w:r w:rsidRPr="0022737D">
              <w:rPr>
                <w:noProof/>
                <w:webHidden/>
              </w:rPr>
              <w:fldChar w:fldCharType="begin"/>
            </w:r>
            <w:r w:rsidRPr="0022737D">
              <w:rPr>
                <w:noProof/>
                <w:webHidden/>
              </w:rPr>
              <w:instrText xml:space="preserve"> PAGEREF _Toc223435187 \h </w:instrText>
            </w:r>
            <w:r w:rsidRPr="0022737D">
              <w:rPr>
                <w:noProof/>
                <w:webHidden/>
              </w:rPr>
            </w:r>
            <w:r w:rsidRPr="0022737D">
              <w:rPr>
                <w:noProof/>
                <w:webHidden/>
              </w:rPr>
              <w:fldChar w:fldCharType="separate"/>
            </w:r>
            <w:r w:rsidRPr="0022737D">
              <w:rPr>
                <w:noProof/>
                <w:webHidden/>
              </w:rPr>
              <w:t>13</w:t>
            </w:r>
            <w:r w:rsidRPr="0022737D">
              <w:rPr>
                <w:noProof/>
                <w:webHidden/>
              </w:rPr>
              <w:fldChar w:fldCharType="end"/>
            </w:r>
          </w:hyperlink>
        </w:p>
        <w:p w14:paraId="2BC577B5" w14:textId="0AFDD27E" w:rsidR="007472AD" w:rsidRPr="0022737D" w:rsidRDefault="007472AD">
          <w:pPr>
            <w:pStyle w:val="TOC2"/>
            <w:tabs>
              <w:tab w:val="right" w:leader="dot" w:pos="9016"/>
            </w:tabs>
            <w:rPr>
              <w:rFonts w:eastAsiaTheme="minorEastAsia"/>
              <w:noProof/>
              <w:lang w:eastAsia="en-GB"/>
            </w:rPr>
          </w:pPr>
          <w:hyperlink w:anchor="_Toc223435188" w:history="1">
            <w:r w:rsidRPr="0022737D">
              <w:rPr>
                <w:rStyle w:val="Hyperlink"/>
                <w:rFonts w:ascii="Arial" w:hAnsi="Arial" w:cs="Arial"/>
                <w:noProof/>
              </w:rPr>
              <w:t>4.4 Promotion</w:t>
            </w:r>
            <w:r w:rsidRPr="0022737D">
              <w:rPr>
                <w:noProof/>
                <w:webHidden/>
              </w:rPr>
              <w:tab/>
            </w:r>
            <w:r w:rsidRPr="0022737D">
              <w:rPr>
                <w:noProof/>
                <w:webHidden/>
              </w:rPr>
              <w:fldChar w:fldCharType="begin"/>
            </w:r>
            <w:r w:rsidRPr="0022737D">
              <w:rPr>
                <w:noProof/>
                <w:webHidden/>
              </w:rPr>
              <w:instrText xml:space="preserve"> PAGEREF _Toc223435188 \h </w:instrText>
            </w:r>
            <w:r w:rsidRPr="0022737D">
              <w:rPr>
                <w:noProof/>
                <w:webHidden/>
              </w:rPr>
            </w:r>
            <w:r w:rsidRPr="0022737D">
              <w:rPr>
                <w:noProof/>
                <w:webHidden/>
              </w:rPr>
              <w:fldChar w:fldCharType="separate"/>
            </w:r>
            <w:r w:rsidRPr="0022737D">
              <w:rPr>
                <w:noProof/>
                <w:webHidden/>
              </w:rPr>
              <w:t>14</w:t>
            </w:r>
            <w:r w:rsidRPr="0022737D">
              <w:rPr>
                <w:noProof/>
                <w:webHidden/>
              </w:rPr>
              <w:fldChar w:fldCharType="end"/>
            </w:r>
          </w:hyperlink>
        </w:p>
        <w:p w14:paraId="518E15CC" w14:textId="5B4611CC" w:rsidR="007472AD" w:rsidRPr="0022737D" w:rsidRDefault="007472AD">
          <w:pPr>
            <w:pStyle w:val="TOC2"/>
            <w:tabs>
              <w:tab w:val="right" w:leader="dot" w:pos="9016"/>
            </w:tabs>
            <w:rPr>
              <w:rFonts w:eastAsiaTheme="minorEastAsia"/>
              <w:noProof/>
              <w:lang w:eastAsia="en-GB"/>
            </w:rPr>
          </w:pPr>
          <w:hyperlink w:anchor="_Toc223435189" w:history="1">
            <w:r w:rsidRPr="0022737D">
              <w:rPr>
                <w:rStyle w:val="Hyperlink"/>
                <w:rFonts w:ascii="Arial" w:hAnsi="Arial" w:cs="Arial"/>
                <w:noProof/>
              </w:rPr>
              <w:t>4.5 People, Process and Physical Evidence</w:t>
            </w:r>
            <w:r w:rsidRPr="0022737D">
              <w:rPr>
                <w:noProof/>
                <w:webHidden/>
              </w:rPr>
              <w:tab/>
            </w:r>
            <w:r w:rsidRPr="0022737D">
              <w:rPr>
                <w:noProof/>
                <w:webHidden/>
              </w:rPr>
              <w:fldChar w:fldCharType="begin"/>
            </w:r>
            <w:r w:rsidRPr="0022737D">
              <w:rPr>
                <w:noProof/>
                <w:webHidden/>
              </w:rPr>
              <w:instrText xml:space="preserve"> PAGEREF _Toc223435189 \h </w:instrText>
            </w:r>
            <w:r w:rsidRPr="0022737D">
              <w:rPr>
                <w:noProof/>
                <w:webHidden/>
              </w:rPr>
            </w:r>
            <w:r w:rsidRPr="0022737D">
              <w:rPr>
                <w:noProof/>
                <w:webHidden/>
              </w:rPr>
              <w:fldChar w:fldCharType="separate"/>
            </w:r>
            <w:r w:rsidRPr="0022737D">
              <w:rPr>
                <w:noProof/>
                <w:webHidden/>
              </w:rPr>
              <w:t>14</w:t>
            </w:r>
            <w:r w:rsidRPr="0022737D">
              <w:rPr>
                <w:noProof/>
                <w:webHidden/>
              </w:rPr>
              <w:fldChar w:fldCharType="end"/>
            </w:r>
          </w:hyperlink>
        </w:p>
        <w:p w14:paraId="52E7120B" w14:textId="0112E0D0" w:rsidR="007472AD" w:rsidRPr="0022737D" w:rsidRDefault="007472AD">
          <w:pPr>
            <w:pStyle w:val="TOC1"/>
            <w:tabs>
              <w:tab w:val="right" w:leader="dot" w:pos="9016"/>
            </w:tabs>
            <w:rPr>
              <w:rFonts w:eastAsiaTheme="minorEastAsia"/>
              <w:noProof/>
              <w:lang w:eastAsia="en-GB"/>
            </w:rPr>
          </w:pPr>
          <w:hyperlink w:anchor="_Toc223435190" w:history="1">
            <w:r w:rsidRPr="0022737D">
              <w:rPr>
                <w:rStyle w:val="Hyperlink"/>
                <w:rFonts w:ascii="Arial" w:hAnsi="Arial" w:cs="Arial"/>
                <w:noProof/>
              </w:rPr>
              <w:t>5. Directional Development Strategy in the United Arab Emirates</w:t>
            </w:r>
            <w:r w:rsidRPr="0022737D">
              <w:rPr>
                <w:noProof/>
                <w:webHidden/>
              </w:rPr>
              <w:tab/>
            </w:r>
            <w:r w:rsidRPr="0022737D">
              <w:rPr>
                <w:noProof/>
                <w:webHidden/>
              </w:rPr>
              <w:fldChar w:fldCharType="begin"/>
            </w:r>
            <w:r w:rsidRPr="0022737D">
              <w:rPr>
                <w:noProof/>
                <w:webHidden/>
              </w:rPr>
              <w:instrText xml:space="preserve"> PAGEREF _Toc223435190 \h </w:instrText>
            </w:r>
            <w:r w:rsidRPr="0022737D">
              <w:rPr>
                <w:noProof/>
                <w:webHidden/>
              </w:rPr>
            </w:r>
            <w:r w:rsidRPr="0022737D">
              <w:rPr>
                <w:noProof/>
                <w:webHidden/>
              </w:rPr>
              <w:fldChar w:fldCharType="separate"/>
            </w:r>
            <w:r w:rsidRPr="0022737D">
              <w:rPr>
                <w:noProof/>
                <w:webHidden/>
              </w:rPr>
              <w:t>15</w:t>
            </w:r>
            <w:r w:rsidRPr="0022737D">
              <w:rPr>
                <w:noProof/>
                <w:webHidden/>
              </w:rPr>
              <w:fldChar w:fldCharType="end"/>
            </w:r>
          </w:hyperlink>
        </w:p>
        <w:p w14:paraId="05AC0F29" w14:textId="64CE6E5B" w:rsidR="007472AD" w:rsidRPr="0022737D" w:rsidRDefault="007472AD">
          <w:pPr>
            <w:pStyle w:val="TOC1"/>
            <w:tabs>
              <w:tab w:val="right" w:leader="dot" w:pos="9016"/>
            </w:tabs>
            <w:rPr>
              <w:rFonts w:eastAsiaTheme="minorEastAsia"/>
              <w:noProof/>
              <w:lang w:eastAsia="en-GB"/>
            </w:rPr>
          </w:pPr>
          <w:hyperlink w:anchor="_Toc223435191" w:history="1">
            <w:r w:rsidRPr="0022737D">
              <w:rPr>
                <w:rStyle w:val="Hyperlink"/>
                <w:rFonts w:ascii="Arial" w:hAnsi="Arial" w:cs="Arial"/>
                <w:noProof/>
              </w:rPr>
              <w:t>6. Ethical Considerations in International Marketing Strategy</w:t>
            </w:r>
            <w:r w:rsidRPr="0022737D">
              <w:rPr>
                <w:noProof/>
                <w:webHidden/>
              </w:rPr>
              <w:tab/>
            </w:r>
            <w:r w:rsidRPr="0022737D">
              <w:rPr>
                <w:noProof/>
                <w:webHidden/>
              </w:rPr>
              <w:fldChar w:fldCharType="begin"/>
            </w:r>
            <w:r w:rsidRPr="0022737D">
              <w:rPr>
                <w:noProof/>
                <w:webHidden/>
              </w:rPr>
              <w:instrText xml:space="preserve"> PAGEREF _Toc223435191 \h </w:instrText>
            </w:r>
            <w:r w:rsidRPr="0022737D">
              <w:rPr>
                <w:noProof/>
                <w:webHidden/>
              </w:rPr>
            </w:r>
            <w:r w:rsidRPr="0022737D">
              <w:rPr>
                <w:noProof/>
                <w:webHidden/>
              </w:rPr>
              <w:fldChar w:fldCharType="separate"/>
            </w:r>
            <w:r w:rsidRPr="0022737D">
              <w:rPr>
                <w:noProof/>
                <w:webHidden/>
              </w:rPr>
              <w:t>16</w:t>
            </w:r>
            <w:r w:rsidRPr="0022737D">
              <w:rPr>
                <w:noProof/>
                <w:webHidden/>
              </w:rPr>
              <w:fldChar w:fldCharType="end"/>
            </w:r>
          </w:hyperlink>
        </w:p>
        <w:p w14:paraId="34CE3F3C" w14:textId="037D7C57" w:rsidR="007472AD" w:rsidRPr="0022737D" w:rsidRDefault="007472AD">
          <w:pPr>
            <w:pStyle w:val="TOC1"/>
            <w:tabs>
              <w:tab w:val="right" w:leader="dot" w:pos="9016"/>
            </w:tabs>
            <w:rPr>
              <w:rFonts w:eastAsiaTheme="minorEastAsia"/>
              <w:noProof/>
              <w:lang w:eastAsia="en-GB"/>
            </w:rPr>
          </w:pPr>
          <w:hyperlink w:anchor="_Toc223435192" w:history="1">
            <w:r w:rsidRPr="0022737D">
              <w:rPr>
                <w:rStyle w:val="Hyperlink"/>
                <w:rFonts w:ascii="Arial" w:hAnsi="Arial" w:cs="Arial"/>
                <w:noProof/>
              </w:rPr>
              <w:t>7. Strategic Recommendations</w:t>
            </w:r>
            <w:r w:rsidRPr="0022737D">
              <w:rPr>
                <w:noProof/>
                <w:webHidden/>
              </w:rPr>
              <w:tab/>
            </w:r>
            <w:r w:rsidRPr="0022737D">
              <w:rPr>
                <w:noProof/>
                <w:webHidden/>
              </w:rPr>
              <w:fldChar w:fldCharType="begin"/>
            </w:r>
            <w:r w:rsidRPr="0022737D">
              <w:rPr>
                <w:noProof/>
                <w:webHidden/>
              </w:rPr>
              <w:instrText xml:space="preserve"> PAGEREF _Toc223435192 \h </w:instrText>
            </w:r>
            <w:r w:rsidRPr="0022737D">
              <w:rPr>
                <w:noProof/>
                <w:webHidden/>
              </w:rPr>
            </w:r>
            <w:r w:rsidRPr="0022737D">
              <w:rPr>
                <w:noProof/>
                <w:webHidden/>
              </w:rPr>
              <w:fldChar w:fldCharType="separate"/>
            </w:r>
            <w:r w:rsidRPr="0022737D">
              <w:rPr>
                <w:noProof/>
                <w:webHidden/>
              </w:rPr>
              <w:t>17</w:t>
            </w:r>
            <w:r w:rsidRPr="0022737D">
              <w:rPr>
                <w:noProof/>
                <w:webHidden/>
              </w:rPr>
              <w:fldChar w:fldCharType="end"/>
            </w:r>
          </w:hyperlink>
        </w:p>
        <w:p w14:paraId="675CA222" w14:textId="2B649DFC" w:rsidR="007472AD" w:rsidRPr="0022737D" w:rsidRDefault="007472AD">
          <w:pPr>
            <w:pStyle w:val="TOC1"/>
            <w:tabs>
              <w:tab w:val="right" w:leader="dot" w:pos="9016"/>
            </w:tabs>
            <w:rPr>
              <w:rFonts w:eastAsiaTheme="minorEastAsia"/>
              <w:noProof/>
              <w:lang w:eastAsia="en-GB"/>
            </w:rPr>
          </w:pPr>
          <w:hyperlink w:anchor="_Toc223435193" w:history="1">
            <w:r w:rsidRPr="0022737D">
              <w:rPr>
                <w:rStyle w:val="Hyperlink"/>
                <w:rFonts w:ascii="Arial" w:hAnsi="Arial" w:cs="Arial"/>
                <w:noProof/>
              </w:rPr>
              <w:t>8. Conclusion</w:t>
            </w:r>
            <w:r w:rsidRPr="0022737D">
              <w:rPr>
                <w:noProof/>
                <w:webHidden/>
              </w:rPr>
              <w:tab/>
            </w:r>
            <w:r w:rsidRPr="0022737D">
              <w:rPr>
                <w:noProof/>
                <w:webHidden/>
              </w:rPr>
              <w:fldChar w:fldCharType="begin"/>
            </w:r>
            <w:r w:rsidRPr="0022737D">
              <w:rPr>
                <w:noProof/>
                <w:webHidden/>
              </w:rPr>
              <w:instrText xml:space="preserve"> PAGEREF _Toc223435193 \h </w:instrText>
            </w:r>
            <w:r w:rsidRPr="0022737D">
              <w:rPr>
                <w:noProof/>
                <w:webHidden/>
              </w:rPr>
            </w:r>
            <w:r w:rsidRPr="0022737D">
              <w:rPr>
                <w:noProof/>
                <w:webHidden/>
              </w:rPr>
              <w:fldChar w:fldCharType="separate"/>
            </w:r>
            <w:r w:rsidRPr="0022737D">
              <w:rPr>
                <w:noProof/>
                <w:webHidden/>
              </w:rPr>
              <w:t>19</w:t>
            </w:r>
            <w:r w:rsidRPr="0022737D">
              <w:rPr>
                <w:noProof/>
                <w:webHidden/>
              </w:rPr>
              <w:fldChar w:fldCharType="end"/>
            </w:r>
          </w:hyperlink>
        </w:p>
        <w:p w14:paraId="67C4DB2D" w14:textId="792B8C02" w:rsidR="007472AD" w:rsidRPr="0022737D" w:rsidRDefault="007472AD">
          <w:pPr>
            <w:pStyle w:val="TOC1"/>
            <w:tabs>
              <w:tab w:val="right" w:leader="dot" w:pos="9016"/>
            </w:tabs>
            <w:rPr>
              <w:rFonts w:eastAsiaTheme="minorEastAsia"/>
              <w:noProof/>
              <w:lang w:eastAsia="en-GB"/>
            </w:rPr>
          </w:pPr>
          <w:hyperlink w:anchor="_Toc223435194" w:history="1">
            <w:r w:rsidRPr="0022737D">
              <w:rPr>
                <w:rStyle w:val="Hyperlink"/>
                <w:rFonts w:ascii="Arial" w:hAnsi="Arial" w:cs="Arial"/>
                <w:noProof/>
              </w:rPr>
              <w:t>9. Reflective Account</w:t>
            </w:r>
            <w:r w:rsidRPr="0022737D">
              <w:rPr>
                <w:noProof/>
                <w:webHidden/>
              </w:rPr>
              <w:tab/>
            </w:r>
            <w:r w:rsidRPr="0022737D">
              <w:rPr>
                <w:noProof/>
                <w:webHidden/>
              </w:rPr>
              <w:fldChar w:fldCharType="begin"/>
            </w:r>
            <w:r w:rsidRPr="0022737D">
              <w:rPr>
                <w:noProof/>
                <w:webHidden/>
              </w:rPr>
              <w:instrText xml:space="preserve"> PAGEREF _Toc223435194 \h </w:instrText>
            </w:r>
            <w:r w:rsidRPr="0022737D">
              <w:rPr>
                <w:noProof/>
                <w:webHidden/>
              </w:rPr>
            </w:r>
            <w:r w:rsidRPr="0022737D">
              <w:rPr>
                <w:noProof/>
                <w:webHidden/>
              </w:rPr>
              <w:fldChar w:fldCharType="separate"/>
            </w:r>
            <w:r w:rsidRPr="0022737D">
              <w:rPr>
                <w:noProof/>
                <w:webHidden/>
              </w:rPr>
              <w:t>20</w:t>
            </w:r>
            <w:r w:rsidRPr="0022737D">
              <w:rPr>
                <w:noProof/>
                <w:webHidden/>
              </w:rPr>
              <w:fldChar w:fldCharType="end"/>
            </w:r>
          </w:hyperlink>
        </w:p>
        <w:p w14:paraId="06192B9C" w14:textId="25306BC4" w:rsidR="007472AD" w:rsidRPr="0022737D" w:rsidRDefault="007472AD">
          <w:pPr>
            <w:pStyle w:val="TOC2"/>
            <w:tabs>
              <w:tab w:val="right" w:leader="dot" w:pos="9016"/>
            </w:tabs>
            <w:rPr>
              <w:rFonts w:eastAsiaTheme="minorEastAsia"/>
              <w:noProof/>
              <w:lang w:eastAsia="en-GB"/>
            </w:rPr>
          </w:pPr>
          <w:hyperlink w:anchor="_Toc223435195" w:history="1">
            <w:r w:rsidRPr="0022737D">
              <w:rPr>
                <w:rStyle w:val="Hyperlink"/>
                <w:rFonts w:ascii="Arial" w:hAnsi="Arial" w:cs="Arial"/>
                <w:noProof/>
              </w:rPr>
              <w:t>9.1 Description</w:t>
            </w:r>
            <w:r w:rsidRPr="0022737D">
              <w:rPr>
                <w:noProof/>
                <w:webHidden/>
              </w:rPr>
              <w:tab/>
            </w:r>
            <w:r w:rsidRPr="0022737D">
              <w:rPr>
                <w:noProof/>
                <w:webHidden/>
              </w:rPr>
              <w:fldChar w:fldCharType="begin"/>
            </w:r>
            <w:r w:rsidRPr="0022737D">
              <w:rPr>
                <w:noProof/>
                <w:webHidden/>
              </w:rPr>
              <w:instrText xml:space="preserve"> PAGEREF _Toc223435195 \h </w:instrText>
            </w:r>
            <w:r w:rsidRPr="0022737D">
              <w:rPr>
                <w:noProof/>
                <w:webHidden/>
              </w:rPr>
            </w:r>
            <w:r w:rsidRPr="0022737D">
              <w:rPr>
                <w:noProof/>
                <w:webHidden/>
              </w:rPr>
              <w:fldChar w:fldCharType="separate"/>
            </w:r>
            <w:r w:rsidRPr="0022737D">
              <w:rPr>
                <w:noProof/>
                <w:webHidden/>
              </w:rPr>
              <w:t>20</w:t>
            </w:r>
            <w:r w:rsidRPr="0022737D">
              <w:rPr>
                <w:noProof/>
                <w:webHidden/>
              </w:rPr>
              <w:fldChar w:fldCharType="end"/>
            </w:r>
          </w:hyperlink>
        </w:p>
        <w:p w14:paraId="0EAAC67C" w14:textId="00FE7C4A" w:rsidR="007472AD" w:rsidRPr="0022737D" w:rsidRDefault="007472AD">
          <w:pPr>
            <w:pStyle w:val="TOC2"/>
            <w:tabs>
              <w:tab w:val="right" w:leader="dot" w:pos="9016"/>
            </w:tabs>
            <w:rPr>
              <w:rFonts w:eastAsiaTheme="minorEastAsia"/>
              <w:noProof/>
              <w:lang w:eastAsia="en-GB"/>
            </w:rPr>
          </w:pPr>
          <w:hyperlink w:anchor="_Toc223435196" w:history="1">
            <w:r w:rsidRPr="0022737D">
              <w:rPr>
                <w:rStyle w:val="Hyperlink"/>
                <w:rFonts w:ascii="Arial" w:hAnsi="Arial" w:cs="Arial"/>
                <w:noProof/>
              </w:rPr>
              <w:t>9.2 Feelings</w:t>
            </w:r>
            <w:r w:rsidRPr="0022737D">
              <w:rPr>
                <w:noProof/>
                <w:webHidden/>
              </w:rPr>
              <w:tab/>
            </w:r>
            <w:r w:rsidRPr="0022737D">
              <w:rPr>
                <w:noProof/>
                <w:webHidden/>
              </w:rPr>
              <w:fldChar w:fldCharType="begin"/>
            </w:r>
            <w:r w:rsidRPr="0022737D">
              <w:rPr>
                <w:noProof/>
                <w:webHidden/>
              </w:rPr>
              <w:instrText xml:space="preserve"> PAGEREF _Toc223435196 \h </w:instrText>
            </w:r>
            <w:r w:rsidRPr="0022737D">
              <w:rPr>
                <w:noProof/>
                <w:webHidden/>
              </w:rPr>
            </w:r>
            <w:r w:rsidRPr="0022737D">
              <w:rPr>
                <w:noProof/>
                <w:webHidden/>
              </w:rPr>
              <w:fldChar w:fldCharType="separate"/>
            </w:r>
            <w:r w:rsidRPr="0022737D">
              <w:rPr>
                <w:noProof/>
                <w:webHidden/>
              </w:rPr>
              <w:t>20</w:t>
            </w:r>
            <w:r w:rsidRPr="0022737D">
              <w:rPr>
                <w:noProof/>
                <w:webHidden/>
              </w:rPr>
              <w:fldChar w:fldCharType="end"/>
            </w:r>
          </w:hyperlink>
        </w:p>
        <w:p w14:paraId="488D291C" w14:textId="285E35DD" w:rsidR="007472AD" w:rsidRPr="0022737D" w:rsidRDefault="007472AD">
          <w:pPr>
            <w:pStyle w:val="TOC2"/>
            <w:tabs>
              <w:tab w:val="right" w:leader="dot" w:pos="9016"/>
            </w:tabs>
            <w:rPr>
              <w:rFonts w:eastAsiaTheme="minorEastAsia"/>
              <w:noProof/>
              <w:lang w:eastAsia="en-GB"/>
            </w:rPr>
          </w:pPr>
          <w:hyperlink w:anchor="_Toc223435197" w:history="1">
            <w:r w:rsidRPr="0022737D">
              <w:rPr>
                <w:rStyle w:val="Hyperlink"/>
                <w:rFonts w:ascii="Arial" w:hAnsi="Arial" w:cs="Arial"/>
                <w:noProof/>
              </w:rPr>
              <w:t>9.3 Evaluation</w:t>
            </w:r>
            <w:r w:rsidRPr="0022737D">
              <w:rPr>
                <w:noProof/>
                <w:webHidden/>
              </w:rPr>
              <w:tab/>
            </w:r>
            <w:r w:rsidRPr="0022737D">
              <w:rPr>
                <w:noProof/>
                <w:webHidden/>
              </w:rPr>
              <w:fldChar w:fldCharType="begin"/>
            </w:r>
            <w:r w:rsidRPr="0022737D">
              <w:rPr>
                <w:noProof/>
                <w:webHidden/>
              </w:rPr>
              <w:instrText xml:space="preserve"> PAGEREF _Toc223435197 \h </w:instrText>
            </w:r>
            <w:r w:rsidRPr="0022737D">
              <w:rPr>
                <w:noProof/>
                <w:webHidden/>
              </w:rPr>
            </w:r>
            <w:r w:rsidRPr="0022737D">
              <w:rPr>
                <w:noProof/>
                <w:webHidden/>
              </w:rPr>
              <w:fldChar w:fldCharType="separate"/>
            </w:r>
            <w:r w:rsidRPr="0022737D">
              <w:rPr>
                <w:noProof/>
                <w:webHidden/>
              </w:rPr>
              <w:t>21</w:t>
            </w:r>
            <w:r w:rsidRPr="0022737D">
              <w:rPr>
                <w:noProof/>
                <w:webHidden/>
              </w:rPr>
              <w:fldChar w:fldCharType="end"/>
            </w:r>
          </w:hyperlink>
        </w:p>
        <w:p w14:paraId="6A6EFB80" w14:textId="1562ECAF" w:rsidR="007472AD" w:rsidRPr="0022737D" w:rsidRDefault="007472AD">
          <w:pPr>
            <w:pStyle w:val="TOC2"/>
            <w:tabs>
              <w:tab w:val="right" w:leader="dot" w:pos="9016"/>
            </w:tabs>
            <w:rPr>
              <w:rFonts w:eastAsiaTheme="minorEastAsia"/>
              <w:noProof/>
              <w:lang w:eastAsia="en-GB"/>
            </w:rPr>
          </w:pPr>
          <w:hyperlink w:anchor="_Toc223435198" w:history="1">
            <w:r w:rsidRPr="0022737D">
              <w:rPr>
                <w:rStyle w:val="Hyperlink"/>
                <w:rFonts w:ascii="Arial" w:hAnsi="Arial" w:cs="Arial"/>
                <w:noProof/>
              </w:rPr>
              <w:t>9.4 Analysis</w:t>
            </w:r>
            <w:r w:rsidRPr="0022737D">
              <w:rPr>
                <w:noProof/>
                <w:webHidden/>
              </w:rPr>
              <w:tab/>
            </w:r>
            <w:r w:rsidRPr="0022737D">
              <w:rPr>
                <w:noProof/>
                <w:webHidden/>
              </w:rPr>
              <w:fldChar w:fldCharType="begin"/>
            </w:r>
            <w:r w:rsidRPr="0022737D">
              <w:rPr>
                <w:noProof/>
                <w:webHidden/>
              </w:rPr>
              <w:instrText xml:space="preserve"> PAGEREF _Toc223435198 \h </w:instrText>
            </w:r>
            <w:r w:rsidRPr="0022737D">
              <w:rPr>
                <w:noProof/>
                <w:webHidden/>
              </w:rPr>
            </w:r>
            <w:r w:rsidRPr="0022737D">
              <w:rPr>
                <w:noProof/>
                <w:webHidden/>
              </w:rPr>
              <w:fldChar w:fldCharType="separate"/>
            </w:r>
            <w:r w:rsidRPr="0022737D">
              <w:rPr>
                <w:noProof/>
                <w:webHidden/>
              </w:rPr>
              <w:t>21</w:t>
            </w:r>
            <w:r w:rsidRPr="0022737D">
              <w:rPr>
                <w:noProof/>
                <w:webHidden/>
              </w:rPr>
              <w:fldChar w:fldCharType="end"/>
            </w:r>
          </w:hyperlink>
        </w:p>
        <w:p w14:paraId="3EB33FA8" w14:textId="25B86FDD" w:rsidR="007472AD" w:rsidRPr="0022737D" w:rsidRDefault="007472AD">
          <w:pPr>
            <w:pStyle w:val="TOC2"/>
            <w:tabs>
              <w:tab w:val="right" w:leader="dot" w:pos="9016"/>
            </w:tabs>
            <w:rPr>
              <w:rFonts w:eastAsiaTheme="minorEastAsia"/>
              <w:noProof/>
              <w:lang w:eastAsia="en-GB"/>
            </w:rPr>
          </w:pPr>
          <w:hyperlink w:anchor="_Toc223435199" w:history="1">
            <w:r w:rsidRPr="0022737D">
              <w:rPr>
                <w:rStyle w:val="Hyperlink"/>
                <w:rFonts w:ascii="Arial" w:hAnsi="Arial" w:cs="Arial"/>
                <w:noProof/>
              </w:rPr>
              <w:t>9.5 Conclusion</w:t>
            </w:r>
            <w:r w:rsidRPr="0022737D">
              <w:rPr>
                <w:noProof/>
                <w:webHidden/>
              </w:rPr>
              <w:tab/>
            </w:r>
            <w:r w:rsidRPr="0022737D">
              <w:rPr>
                <w:noProof/>
                <w:webHidden/>
              </w:rPr>
              <w:fldChar w:fldCharType="begin"/>
            </w:r>
            <w:r w:rsidRPr="0022737D">
              <w:rPr>
                <w:noProof/>
                <w:webHidden/>
              </w:rPr>
              <w:instrText xml:space="preserve"> PAGEREF _Toc223435199 \h </w:instrText>
            </w:r>
            <w:r w:rsidRPr="0022737D">
              <w:rPr>
                <w:noProof/>
                <w:webHidden/>
              </w:rPr>
            </w:r>
            <w:r w:rsidRPr="0022737D">
              <w:rPr>
                <w:noProof/>
                <w:webHidden/>
              </w:rPr>
              <w:fldChar w:fldCharType="separate"/>
            </w:r>
            <w:r w:rsidRPr="0022737D">
              <w:rPr>
                <w:noProof/>
                <w:webHidden/>
              </w:rPr>
              <w:t>22</w:t>
            </w:r>
            <w:r w:rsidRPr="0022737D">
              <w:rPr>
                <w:noProof/>
                <w:webHidden/>
              </w:rPr>
              <w:fldChar w:fldCharType="end"/>
            </w:r>
          </w:hyperlink>
        </w:p>
        <w:p w14:paraId="7D9DE7EB" w14:textId="62A806B7" w:rsidR="007472AD" w:rsidRPr="0022737D" w:rsidRDefault="007472AD">
          <w:pPr>
            <w:pStyle w:val="TOC2"/>
            <w:tabs>
              <w:tab w:val="right" w:leader="dot" w:pos="9016"/>
            </w:tabs>
            <w:rPr>
              <w:rFonts w:eastAsiaTheme="minorEastAsia"/>
              <w:noProof/>
              <w:lang w:eastAsia="en-GB"/>
            </w:rPr>
          </w:pPr>
          <w:hyperlink w:anchor="_Toc223435200" w:history="1">
            <w:r w:rsidRPr="0022737D">
              <w:rPr>
                <w:rStyle w:val="Hyperlink"/>
                <w:rFonts w:ascii="Arial" w:hAnsi="Arial" w:cs="Arial"/>
                <w:noProof/>
              </w:rPr>
              <w:t>9.6 Action Plan</w:t>
            </w:r>
            <w:r w:rsidRPr="0022737D">
              <w:rPr>
                <w:noProof/>
                <w:webHidden/>
              </w:rPr>
              <w:tab/>
            </w:r>
            <w:r w:rsidRPr="0022737D">
              <w:rPr>
                <w:noProof/>
                <w:webHidden/>
              </w:rPr>
              <w:fldChar w:fldCharType="begin"/>
            </w:r>
            <w:r w:rsidRPr="0022737D">
              <w:rPr>
                <w:noProof/>
                <w:webHidden/>
              </w:rPr>
              <w:instrText xml:space="preserve"> PAGEREF _Toc223435200 \h </w:instrText>
            </w:r>
            <w:r w:rsidRPr="0022737D">
              <w:rPr>
                <w:noProof/>
                <w:webHidden/>
              </w:rPr>
            </w:r>
            <w:r w:rsidRPr="0022737D">
              <w:rPr>
                <w:noProof/>
                <w:webHidden/>
              </w:rPr>
              <w:fldChar w:fldCharType="separate"/>
            </w:r>
            <w:r w:rsidRPr="0022737D">
              <w:rPr>
                <w:noProof/>
                <w:webHidden/>
              </w:rPr>
              <w:t>22</w:t>
            </w:r>
            <w:r w:rsidRPr="0022737D">
              <w:rPr>
                <w:noProof/>
                <w:webHidden/>
              </w:rPr>
              <w:fldChar w:fldCharType="end"/>
            </w:r>
          </w:hyperlink>
        </w:p>
        <w:p w14:paraId="2DD7250C" w14:textId="70C0F0B7" w:rsidR="007472AD" w:rsidRPr="0022737D" w:rsidRDefault="007472AD">
          <w:pPr>
            <w:pStyle w:val="TOC1"/>
            <w:tabs>
              <w:tab w:val="right" w:leader="dot" w:pos="9016"/>
            </w:tabs>
            <w:rPr>
              <w:rFonts w:eastAsiaTheme="minorEastAsia"/>
              <w:noProof/>
              <w:lang w:eastAsia="en-GB"/>
            </w:rPr>
          </w:pPr>
          <w:hyperlink w:anchor="_Toc223435201" w:history="1">
            <w:r w:rsidRPr="0022737D">
              <w:rPr>
                <w:rStyle w:val="Hyperlink"/>
                <w:rFonts w:ascii="Arial" w:hAnsi="Arial" w:cs="Arial"/>
                <w:noProof/>
              </w:rPr>
              <w:t>Reference list</w:t>
            </w:r>
            <w:r w:rsidRPr="0022737D">
              <w:rPr>
                <w:noProof/>
                <w:webHidden/>
              </w:rPr>
              <w:tab/>
            </w:r>
            <w:r w:rsidRPr="0022737D">
              <w:rPr>
                <w:noProof/>
                <w:webHidden/>
              </w:rPr>
              <w:fldChar w:fldCharType="begin"/>
            </w:r>
            <w:r w:rsidRPr="0022737D">
              <w:rPr>
                <w:noProof/>
                <w:webHidden/>
              </w:rPr>
              <w:instrText xml:space="preserve"> PAGEREF _Toc223435201 \h </w:instrText>
            </w:r>
            <w:r w:rsidRPr="0022737D">
              <w:rPr>
                <w:noProof/>
                <w:webHidden/>
              </w:rPr>
            </w:r>
            <w:r w:rsidRPr="0022737D">
              <w:rPr>
                <w:noProof/>
                <w:webHidden/>
              </w:rPr>
              <w:fldChar w:fldCharType="separate"/>
            </w:r>
            <w:r w:rsidRPr="0022737D">
              <w:rPr>
                <w:noProof/>
                <w:webHidden/>
              </w:rPr>
              <w:t>24</w:t>
            </w:r>
            <w:r w:rsidRPr="0022737D">
              <w:rPr>
                <w:noProof/>
                <w:webHidden/>
              </w:rPr>
              <w:fldChar w:fldCharType="end"/>
            </w:r>
          </w:hyperlink>
        </w:p>
        <w:p w14:paraId="7F07F857" w14:textId="52A85400" w:rsidR="0022737D" w:rsidRPr="002F76C6" w:rsidRDefault="002F76C6" w:rsidP="002F76C6">
          <w:pPr>
            <w:spacing w:line="360" w:lineRule="auto"/>
            <w:rPr>
              <w:rFonts w:ascii="Arial" w:hAnsi="Arial" w:cs="Arial"/>
            </w:rPr>
          </w:pPr>
          <w:r w:rsidRPr="0022737D">
            <w:rPr>
              <w:rFonts w:ascii="Arial" w:hAnsi="Arial" w:cs="Arial"/>
              <w:noProof/>
            </w:rPr>
            <w:fldChar w:fldCharType="end"/>
          </w:r>
        </w:p>
      </w:sdtContent>
    </w:sdt>
    <w:p w14:paraId="1C690BFB" w14:textId="4DE15DCA" w:rsidR="0028324A" w:rsidRPr="00E37F38" w:rsidRDefault="0028324A" w:rsidP="002F76C6">
      <w:pPr>
        <w:pStyle w:val="Heading1"/>
        <w:spacing w:line="360" w:lineRule="auto"/>
        <w:rPr>
          <w:rFonts w:ascii="Arial" w:hAnsi="Arial" w:cs="Arial"/>
          <w:b/>
          <w:bCs/>
          <w:sz w:val="24"/>
          <w:szCs w:val="24"/>
        </w:rPr>
      </w:pPr>
      <w:bookmarkStart w:id="0" w:name="_Toc223435174"/>
      <w:r w:rsidRPr="00E37F38">
        <w:rPr>
          <w:rFonts w:ascii="Arial" w:hAnsi="Arial" w:cs="Arial"/>
          <w:b/>
          <w:bCs/>
          <w:sz w:val="24"/>
          <w:szCs w:val="24"/>
        </w:rPr>
        <w:lastRenderedPageBreak/>
        <w:t>1. Introduction</w:t>
      </w:r>
      <w:bookmarkEnd w:id="0"/>
    </w:p>
    <w:p w14:paraId="0683C573" w14:textId="0CA3E1F1" w:rsidR="0028324A" w:rsidRPr="002F76C6" w:rsidRDefault="0028324A" w:rsidP="002F76C6">
      <w:pPr>
        <w:spacing w:line="360" w:lineRule="auto"/>
        <w:rPr>
          <w:rFonts w:ascii="Arial" w:hAnsi="Arial" w:cs="Arial"/>
        </w:rPr>
      </w:pPr>
      <w:r w:rsidRPr="002F76C6">
        <w:rPr>
          <w:rFonts w:ascii="Arial" w:hAnsi="Arial" w:cs="Arial"/>
        </w:rPr>
        <w:t xml:space="preserve">Mercedes-Benz Group is one of the world’s most established luxury automotive manufacturers, operating across mature and emerging markets through a globally coordinated yet locally responsive strategy. As competition intensifies in the premium vehicle segment and regulatory pressures accelerate the transition toward electrification, multinational automotive firms must continuously evaluate the extent to which their international marketing strategies should be standardised or adapted to local market conditions. The long-standing debate between global standardisation and local adaptation remains central to international marketing scholarship (Theodosiou and </w:t>
      </w:r>
      <w:proofErr w:type="spellStart"/>
      <w:r w:rsidRPr="002F76C6">
        <w:rPr>
          <w:rFonts w:ascii="Arial" w:hAnsi="Arial" w:cs="Arial"/>
        </w:rPr>
        <w:t>Leonidou</w:t>
      </w:r>
      <w:proofErr w:type="spellEnd"/>
      <w:r w:rsidRPr="002F76C6">
        <w:rPr>
          <w:rFonts w:ascii="Arial" w:hAnsi="Arial" w:cs="Arial"/>
        </w:rPr>
        <w:t xml:space="preserve">, 2003; Zou and </w:t>
      </w:r>
      <w:proofErr w:type="spellStart"/>
      <w:r w:rsidRPr="002F76C6">
        <w:rPr>
          <w:rFonts w:ascii="Arial" w:hAnsi="Arial" w:cs="Arial"/>
        </w:rPr>
        <w:t>Cavusgil</w:t>
      </w:r>
      <w:proofErr w:type="spellEnd"/>
      <w:r w:rsidRPr="002F76C6">
        <w:rPr>
          <w:rFonts w:ascii="Arial" w:hAnsi="Arial" w:cs="Arial"/>
        </w:rPr>
        <w:t>, 2002), particularly for luxury brands whose value is rooted in both global consistency and contextual prestige signalling.</w:t>
      </w:r>
    </w:p>
    <w:p w14:paraId="4493EF19" w14:textId="061F8C62" w:rsidR="0028324A" w:rsidRPr="002F76C6" w:rsidRDefault="0028324A" w:rsidP="002F76C6">
      <w:pPr>
        <w:spacing w:line="360" w:lineRule="auto"/>
        <w:rPr>
          <w:rFonts w:ascii="Arial" w:hAnsi="Arial" w:cs="Arial"/>
        </w:rPr>
      </w:pPr>
      <w:r w:rsidRPr="002F76C6">
        <w:rPr>
          <w:rFonts w:ascii="Arial" w:hAnsi="Arial" w:cs="Arial"/>
        </w:rPr>
        <w:t>This report critically examines the international market entry strategy and marketing mix of Mercedes-Benz Group in two contrasting markets: Germany and the United Arab Emirates (UAE). Germany represents Mercedes’ home and most mature market, characterised by strong regulatory oversight, advanced technological infrastructure and a highly developed automotive culture. In contrast, the UAE is a high-income, rapidly diversifying economy with a strong orientation towards luxury consumption, status signalling and expatriate-driven demand. The comparison between these two markets provides a meaningful platform to evaluate how macro-environmental factors influence segmentation, targeting, positioning and marketing mix decisions.</w:t>
      </w:r>
    </w:p>
    <w:p w14:paraId="764D1050" w14:textId="7A487BCD" w:rsidR="00775F47" w:rsidRPr="002F76C6" w:rsidRDefault="0028324A" w:rsidP="002F76C6">
      <w:pPr>
        <w:spacing w:line="360" w:lineRule="auto"/>
        <w:rPr>
          <w:rFonts w:ascii="Arial" w:hAnsi="Arial" w:cs="Arial"/>
        </w:rPr>
      </w:pPr>
      <w:r w:rsidRPr="002F76C6">
        <w:rPr>
          <w:rFonts w:ascii="Arial" w:hAnsi="Arial" w:cs="Arial"/>
        </w:rPr>
        <w:t>The aim of this report is to critically compare Mercedes’ international marketing strategy across Germany and the UAE, assessing how political, economic, social, technological and environmental factors shape strategic decisions. The analysis will examine differences in STP strategy and the extended marketing mix (7Ps), evaluate Mercedes’ directional development strategy in the UAE, and consider ethical implications associated with sustainability and luxury positioning. The report concludes with strategic recommendations grounded in international marketing theory and empirical evidence.</w:t>
      </w:r>
    </w:p>
    <w:p w14:paraId="651E7564" w14:textId="45D3D50A" w:rsidR="0028324A" w:rsidRPr="00E37F38" w:rsidRDefault="0028324A" w:rsidP="002F76C6">
      <w:pPr>
        <w:pStyle w:val="Heading1"/>
        <w:spacing w:line="360" w:lineRule="auto"/>
        <w:rPr>
          <w:rFonts w:ascii="Arial" w:hAnsi="Arial" w:cs="Arial"/>
          <w:b/>
          <w:bCs/>
          <w:sz w:val="24"/>
          <w:szCs w:val="24"/>
        </w:rPr>
      </w:pPr>
      <w:bookmarkStart w:id="1" w:name="_Toc223435175"/>
      <w:r w:rsidRPr="00E37F38">
        <w:rPr>
          <w:rFonts w:ascii="Arial" w:hAnsi="Arial" w:cs="Arial"/>
          <w:b/>
          <w:bCs/>
          <w:sz w:val="24"/>
          <w:szCs w:val="24"/>
        </w:rPr>
        <w:lastRenderedPageBreak/>
        <w:t>2. Comparative Macro-Environmental Analysis (PESTEL)</w:t>
      </w:r>
      <w:bookmarkEnd w:id="1"/>
    </w:p>
    <w:p w14:paraId="668C89CC" w14:textId="06D976D0" w:rsidR="0037095B" w:rsidRPr="002F76C6" w:rsidRDefault="0028324A" w:rsidP="002F76C6">
      <w:pPr>
        <w:spacing w:line="360" w:lineRule="auto"/>
        <w:rPr>
          <w:rFonts w:ascii="Arial" w:hAnsi="Arial" w:cs="Arial"/>
        </w:rPr>
      </w:pPr>
      <w:r w:rsidRPr="002F76C6">
        <w:rPr>
          <w:rFonts w:ascii="Arial" w:hAnsi="Arial" w:cs="Arial"/>
        </w:rPr>
        <w:t>A systematic comparison of the macro-environment in Germany and the United Arab Emirates (UAE) provides the contextual foundation for evaluating Mercedes-Benz Group’s international marketing strategy. Macro-environmental conditions influence not only market attractiveness but also strategic positioning, regulatory compliance, pricing structures and product portfolio decisions. For a global automotive manufacturer operating within highly regulated and capital-intensive markets, political, economic, social and environmental variables are particularly significant.</w:t>
      </w:r>
    </w:p>
    <w:p w14:paraId="244AA538" w14:textId="0DB4DD28" w:rsidR="0037095B" w:rsidRPr="00E37F38" w:rsidRDefault="0037095B" w:rsidP="002F76C6">
      <w:pPr>
        <w:pStyle w:val="Heading2"/>
        <w:spacing w:line="360" w:lineRule="auto"/>
        <w:rPr>
          <w:rFonts w:ascii="Arial" w:hAnsi="Arial" w:cs="Arial"/>
          <w:b/>
          <w:bCs/>
          <w:sz w:val="24"/>
          <w:szCs w:val="24"/>
        </w:rPr>
      </w:pPr>
      <w:bookmarkStart w:id="2" w:name="_Toc223435176"/>
      <w:r w:rsidRPr="00E37F38">
        <w:rPr>
          <w:rFonts w:ascii="Arial" w:hAnsi="Arial" w:cs="Arial"/>
          <w:b/>
          <w:bCs/>
          <w:sz w:val="24"/>
          <w:szCs w:val="24"/>
        </w:rPr>
        <w:t>2.1 Political and Legal Environment</w:t>
      </w:r>
      <w:bookmarkEnd w:id="2"/>
    </w:p>
    <w:p w14:paraId="4C9A44B2" w14:textId="28D6ADE3" w:rsidR="0037095B" w:rsidRPr="002F76C6" w:rsidRDefault="0037095B" w:rsidP="002F76C6">
      <w:pPr>
        <w:spacing w:line="360" w:lineRule="auto"/>
        <w:rPr>
          <w:rFonts w:ascii="Arial" w:hAnsi="Arial" w:cs="Arial"/>
        </w:rPr>
      </w:pPr>
      <w:r w:rsidRPr="002F76C6">
        <w:rPr>
          <w:rFonts w:ascii="Arial" w:hAnsi="Arial" w:cs="Arial"/>
        </w:rPr>
        <w:t>Germany operates within the European Union’s stringent regulatory framework, where emissions standards and decarbonisation targets significantly shape automotive strategy (European Commission, 2024). For Mercedes, compliance with these requirements necessitates continuous investment in electrification and sustainable production (Mercedes-Benz Group, 2024a). While regulatory intensity increases operational costs, it simultaneously reinforces technological differentiation and strengthens the brand’s innovation-led positioning. However, high sustainability expectations also elevate reputational risk should environmental claims lack measurable impact (Crane et al., 2014).</w:t>
      </w:r>
    </w:p>
    <w:p w14:paraId="1DF21EAC" w14:textId="4ED9A159" w:rsidR="0037095B" w:rsidRPr="002F76C6" w:rsidRDefault="0037095B" w:rsidP="002F76C6">
      <w:pPr>
        <w:spacing w:line="360" w:lineRule="auto"/>
        <w:rPr>
          <w:rFonts w:ascii="Arial" w:hAnsi="Arial" w:cs="Arial"/>
        </w:rPr>
      </w:pPr>
      <w:r w:rsidRPr="002F76C6">
        <w:rPr>
          <w:rFonts w:ascii="Arial" w:hAnsi="Arial" w:cs="Arial"/>
        </w:rPr>
        <w:t xml:space="preserve">In contrast, the UAE provides a politically stable and pro-business environment characterised by low taxation and strong economic diversification policies (UAE Government, 2023; UAE Government, n.d.). Although environmental regulation is evolving, it remains less restrictive than in the EU. Consequently, Mercedes faces fewer compliance constraints but must navigate local partnership structures consistent with foreign market entry logic (Anderson and </w:t>
      </w:r>
      <w:proofErr w:type="spellStart"/>
      <w:r w:rsidRPr="002F76C6">
        <w:rPr>
          <w:rFonts w:ascii="Arial" w:hAnsi="Arial" w:cs="Arial"/>
        </w:rPr>
        <w:t>Gatignon</w:t>
      </w:r>
      <w:proofErr w:type="spellEnd"/>
      <w:r w:rsidRPr="002F76C6">
        <w:rPr>
          <w:rFonts w:ascii="Arial" w:hAnsi="Arial" w:cs="Arial"/>
        </w:rPr>
        <w:t>, 1986; Dunning, 1988).</w:t>
      </w:r>
    </w:p>
    <w:p w14:paraId="7632E070" w14:textId="6C8F734A" w:rsidR="0037095B" w:rsidRPr="002F76C6" w:rsidRDefault="0037095B" w:rsidP="002F76C6">
      <w:pPr>
        <w:spacing w:line="360" w:lineRule="auto"/>
        <w:rPr>
          <w:rFonts w:ascii="Arial" w:hAnsi="Arial" w:cs="Arial"/>
        </w:rPr>
      </w:pPr>
      <w:r w:rsidRPr="002F76C6">
        <w:rPr>
          <w:rFonts w:ascii="Arial" w:hAnsi="Arial" w:cs="Arial"/>
        </w:rPr>
        <w:t>Overall, Germany represents a regulation-intensive environment demanding technological adaptation, whereas the UAE offers strategic growth conditions supported by state-led economic modernisation.</w:t>
      </w:r>
    </w:p>
    <w:p w14:paraId="3C420F46" w14:textId="39C493FF" w:rsidR="0028324A" w:rsidRPr="00E37F38" w:rsidRDefault="0028324A" w:rsidP="002F76C6">
      <w:pPr>
        <w:pStyle w:val="Heading2"/>
        <w:spacing w:line="360" w:lineRule="auto"/>
        <w:rPr>
          <w:rFonts w:ascii="Arial" w:hAnsi="Arial" w:cs="Arial"/>
          <w:b/>
          <w:bCs/>
          <w:sz w:val="24"/>
          <w:szCs w:val="24"/>
        </w:rPr>
      </w:pPr>
      <w:bookmarkStart w:id="3" w:name="_Toc223435177"/>
      <w:r w:rsidRPr="00E37F38">
        <w:rPr>
          <w:rFonts w:ascii="Arial" w:hAnsi="Arial" w:cs="Arial"/>
          <w:b/>
          <w:bCs/>
          <w:sz w:val="24"/>
          <w:szCs w:val="24"/>
        </w:rPr>
        <w:t>2.2 Economic Environment</w:t>
      </w:r>
      <w:bookmarkEnd w:id="3"/>
    </w:p>
    <w:p w14:paraId="2C30AFFC" w14:textId="778FAC7F" w:rsidR="0028324A" w:rsidRPr="002F76C6" w:rsidRDefault="0028324A" w:rsidP="002F76C6">
      <w:pPr>
        <w:spacing w:line="360" w:lineRule="auto"/>
        <w:rPr>
          <w:rFonts w:ascii="Arial" w:hAnsi="Arial" w:cs="Arial"/>
        </w:rPr>
      </w:pPr>
      <w:r w:rsidRPr="002F76C6">
        <w:rPr>
          <w:rFonts w:ascii="Arial" w:hAnsi="Arial" w:cs="Arial"/>
        </w:rPr>
        <w:t xml:space="preserve">Germany is one of the largest economies globally, with strong GDP performance and a deeply established automotive industry (World Bank, 2025). The domestic market </w:t>
      </w:r>
      <w:r w:rsidRPr="002F76C6">
        <w:rPr>
          <w:rFonts w:ascii="Arial" w:hAnsi="Arial" w:cs="Arial"/>
        </w:rPr>
        <w:lastRenderedPageBreak/>
        <w:t>is mature, competitive and characterised by high consumer expectations regarding engineering quality, performance efficiency and environmental standards. As a home market, Germany offers stability but limited high-growth potential. Demand is shaped by technological sophistication and a growing emphasis on electric mobility, consistent with wider European EV adoption trends (International Energy Agency, 2024).</w:t>
      </w:r>
    </w:p>
    <w:p w14:paraId="33CBDC8D" w14:textId="528C9DD4" w:rsidR="0028324A" w:rsidRPr="002F76C6" w:rsidRDefault="0028324A" w:rsidP="002F76C6">
      <w:pPr>
        <w:spacing w:line="360" w:lineRule="auto"/>
        <w:rPr>
          <w:rFonts w:ascii="Arial" w:hAnsi="Arial" w:cs="Arial"/>
        </w:rPr>
      </w:pPr>
      <w:r w:rsidRPr="002F76C6">
        <w:rPr>
          <w:rFonts w:ascii="Arial" w:hAnsi="Arial" w:cs="Arial"/>
        </w:rPr>
        <w:t>The UAE, while significantly smaller in absolute GDP terms, demonstrates high GDP per capita and substantial purchasing power driven by oil revenues, financial services and global trade (World Bank, 2021). The economy supports a sizeable high-net-worth and expatriate professional segment, which underpins demand for luxury automotive brands. Unlike Germany’s mature automotive market, the UAE presents continued growth opportunities in premium SUVs and high-performance models, alongside increasing interest in electric mobility.</w:t>
      </w:r>
    </w:p>
    <w:p w14:paraId="71C7EE80" w14:textId="2ED8E9C3" w:rsidR="0028324A" w:rsidRPr="002F76C6" w:rsidRDefault="0028324A" w:rsidP="002F76C6">
      <w:pPr>
        <w:spacing w:line="360" w:lineRule="auto"/>
        <w:rPr>
          <w:rFonts w:ascii="Arial" w:hAnsi="Arial" w:cs="Arial"/>
        </w:rPr>
      </w:pPr>
      <w:r w:rsidRPr="002F76C6">
        <w:rPr>
          <w:rFonts w:ascii="Arial" w:hAnsi="Arial" w:cs="Arial"/>
        </w:rPr>
        <w:t xml:space="preserve">The economic contrast between the two markets highlights different strategic imperatives. Germany requires technological innovation and compliance-driven adaptation, whereas the UAE offers growth through aspirational consumption and premium positioning. This divergence reinforces the need for calibrated marketing mix adjustments rather than uniform global standardisation, consistent with global marketing strategy theory (Zou and </w:t>
      </w:r>
      <w:proofErr w:type="spellStart"/>
      <w:r w:rsidRPr="002F76C6">
        <w:rPr>
          <w:rFonts w:ascii="Arial" w:hAnsi="Arial" w:cs="Arial"/>
        </w:rPr>
        <w:t>Cavusgil</w:t>
      </w:r>
      <w:proofErr w:type="spellEnd"/>
      <w:r w:rsidRPr="002F76C6">
        <w:rPr>
          <w:rFonts w:ascii="Arial" w:hAnsi="Arial" w:cs="Arial"/>
        </w:rPr>
        <w:t>, 2002).</w:t>
      </w:r>
    </w:p>
    <w:p w14:paraId="10658BAC" w14:textId="2D310C1F" w:rsidR="0037095B" w:rsidRPr="00E37F38" w:rsidRDefault="0037095B" w:rsidP="002F76C6">
      <w:pPr>
        <w:pStyle w:val="Heading2"/>
        <w:spacing w:line="360" w:lineRule="auto"/>
        <w:rPr>
          <w:rFonts w:ascii="Arial" w:hAnsi="Arial" w:cs="Arial"/>
          <w:b/>
          <w:bCs/>
          <w:sz w:val="24"/>
          <w:szCs w:val="24"/>
        </w:rPr>
      </w:pPr>
      <w:bookmarkStart w:id="4" w:name="_Toc223435178"/>
      <w:r w:rsidRPr="00E37F38">
        <w:rPr>
          <w:rFonts w:ascii="Arial" w:hAnsi="Arial" w:cs="Arial"/>
          <w:b/>
          <w:bCs/>
          <w:sz w:val="24"/>
          <w:szCs w:val="24"/>
        </w:rPr>
        <w:t>2.3 Social and Cultural Environment</w:t>
      </w:r>
      <w:bookmarkEnd w:id="4"/>
      <w:r w:rsidRPr="00E37F38">
        <w:rPr>
          <w:rFonts w:ascii="Arial" w:hAnsi="Arial" w:cs="Arial"/>
          <w:b/>
          <w:bCs/>
          <w:sz w:val="24"/>
          <w:szCs w:val="24"/>
        </w:rPr>
        <w:t xml:space="preserve"> </w:t>
      </w:r>
    </w:p>
    <w:p w14:paraId="3D3267BE" w14:textId="4EC256D8" w:rsidR="0037095B" w:rsidRPr="002F76C6" w:rsidRDefault="0037095B" w:rsidP="002F76C6">
      <w:pPr>
        <w:spacing w:line="360" w:lineRule="auto"/>
        <w:rPr>
          <w:rFonts w:ascii="Arial" w:hAnsi="Arial" w:cs="Arial"/>
        </w:rPr>
      </w:pPr>
      <w:r w:rsidRPr="002F76C6">
        <w:rPr>
          <w:rFonts w:ascii="Arial" w:hAnsi="Arial" w:cs="Arial"/>
        </w:rPr>
        <w:t>Cultural context significantly shapes how luxury brands are interpreted and valued. In Germany, consumer behaviour in the premium automotive segment is influenced by engineering heritage, performance credibility and growing environmental awareness. Hofstede’s dimensions suggest relatively lower power distance and higher uncertainty avoidance, indicating preference for reliability, technical justification and long-term value (Hofstede Insights, 2024). Consequently, luxury positioning in Germany is reinforced through measurable innovation, safety standards and technological competence rather than overt status display.</w:t>
      </w:r>
    </w:p>
    <w:p w14:paraId="36EF197A" w14:textId="35992237" w:rsidR="0037095B" w:rsidRPr="002F76C6" w:rsidRDefault="0037095B" w:rsidP="002F76C6">
      <w:pPr>
        <w:spacing w:line="360" w:lineRule="auto"/>
        <w:rPr>
          <w:rFonts w:ascii="Arial" w:hAnsi="Arial" w:cs="Arial"/>
        </w:rPr>
      </w:pPr>
      <w:r w:rsidRPr="002F76C6">
        <w:rPr>
          <w:rFonts w:ascii="Arial" w:hAnsi="Arial" w:cs="Arial"/>
        </w:rPr>
        <w:t>While prestige remains relevant, its expression is comparatively restrained and linked to craftsmanship and performance credibility (Kapferer and Bastien, 2009). This cultural orientation supports promotional strategies grounded in rational appeals and sustainability performance.</w:t>
      </w:r>
    </w:p>
    <w:p w14:paraId="5F45581B" w14:textId="19B0FAFB" w:rsidR="0037095B" w:rsidRPr="002F76C6" w:rsidRDefault="0037095B" w:rsidP="002F76C6">
      <w:pPr>
        <w:spacing w:line="360" w:lineRule="auto"/>
        <w:rPr>
          <w:rFonts w:ascii="Arial" w:hAnsi="Arial" w:cs="Arial"/>
        </w:rPr>
      </w:pPr>
      <w:r w:rsidRPr="002F76C6">
        <w:rPr>
          <w:rFonts w:ascii="Arial" w:hAnsi="Arial" w:cs="Arial"/>
        </w:rPr>
        <w:lastRenderedPageBreak/>
        <w:t>In contrast, the UAE demonstrates higher power distance and stronger acceptance of hierarchical social structures (Hofstede Insights, 2024). In such contexts, luxury consumption functions more visibly as a signal of success and social standing. Luxury brand literature suggests that in status-oriented markets, exclusivity and symbolic value become central to brand appeal (Ko, Costello and Taylor, 2017). As a result, Mercedes’ positioning in the UAE must emphasise aspirational imagery, exclusivity and experiential prestige.</w:t>
      </w:r>
    </w:p>
    <w:p w14:paraId="637CD843" w14:textId="0251DDA7" w:rsidR="0037095B" w:rsidRPr="002F76C6" w:rsidRDefault="0037095B" w:rsidP="002F76C6">
      <w:pPr>
        <w:spacing w:line="360" w:lineRule="auto"/>
        <w:rPr>
          <w:rFonts w:ascii="Arial" w:hAnsi="Arial" w:cs="Arial"/>
        </w:rPr>
      </w:pPr>
      <w:r w:rsidRPr="002F76C6">
        <w:rPr>
          <w:rFonts w:ascii="Arial" w:hAnsi="Arial" w:cs="Arial"/>
        </w:rPr>
        <w:t xml:space="preserve">The UAE’s multicultural demographic composition further necessitates nuanced segmentation, as consumer expectations vary across expatriate and local populations (Littrell and Miller, 2001). Overall, while Mercedes maintains a consistent global luxury identity, cultural divergence between Germany and the UAE requires selective adaptation in communication framing and experiential delivery, supporting arguments for calibrated rather than uniform global strategy (Theodosiou and </w:t>
      </w:r>
      <w:proofErr w:type="spellStart"/>
      <w:r w:rsidRPr="002F76C6">
        <w:rPr>
          <w:rFonts w:ascii="Arial" w:hAnsi="Arial" w:cs="Arial"/>
        </w:rPr>
        <w:t>Leonidou</w:t>
      </w:r>
      <w:proofErr w:type="spellEnd"/>
      <w:r w:rsidRPr="002F76C6">
        <w:rPr>
          <w:rFonts w:ascii="Arial" w:hAnsi="Arial" w:cs="Arial"/>
        </w:rPr>
        <w:t xml:space="preserve">, 2003; Schmid and </w:t>
      </w:r>
      <w:proofErr w:type="spellStart"/>
      <w:r w:rsidRPr="002F76C6">
        <w:rPr>
          <w:rFonts w:ascii="Arial" w:hAnsi="Arial" w:cs="Arial"/>
        </w:rPr>
        <w:t>Kotulla</w:t>
      </w:r>
      <w:proofErr w:type="spellEnd"/>
      <w:r w:rsidRPr="002F76C6">
        <w:rPr>
          <w:rFonts w:ascii="Arial" w:hAnsi="Arial" w:cs="Arial"/>
        </w:rPr>
        <w:t>, 2011).</w:t>
      </w:r>
    </w:p>
    <w:p w14:paraId="4B7DB73D" w14:textId="7B8ACCD7" w:rsidR="0028324A" w:rsidRPr="00E37F38" w:rsidRDefault="0028324A" w:rsidP="002F76C6">
      <w:pPr>
        <w:pStyle w:val="Heading2"/>
        <w:spacing w:line="360" w:lineRule="auto"/>
        <w:rPr>
          <w:rFonts w:ascii="Arial" w:hAnsi="Arial" w:cs="Arial"/>
          <w:b/>
          <w:bCs/>
          <w:sz w:val="24"/>
          <w:szCs w:val="24"/>
        </w:rPr>
      </w:pPr>
      <w:bookmarkStart w:id="5" w:name="_Toc223435179"/>
      <w:r w:rsidRPr="00E37F38">
        <w:rPr>
          <w:rFonts w:ascii="Arial" w:hAnsi="Arial" w:cs="Arial"/>
          <w:b/>
          <w:bCs/>
          <w:sz w:val="24"/>
          <w:szCs w:val="24"/>
        </w:rPr>
        <w:t>2.4 Technological and Environmental Factors</w:t>
      </w:r>
      <w:bookmarkEnd w:id="5"/>
    </w:p>
    <w:p w14:paraId="540C6C7E" w14:textId="6694F513" w:rsidR="0028324A" w:rsidRPr="002F76C6" w:rsidRDefault="0028324A" w:rsidP="002F76C6">
      <w:pPr>
        <w:spacing w:line="360" w:lineRule="auto"/>
        <w:rPr>
          <w:rFonts w:ascii="Arial" w:hAnsi="Arial" w:cs="Arial"/>
        </w:rPr>
      </w:pPr>
      <w:r w:rsidRPr="002F76C6">
        <w:rPr>
          <w:rFonts w:ascii="Arial" w:hAnsi="Arial" w:cs="Arial"/>
        </w:rPr>
        <w:t>Technological transformation and environmental pressures represent some of the most significant macro-environmental forces affecting the global automotive industry. For Mercedes-Benz Group, the shift toward electrification, digitalisation and carbon neutrality is not simply an operational issue but a central strategic determinant influencing product development, positioning and long-term competitiveness.</w:t>
      </w:r>
    </w:p>
    <w:p w14:paraId="67E47F79" w14:textId="293EBAE7" w:rsidR="0028324A" w:rsidRPr="002F76C6" w:rsidRDefault="0028324A" w:rsidP="002F76C6">
      <w:pPr>
        <w:spacing w:line="360" w:lineRule="auto"/>
        <w:rPr>
          <w:rFonts w:ascii="Arial" w:hAnsi="Arial" w:cs="Arial"/>
        </w:rPr>
      </w:pPr>
      <w:r w:rsidRPr="002F76C6">
        <w:rPr>
          <w:rFonts w:ascii="Arial" w:hAnsi="Arial" w:cs="Arial"/>
        </w:rPr>
        <w:t>In Germany, technological and environmental pressures are particularly pronounced. The European regulatory environment, reinforced by the Green Deal Industrial Plan, places strong emphasis on emissions reduction, renewable energy transition and industrial decarbonisation (European Commission, 2024). This creates structural incentives for automotive manufacturers to accelerate electric vehicle (EV) production and invest in battery innovation. The rapid growth of EV adoption across Europe further intensifies this transition (International Energy Agency, 2024).</w:t>
      </w:r>
    </w:p>
    <w:p w14:paraId="18401717" w14:textId="33BB086B" w:rsidR="0028324A" w:rsidRPr="002F76C6" w:rsidRDefault="0028324A" w:rsidP="002F76C6">
      <w:pPr>
        <w:spacing w:line="360" w:lineRule="auto"/>
        <w:rPr>
          <w:rFonts w:ascii="Arial" w:hAnsi="Arial" w:cs="Arial"/>
        </w:rPr>
      </w:pPr>
      <w:r w:rsidRPr="002F76C6">
        <w:rPr>
          <w:rFonts w:ascii="Arial" w:hAnsi="Arial" w:cs="Arial"/>
        </w:rPr>
        <w:t xml:space="preserve">For Mercedes, this context strengthens the strategic importance of its electrification roadmap and climate commitments, including its broader decarbonisation agenda (Mercedes-Benz Group, 2024a). In the German market, environmental performance has become a competitive differentiator rather than a peripheral corporate responsibility issue. Consumers, regulators and investors increasingly expect </w:t>
      </w:r>
      <w:r w:rsidRPr="002F76C6">
        <w:rPr>
          <w:rFonts w:ascii="Arial" w:hAnsi="Arial" w:cs="Arial"/>
        </w:rPr>
        <w:lastRenderedPageBreak/>
        <w:t>transparent sustainability reporting and measurable emissions reduction targets. This increases reputational risk if environmental claims are perceived as superficial, reinforcing wider debates regarding corporate sustainability narratives and the risk of symbolic compliance (Crane et al., 2014).</w:t>
      </w:r>
    </w:p>
    <w:p w14:paraId="59230511" w14:textId="6646586C" w:rsidR="0028324A" w:rsidRPr="002F76C6" w:rsidRDefault="0028324A" w:rsidP="002F76C6">
      <w:pPr>
        <w:spacing w:line="360" w:lineRule="auto"/>
        <w:rPr>
          <w:rFonts w:ascii="Arial" w:hAnsi="Arial" w:cs="Arial"/>
        </w:rPr>
      </w:pPr>
      <w:r w:rsidRPr="002F76C6">
        <w:rPr>
          <w:rFonts w:ascii="Arial" w:hAnsi="Arial" w:cs="Arial"/>
        </w:rPr>
        <w:t>Technological infrastructure in Germany, including charging networks and research ecosystems, also supports EV expansion. However, the transition is capital-intensive and operationally complex. As a result, product strategy in Germany must balance innovation leadership with regulatory compliance and cost management.</w:t>
      </w:r>
    </w:p>
    <w:p w14:paraId="4EB3BB30" w14:textId="1F2B96D6" w:rsidR="0028324A" w:rsidRPr="002F76C6" w:rsidRDefault="0028324A" w:rsidP="002F76C6">
      <w:pPr>
        <w:spacing w:line="360" w:lineRule="auto"/>
        <w:rPr>
          <w:rFonts w:ascii="Arial" w:hAnsi="Arial" w:cs="Arial"/>
        </w:rPr>
      </w:pPr>
      <w:r w:rsidRPr="002F76C6">
        <w:rPr>
          <w:rFonts w:ascii="Arial" w:hAnsi="Arial" w:cs="Arial"/>
        </w:rPr>
        <w:t>The UAE presents a different technological and environmental dynamic. Historically characterised by fossil fuel dependency, the UAE has nevertheless articulated a diversification strategy that includes sustainability and technological innovation as key pillars (UAE Government, 2023). While environmental regulation remains less restrictive than in the European Union, national policy frameworks increasingly promote renewable energy adoption and smart mobility solutions.</w:t>
      </w:r>
    </w:p>
    <w:p w14:paraId="6E0B71FF" w14:textId="48091306" w:rsidR="0028324A" w:rsidRPr="002F76C6" w:rsidRDefault="0028324A" w:rsidP="002F76C6">
      <w:pPr>
        <w:spacing w:line="360" w:lineRule="auto"/>
        <w:rPr>
          <w:rFonts w:ascii="Arial" w:hAnsi="Arial" w:cs="Arial"/>
        </w:rPr>
      </w:pPr>
      <w:r w:rsidRPr="002F76C6">
        <w:rPr>
          <w:rFonts w:ascii="Arial" w:hAnsi="Arial" w:cs="Arial"/>
        </w:rPr>
        <w:t>EV adoption in the UAE remains at an earlier stage compared to Germany, but infrastructure investment is expanding, and government support for sustainable mobility is growing. This creates a strategic opportunity for Mercedes to position itself as both a luxury brand and a technological pioneer within the region. However, consumer demand in the UAE may still demonstrate stronger preference for high-performance combustion and hybrid models, particularly within the luxury SUV segment.</w:t>
      </w:r>
    </w:p>
    <w:p w14:paraId="3A5A98B9" w14:textId="17879919" w:rsidR="0028324A" w:rsidRPr="002F76C6" w:rsidRDefault="0028324A" w:rsidP="002F76C6">
      <w:pPr>
        <w:spacing w:line="360" w:lineRule="auto"/>
        <w:rPr>
          <w:rFonts w:ascii="Arial" w:hAnsi="Arial" w:cs="Arial"/>
        </w:rPr>
      </w:pPr>
      <w:r w:rsidRPr="002F76C6">
        <w:rPr>
          <w:rFonts w:ascii="Arial" w:hAnsi="Arial" w:cs="Arial"/>
        </w:rPr>
        <w:t>This divergence highlights an important strategic implication. In Germany, electrification is driven primarily by regulatory and environmental pressure, making EV development essential for compliance and competitive survival. In the UAE, electrification can be positioned as an innovation-driven lifestyle upgrade aligned with national modernisation ambitions rather than purely regulatory necessity.</w:t>
      </w:r>
    </w:p>
    <w:p w14:paraId="374A7DC1" w14:textId="40A1BAC9" w:rsidR="0028324A" w:rsidRPr="002F76C6" w:rsidRDefault="0028324A" w:rsidP="002F76C6">
      <w:pPr>
        <w:spacing w:line="360" w:lineRule="auto"/>
        <w:rPr>
          <w:rFonts w:ascii="Arial" w:hAnsi="Arial" w:cs="Arial"/>
        </w:rPr>
      </w:pPr>
      <w:r w:rsidRPr="002F76C6">
        <w:rPr>
          <w:rFonts w:ascii="Arial" w:hAnsi="Arial" w:cs="Arial"/>
        </w:rPr>
        <w:t xml:space="preserve">Therefore, while Mercedes’ global technological direction may be consistent, the underlying drivers differ across markets. Germany represents a regulation-intensive and sustainability-focused environment requiring accelerated technological adaptation. The UAE represents a growth-oriented, innovation-embracing market where technology enhances brand prestige and forward-looking identity. This reinforces the need for differentiated communication strategies and calibrated </w:t>
      </w:r>
      <w:r w:rsidRPr="002F76C6">
        <w:rPr>
          <w:rFonts w:ascii="Arial" w:hAnsi="Arial" w:cs="Arial"/>
        </w:rPr>
        <w:lastRenderedPageBreak/>
        <w:t xml:space="preserve">product portfolio emphasis across markets, consistent with global marketing strategy theory (Zou and </w:t>
      </w:r>
      <w:proofErr w:type="spellStart"/>
      <w:r w:rsidRPr="002F76C6">
        <w:rPr>
          <w:rFonts w:ascii="Arial" w:hAnsi="Arial" w:cs="Arial"/>
        </w:rPr>
        <w:t>Cavusgil</w:t>
      </w:r>
      <w:proofErr w:type="spellEnd"/>
      <w:r w:rsidRPr="002F76C6">
        <w:rPr>
          <w:rFonts w:ascii="Arial" w:hAnsi="Arial" w:cs="Arial"/>
        </w:rPr>
        <w:t>, 2002).</w:t>
      </w:r>
    </w:p>
    <w:p w14:paraId="02D411C0" w14:textId="169FB833" w:rsidR="0028324A" w:rsidRPr="002F76C6" w:rsidRDefault="0028324A" w:rsidP="002F76C6">
      <w:pPr>
        <w:spacing w:line="360" w:lineRule="auto"/>
        <w:rPr>
          <w:rFonts w:ascii="Arial" w:hAnsi="Arial" w:cs="Arial"/>
        </w:rPr>
      </w:pPr>
      <w:r w:rsidRPr="002F76C6">
        <w:rPr>
          <w:rFonts w:ascii="Arial" w:hAnsi="Arial" w:cs="Arial"/>
        </w:rPr>
        <w:t>Concluding Evaluation of PESTEL</w:t>
      </w:r>
    </w:p>
    <w:p w14:paraId="19B4CA8A" w14:textId="4B3A4CC3" w:rsidR="0028324A" w:rsidRPr="002F76C6" w:rsidRDefault="0028324A" w:rsidP="002F76C6">
      <w:pPr>
        <w:spacing w:line="360" w:lineRule="auto"/>
        <w:rPr>
          <w:rFonts w:ascii="Arial" w:hAnsi="Arial" w:cs="Arial"/>
        </w:rPr>
      </w:pPr>
      <w:r w:rsidRPr="002F76C6">
        <w:rPr>
          <w:rFonts w:ascii="Arial" w:hAnsi="Arial" w:cs="Arial"/>
        </w:rPr>
        <w:t>The comparative PESTEL analysis demonstrates that Germany and the UAE differ substantially in regulatory intensity, economic maturity, cultural consumption patterns and environmental pressure. Germany represents a mature, sustainability-driven and compliance-intensive environment, while the UAE provides a high-income, prestige-oriented and strategically supportive growth market.</w:t>
      </w:r>
    </w:p>
    <w:p w14:paraId="5B558480" w14:textId="47CAD42B" w:rsidR="0028324A" w:rsidRPr="002F76C6" w:rsidRDefault="0028324A" w:rsidP="002F76C6">
      <w:pPr>
        <w:spacing w:line="360" w:lineRule="auto"/>
        <w:rPr>
          <w:rFonts w:ascii="Arial" w:hAnsi="Arial" w:cs="Arial"/>
        </w:rPr>
      </w:pPr>
      <w:r w:rsidRPr="002F76C6">
        <w:rPr>
          <w:rFonts w:ascii="Arial" w:hAnsi="Arial" w:cs="Arial"/>
        </w:rPr>
        <w:t>These macro-environmental differences create distinct strategic imperatives for Mercedes-Benz Group. While core brand identity may remain globally consistent, the analysis suggests that selective adaptation in positioning, communication and product emphasis is necessary to align with local political, economic and socio-cultural conditions. This conclusion provides the foundation for examining segmentation, targeting and positioning strategies in the subsequent section.</w:t>
      </w:r>
    </w:p>
    <w:p w14:paraId="1D4CC1AE" w14:textId="6755A698" w:rsidR="0028324A" w:rsidRPr="00E37F38" w:rsidRDefault="0028324A" w:rsidP="002F76C6">
      <w:pPr>
        <w:pStyle w:val="Heading1"/>
        <w:spacing w:line="360" w:lineRule="auto"/>
        <w:rPr>
          <w:rFonts w:ascii="Arial" w:hAnsi="Arial" w:cs="Arial"/>
          <w:b/>
          <w:bCs/>
          <w:sz w:val="24"/>
          <w:szCs w:val="24"/>
        </w:rPr>
      </w:pPr>
      <w:bookmarkStart w:id="6" w:name="_Toc223435180"/>
      <w:r w:rsidRPr="00E37F38">
        <w:rPr>
          <w:rFonts w:ascii="Arial" w:hAnsi="Arial" w:cs="Arial"/>
          <w:b/>
          <w:bCs/>
          <w:sz w:val="24"/>
          <w:szCs w:val="24"/>
        </w:rPr>
        <w:t>3. Comparative STP Analysis</w:t>
      </w:r>
      <w:bookmarkEnd w:id="6"/>
    </w:p>
    <w:p w14:paraId="6BEBB19A" w14:textId="24AEF765" w:rsidR="0028324A" w:rsidRPr="002F76C6" w:rsidRDefault="0028324A" w:rsidP="002F76C6">
      <w:pPr>
        <w:spacing w:line="360" w:lineRule="auto"/>
        <w:rPr>
          <w:rFonts w:ascii="Arial" w:hAnsi="Arial" w:cs="Arial"/>
        </w:rPr>
      </w:pPr>
      <w:r w:rsidRPr="002F76C6">
        <w:rPr>
          <w:rFonts w:ascii="Arial" w:hAnsi="Arial" w:cs="Arial"/>
        </w:rPr>
        <w:t xml:space="preserve">Segmentation, targeting and positioning (STP) represent the strategic bridge between macro-environmental conditions and the operational marketing mix. While Mercedes-Benz maintains a globally recognised luxury identity, the way it segments markets, prioritises customer groups and positions itself may vary according to cultural, economic and regulatory conditions. International marketing theory suggests that global brands must balance standardised brand equity with locally responsive targeting decisions (Zou and </w:t>
      </w:r>
      <w:proofErr w:type="spellStart"/>
      <w:r w:rsidRPr="002F76C6">
        <w:rPr>
          <w:rFonts w:ascii="Arial" w:hAnsi="Arial" w:cs="Arial"/>
        </w:rPr>
        <w:t>Cavusgil</w:t>
      </w:r>
      <w:proofErr w:type="spellEnd"/>
      <w:r w:rsidRPr="002F76C6">
        <w:rPr>
          <w:rFonts w:ascii="Arial" w:hAnsi="Arial" w:cs="Arial"/>
        </w:rPr>
        <w:t xml:space="preserve">, 2002; Theodosiou and </w:t>
      </w:r>
      <w:proofErr w:type="spellStart"/>
      <w:r w:rsidRPr="002F76C6">
        <w:rPr>
          <w:rFonts w:ascii="Arial" w:hAnsi="Arial" w:cs="Arial"/>
        </w:rPr>
        <w:t>Leonidou</w:t>
      </w:r>
      <w:proofErr w:type="spellEnd"/>
      <w:r w:rsidRPr="002F76C6">
        <w:rPr>
          <w:rFonts w:ascii="Arial" w:hAnsi="Arial" w:cs="Arial"/>
        </w:rPr>
        <w:t>, 2003). The comparison between Germany and the UAE illustrates this strategic calibration.</w:t>
      </w:r>
    </w:p>
    <w:p w14:paraId="42EEBA91" w14:textId="7EF89A96" w:rsidR="0028324A" w:rsidRPr="00E37F38" w:rsidRDefault="0028324A" w:rsidP="002F76C6">
      <w:pPr>
        <w:pStyle w:val="Heading2"/>
        <w:spacing w:line="360" w:lineRule="auto"/>
        <w:rPr>
          <w:rFonts w:ascii="Arial" w:hAnsi="Arial" w:cs="Arial"/>
          <w:b/>
          <w:bCs/>
          <w:sz w:val="24"/>
          <w:szCs w:val="24"/>
        </w:rPr>
      </w:pPr>
      <w:bookmarkStart w:id="7" w:name="_Toc223435181"/>
      <w:r w:rsidRPr="00E37F38">
        <w:rPr>
          <w:rFonts w:ascii="Arial" w:hAnsi="Arial" w:cs="Arial"/>
          <w:b/>
          <w:bCs/>
          <w:sz w:val="24"/>
          <w:szCs w:val="24"/>
        </w:rPr>
        <w:t>3.1 Segmentation</w:t>
      </w:r>
      <w:bookmarkEnd w:id="7"/>
    </w:p>
    <w:p w14:paraId="2DB1ED60" w14:textId="1C3D83DE" w:rsidR="0028324A" w:rsidRPr="002F76C6" w:rsidRDefault="0028324A" w:rsidP="002F76C6">
      <w:pPr>
        <w:spacing w:line="360" w:lineRule="auto"/>
        <w:rPr>
          <w:rFonts w:ascii="Arial" w:hAnsi="Arial" w:cs="Arial"/>
        </w:rPr>
      </w:pPr>
      <w:r w:rsidRPr="002F76C6">
        <w:rPr>
          <w:rFonts w:ascii="Arial" w:hAnsi="Arial" w:cs="Arial"/>
        </w:rPr>
        <w:t>In Germany, segmentation within the premium automotive sector is shaped by income level, lifestyle orientation, technological interest and environmental consciousness. As a mature automotive market, German consumers are highly informed and often demonstrate brand loyalty based on engineering heritage and performance reputation. Segments include business professionals, upper-middle-class households, performance enthusiasts and increasingly, environmentally conscious early adopters of electric vehicles.</w:t>
      </w:r>
    </w:p>
    <w:p w14:paraId="09ECB558" w14:textId="28371085" w:rsidR="0028324A" w:rsidRPr="002F76C6" w:rsidRDefault="0028324A" w:rsidP="002F76C6">
      <w:pPr>
        <w:spacing w:line="360" w:lineRule="auto"/>
        <w:rPr>
          <w:rFonts w:ascii="Arial" w:hAnsi="Arial" w:cs="Arial"/>
        </w:rPr>
      </w:pPr>
      <w:r w:rsidRPr="002F76C6">
        <w:rPr>
          <w:rFonts w:ascii="Arial" w:hAnsi="Arial" w:cs="Arial"/>
        </w:rPr>
        <w:lastRenderedPageBreak/>
        <w:t xml:space="preserve">Given Germany’s relatively high uncertainty avoidance and long-term orientation (Hofstede Insights, 2024), consumers may evaluate vehicle purchases through rational criteria such as safety, durability, efficiency and technological credibility. This reinforces a segmentation logic grounded in psychographic variables such as innovation orientation and environmental awareness rather than purely conspicuous </w:t>
      </w:r>
      <w:r w:rsidR="002F76C6" w:rsidRPr="002F76C6">
        <w:rPr>
          <w:rFonts w:ascii="Arial" w:hAnsi="Arial" w:cs="Arial"/>
        </w:rPr>
        <w:t>consumption</w:t>
      </w:r>
      <w:r w:rsidRPr="002F76C6">
        <w:rPr>
          <w:rFonts w:ascii="Arial" w:hAnsi="Arial" w:cs="Arial"/>
        </w:rPr>
        <w:t>.</w:t>
      </w:r>
    </w:p>
    <w:p w14:paraId="62AF9B37" w14:textId="3D91F739" w:rsidR="0028324A" w:rsidRPr="002F76C6" w:rsidRDefault="0028324A" w:rsidP="002F76C6">
      <w:pPr>
        <w:spacing w:line="360" w:lineRule="auto"/>
        <w:rPr>
          <w:rFonts w:ascii="Arial" w:hAnsi="Arial" w:cs="Arial"/>
        </w:rPr>
      </w:pPr>
      <w:r w:rsidRPr="002F76C6">
        <w:rPr>
          <w:rFonts w:ascii="Arial" w:hAnsi="Arial" w:cs="Arial"/>
        </w:rPr>
        <w:t>In contrast, segmentation in the UAE reflects a more diverse socio-economic and cultural composition. The market includes high-net-worth Emirati nationals, affluent expatriate professionals and entrepreneurial elites. Income-based segmentation is particularly salient due to significant wealth concentration. Additionally, lifestyle segmentation plays a strong role, with luxury vehicles functioning as expressions of status and success.</w:t>
      </w:r>
    </w:p>
    <w:p w14:paraId="5A1C319F" w14:textId="0C9EA7A4" w:rsidR="0028324A" w:rsidRPr="002F76C6" w:rsidRDefault="0028324A" w:rsidP="002F76C6">
      <w:pPr>
        <w:spacing w:line="360" w:lineRule="auto"/>
        <w:rPr>
          <w:rFonts w:ascii="Arial" w:hAnsi="Arial" w:cs="Arial"/>
        </w:rPr>
      </w:pPr>
      <w:r w:rsidRPr="002F76C6">
        <w:rPr>
          <w:rFonts w:ascii="Arial" w:hAnsi="Arial" w:cs="Arial"/>
        </w:rPr>
        <w:t>Luxury brand literature highlights that in status-oriented markets, consumption can serve as a visible marker of social hierarchy and achievement (Kapferer and Bastien, 2009; Ko, Costello and Taylor, 2017). In such contexts, segmentation based on prestige sensitivity and symbolic consumption becomes strategically important. Moreover, the UAE’s multicultural population necessitates further sub-segmentation based on nationality, profession and lifestyle, reinforcing the need for nuanced market understanding (Littrell and Miller, 2001).</w:t>
      </w:r>
    </w:p>
    <w:p w14:paraId="7CEF935D" w14:textId="06A89667" w:rsidR="0028324A" w:rsidRPr="002F76C6" w:rsidRDefault="0028324A" w:rsidP="002F76C6">
      <w:pPr>
        <w:spacing w:line="360" w:lineRule="auto"/>
        <w:rPr>
          <w:rFonts w:ascii="Arial" w:hAnsi="Arial" w:cs="Arial"/>
        </w:rPr>
      </w:pPr>
      <w:r w:rsidRPr="002F76C6">
        <w:rPr>
          <w:rFonts w:ascii="Arial" w:hAnsi="Arial" w:cs="Arial"/>
        </w:rPr>
        <w:t>Overall, while Mercedes segments both markets along demographic and income lines, the underlying motivations differ. In Germany, segmentation is influenced by technological sophistication and sustainability values. In the UAE, segmentation is more strongly shaped by prestige orientation and aspirational identity.</w:t>
      </w:r>
    </w:p>
    <w:p w14:paraId="12AA7816" w14:textId="472341F1" w:rsidR="0028324A" w:rsidRPr="00E37F38" w:rsidRDefault="0028324A" w:rsidP="002F76C6">
      <w:pPr>
        <w:pStyle w:val="Heading2"/>
        <w:spacing w:line="360" w:lineRule="auto"/>
        <w:rPr>
          <w:rFonts w:ascii="Arial" w:hAnsi="Arial" w:cs="Arial"/>
          <w:b/>
          <w:bCs/>
          <w:sz w:val="24"/>
          <w:szCs w:val="24"/>
        </w:rPr>
      </w:pPr>
      <w:bookmarkStart w:id="8" w:name="_Toc223435182"/>
      <w:r w:rsidRPr="00E37F38">
        <w:rPr>
          <w:rFonts w:ascii="Arial" w:hAnsi="Arial" w:cs="Arial"/>
          <w:b/>
          <w:bCs/>
          <w:sz w:val="24"/>
          <w:szCs w:val="24"/>
        </w:rPr>
        <w:t>3.2 Targeting</w:t>
      </w:r>
      <w:bookmarkEnd w:id="8"/>
    </w:p>
    <w:p w14:paraId="59BA2DF4" w14:textId="7471A712" w:rsidR="0028324A" w:rsidRPr="002F76C6" w:rsidRDefault="0028324A" w:rsidP="002F76C6">
      <w:pPr>
        <w:spacing w:line="360" w:lineRule="auto"/>
        <w:rPr>
          <w:rFonts w:ascii="Arial" w:hAnsi="Arial" w:cs="Arial"/>
        </w:rPr>
      </w:pPr>
      <w:r w:rsidRPr="002F76C6">
        <w:rPr>
          <w:rFonts w:ascii="Arial" w:hAnsi="Arial" w:cs="Arial"/>
        </w:rPr>
        <w:t>Targeting decisions reflect which segments Mercedes prioritises within each market. In Germany, Mercedes targets consumers seeking premium engineering, safety innovation and increasingly, sustainable mobility solutions. The expansion of its electric vehicle portfolio aligns with broader national and European decarbonisation trends (International Energy Agency, 2024; European Commission, 2024).</w:t>
      </w:r>
    </w:p>
    <w:p w14:paraId="4F512806" w14:textId="2EA5A3AD" w:rsidR="0028324A" w:rsidRPr="002F76C6" w:rsidRDefault="0028324A" w:rsidP="002F76C6">
      <w:pPr>
        <w:spacing w:line="360" w:lineRule="auto"/>
        <w:rPr>
          <w:rFonts w:ascii="Arial" w:hAnsi="Arial" w:cs="Arial"/>
        </w:rPr>
      </w:pPr>
      <w:r w:rsidRPr="002F76C6">
        <w:rPr>
          <w:rFonts w:ascii="Arial" w:hAnsi="Arial" w:cs="Arial"/>
        </w:rPr>
        <w:t xml:space="preserve">This suggests a targeting strategy that emphasises technologically progressive and environmentally aware consumers. However, Mercedes must also compete within a </w:t>
      </w:r>
      <w:r w:rsidRPr="002F76C6">
        <w:rPr>
          <w:rFonts w:ascii="Arial" w:hAnsi="Arial" w:cs="Arial"/>
        </w:rPr>
        <w:lastRenderedPageBreak/>
        <w:t>domestic landscape that includes strong premium rivals, intensifying the need for differentiation through innovation and brand heritage.</w:t>
      </w:r>
    </w:p>
    <w:p w14:paraId="00E9CF38" w14:textId="59DFA960" w:rsidR="0028324A" w:rsidRPr="002F76C6" w:rsidRDefault="0028324A" w:rsidP="002F76C6">
      <w:pPr>
        <w:spacing w:line="360" w:lineRule="auto"/>
        <w:rPr>
          <w:rFonts w:ascii="Arial" w:hAnsi="Arial" w:cs="Arial"/>
        </w:rPr>
      </w:pPr>
      <w:r w:rsidRPr="002F76C6">
        <w:rPr>
          <w:rFonts w:ascii="Arial" w:hAnsi="Arial" w:cs="Arial"/>
        </w:rPr>
        <w:t>In the UAE, targeting appears more focused on affluent consumers who value exclusivity, performance and brand prestige. High-performance models and luxury SUVs may attract strong demand within a market where vehicle ownership can signal status and economic success. While EV offerings are expanding, combustion and performance-oriented models may remain highly attractive in the short term due to consumer preferences and infrastructure considerations.</w:t>
      </w:r>
    </w:p>
    <w:p w14:paraId="599CD658" w14:textId="24BF4C52" w:rsidR="0028324A" w:rsidRPr="002F76C6" w:rsidRDefault="0028324A" w:rsidP="002F76C6">
      <w:pPr>
        <w:spacing w:line="360" w:lineRule="auto"/>
        <w:rPr>
          <w:rFonts w:ascii="Arial" w:hAnsi="Arial" w:cs="Arial"/>
        </w:rPr>
      </w:pPr>
      <w:r w:rsidRPr="002F76C6">
        <w:rPr>
          <w:rFonts w:ascii="Arial" w:hAnsi="Arial" w:cs="Arial"/>
        </w:rPr>
        <w:t xml:space="preserve">From an international marketing perspective, this indicates a partially adapted targeting strategy. While income remains a core segmentation variable globally, the prioritisation of sustainability-oriented consumers in Germany contrasts with prestige-driven targeting emphasis in the UAE. Such selective targeting adaptation aligns with the argument that global strategy effectiveness depends on balancing consistency with contextual responsiveness (Schmid and </w:t>
      </w:r>
      <w:proofErr w:type="spellStart"/>
      <w:r w:rsidRPr="002F76C6">
        <w:rPr>
          <w:rFonts w:ascii="Arial" w:hAnsi="Arial" w:cs="Arial"/>
        </w:rPr>
        <w:t>Kotulla</w:t>
      </w:r>
      <w:proofErr w:type="spellEnd"/>
      <w:r w:rsidRPr="002F76C6">
        <w:rPr>
          <w:rFonts w:ascii="Arial" w:hAnsi="Arial" w:cs="Arial"/>
        </w:rPr>
        <w:t>, 2011).</w:t>
      </w:r>
    </w:p>
    <w:p w14:paraId="351AA117" w14:textId="58FAA583" w:rsidR="0028324A" w:rsidRPr="00E37F38" w:rsidRDefault="0028324A" w:rsidP="002F76C6">
      <w:pPr>
        <w:pStyle w:val="Heading2"/>
        <w:spacing w:line="360" w:lineRule="auto"/>
        <w:rPr>
          <w:rFonts w:ascii="Arial" w:hAnsi="Arial" w:cs="Arial"/>
          <w:b/>
          <w:bCs/>
          <w:sz w:val="24"/>
          <w:szCs w:val="24"/>
        </w:rPr>
      </w:pPr>
      <w:bookmarkStart w:id="9" w:name="_Toc223435183"/>
      <w:r w:rsidRPr="00E37F38">
        <w:rPr>
          <w:rFonts w:ascii="Arial" w:hAnsi="Arial" w:cs="Arial"/>
          <w:b/>
          <w:bCs/>
          <w:sz w:val="24"/>
          <w:szCs w:val="24"/>
        </w:rPr>
        <w:t>3.3 Positioning</w:t>
      </w:r>
      <w:bookmarkEnd w:id="9"/>
    </w:p>
    <w:p w14:paraId="53416987" w14:textId="5D567606" w:rsidR="0028324A" w:rsidRPr="002F76C6" w:rsidRDefault="0028324A" w:rsidP="002F76C6">
      <w:pPr>
        <w:spacing w:line="360" w:lineRule="auto"/>
        <w:rPr>
          <w:rFonts w:ascii="Arial" w:hAnsi="Arial" w:cs="Arial"/>
        </w:rPr>
      </w:pPr>
      <w:r w:rsidRPr="002F76C6">
        <w:rPr>
          <w:rFonts w:ascii="Arial" w:hAnsi="Arial" w:cs="Arial"/>
        </w:rPr>
        <w:t>Positioning is arguably the most critical element of Mercedes’ international strategy. Globally, the brand is associated with engineering excellence, luxury and technological leadership. However, the meaning attached to these attributes can vary by market.</w:t>
      </w:r>
    </w:p>
    <w:p w14:paraId="600E1922" w14:textId="219508D0" w:rsidR="0028324A" w:rsidRPr="002F76C6" w:rsidRDefault="0028324A" w:rsidP="002F76C6">
      <w:pPr>
        <w:spacing w:line="360" w:lineRule="auto"/>
        <w:rPr>
          <w:rFonts w:ascii="Arial" w:hAnsi="Arial" w:cs="Arial"/>
        </w:rPr>
      </w:pPr>
      <w:r w:rsidRPr="002F76C6">
        <w:rPr>
          <w:rFonts w:ascii="Arial" w:hAnsi="Arial" w:cs="Arial"/>
        </w:rPr>
        <w:t>In Germany, positioning is likely anchored in heritage, innovation and responsible technological advancement. Sustainability commitments and electrification strategy strengthen the brand’s contemporary relevance within a regulation-intensive environment (Mercedes-Benz Group, 2024a). The positioning message may therefore emphasise measurable performance, environmental responsibility and long-term reliability.</w:t>
      </w:r>
    </w:p>
    <w:p w14:paraId="16E31F44" w14:textId="6D7FDD37" w:rsidR="0028324A" w:rsidRPr="002F76C6" w:rsidRDefault="0028324A" w:rsidP="002F76C6">
      <w:pPr>
        <w:spacing w:line="360" w:lineRule="auto"/>
        <w:rPr>
          <w:rFonts w:ascii="Arial" w:hAnsi="Arial" w:cs="Arial"/>
        </w:rPr>
      </w:pPr>
      <w:r w:rsidRPr="002F76C6">
        <w:rPr>
          <w:rFonts w:ascii="Arial" w:hAnsi="Arial" w:cs="Arial"/>
        </w:rPr>
        <w:t>In the UAE, while technological sophistication remains relevant, positioning may place greater emphasis on exclusivity, visual prestige and experiential luxury. Luxury brand theory suggests that in hierarchical and status-conscious markets, symbolic value can outweigh purely functional attributes (Ko, Costello and Taylor, 2017). Thus, Mercedes’ positioning in the UAE may lean more heavily into aspirational imagery, premium service experience and high-performance differentiation.</w:t>
      </w:r>
    </w:p>
    <w:p w14:paraId="3F1C4516" w14:textId="2233356B" w:rsidR="0028324A" w:rsidRPr="002F76C6" w:rsidRDefault="0028324A" w:rsidP="002F76C6">
      <w:pPr>
        <w:spacing w:line="360" w:lineRule="auto"/>
        <w:rPr>
          <w:rFonts w:ascii="Arial" w:hAnsi="Arial" w:cs="Arial"/>
        </w:rPr>
      </w:pPr>
      <w:r w:rsidRPr="002F76C6">
        <w:rPr>
          <w:rFonts w:ascii="Arial" w:hAnsi="Arial" w:cs="Arial"/>
        </w:rPr>
        <w:lastRenderedPageBreak/>
        <w:t xml:space="preserve">Critically, Mercedes does not abandon its global identity in either market. Instead, it adjusts the interpretation of luxury to align with local cultural and economic realities. This reflects a hybrid strategy that resists pure standardisation while preserving brand coherence. Such an approach supports the view that successful global marketing strategies require calibrated adaptation across culturally distinct markets (Theodosiou and </w:t>
      </w:r>
      <w:proofErr w:type="spellStart"/>
      <w:r w:rsidRPr="002F76C6">
        <w:rPr>
          <w:rFonts w:ascii="Arial" w:hAnsi="Arial" w:cs="Arial"/>
        </w:rPr>
        <w:t>Leonidou</w:t>
      </w:r>
      <w:proofErr w:type="spellEnd"/>
      <w:r w:rsidRPr="002F76C6">
        <w:rPr>
          <w:rFonts w:ascii="Arial" w:hAnsi="Arial" w:cs="Arial"/>
        </w:rPr>
        <w:t>, 2003).</w:t>
      </w:r>
    </w:p>
    <w:p w14:paraId="6AB8A4C7" w14:textId="7DB315BE" w:rsidR="0037095B" w:rsidRPr="00E37F38" w:rsidRDefault="0037095B" w:rsidP="00E37F38">
      <w:pPr>
        <w:pStyle w:val="Heading1"/>
        <w:spacing w:line="360" w:lineRule="auto"/>
        <w:rPr>
          <w:rFonts w:ascii="Arial" w:hAnsi="Arial" w:cs="Arial"/>
          <w:b/>
          <w:bCs/>
          <w:sz w:val="24"/>
          <w:szCs w:val="24"/>
        </w:rPr>
      </w:pPr>
      <w:bookmarkStart w:id="10" w:name="_Toc223435184"/>
      <w:r w:rsidRPr="00E37F38">
        <w:rPr>
          <w:rFonts w:ascii="Arial" w:hAnsi="Arial" w:cs="Arial"/>
          <w:b/>
          <w:bCs/>
          <w:sz w:val="24"/>
          <w:szCs w:val="24"/>
        </w:rPr>
        <w:t>4. Comparative Evaluation of the International Marketing Mix (7Ps) in Germany and the UAE</w:t>
      </w:r>
      <w:bookmarkEnd w:id="10"/>
    </w:p>
    <w:p w14:paraId="3047F5DD" w14:textId="71E37619" w:rsidR="0037095B" w:rsidRPr="002F76C6" w:rsidRDefault="0037095B" w:rsidP="002F76C6">
      <w:pPr>
        <w:spacing w:line="360" w:lineRule="auto"/>
        <w:rPr>
          <w:rFonts w:ascii="Arial" w:hAnsi="Arial" w:cs="Arial"/>
        </w:rPr>
      </w:pPr>
      <w:r w:rsidRPr="002F76C6">
        <w:rPr>
          <w:rFonts w:ascii="Arial" w:hAnsi="Arial" w:cs="Arial"/>
        </w:rPr>
        <w:t>The marketing mix represents the operational execution of segmentation, targeting and positioning decisions within specific macro-environmental contexts. While Mercedes-Benz maintains a globally coherent luxury identity, the configuration of product, price, place, promotion and extended service elements varies across markets in response to political, economic and cultural conditions. The following section critically compares the marketing mix strategy adopted in Germany and the United Arab Emirates.</w:t>
      </w:r>
    </w:p>
    <w:p w14:paraId="2E23550E" w14:textId="0CBA6E3F" w:rsidR="0037095B" w:rsidRPr="00E37F38" w:rsidRDefault="0037095B" w:rsidP="002F76C6">
      <w:pPr>
        <w:pStyle w:val="Heading2"/>
        <w:spacing w:line="360" w:lineRule="auto"/>
        <w:rPr>
          <w:rFonts w:ascii="Arial" w:hAnsi="Arial" w:cs="Arial"/>
          <w:b/>
          <w:bCs/>
          <w:sz w:val="24"/>
          <w:szCs w:val="24"/>
        </w:rPr>
      </w:pPr>
      <w:bookmarkStart w:id="11" w:name="_Toc223435185"/>
      <w:r w:rsidRPr="00E37F38">
        <w:rPr>
          <w:rFonts w:ascii="Arial" w:hAnsi="Arial" w:cs="Arial"/>
          <w:b/>
          <w:bCs/>
          <w:sz w:val="24"/>
          <w:szCs w:val="24"/>
        </w:rPr>
        <w:t>4.1 Product</w:t>
      </w:r>
      <w:bookmarkEnd w:id="11"/>
    </w:p>
    <w:p w14:paraId="5F4B9C53" w14:textId="6129EC92" w:rsidR="0037095B" w:rsidRPr="002F76C6" w:rsidRDefault="0037095B" w:rsidP="002F76C6">
      <w:pPr>
        <w:spacing w:line="360" w:lineRule="auto"/>
        <w:rPr>
          <w:rFonts w:ascii="Arial" w:hAnsi="Arial" w:cs="Arial"/>
        </w:rPr>
      </w:pPr>
      <w:r w:rsidRPr="002F76C6">
        <w:rPr>
          <w:rFonts w:ascii="Arial" w:hAnsi="Arial" w:cs="Arial"/>
        </w:rPr>
        <w:t>Mercedes’ global product architecture is anchored in premium engineering and technological innovation; however, portfolio emphasis differs across Germany and the UAE.</w:t>
      </w:r>
    </w:p>
    <w:p w14:paraId="3DE715C1" w14:textId="20659454" w:rsidR="0037095B" w:rsidRPr="002F76C6" w:rsidRDefault="0037095B" w:rsidP="002F76C6">
      <w:pPr>
        <w:spacing w:line="360" w:lineRule="auto"/>
        <w:rPr>
          <w:rFonts w:ascii="Arial" w:hAnsi="Arial" w:cs="Arial"/>
        </w:rPr>
      </w:pPr>
      <w:r w:rsidRPr="002F76C6">
        <w:rPr>
          <w:rFonts w:ascii="Arial" w:hAnsi="Arial" w:cs="Arial"/>
        </w:rPr>
        <w:t>In Germany, product strategy is strongly shaped by regulatory pressure and environmental transition. EU decarbonisation frameworks and accelerating EV adoption have intensified the strategic importance of electrification (European Commission, 2024; International Energy Agency, 2024). Mercedes’ sustainability commitments therefore form part of its competitive positioning, with electric and hybrid models increasingly central to the German portfolio (Mercedes-Benz Group, 2024a). Product value is reinforced through efficiency, safety and measurable technological performance.</w:t>
      </w:r>
    </w:p>
    <w:p w14:paraId="4DF82564" w14:textId="653A6826" w:rsidR="0037095B" w:rsidRPr="002F76C6" w:rsidRDefault="0037095B" w:rsidP="002F76C6">
      <w:pPr>
        <w:spacing w:line="360" w:lineRule="auto"/>
        <w:rPr>
          <w:rFonts w:ascii="Arial" w:hAnsi="Arial" w:cs="Arial"/>
        </w:rPr>
      </w:pPr>
      <w:r w:rsidRPr="002F76C6">
        <w:rPr>
          <w:rFonts w:ascii="Arial" w:hAnsi="Arial" w:cs="Arial"/>
        </w:rPr>
        <w:t xml:space="preserve">In the UAE, while electrification is expanding, demand remains particularly strong for high-performance models and luxury SUVs aligned with status-driven consumption. Luxury theory suggests that visible performance and exclusivity enhance symbolic value in prestige-oriented markets (Kapferer and Bastien, 2009; Ko, Costello and </w:t>
      </w:r>
      <w:r w:rsidRPr="002F76C6">
        <w:rPr>
          <w:rFonts w:ascii="Arial" w:hAnsi="Arial" w:cs="Arial"/>
        </w:rPr>
        <w:lastRenderedPageBreak/>
        <w:t xml:space="preserve">Taylor, 2017). Consequently, although core product platforms remain globally standardised, Mercedes emphasises different portfolio elements to reflect market-specific demand structures. This represents selective adaptation rather than structural divergence (Zou and </w:t>
      </w:r>
      <w:proofErr w:type="spellStart"/>
      <w:r w:rsidRPr="002F76C6">
        <w:rPr>
          <w:rFonts w:ascii="Arial" w:hAnsi="Arial" w:cs="Arial"/>
        </w:rPr>
        <w:t>Cavusgil</w:t>
      </w:r>
      <w:proofErr w:type="spellEnd"/>
      <w:r w:rsidRPr="002F76C6">
        <w:rPr>
          <w:rFonts w:ascii="Arial" w:hAnsi="Arial" w:cs="Arial"/>
        </w:rPr>
        <w:t>, 2002).</w:t>
      </w:r>
    </w:p>
    <w:p w14:paraId="1428B5A2" w14:textId="13A23D39" w:rsidR="0037095B" w:rsidRPr="00E37F38" w:rsidRDefault="0037095B" w:rsidP="002F76C6">
      <w:pPr>
        <w:pStyle w:val="Heading2"/>
        <w:spacing w:line="360" w:lineRule="auto"/>
        <w:rPr>
          <w:rFonts w:ascii="Arial" w:hAnsi="Arial" w:cs="Arial"/>
          <w:b/>
          <w:bCs/>
          <w:sz w:val="24"/>
          <w:szCs w:val="24"/>
        </w:rPr>
      </w:pPr>
      <w:bookmarkStart w:id="12" w:name="_Toc223435186"/>
      <w:r w:rsidRPr="00E37F38">
        <w:rPr>
          <w:rFonts w:ascii="Arial" w:hAnsi="Arial" w:cs="Arial"/>
          <w:b/>
          <w:bCs/>
          <w:sz w:val="24"/>
          <w:szCs w:val="24"/>
        </w:rPr>
        <w:t>4.2 Price</w:t>
      </w:r>
      <w:bookmarkEnd w:id="12"/>
    </w:p>
    <w:p w14:paraId="63BF3A37" w14:textId="521364C9" w:rsidR="0037095B" w:rsidRPr="002F76C6" w:rsidRDefault="0037095B" w:rsidP="002F76C6">
      <w:pPr>
        <w:spacing w:line="360" w:lineRule="auto"/>
        <w:rPr>
          <w:rFonts w:ascii="Arial" w:hAnsi="Arial" w:cs="Arial"/>
        </w:rPr>
      </w:pPr>
      <w:r w:rsidRPr="002F76C6">
        <w:rPr>
          <w:rFonts w:ascii="Arial" w:hAnsi="Arial" w:cs="Arial"/>
        </w:rPr>
        <w:t>Pricing within the luxury automotive sector conveys symbolic as well as economic value. In Germany’s mature market, premium pricing must be justified through technological superiority, sustainability performance and engineering credibility. Consumers demonstrate high product knowledge, requiring price–value alignment grounded in measurable attributes.</w:t>
      </w:r>
    </w:p>
    <w:p w14:paraId="5D8E7166" w14:textId="5A561B0C" w:rsidR="0037095B" w:rsidRPr="002F76C6" w:rsidRDefault="0037095B" w:rsidP="002F76C6">
      <w:pPr>
        <w:spacing w:line="360" w:lineRule="auto"/>
        <w:rPr>
          <w:rFonts w:ascii="Arial" w:hAnsi="Arial" w:cs="Arial"/>
        </w:rPr>
      </w:pPr>
      <w:r w:rsidRPr="002F76C6">
        <w:rPr>
          <w:rFonts w:ascii="Arial" w:hAnsi="Arial" w:cs="Arial"/>
        </w:rPr>
        <w:t>In the UAE, pricing operates more explicitly as a prestige signal. In higher power-distance environments, elevated price points can reinforce exclusivity and social status (Hofstede Insights, 2024; Ko, Costello and Taylor, 2017). Lower taxation and high disposable income further support premium pricing strategies.</w:t>
      </w:r>
    </w:p>
    <w:p w14:paraId="0F3A8F91" w14:textId="3CA150B6" w:rsidR="0037095B" w:rsidRPr="002F76C6" w:rsidRDefault="0037095B" w:rsidP="002F76C6">
      <w:pPr>
        <w:spacing w:line="360" w:lineRule="auto"/>
        <w:rPr>
          <w:rFonts w:ascii="Arial" w:hAnsi="Arial" w:cs="Arial"/>
        </w:rPr>
      </w:pPr>
      <w:r w:rsidRPr="002F76C6">
        <w:rPr>
          <w:rFonts w:ascii="Arial" w:hAnsi="Arial" w:cs="Arial"/>
        </w:rPr>
        <w:t xml:space="preserve">While global pricing architecture remains consistent, the interpretive meaning of price differs across markets. In Germany, it signals performance and reliability; in the UAE, it reinforces exclusivity and aspirational positioning. This calibrated approach aligns with the broader adaptation–standardisation debate in international marketing (Theodosiou and </w:t>
      </w:r>
      <w:proofErr w:type="spellStart"/>
      <w:r w:rsidRPr="002F76C6">
        <w:rPr>
          <w:rFonts w:ascii="Arial" w:hAnsi="Arial" w:cs="Arial"/>
        </w:rPr>
        <w:t>Leonidou</w:t>
      </w:r>
      <w:proofErr w:type="spellEnd"/>
      <w:r w:rsidRPr="002F76C6">
        <w:rPr>
          <w:rFonts w:ascii="Arial" w:hAnsi="Arial" w:cs="Arial"/>
        </w:rPr>
        <w:t>, 2003).</w:t>
      </w:r>
    </w:p>
    <w:p w14:paraId="49390313" w14:textId="1C178ACE" w:rsidR="0037095B" w:rsidRPr="00E37F38" w:rsidRDefault="0037095B" w:rsidP="002F76C6">
      <w:pPr>
        <w:pStyle w:val="Heading2"/>
        <w:spacing w:line="360" w:lineRule="auto"/>
        <w:rPr>
          <w:rFonts w:ascii="Arial" w:hAnsi="Arial" w:cs="Arial"/>
          <w:b/>
          <w:bCs/>
          <w:sz w:val="24"/>
          <w:szCs w:val="24"/>
        </w:rPr>
      </w:pPr>
      <w:bookmarkStart w:id="13" w:name="_Toc223435187"/>
      <w:r w:rsidRPr="00E37F38">
        <w:rPr>
          <w:rFonts w:ascii="Arial" w:hAnsi="Arial" w:cs="Arial"/>
          <w:b/>
          <w:bCs/>
          <w:sz w:val="24"/>
          <w:szCs w:val="24"/>
        </w:rPr>
        <w:t>4.3 Place (Distribution)</w:t>
      </w:r>
      <w:bookmarkEnd w:id="13"/>
    </w:p>
    <w:p w14:paraId="15D054DF" w14:textId="082F5D36" w:rsidR="0037095B" w:rsidRPr="002F76C6" w:rsidRDefault="0037095B" w:rsidP="002F76C6">
      <w:pPr>
        <w:spacing w:line="360" w:lineRule="auto"/>
        <w:rPr>
          <w:rFonts w:ascii="Arial" w:hAnsi="Arial" w:cs="Arial"/>
        </w:rPr>
      </w:pPr>
      <w:r w:rsidRPr="002F76C6">
        <w:rPr>
          <w:rFonts w:ascii="Arial" w:hAnsi="Arial" w:cs="Arial"/>
        </w:rPr>
        <w:t>Distribution strategy reflects entry mode decisions and local partnership structures. In Germany, Mercedes operates within its domestic institutional environment, benefiting from established dealer networks and integrated distribution systems. As a home market firm, the brand’s distribution model reflects long-term market penetration and institutional familiarity, consistent with internalisation logic (Dunning, 1988).</w:t>
      </w:r>
    </w:p>
    <w:p w14:paraId="6F8E1433" w14:textId="4E34BE6D" w:rsidR="0037095B" w:rsidRPr="002F76C6" w:rsidRDefault="0037095B" w:rsidP="002F76C6">
      <w:pPr>
        <w:spacing w:line="360" w:lineRule="auto"/>
        <w:rPr>
          <w:rFonts w:ascii="Arial" w:hAnsi="Arial" w:cs="Arial"/>
        </w:rPr>
      </w:pPr>
      <w:r w:rsidRPr="002F76C6">
        <w:rPr>
          <w:rFonts w:ascii="Arial" w:hAnsi="Arial" w:cs="Arial"/>
        </w:rPr>
        <w:t xml:space="preserve">In the UAE, distribution often operates through authorised dealerships and strategic local partnerships. Entry mode decisions reflect transaction cost considerations and the need for local market expertise (Anderson and </w:t>
      </w:r>
      <w:proofErr w:type="spellStart"/>
      <w:r w:rsidRPr="002F76C6">
        <w:rPr>
          <w:rFonts w:ascii="Arial" w:hAnsi="Arial" w:cs="Arial"/>
        </w:rPr>
        <w:t>Gatignon</w:t>
      </w:r>
      <w:proofErr w:type="spellEnd"/>
      <w:r w:rsidRPr="002F76C6">
        <w:rPr>
          <w:rFonts w:ascii="Arial" w:hAnsi="Arial" w:cs="Arial"/>
        </w:rPr>
        <w:t>, 1986). Such arrangements reduce uncertainty and allow cultural and regulatory navigation through experienced intermediaries.</w:t>
      </w:r>
    </w:p>
    <w:p w14:paraId="6552CDB8" w14:textId="1D98C0F6" w:rsidR="0037095B" w:rsidRPr="002F76C6" w:rsidRDefault="0037095B" w:rsidP="002F76C6">
      <w:pPr>
        <w:spacing w:line="360" w:lineRule="auto"/>
        <w:rPr>
          <w:rFonts w:ascii="Arial" w:hAnsi="Arial" w:cs="Arial"/>
        </w:rPr>
      </w:pPr>
      <w:r w:rsidRPr="002F76C6">
        <w:rPr>
          <w:rFonts w:ascii="Arial" w:hAnsi="Arial" w:cs="Arial"/>
        </w:rPr>
        <w:lastRenderedPageBreak/>
        <w:t>Luxury automotive distribution also extends beyond logistics into experiential retailing. Showrooms function as brand theatres, reinforcing prestige and service quality. In the UAE, high-end dealership architecture and personalised service experiences may be particularly important due to status-sensitive consumer expectations.</w:t>
      </w:r>
    </w:p>
    <w:p w14:paraId="3BC1B1FA" w14:textId="34AAF57E" w:rsidR="0037095B" w:rsidRPr="002F76C6" w:rsidRDefault="0037095B" w:rsidP="002F76C6">
      <w:pPr>
        <w:spacing w:line="360" w:lineRule="auto"/>
        <w:rPr>
          <w:rFonts w:ascii="Arial" w:hAnsi="Arial" w:cs="Arial"/>
        </w:rPr>
      </w:pPr>
      <w:r w:rsidRPr="002F76C6">
        <w:rPr>
          <w:rFonts w:ascii="Arial" w:hAnsi="Arial" w:cs="Arial"/>
        </w:rPr>
        <w:t>Thus, while core distribution architecture remains controlled and selective, local partnership structures and experiential emphasis demonstrate contextual adaptation.</w:t>
      </w:r>
    </w:p>
    <w:p w14:paraId="4ECBBBFD" w14:textId="2F55BD18" w:rsidR="0037095B" w:rsidRPr="00E37F38" w:rsidRDefault="0037095B" w:rsidP="002F76C6">
      <w:pPr>
        <w:pStyle w:val="Heading2"/>
        <w:spacing w:line="360" w:lineRule="auto"/>
        <w:rPr>
          <w:rFonts w:ascii="Arial" w:hAnsi="Arial" w:cs="Arial"/>
          <w:b/>
          <w:bCs/>
          <w:sz w:val="24"/>
          <w:szCs w:val="24"/>
        </w:rPr>
      </w:pPr>
      <w:bookmarkStart w:id="14" w:name="_Toc223435188"/>
      <w:r w:rsidRPr="00E37F38">
        <w:rPr>
          <w:rFonts w:ascii="Arial" w:hAnsi="Arial" w:cs="Arial"/>
          <w:b/>
          <w:bCs/>
          <w:sz w:val="24"/>
          <w:szCs w:val="24"/>
        </w:rPr>
        <w:t>4.4 Promotion</w:t>
      </w:r>
      <w:bookmarkEnd w:id="14"/>
    </w:p>
    <w:p w14:paraId="52DBD28C" w14:textId="363F2406" w:rsidR="0037095B" w:rsidRPr="002F76C6" w:rsidRDefault="0037095B" w:rsidP="002F76C6">
      <w:pPr>
        <w:spacing w:line="360" w:lineRule="auto"/>
        <w:rPr>
          <w:rFonts w:ascii="Arial" w:hAnsi="Arial" w:cs="Arial"/>
        </w:rPr>
      </w:pPr>
      <w:r w:rsidRPr="002F76C6">
        <w:rPr>
          <w:rFonts w:ascii="Arial" w:hAnsi="Arial" w:cs="Arial"/>
        </w:rPr>
        <w:t>Promotional strategy highlights perhaps the clearest divergence between Germany and the UAE.</w:t>
      </w:r>
    </w:p>
    <w:p w14:paraId="0634A08B" w14:textId="56DC0838" w:rsidR="0037095B" w:rsidRPr="002F76C6" w:rsidRDefault="0037095B" w:rsidP="002F76C6">
      <w:pPr>
        <w:spacing w:line="360" w:lineRule="auto"/>
        <w:rPr>
          <w:rFonts w:ascii="Arial" w:hAnsi="Arial" w:cs="Arial"/>
        </w:rPr>
      </w:pPr>
      <w:r w:rsidRPr="002F76C6">
        <w:rPr>
          <w:rFonts w:ascii="Arial" w:hAnsi="Arial" w:cs="Arial"/>
        </w:rPr>
        <w:t>In Germany, communication increasingly integrates sustainability narratives, electrification innovation and engineering heritage. Environmental responsibility has become central to corporate reputation (Mercedes-Benz Group, 2024a), and promotional messaging must reflect regulatory awareness and technological leadership. Rational appeals emphasising safety, performance metrics and efficiency may resonate strongly in a culture characterised by higher uncertainty avoidance (Hofstede Insights, 2024).</w:t>
      </w:r>
    </w:p>
    <w:p w14:paraId="09ADCF34" w14:textId="52342A14" w:rsidR="0037095B" w:rsidRPr="002F76C6" w:rsidRDefault="0037095B" w:rsidP="002F76C6">
      <w:pPr>
        <w:spacing w:line="360" w:lineRule="auto"/>
        <w:rPr>
          <w:rFonts w:ascii="Arial" w:hAnsi="Arial" w:cs="Arial"/>
        </w:rPr>
      </w:pPr>
      <w:r w:rsidRPr="002F76C6">
        <w:rPr>
          <w:rFonts w:ascii="Arial" w:hAnsi="Arial" w:cs="Arial"/>
        </w:rPr>
        <w:t>In the UAE, promotional messaging may place greater emphasis on aspirational imagery, exclusivity and high-performance lifestyle symbolism. Luxury advertising theory indicates that symbolic consumption is often reinforced through visual prestige cues, experiential narratives and association with success (Kapferer and Bastien, 2009).</w:t>
      </w:r>
    </w:p>
    <w:p w14:paraId="652706ED" w14:textId="6BF2A620" w:rsidR="0037095B" w:rsidRPr="002F76C6" w:rsidRDefault="0037095B" w:rsidP="002F76C6">
      <w:pPr>
        <w:spacing w:line="360" w:lineRule="auto"/>
        <w:rPr>
          <w:rFonts w:ascii="Arial" w:hAnsi="Arial" w:cs="Arial"/>
        </w:rPr>
      </w:pPr>
      <w:r w:rsidRPr="002F76C6">
        <w:rPr>
          <w:rFonts w:ascii="Arial" w:hAnsi="Arial" w:cs="Arial"/>
        </w:rPr>
        <w:t>This does not suggest that sustainability is irrelevant in the UAE; rather, it may be framed as innovation and future-oriented modernity rather than regulatory compliance. Such calibrated promotional differences align with evidence that international firms adapt promotional intensity and message framing according to local cultural values (</w:t>
      </w:r>
      <w:proofErr w:type="spellStart"/>
      <w:r w:rsidRPr="002F76C6">
        <w:rPr>
          <w:rFonts w:ascii="Arial" w:hAnsi="Arial" w:cs="Arial"/>
        </w:rPr>
        <w:t>Cavusgil</w:t>
      </w:r>
      <w:proofErr w:type="spellEnd"/>
      <w:r w:rsidRPr="002F76C6">
        <w:rPr>
          <w:rFonts w:ascii="Arial" w:hAnsi="Arial" w:cs="Arial"/>
        </w:rPr>
        <w:t>, Zou and Naidu, 1993).</w:t>
      </w:r>
    </w:p>
    <w:p w14:paraId="53D66A82" w14:textId="1B5024D7" w:rsidR="0037095B" w:rsidRPr="00E37F38" w:rsidRDefault="0037095B" w:rsidP="002F76C6">
      <w:pPr>
        <w:pStyle w:val="Heading2"/>
        <w:spacing w:line="360" w:lineRule="auto"/>
        <w:rPr>
          <w:rFonts w:ascii="Arial" w:hAnsi="Arial" w:cs="Arial"/>
          <w:b/>
          <w:bCs/>
          <w:sz w:val="24"/>
          <w:szCs w:val="24"/>
        </w:rPr>
      </w:pPr>
      <w:bookmarkStart w:id="15" w:name="_Toc223435189"/>
      <w:r w:rsidRPr="00E37F38">
        <w:rPr>
          <w:rFonts w:ascii="Arial" w:hAnsi="Arial" w:cs="Arial"/>
          <w:b/>
          <w:bCs/>
          <w:sz w:val="24"/>
          <w:szCs w:val="24"/>
        </w:rPr>
        <w:t>4.5 People, Process and Physical Evidence</w:t>
      </w:r>
      <w:bookmarkEnd w:id="15"/>
    </w:p>
    <w:p w14:paraId="7A54BE55" w14:textId="17D9D86A" w:rsidR="0037095B" w:rsidRPr="002F76C6" w:rsidRDefault="0037095B" w:rsidP="002F76C6">
      <w:pPr>
        <w:spacing w:line="360" w:lineRule="auto"/>
        <w:rPr>
          <w:rFonts w:ascii="Arial" w:hAnsi="Arial" w:cs="Arial"/>
        </w:rPr>
      </w:pPr>
      <w:r w:rsidRPr="002F76C6">
        <w:rPr>
          <w:rFonts w:ascii="Arial" w:hAnsi="Arial" w:cs="Arial"/>
        </w:rPr>
        <w:t>The extended marketing mix (7Ps) is particularly relevant for high-involvement, high-value purchases such as luxury vehicles. Service experience, dealership interaction and after-sales support form integral components of brand value.</w:t>
      </w:r>
    </w:p>
    <w:p w14:paraId="2415F0A7" w14:textId="5A194E33" w:rsidR="0037095B" w:rsidRPr="002F76C6" w:rsidRDefault="0037095B" w:rsidP="002F76C6">
      <w:pPr>
        <w:spacing w:line="360" w:lineRule="auto"/>
        <w:rPr>
          <w:rFonts w:ascii="Arial" w:hAnsi="Arial" w:cs="Arial"/>
        </w:rPr>
      </w:pPr>
      <w:r w:rsidRPr="002F76C6">
        <w:rPr>
          <w:rFonts w:ascii="Arial" w:hAnsi="Arial" w:cs="Arial"/>
        </w:rPr>
        <w:lastRenderedPageBreak/>
        <w:t>In Germany, consumer expectations may emphasise efficiency, technical expertise and reliability in service processes. Transparent communication and systematic service scheduling may reinforce trust and long-term relationship building.</w:t>
      </w:r>
    </w:p>
    <w:p w14:paraId="29D1F359" w14:textId="757218A4" w:rsidR="0037095B" w:rsidRPr="002F76C6" w:rsidRDefault="0037095B" w:rsidP="002F76C6">
      <w:pPr>
        <w:spacing w:line="360" w:lineRule="auto"/>
        <w:rPr>
          <w:rFonts w:ascii="Arial" w:hAnsi="Arial" w:cs="Arial"/>
        </w:rPr>
      </w:pPr>
      <w:r w:rsidRPr="002F76C6">
        <w:rPr>
          <w:rFonts w:ascii="Arial" w:hAnsi="Arial" w:cs="Arial"/>
        </w:rPr>
        <w:t>In the UAE, personalisation, hospitality and relationship-based selling may play a more prominent role. Cultural contexts characterised by higher power distance and relationship orientation may elevate the importance of premium customer treatment and personalised engagement (Littrell and Miller, 2001). Physical evidence, including showroom aesthetics and exclusivity cues, becomes part of the luxury consumption experience.</w:t>
      </w:r>
    </w:p>
    <w:p w14:paraId="56502341" w14:textId="7671590C" w:rsidR="0037095B" w:rsidRPr="002F76C6" w:rsidRDefault="0037095B" w:rsidP="002F76C6">
      <w:pPr>
        <w:spacing w:line="360" w:lineRule="auto"/>
        <w:rPr>
          <w:rFonts w:ascii="Arial" w:hAnsi="Arial" w:cs="Arial"/>
        </w:rPr>
      </w:pPr>
      <w:r w:rsidRPr="002F76C6">
        <w:rPr>
          <w:rFonts w:ascii="Arial" w:hAnsi="Arial" w:cs="Arial"/>
        </w:rPr>
        <w:t xml:space="preserve">Overall, the extended marketing mix demonstrates partial adaptation. Core brand identity and product standards remain consistent globally, but emphasis, communication framing and experiential delivery are calibrated to local macro and cultural conditions. This supports the perspective that global luxury brands operate through structured flexibility rather than uniform standardisation (Schmid and </w:t>
      </w:r>
      <w:proofErr w:type="spellStart"/>
      <w:r w:rsidRPr="002F76C6">
        <w:rPr>
          <w:rFonts w:ascii="Arial" w:hAnsi="Arial" w:cs="Arial"/>
        </w:rPr>
        <w:t>Kotulla</w:t>
      </w:r>
      <w:proofErr w:type="spellEnd"/>
      <w:r w:rsidRPr="002F76C6">
        <w:rPr>
          <w:rFonts w:ascii="Arial" w:hAnsi="Arial" w:cs="Arial"/>
        </w:rPr>
        <w:t>, 2011).</w:t>
      </w:r>
    </w:p>
    <w:p w14:paraId="165B6502" w14:textId="1644A51B" w:rsidR="002F76C6" w:rsidRPr="00E37F38" w:rsidRDefault="002F76C6" w:rsidP="002F76C6">
      <w:pPr>
        <w:pStyle w:val="Heading1"/>
        <w:spacing w:line="360" w:lineRule="auto"/>
        <w:rPr>
          <w:rFonts w:ascii="Arial" w:hAnsi="Arial" w:cs="Arial"/>
          <w:b/>
          <w:bCs/>
          <w:sz w:val="24"/>
          <w:szCs w:val="24"/>
        </w:rPr>
      </w:pPr>
      <w:bookmarkStart w:id="16" w:name="_Toc223435190"/>
      <w:r w:rsidRPr="00E37F38">
        <w:rPr>
          <w:rFonts w:ascii="Arial" w:hAnsi="Arial" w:cs="Arial"/>
          <w:b/>
          <w:bCs/>
          <w:sz w:val="24"/>
          <w:szCs w:val="24"/>
        </w:rPr>
        <w:t>5. Directional Development Strategy in the United Arab Emirates</w:t>
      </w:r>
      <w:bookmarkEnd w:id="16"/>
      <w:r w:rsidRPr="00E37F38">
        <w:rPr>
          <w:rFonts w:ascii="Arial" w:hAnsi="Arial" w:cs="Arial"/>
          <w:b/>
          <w:bCs/>
          <w:sz w:val="24"/>
          <w:szCs w:val="24"/>
        </w:rPr>
        <w:t xml:space="preserve"> </w:t>
      </w:r>
    </w:p>
    <w:p w14:paraId="42C71F88" w14:textId="3533F50F" w:rsidR="002F76C6" w:rsidRPr="002F76C6" w:rsidRDefault="002F76C6" w:rsidP="002F76C6">
      <w:pPr>
        <w:spacing w:line="360" w:lineRule="auto"/>
        <w:rPr>
          <w:rFonts w:ascii="Arial" w:hAnsi="Arial" w:cs="Arial"/>
        </w:rPr>
      </w:pPr>
      <w:r w:rsidRPr="002F76C6">
        <w:rPr>
          <w:rFonts w:ascii="Arial" w:hAnsi="Arial" w:cs="Arial"/>
        </w:rPr>
        <w:t>Mercedes-Benz’s strategy in the UAE reflects market development combined with premium portfolio expansion. Unlike Germany’s mature and regulation-driven market, the UAE offers growth potential supported by high purchasing power and state-led diversification (UAE Government, 2023).</w:t>
      </w:r>
    </w:p>
    <w:p w14:paraId="76952383" w14:textId="71676368" w:rsidR="002F76C6" w:rsidRPr="002F76C6" w:rsidRDefault="002F76C6" w:rsidP="002F76C6">
      <w:pPr>
        <w:spacing w:line="360" w:lineRule="auto"/>
        <w:rPr>
          <w:rFonts w:ascii="Arial" w:hAnsi="Arial" w:cs="Arial"/>
        </w:rPr>
      </w:pPr>
      <w:r w:rsidRPr="002F76C6">
        <w:rPr>
          <w:rFonts w:ascii="Arial" w:hAnsi="Arial" w:cs="Arial"/>
        </w:rPr>
        <w:t xml:space="preserve">From an entry mode perspective, Mercedes operates through authorised distribution partnerships rather than wholly owned production facilities. Transaction cost theory suggests firms select entry modes to balance control and uncertainty (Anderson and </w:t>
      </w:r>
      <w:proofErr w:type="spellStart"/>
      <w:r w:rsidRPr="002F76C6">
        <w:rPr>
          <w:rFonts w:ascii="Arial" w:hAnsi="Arial" w:cs="Arial"/>
        </w:rPr>
        <w:t>Gatignon</w:t>
      </w:r>
      <w:proofErr w:type="spellEnd"/>
      <w:r w:rsidRPr="002F76C6">
        <w:rPr>
          <w:rFonts w:ascii="Arial" w:hAnsi="Arial" w:cs="Arial"/>
        </w:rPr>
        <w:t>, 1986). In the UAE, partnership-based distribution reduces operational risk while maintaining brand standards.</w:t>
      </w:r>
    </w:p>
    <w:p w14:paraId="1FB602B0" w14:textId="123F6BDA" w:rsidR="002F76C6" w:rsidRPr="002F76C6" w:rsidRDefault="002F76C6" w:rsidP="002F76C6">
      <w:pPr>
        <w:spacing w:line="360" w:lineRule="auto"/>
        <w:rPr>
          <w:rFonts w:ascii="Arial" w:hAnsi="Arial" w:cs="Arial"/>
        </w:rPr>
      </w:pPr>
      <w:r w:rsidRPr="002F76C6">
        <w:rPr>
          <w:rFonts w:ascii="Arial" w:hAnsi="Arial" w:cs="Arial"/>
        </w:rPr>
        <w:t>Dunning’s eclectic paradigm further explains this positioning. Mercedes possesses ownership advantages in brand equity and technological expertise, while the UAE provides location advantages through political stability and consumer wealth (Dunning, 1988). Internalisation benefits arise from retaining strategic control over brand representation and service quality.</w:t>
      </w:r>
    </w:p>
    <w:p w14:paraId="093D04C7" w14:textId="26195739" w:rsidR="002F76C6" w:rsidRPr="002F76C6" w:rsidRDefault="002F76C6" w:rsidP="002F76C6">
      <w:pPr>
        <w:spacing w:line="360" w:lineRule="auto"/>
        <w:rPr>
          <w:rFonts w:ascii="Arial" w:hAnsi="Arial" w:cs="Arial"/>
        </w:rPr>
      </w:pPr>
      <w:r w:rsidRPr="002F76C6">
        <w:rPr>
          <w:rFonts w:ascii="Arial" w:hAnsi="Arial" w:cs="Arial"/>
        </w:rPr>
        <w:lastRenderedPageBreak/>
        <w:t>The strategy also aligns with incremental internationalisation logic (Johanson and Vahlne, 2009), as Mercedes has expanded through gradual network development rather than high-commitment manufacturing investment. While performance models currently drive demand, long-term growth may increasingly depend on EV adoption as sustainability ambitions intensify (International Energy Agency, 2024).</w:t>
      </w:r>
    </w:p>
    <w:p w14:paraId="65893517" w14:textId="04ECF9FF" w:rsidR="002F76C6" w:rsidRPr="002F76C6" w:rsidRDefault="002F76C6" w:rsidP="002F76C6">
      <w:pPr>
        <w:spacing w:line="360" w:lineRule="auto"/>
        <w:rPr>
          <w:rFonts w:ascii="Arial" w:hAnsi="Arial" w:cs="Arial"/>
        </w:rPr>
      </w:pPr>
      <w:r w:rsidRPr="002F76C6">
        <w:rPr>
          <w:rFonts w:ascii="Arial" w:hAnsi="Arial" w:cs="Arial"/>
        </w:rPr>
        <w:t>Overall, Mercedes’ UAE strategy reflects calibrated expansion: leveraging global brand strength while adapting portfolio emphasis to local market dynamics.</w:t>
      </w:r>
    </w:p>
    <w:p w14:paraId="1EBCA055" w14:textId="7D620D42" w:rsidR="0037095B" w:rsidRPr="00E37F38" w:rsidRDefault="0037095B" w:rsidP="002F76C6">
      <w:pPr>
        <w:pStyle w:val="Heading1"/>
        <w:spacing w:line="360" w:lineRule="auto"/>
        <w:rPr>
          <w:rFonts w:ascii="Arial" w:hAnsi="Arial" w:cs="Arial"/>
          <w:b/>
          <w:bCs/>
          <w:sz w:val="24"/>
          <w:szCs w:val="24"/>
        </w:rPr>
      </w:pPr>
      <w:bookmarkStart w:id="17" w:name="_Toc223435191"/>
      <w:r w:rsidRPr="00E37F38">
        <w:rPr>
          <w:rFonts w:ascii="Arial" w:hAnsi="Arial" w:cs="Arial"/>
          <w:b/>
          <w:bCs/>
          <w:sz w:val="24"/>
          <w:szCs w:val="24"/>
        </w:rPr>
        <w:t>6. Ethical Considerations in International Marketing Strategy</w:t>
      </w:r>
      <w:bookmarkEnd w:id="17"/>
    </w:p>
    <w:p w14:paraId="03228BD5" w14:textId="100726A4" w:rsidR="0037095B" w:rsidRPr="002F76C6" w:rsidRDefault="0037095B" w:rsidP="002F76C6">
      <w:pPr>
        <w:spacing w:line="360" w:lineRule="auto"/>
        <w:rPr>
          <w:rFonts w:ascii="Arial" w:hAnsi="Arial" w:cs="Arial"/>
        </w:rPr>
      </w:pPr>
      <w:r w:rsidRPr="002F76C6">
        <w:rPr>
          <w:rFonts w:ascii="Arial" w:hAnsi="Arial" w:cs="Arial"/>
        </w:rPr>
        <w:t>Operating within the global luxury automotive sector exposes Mercedes-Benz to multiple ethical considerations, particularly concerning sustainability claims, environmental impact and the symbolic nature of luxury consumption. Ethical evaluation is especially relevant when comparing Germany and the UAE, as regulatory pressure and cultural expectations differ significantly across the two markets.</w:t>
      </w:r>
    </w:p>
    <w:p w14:paraId="43FCFE99" w14:textId="265D7F6C" w:rsidR="0037095B" w:rsidRPr="002F76C6" w:rsidRDefault="0037095B" w:rsidP="002F76C6">
      <w:pPr>
        <w:spacing w:line="360" w:lineRule="auto"/>
        <w:rPr>
          <w:rFonts w:ascii="Arial" w:hAnsi="Arial" w:cs="Arial"/>
        </w:rPr>
      </w:pPr>
      <w:r w:rsidRPr="002F76C6">
        <w:rPr>
          <w:rFonts w:ascii="Arial" w:hAnsi="Arial" w:cs="Arial"/>
        </w:rPr>
        <w:t>In Germany, environmental responsibility is both a regulatory and societal expectation. The European regulatory environment emphasises emissions reduction and industrial decarbonisation (European Commission, 2024), increasing scrutiny on automotive manufacturers’ climate strategies. Mercedes has articulated sustainability commitments and carbon neutrality ambitions as part of its broader corporate agenda (Mercedes-Benz Group, 2024a). However, ethical tension arises between promoting high-performance luxury vehicles and advancing environmental responsibility. While electrification is accelerating, the lifecycle emissions of electric vehicles, including battery production and resource extraction, remain complex (International Energy Agency, 2024).</w:t>
      </w:r>
    </w:p>
    <w:p w14:paraId="70E6E461" w14:textId="5AF54FE7" w:rsidR="0037095B" w:rsidRPr="002F76C6" w:rsidRDefault="0037095B" w:rsidP="002F76C6">
      <w:pPr>
        <w:spacing w:line="360" w:lineRule="auto"/>
        <w:rPr>
          <w:rFonts w:ascii="Arial" w:hAnsi="Arial" w:cs="Arial"/>
        </w:rPr>
      </w:pPr>
      <w:r w:rsidRPr="002F76C6">
        <w:rPr>
          <w:rFonts w:ascii="Arial" w:hAnsi="Arial" w:cs="Arial"/>
        </w:rPr>
        <w:t>This creates a reputational risk if sustainability communication exceeds measurable performance outcomes. Corporate sustainability narratives are frequently contested within academic debate, particularly where strategic positioning risks appearing symbolic rather than transformative (Crane et al., 2014). In Germany’s high-regulation context, ethical responsibility therefore extends beyond compliance; it requires demonstrable environmental impact reduction and transparent reporting.</w:t>
      </w:r>
    </w:p>
    <w:p w14:paraId="40487E49" w14:textId="364D9FB9" w:rsidR="0037095B" w:rsidRPr="002F76C6" w:rsidRDefault="0037095B" w:rsidP="002F76C6">
      <w:pPr>
        <w:spacing w:line="360" w:lineRule="auto"/>
        <w:rPr>
          <w:rFonts w:ascii="Arial" w:hAnsi="Arial" w:cs="Arial"/>
        </w:rPr>
      </w:pPr>
      <w:r w:rsidRPr="002F76C6">
        <w:rPr>
          <w:rFonts w:ascii="Arial" w:hAnsi="Arial" w:cs="Arial"/>
        </w:rPr>
        <w:lastRenderedPageBreak/>
        <w:t>In the UAE, ethical considerations are shaped less by regulatory constraint and more by brand representation and consumption culture. The promotion of high-performance, fuel-intensive vehicles within a market historically associated with fossil fuel wealth may attract less immediate regulatory criticism. However, global brand reputation remains interconnected. Marketing combustion-heavy luxury vehicles in one market while promoting carbon neutrality in another can generate perceptions of strategic inconsistency.</w:t>
      </w:r>
    </w:p>
    <w:p w14:paraId="7B108690" w14:textId="66DFE47E" w:rsidR="0037095B" w:rsidRPr="002F76C6" w:rsidRDefault="0037095B" w:rsidP="002F76C6">
      <w:pPr>
        <w:spacing w:line="360" w:lineRule="auto"/>
        <w:rPr>
          <w:rFonts w:ascii="Arial" w:hAnsi="Arial" w:cs="Arial"/>
        </w:rPr>
      </w:pPr>
      <w:r w:rsidRPr="002F76C6">
        <w:rPr>
          <w:rFonts w:ascii="Arial" w:hAnsi="Arial" w:cs="Arial"/>
        </w:rPr>
        <w:t>Furthermore, luxury branding inherently raises ethical questions related to exclusivity, status reinforcement and consumption inequality. Luxury theory acknowledges that exclusivity is a deliberate strategic mechanism (Kapferer and Bastien, 2009), yet from an ethical standpoint, firms must balance aspirational messaging with responsible communication practices.</w:t>
      </w:r>
    </w:p>
    <w:p w14:paraId="5E74070E" w14:textId="44074B48" w:rsidR="0037095B" w:rsidRPr="002F76C6" w:rsidRDefault="0037095B" w:rsidP="002F76C6">
      <w:pPr>
        <w:spacing w:line="360" w:lineRule="auto"/>
        <w:rPr>
          <w:rFonts w:ascii="Arial" w:hAnsi="Arial" w:cs="Arial"/>
        </w:rPr>
      </w:pPr>
      <w:r w:rsidRPr="002F76C6">
        <w:rPr>
          <w:rFonts w:ascii="Arial" w:hAnsi="Arial" w:cs="Arial"/>
        </w:rPr>
        <w:t>Across both markets, ethical responsibility therefore intersects with strategic positioning. Mercedes must ensure that sustainability messaging is aligned with measurable operational action. It must also avoid creating dissonance between environmental commitments in Europe and product emphasis in growth markets. Ethical coherence across markets strengthens long-term brand legitimacy and mitigates reputational risk in an increasingly transparent global environment.</w:t>
      </w:r>
    </w:p>
    <w:p w14:paraId="632E5D68" w14:textId="20367F8C" w:rsidR="0037095B" w:rsidRPr="00E37F38" w:rsidRDefault="0037095B" w:rsidP="002F76C6">
      <w:pPr>
        <w:pStyle w:val="Heading1"/>
        <w:spacing w:line="360" w:lineRule="auto"/>
        <w:rPr>
          <w:rFonts w:ascii="Arial" w:hAnsi="Arial" w:cs="Arial"/>
          <w:b/>
          <w:bCs/>
          <w:sz w:val="24"/>
          <w:szCs w:val="24"/>
        </w:rPr>
      </w:pPr>
      <w:bookmarkStart w:id="18" w:name="_Toc223435192"/>
      <w:r w:rsidRPr="00E37F38">
        <w:rPr>
          <w:rFonts w:ascii="Arial" w:hAnsi="Arial" w:cs="Arial"/>
          <w:b/>
          <w:bCs/>
          <w:sz w:val="24"/>
          <w:szCs w:val="24"/>
        </w:rPr>
        <w:t>7. Strategic Recommendations</w:t>
      </w:r>
      <w:bookmarkEnd w:id="18"/>
    </w:p>
    <w:p w14:paraId="2DDA1135" w14:textId="3ACB317E" w:rsidR="0037095B" w:rsidRPr="002F76C6" w:rsidRDefault="0037095B" w:rsidP="002F76C6">
      <w:pPr>
        <w:spacing w:line="360" w:lineRule="auto"/>
        <w:rPr>
          <w:rFonts w:ascii="Arial" w:hAnsi="Arial" w:cs="Arial"/>
        </w:rPr>
      </w:pPr>
      <w:r w:rsidRPr="002F76C6">
        <w:rPr>
          <w:rFonts w:ascii="Arial" w:hAnsi="Arial" w:cs="Arial"/>
        </w:rPr>
        <w:t>Based on the comparative analysis of macro-environmental conditions, STP strategy and marketing mix implementation across Germany and the UAE, several strategic recommendations emerge to strengthen Mercedes-Benz’s international marketing effectiveness while preserving global brand coherence.</w:t>
      </w:r>
    </w:p>
    <w:p w14:paraId="3134B40E" w14:textId="3BA4C29F" w:rsidR="0037095B" w:rsidRPr="002F76C6" w:rsidRDefault="0037095B" w:rsidP="002F76C6">
      <w:pPr>
        <w:spacing w:line="360" w:lineRule="auto"/>
        <w:rPr>
          <w:rFonts w:ascii="Arial" w:hAnsi="Arial" w:cs="Arial"/>
        </w:rPr>
      </w:pPr>
      <w:r w:rsidRPr="002F76C6">
        <w:rPr>
          <w:rFonts w:ascii="Arial" w:hAnsi="Arial" w:cs="Arial"/>
        </w:rPr>
        <w:t xml:space="preserve">First, Mercedes should deepen its differentiated communication strategy across the two markets while maintaining a unified luxury identity. In Germany, promotional messaging should continue emphasising measurable sustainability progress, technological innovation and engineering precision. Given regulatory intensity and consumer sensitivity to environmental performance (European Commission, 2024; International Energy Agency, 2024), communications should prioritise transparency and evidence-based claims. Aligning promotional narratives closely with operational </w:t>
      </w:r>
      <w:r w:rsidRPr="002F76C6">
        <w:rPr>
          <w:rFonts w:ascii="Arial" w:hAnsi="Arial" w:cs="Arial"/>
        </w:rPr>
        <w:lastRenderedPageBreak/>
        <w:t>sustainability performance will mitigate reputational risks associated with contested corporate responsibility claims (Crane et al., 2014).</w:t>
      </w:r>
    </w:p>
    <w:p w14:paraId="7A6E8634" w14:textId="5F9A4061" w:rsidR="0037095B" w:rsidRPr="002F76C6" w:rsidRDefault="0037095B" w:rsidP="002F76C6">
      <w:pPr>
        <w:spacing w:line="360" w:lineRule="auto"/>
        <w:rPr>
          <w:rFonts w:ascii="Arial" w:hAnsi="Arial" w:cs="Arial"/>
        </w:rPr>
      </w:pPr>
      <w:r w:rsidRPr="002F76C6">
        <w:rPr>
          <w:rFonts w:ascii="Arial" w:hAnsi="Arial" w:cs="Arial"/>
        </w:rPr>
        <w:t>In the UAE, while electrification should remain part of long-term positioning, marketing communications may more effectively integrate prestige symbolism, experiential luxury and forward-looking innovation narratives. Rather than framing electric vehicles purely as regulatory necessity, Mercedes can position EVs as premium technological upgrades aligned with modernity and national development ambitions (UAE Government, 2023). This preserves aspirational appeal while gradually shifting consumer expectations toward sustainable mobility.</w:t>
      </w:r>
    </w:p>
    <w:p w14:paraId="3AC8E73A" w14:textId="56F712D4" w:rsidR="0037095B" w:rsidRPr="002F76C6" w:rsidRDefault="0037095B" w:rsidP="002F76C6">
      <w:pPr>
        <w:spacing w:line="360" w:lineRule="auto"/>
        <w:rPr>
          <w:rFonts w:ascii="Arial" w:hAnsi="Arial" w:cs="Arial"/>
        </w:rPr>
      </w:pPr>
      <w:r w:rsidRPr="002F76C6">
        <w:rPr>
          <w:rFonts w:ascii="Arial" w:hAnsi="Arial" w:cs="Arial"/>
        </w:rPr>
        <w:t>Second, Mercedes should adopt a calibrated portfolio strategy that accelerates EV infrastructure partnerships in the UAE. Although electrification momentum is stronger in Germany, early collaboration with local stakeholders in charging infrastructure development may secure competitive advantage in the emerging premium EV segment. This aligns with incremental internationalisation logic, whereby firms gradually increase commitment as market knowledge deepens (Johanson and Vahlne, 2009).</w:t>
      </w:r>
    </w:p>
    <w:p w14:paraId="7593D6A9" w14:textId="42050E01" w:rsidR="0037095B" w:rsidRPr="002F76C6" w:rsidRDefault="0037095B" w:rsidP="002F76C6">
      <w:pPr>
        <w:spacing w:line="360" w:lineRule="auto"/>
        <w:rPr>
          <w:rFonts w:ascii="Arial" w:hAnsi="Arial" w:cs="Arial"/>
        </w:rPr>
      </w:pPr>
      <w:r w:rsidRPr="002F76C6">
        <w:rPr>
          <w:rFonts w:ascii="Arial" w:hAnsi="Arial" w:cs="Arial"/>
        </w:rPr>
        <w:t>Third, pricing strategy should continue reflecting contextual value perception. In Germany, premium pricing must remain justified through technological superiority and efficiency metrics. In the UAE, psychological and prestige-oriented pricing signals may reinforce exclusivity, consistent with luxury brand theory (Ko, Costello and Taylor, 2017; Kapferer and Bastien, 2009). However, global pricing architecture should avoid excessive divergence to maintain brand consistency and prevent cross-market perception imbalance.</w:t>
      </w:r>
    </w:p>
    <w:p w14:paraId="48B2297C" w14:textId="51F869F0" w:rsidR="0037095B" w:rsidRPr="002F76C6" w:rsidRDefault="0037095B" w:rsidP="002F76C6">
      <w:pPr>
        <w:spacing w:line="360" w:lineRule="auto"/>
        <w:rPr>
          <w:rFonts w:ascii="Arial" w:hAnsi="Arial" w:cs="Arial"/>
        </w:rPr>
      </w:pPr>
      <w:r w:rsidRPr="002F76C6">
        <w:rPr>
          <w:rFonts w:ascii="Arial" w:hAnsi="Arial" w:cs="Arial"/>
        </w:rPr>
        <w:t xml:space="preserve">Finally, Mercedes should ensure ethical alignment across markets by harmonising sustainability commitments and product emphasis. While selective adaptation is strategically justified (Theodosiou and </w:t>
      </w:r>
      <w:proofErr w:type="spellStart"/>
      <w:r w:rsidRPr="002F76C6">
        <w:rPr>
          <w:rFonts w:ascii="Arial" w:hAnsi="Arial" w:cs="Arial"/>
        </w:rPr>
        <w:t>Leonidou</w:t>
      </w:r>
      <w:proofErr w:type="spellEnd"/>
      <w:r w:rsidRPr="002F76C6">
        <w:rPr>
          <w:rFonts w:ascii="Arial" w:hAnsi="Arial" w:cs="Arial"/>
        </w:rPr>
        <w:t>, 2003), visible inconsistency between sustainability messaging in Germany and product promotion in the UAE may undermine brand credibility. Integrating sustainability as a global innovation pillar, rather than a region-specific narrative, would strengthen long-term strategic legitimacy.</w:t>
      </w:r>
    </w:p>
    <w:p w14:paraId="60396663" w14:textId="75EE4C77" w:rsidR="0037095B" w:rsidRPr="002F76C6" w:rsidRDefault="0037095B" w:rsidP="002F76C6">
      <w:pPr>
        <w:spacing w:line="360" w:lineRule="auto"/>
        <w:rPr>
          <w:rFonts w:ascii="Arial" w:hAnsi="Arial" w:cs="Arial"/>
        </w:rPr>
      </w:pPr>
      <w:r w:rsidRPr="002F76C6">
        <w:rPr>
          <w:rFonts w:ascii="Arial" w:hAnsi="Arial" w:cs="Arial"/>
        </w:rPr>
        <w:t xml:space="preserve">Collectively, these recommendations support a hybrid global strategy in which core luxury identity remains standardised, while communication framing, product </w:t>
      </w:r>
      <w:r w:rsidRPr="002F76C6">
        <w:rPr>
          <w:rFonts w:ascii="Arial" w:hAnsi="Arial" w:cs="Arial"/>
        </w:rPr>
        <w:lastRenderedPageBreak/>
        <w:t>emphasis and experiential delivery are selectively adapted to macro-environmental and cultural conditions.</w:t>
      </w:r>
    </w:p>
    <w:p w14:paraId="7614B57C" w14:textId="69886D49" w:rsidR="002F76C6" w:rsidRPr="00E37F38" w:rsidRDefault="002F76C6" w:rsidP="002F76C6">
      <w:pPr>
        <w:pStyle w:val="Heading1"/>
        <w:spacing w:line="360" w:lineRule="auto"/>
        <w:rPr>
          <w:rFonts w:ascii="Arial" w:hAnsi="Arial" w:cs="Arial"/>
          <w:b/>
          <w:bCs/>
          <w:sz w:val="24"/>
          <w:szCs w:val="24"/>
        </w:rPr>
      </w:pPr>
      <w:bookmarkStart w:id="19" w:name="_Toc223435193"/>
      <w:r w:rsidRPr="00E37F38">
        <w:rPr>
          <w:rFonts w:ascii="Arial" w:hAnsi="Arial" w:cs="Arial"/>
          <w:b/>
          <w:bCs/>
          <w:sz w:val="24"/>
          <w:szCs w:val="24"/>
        </w:rPr>
        <w:t>8. Conclusion</w:t>
      </w:r>
      <w:bookmarkEnd w:id="19"/>
    </w:p>
    <w:p w14:paraId="2F37B684" w14:textId="202DF7DC" w:rsidR="002F76C6" w:rsidRPr="002F76C6" w:rsidRDefault="002F76C6" w:rsidP="002F76C6">
      <w:pPr>
        <w:spacing w:line="360" w:lineRule="auto"/>
        <w:rPr>
          <w:rFonts w:ascii="Arial" w:hAnsi="Arial" w:cs="Arial"/>
        </w:rPr>
      </w:pPr>
      <w:r w:rsidRPr="002F76C6">
        <w:rPr>
          <w:rFonts w:ascii="Arial" w:hAnsi="Arial" w:cs="Arial"/>
        </w:rPr>
        <w:t>This report critically compared the international marketing strategy of Mercedes-Benz Group in Germany and the United Arab Emirates, demonstrating how macro-environmental conditions shape segmentation, positioning and marketing mix decisions. The PESTEL analysis identified Germany as a regulation-intensive, sustainability-driven and technologically advanced environment, while the UAE represents a high-income, prestige-oriented growth market. These differences shape both consumer expectations and strategic priorities.</w:t>
      </w:r>
    </w:p>
    <w:p w14:paraId="4C60BC69" w14:textId="270FB20A" w:rsidR="002F76C6" w:rsidRPr="002F76C6" w:rsidRDefault="002F76C6" w:rsidP="002F76C6">
      <w:pPr>
        <w:spacing w:line="360" w:lineRule="auto"/>
        <w:rPr>
          <w:rFonts w:ascii="Arial" w:hAnsi="Arial" w:cs="Arial"/>
        </w:rPr>
      </w:pPr>
      <w:r w:rsidRPr="002F76C6">
        <w:rPr>
          <w:rFonts w:ascii="Arial" w:hAnsi="Arial" w:cs="Arial"/>
        </w:rPr>
        <w:t>The STP analysis showed that although Mercedes maintains a consistent global luxury identity, purchase motivations vary across markets. In Germany, decisions are influenced by engineering credibility, environmental performance and long-term value. In contrast, luxury consumption in the UAE is more closely associated with status signalling and exclusivity. This divergence necessitates selective adaptation while preserving overall brand coherence.</w:t>
      </w:r>
    </w:p>
    <w:p w14:paraId="577B48DA" w14:textId="32841112" w:rsidR="002F76C6" w:rsidRPr="002F76C6" w:rsidRDefault="002F76C6" w:rsidP="002F76C6">
      <w:pPr>
        <w:spacing w:line="360" w:lineRule="auto"/>
        <w:rPr>
          <w:rFonts w:ascii="Arial" w:hAnsi="Arial" w:cs="Arial"/>
        </w:rPr>
      </w:pPr>
      <w:r w:rsidRPr="002F76C6">
        <w:rPr>
          <w:rFonts w:ascii="Arial" w:hAnsi="Arial" w:cs="Arial"/>
        </w:rPr>
        <w:t>The marketing mix comparison demonstrated a hybrid global strategy. Core product architecture and premium positioning remain consistent, yet emphasis differs. Electrification and sustainability messaging dominate in Germany, reflecting regulatory and societal pressures. In the UAE, performance differentiation and prestige communication are more prominent, with electrification positioned within broader innovation narratives.</w:t>
      </w:r>
    </w:p>
    <w:p w14:paraId="62C1D2B8" w14:textId="2FA6A4DE" w:rsidR="002F76C6" w:rsidRPr="002F76C6" w:rsidRDefault="002F76C6" w:rsidP="002F76C6">
      <w:pPr>
        <w:spacing w:line="360" w:lineRule="auto"/>
        <w:rPr>
          <w:rFonts w:ascii="Arial" w:hAnsi="Arial" w:cs="Arial"/>
        </w:rPr>
      </w:pPr>
      <w:r w:rsidRPr="002F76C6">
        <w:rPr>
          <w:rFonts w:ascii="Arial" w:hAnsi="Arial" w:cs="Arial"/>
        </w:rPr>
        <w:t>Overall, the findings support the argument that effective international marketing for luxury brands requires structured flexibility rather than full standardisation. Mercedes’ calibrated adaptation across markets illustrates how global brands balance ownership advantages with location-specific responsiveness to sustain competitive advantage.</w:t>
      </w:r>
    </w:p>
    <w:p w14:paraId="1626C2AA" w14:textId="77777777" w:rsidR="002F76C6" w:rsidRPr="002F76C6" w:rsidRDefault="002F76C6" w:rsidP="002F76C6">
      <w:pPr>
        <w:spacing w:line="360" w:lineRule="auto"/>
        <w:rPr>
          <w:rFonts w:ascii="Arial" w:hAnsi="Arial" w:cs="Arial"/>
        </w:rPr>
      </w:pPr>
    </w:p>
    <w:p w14:paraId="6A04C6F8" w14:textId="77777777" w:rsidR="002F76C6" w:rsidRPr="00E37F38" w:rsidRDefault="002F76C6" w:rsidP="002F76C6">
      <w:pPr>
        <w:pStyle w:val="Heading1"/>
        <w:spacing w:line="360" w:lineRule="auto"/>
        <w:rPr>
          <w:rFonts w:ascii="Arial" w:hAnsi="Arial" w:cs="Arial"/>
          <w:b/>
          <w:bCs/>
          <w:sz w:val="24"/>
          <w:szCs w:val="24"/>
        </w:rPr>
      </w:pPr>
      <w:bookmarkStart w:id="20" w:name="_Toc223435194"/>
      <w:r w:rsidRPr="00E37F38">
        <w:rPr>
          <w:rFonts w:ascii="Arial" w:hAnsi="Arial" w:cs="Arial"/>
          <w:b/>
          <w:bCs/>
          <w:sz w:val="24"/>
          <w:szCs w:val="24"/>
        </w:rPr>
        <w:lastRenderedPageBreak/>
        <w:t>9. Reflective Account</w:t>
      </w:r>
      <w:bookmarkEnd w:id="20"/>
    </w:p>
    <w:p w14:paraId="6BA0771C" w14:textId="76C6D05D" w:rsidR="002F76C6" w:rsidRPr="00E37F38" w:rsidRDefault="002F76C6" w:rsidP="002F76C6">
      <w:pPr>
        <w:pStyle w:val="Heading2"/>
        <w:spacing w:line="360" w:lineRule="auto"/>
        <w:rPr>
          <w:rFonts w:ascii="Arial" w:hAnsi="Arial" w:cs="Arial"/>
          <w:b/>
          <w:bCs/>
          <w:sz w:val="24"/>
          <w:szCs w:val="24"/>
        </w:rPr>
      </w:pPr>
      <w:bookmarkStart w:id="21" w:name="_Toc223435195"/>
      <w:r w:rsidRPr="00E37F38">
        <w:rPr>
          <w:rFonts w:ascii="Arial" w:hAnsi="Arial" w:cs="Arial"/>
          <w:b/>
          <w:bCs/>
          <w:sz w:val="24"/>
          <w:szCs w:val="24"/>
        </w:rPr>
        <w:t>9.1 Description</w:t>
      </w:r>
      <w:bookmarkEnd w:id="21"/>
    </w:p>
    <w:p w14:paraId="3ABF45C0" w14:textId="44346C22" w:rsidR="002F76C6" w:rsidRPr="002F76C6" w:rsidRDefault="002F76C6" w:rsidP="002F76C6">
      <w:pPr>
        <w:spacing w:line="360" w:lineRule="auto"/>
        <w:rPr>
          <w:rFonts w:ascii="Arial" w:hAnsi="Arial" w:cs="Arial"/>
        </w:rPr>
      </w:pPr>
      <w:r w:rsidRPr="002F76C6">
        <w:rPr>
          <w:rFonts w:ascii="Arial" w:hAnsi="Arial" w:cs="Arial"/>
        </w:rPr>
        <w:t xml:space="preserve">This assessment required the critical evaluation of Mercedes-Benz’s international marketing strategy across Germany and the United Arab Emirates. The task involved integrating macro-environmental analysis, segmentation strategy and marketing mix evaluation within the broader adaptation–standardisation debate in international marketing (Theodosiou and </w:t>
      </w:r>
      <w:proofErr w:type="spellStart"/>
      <w:r w:rsidRPr="002F76C6">
        <w:rPr>
          <w:rFonts w:ascii="Arial" w:hAnsi="Arial" w:cs="Arial"/>
        </w:rPr>
        <w:t>Leonidou</w:t>
      </w:r>
      <w:proofErr w:type="spellEnd"/>
      <w:r w:rsidRPr="002F76C6">
        <w:rPr>
          <w:rFonts w:ascii="Arial" w:hAnsi="Arial" w:cs="Arial"/>
        </w:rPr>
        <w:t xml:space="preserve">, 2003; Zou and </w:t>
      </w:r>
      <w:proofErr w:type="spellStart"/>
      <w:r w:rsidRPr="002F76C6">
        <w:rPr>
          <w:rFonts w:ascii="Arial" w:hAnsi="Arial" w:cs="Arial"/>
        </w:rPr>
        <w:t>Cavusgil</w:t>
      </w:r>
      <w:proofErr w:type="spellEnd"/>
      <w:r w:rsidRPr="002F76C6">
        <w:rPr>
          <w:rFonts w:ascii="Arial" w:hAnsi="Arial" w:cs="Arial"/>
        </w:rPr>
        <w:t xml:space="preserve">, 2002). It also required application of internationalisation theory to assess entry mode and directional development strategy (Anderson and </w:t>
      </w:r>
      <w:proofErr w:type="spellStart"/>
      <w:r w:rsidRPr="002F76C6">
        <w:rPr>
          <w:rFonts w:ascii="Arial" w:hAnsi="Arial" w:cs="Arial"/>
        </w:rPr>
        <w:t>Gatignon</w:t>
      </w:r>
      <w:proofErr w:type="spellEnd"/>
      <w:r w:rsidRPr="002F76C6">
        <w:rPr>
          <w:rFonts w:ascii="Arial" w:hAnsi="Arial" w:cs="Arial"/>
        </w:rPr>
        <w:t>, 1986; Dunning, 1988; Johanson and Vahlne, 2009).</w:t>
      </w:r>
    </w:p>
    <w:p w14:paraId="425CAC60" w14:textId="56E3A892" w:rsidR="0037095B" w:rsidRPr="002F76C6" w:rsidRDefault="002F76C6" w:rsidP="002F76C6">
      <w:pPr>
        <w:spacing w:line="360" w:lineRule="auto"/>
        <w:rPr>
          <w:rFonts w:ascii="Arial" w:hAnsi="Arial" w:cs="Arial"/>
        </w:rPr>
      </w:pPr>
      <w:r w:rsidRPr="002F76C6">
        <w:rPr>
          <w:rFonts w:ascii="Arial" w:hAnsi="Arial" w:cs="Arial"/>
        </w:rPr>
        <w:t>The comparative nature of the assignment demanded more than parallel country description. It required identification of strategic contrasts between a mature, regulation-intensive home market and a high-income, prestige-oriented foreign growth market. The analysis therefore focused on how political, cultural and technological factors shape operational marketing decisions. In doing so, theoretical frameworks were not treated as isolated academic tools but as explanatory mechanisms for real strategic behaviour.</w:t>
      </w:r>
    </w:p>
    <w:p w14:paraId="360F9AC7" w14:textId="77777777" w:rsidR="002F76C6" w:rsidRPr="00E37F38" w:rsidRDefault="002F76C6" w:rsidP="002F76C6">
      <w:pPr>
        <w:pStyle w:val="Heading2"/>
        <w:spacing w:line="360" w:lineRule="auto"/>
        <w:rPr>
          <w:rFonts w:ascii="Arial" w:hAnsi="Arial" w:cs="Arial"/>
          <w:b/>
          <w:bCs/>
          <w:sz w:val="24"/>
          <w:szCs w:val="24"/>
        </w:rPr>
      </w:pPr>
      <w:bookmarkStart w:id="22" w:name="_Toc223435196"/>
      <w:r w:rsidRPr="00E37F38">
        <w:rPr>
          <w:rFonts w:ascii="Arial" w:hAnsi="Arial" w:cs="Arial"/>
          <w:b/>
          <w:bCs/>
          <w:sz w:val="24"/>
          <w:szCs w:val="24"/>
        </w:rPr>
        <w:t>9.2 Feelings</w:t>
      </w:r>
      <w:bookmarkEnd w:id="22"/>
    </w:p>
    <w:p w14:paraId="0FB1882E" w14:textId="77777777" w:rsidR="002F76C6" w:rsidRPr="002F76C6" w:rsidRDefault="002F76C6" w:rsidP="002F76C6">
      <w:pPr>
        <w:spacing w:line="360" w:lineRule="auto"/>
        <w:rPr>
          <w:rFonts w:ascii="Arial" w:hAnsi="Arial" w:cs="Arial"/>
        </w:rPr>
      </w:pPr>
    </w:p>
    <w:p w14:paraId="38CF9D9B" w14:textId="54A4CD31" w:rsidR="002F76C6" w:rsidRPr="002F76C6" w:rsidRDefault="002F76C6" w:rsidP="002F76C6">
      <w:pPr>
        <w:spacing w:line="360" w:lineRule="auto"/>
        <w:rPr>
          <w:rFonts w:ascii="Arial" w:hAnsi="Arial" w:cs="Arial"/>
        </w:rPr>
      </w:pPr>
      <w:r w:rsidRPr="002F76C6">
        <w:rPr>
          <w:rFonts w:ascii="Arial" w:hAnsi="Arial" w:cs="Arial"/>
        </w:rPr>
        <w:t>At the outset, integrating multiple frameworks within a single coherent argument appeared complex. The adaptation versus standardisation debate initially seemed binary; however, applying it to a luxury automotive context revealed significant nuance. There was uncertainty regarding how to balance global brand consistency with market-specific differentiation, particularly in culturally distinct environments such as Germany and the UAE.</w:t>
      </w:r>
    </w:p>
    <w:p w14:paraId="561F9757" w14:textId="501F1CE8" w:rsidR="002F76C6" w:rsidRPr="002F76C6" w:rsidRDefault="002F76C6" w:rsidP="002F76C6">
      <w:pPr>
        <w:spacing w:line="360" w:lineRule="auto"/>
        <w:rPr>
          <w:rFonts w:ascii="Arial" w:hAnsi="Arial" w:cs="Arial"/>
        </w:rPr>
      </w:pPr>
      <w:r w:rsidRPr="002F76C6">
        <w:rPr>
          <w:rFonts w:ascii="Arial" w:hAnsi="Arial" w:cs="Arial"/>
        </w:rPr>
        <w:t xml:space="preserve">The ethical dimension of sustainability strategy also introduced analytical tension. Mercedes’ climate commitments (Mercedes-Benz Group, 2024a) must be evaluated within regulatory pressures in Germany (European Commission, 2024) while also considering performance-oriented demand in the UAE. Determining whether sustainability positioning represents structural transformation or strategic narrative </w:t>
      </w:r>
      <w:r w:rsidRPr="002F76C6">
        <w:rPr>
          <w:rFonts w:ascii="Arial" w:hAnsi="Arial" w:cs="Arial"/>
        </w:rPr>
        <w:lastRenderedPageBreak/>
        <w:t xml:space="preserve">required critical judgement, particularly </w:t>
      </w:r>
      <w:proofErr w:type="gramStart"/>
      <w:r w:rsidRPr="002F76C6">
        <w:rPr>
          <w:rFonts w:ascii="Arial" w:hAnsi="Arial" w:cs="Arial"/>
        </w:rPr>
        <w:t>in light of</w:t>
      </w:r>
      <w:proofErr w:type="gramEnd"/>
      <w:r w:rsidRPr="002F76C6">
        <w:rPr>
          <w:rFonts w:ascii="Arial" w:hAnsi="Arial" w:cs="Arial"/>
        </w:rPr>
        <w:t xml:space="preserve"> debates surrounding corporate responsibility claims (Crane et al., 2014).</w:t>
      </w:r>
    </w:p>
    <w:p w14:paraId="6D6FF63B" w14:textId="14FDBEE6" w:rsidR="002F76C6" w:rsidRPr="002F76C6" w:rsidRDefault="002F76C6" w:rsidP="002F76C6">
      <w:pPr>
        <w:spacing w:line="360" w:lineRule="auto"/>
        <w:rPr>
          <w:rFonts w:ascii="Arial" w:hAnsi="Arial" w:cs="Arial"/>
        </w:rPr>
      </w:pPr>
      <w:r w:rsidRPr="002F76C6">
        <w:rPr>
          <w:rFonts w:ascii="Arial" w:hAnsi="Arial" w:cs="Arial"/>
        </w:rPr>
        <w:t>As the analysis progressed, confidence increased in synthesising theoretical perspectives rather than presenting them sequentially. The process reinforced the importance of clarity, conciseness and structured argumentation when handling complex strategic material.</w:t>
      </w:r>
    </w:p>
    <w:p w14:paraId="1700BD25" w14:textId="194CDB83" w:rsidR="002F76C6" w:rsidRPr="00E37F38" w:rsidRDefault="002F76C6" w:rsidP="002F76C6">
      <w:pPr>
        <w:pStyle w:val="Heading2"/>
        <w:spacing w:line="360" w:lineRule="auto"/>
        <w:rPr>
          <w:rFonts w:ascii="Arial" w:hAnsi="Arial" w:cs="Arial"/>
          <w:b/>
          <w:bCs/>
          <w:sz w:val="24"/>
          <w:szCs w:val="24"/>
        </w:rPr>
      </w:pPr>
      <w:bookmarkStart w:id="23" w:name="_Toc223435197"/>
      <w:r w:rsidRPr="00E37F38">
        <w:rPr>
          <w:rFonts w:ascii="Arial" w:hAnsi="Arial" w:cs="Arial"/>
          <w:b/>
          <w:bCs/>
          <w:sz w:val="24"/>
          <w:szCs w:val="24"/>
        </w:rPr>
        <w:t>9.3 Evaluation</w:t>
      </w:r>
      <w:bookmarkEnd w:id="23"/>
    </w:p>
    <w:p w14:paraId="489440D4" w14:textId="4A00BC83" w:rsidR="002F76C6" w:rsidRPr="002F76C6" w:rsidRDefault="002F76C6" w:rsidP="002F76C6">
      <w:pPr>
        <w:spacing w:line="360" w:lineRule="auto"/>
        <w:rPr>
          <w:rFonts w:ascii="Arial" w:hAnsi="Arial" w:cs="Arial"/>
        </w:rPr>
      </w:pPr>
      <w:r w:rsidRPr="002F76C6">
        <w:rPr>
          <w:rFonts w:ascii="Arial" w:hAnsi="Arial" w:cs="Arial"/>
        </w:rPr>
        <w:t>A key strength of the assignment was the integration of macro-environmental analysis with operational marketing decisions. Rather than presenting PESTEL as descriptive context, regulatory intensity in Germany was directly linked to product and promotional emphasis on electrification, supported by EV adoption trends (International Energy Agency, 2024). Similarly, socio-cultural characteristics in the UAE were connected to prestige-oriented positioning strategies, consistent with luxury brand theory (Kapferer and Bastien, 2009; Ko, Costello and Taylor, 2017).</w:t>
      </w:r>
    </w:p>
    <w:p w14:paraId="4C126B7C" w14:textId="71B768C4" w:rsidR="002F76C6" w:rsidRPr="002F76C6" w:rsidRDefault="002F76C6" w:rsidP="002F76C6">
      <w:pPr>
        <w:spacing w:line="360" w:lineRule="auto"/>
        <w:rPr>
          <w:rFonts w:ascii="Arial" w:hAnsi="Arial" w:cs="Arial"/>
        </w:rPr>
      </w:pPr>
      <w:r w:rsidRPr="002F76C6">
        <w:rPr>
          <w:rFonts w:ascii="Arial" w:hAnsi="Arial" w:cs="Arial"/>
        </w:rPr>
        <w:t xml:space="preserve">Another strength was the application of internationalisation frameworks to interpret Mercedes’ UAE strategy. Entry mode decisions were analysed through transaction cost logic (Anderson and </w:t>
      </w:r>
      <w:proofErr w:type="spellStart"/>
      <w:r w:rsidRPr="002F76C6">
        <w:rPr>
          <w:rFonts w:ascii="Arial" w:hAnsi="Arial" w:cs="Arial"/>
        </w:rPr>
        <w:t>Gatignon</w:t>
      </w:r>
      <w:proofErr w:type="spellEnd"/>
      <w:r w:rsidRPr="002F76C6">
        <w:rPr>
          <w:rFonts w:ascii="Arial" w:hAnsi="Arial" w:cs="Arial"/>
        </w:rPr>
        <w:t>, 1986), while broader expansion dynamics were interpreted using the eclectic paradigm (Dunning, 1988) and incremental internationalisation theory (Johanson and Vahlne, 2009). This strengthened the strategic depth of the report beyond surface-level marketing comparison.</w:t>
      </w:r>
    </w:p>
    <w:p w14:paraId="05D817BC" w14:textId="79B258AC" w:rsidR="002F76C6" w:rsidRPr="002F76C6" w:rsidRDefault="002F76C6" w:rsidP="002F76C6">
      <w:pPr>
        <w:spacing w:line="360" w:lineRule="auto"/>
        <w:rPr>
          <w:rFonts w:ascii="Arial" w:hAnsi="Arial" w:cs="Arial"/>
        </w:rPr>
      </w:pPr>
      <w:r w:rsidRPr="002F76C6">
        <w:rPr>
          <w:rFonts w:ascii="Arial" w:hAnsi="Arial" w:cs="Arial"/>
        </w:rPr>
        <w:t>However, a limitation was the challenge of managing scope and word count. The interrelationship between cultural theory, sustainability strategy and luxury positioning created risk of repetition. Achieving conciseness while maintaining analytical depth required significant refinement. This highlighted the importance of prioritising evaluation over extended explanation.</w:t>
      </w:r>
    </w:p>
    <w:p w14:paraId="235D7F57" w14:textId="12381D84" w:rsidR="002F76C6" w:rsidRPr="00E37F38" w:rsidRDefault="002F76C6" w:rsidP="002F76C6">
      <w:pPr>
        <w:pStyle w:val="Heading2"/>
        <w:spacing w:line="360" w:lineRule="auto"/>
        <w:rPr>
          <w:rFonts w:ascii="Arial" w:hAnsi="Arial" w:cs="Arial"/>
          <w:b/>
          <w:bCs/>
          <w:sz w:val="24"/>
          <w:szCs w:val="24"/>
        </w:rPr>
      </w:pPr>
      <w:bookmarkStart w:id="24" w:name="_Toc223435198"/>
      <w:r w:rsidRPr="00E37F38">
        <w:rPr>
          <w:rFonts w:ascii="Arial" w:hAnsi="Arial" w:cs="Arial"/>
          <w:b/>
          <w:bCs/>
          <w:sz w:val="24"/>
          <w:szCs w:val="24"/>
        </w:rPr>
        <w:t>9.4 Analysis</w:t>
      </w:r>
      <w:bookmarkEnd w:id="24"/>
    </w:p>
    <w:p w14:paraId="5432B9D0" w14:textId="15B66B1E" w:rsidR="002F76C6" w:rsidRPr="002F76C6" w:rsidRDefault="002F76C6" w:rsidP="002F76C6">
      <w:pPr>
        <w:spacing w:line="360" w:lineRule="auto"/>
        <w:rPr>
          <w:rFonts w:ascii="Arial" w:hAnsi="Arial" w:cs="Arial"/>
        </w:rPr>
      </w:pPr>
      <w:r w:rsidRPr="002F76C6">
        <w:rPr>
          <w:rFonts w:ascii="Arial" w:hAnsi="Arial" w:cs="Arial"/>
        </w:rPr>
        <w:t xml:space="preserve">This assignment enhanced understanding of global marketing as a dynamic balancing process rather than a formulaic replication of strategy. The adaptation–standardisation debate suggests tension between efficiency and responsiveness (Theodosiou and </w:t>
      </w:r>
      <w:proofErr w:type="spellStart"/>
      <w:r w:rsidRPr="002F76C6">
        <w:rPr>
          <w:rFonts w:ascii="Arial" w:hAnsi="Arial" w:cs="Arial"/>
        </w:rPr>
        <w:t>Leonidou</w:t>
      </w:r>
      <w:proofErr w:type="spellEnd"/>
      <w:r w:rsidRPr="002F76C6">
        <w:rPr>
          <w:rFonts w:ascii="Arial" w:hAnsi="Arial" w:cs="Arial"/>
        </w:rPr>
        <w:t xml:space="preserve">, 2003). Through this analysis, it became clear that </w:t>
      </w:r>
      <w:r w:rsidRPr="002F76C6">
        <w:rPr>
          <w:rFonts w:ascii="Arial" w:hAnsi="Arial" w:cs="Arial"/>
        </w:rPr>
        <w:lastRenderedPageBreak/>
        <w:t>successful luxury brands such as Mercedes operate through calibrated flexibility, maintaining core identity while adjusting emphasis according to contextual variables.</w:t>
      </w:r>
    </w:p>
    <w:p w14:paraId="1B1A723E" w14:textId="0DD10C99" w:rsidR="002F76C6" w:rsidRPr="002F76C6" w:rsidRDefault="002F76C6" w:rsidP="002F76C6">
      <w:pPr>
        <w:spacing w:line="360" w:lineRule="auto"/>
        <w:rPr>
          <w:rFonts w:ascii="Arial" w:hAnsi="Arial" w:cs="Arial"/>
        </w:rPr>
      </w:pPr>
      <w:r w:rsidRPr="002F76C6">
        <w:rPr>
          <w:rFonts w:ascii="Arial" w:hAnsi="Arial" w:cs="Arial"/>
        </w:rPr>
        <w:t>The comparison also reinforced that cultural dimensions influence not only communication style but also consumer interpretation of value. Hofstede’s framework (Hofstede Insights, 2024) provided a structured lens to interpret differences in uncertainty avoidance and power distance, but the analysis demonstrated that culture interacts with economic structure and regulatory context. Luxury consumption in Germany and the UAE differs not merely because of cultural values but because those values are embedded within different institutional and market systems.</w:t>
      </w:r>
    </w:p>
    <w:p w14:paraId="083082E6" w14:textId="609D82F9" w:rsidR="002F76C6" w:rsidRPr="002F76C6" w:rsidRDefault="002F76C6" w:rsidP="002F76C6">
      <w:pPr>
        <w:spacing w:line="360" w:lineRule="auto"/>
        <w:rPr>
          <w:rFonts w:ascii="Arial" w:hAnsi="Arial" w:cs="Arial"/>
        </w:rPr>
      </w:pPr>
      <w:r w:rsidRPr="002F76C6">
        <w:rPr>
          <w:rFonts w:ascii="Arial" w:hAnsi="Arial" w:cs="Arial"/>
        </w:rPr>
        <w:t>Furthermore, the ethical dimension revealed that sustainability positioning cannot be geographically fragmented without reputational consequences. Corporate responsibility claims are increasingly scrutinised across markets (Crane et al., 2014), meaning global brands must ensure coherence between environmental commitments and product emphasis. This insight extended the analysis beyond marketing mechanics into broader strategic governance considerations.</w:t>
      </w:r>
    </w:p>
    <w:p w14:paraId="734601AB" w14:textId="3A6B45F0" w:rsidR="002F76C6" w:rsidRPr="00E37F38" w:rsidRDefault="002F76C6" w:rsidP="002F76C6">
      <w:pPr>
        <w:pStyle w:val="Heading2"/>
        <w:spacing w:line="360" w:lineRule="auto"/>
        <w:rPr>
          <w:rFonts w:ascii="Arial" w:hAnsi="Arial" w:cs="Arial"/>
          <w:b/>
          <w:bCs/>
          <w:sz w:val="24"/>
          <w:szCs w:val="24"/>
        </w:rPr>
      </w:pPr>
      <w:bookmarkStart w:id="25" w:name="_Toc223435199"/>
      <w:r w:rsidRPr="00E37F38">
        <w:rPr>
          <w:rFonts w:ascii="Arial" w:hAnsi="Arial" w:cs="Arial"/>
          <w:b/>
          <w:bCs/>
          <w:sz w:val="24"/>
          <w:szCs w:val="24"/>
        </w:rPr>
        <w:t>9.5 Conclusion</w:t>
      </w:r>
      <w:bookmarkEnd w:id="25"/>
    </w:p>
    <w:p w14:paraId="213F45CD" w14:textId="4066D7E9" w:rsidR="002F76C6" w:rsidRPr="002F76C6" w:rsidRDefault="002F76C6" w:rsidP="002F76C6">
      <w:pPr>
        <w:spacing w:line="360" w:lineRule="auto"/>
        <w:rPr>
          <w:rFonts w:ascii="Arial" w:hAnsi="Arial" w:cs="Arial"/>
        </w:rPr>
      </w:pPr>
      <w:r w:rsidRPr="002F76C6">
        <w:rPr>
          <w:rFonts w:ascii="Arial" w:hAnsi="Arial" w:cs="Arial"/>
        </w:rPr>
        <w:t>Overall, this assessment strengthened the ability to synthesise macro-environmental analysis, cultural theory and internationalisation frameworks into a coherent strategic evaluation. It demonstrated that effective international marketing requires structured flexibility: core brand identity must remain stable, yet product emphasis, communication framing and experiential delivery require contextual adjustment.</w:t>
      </w:r>
    </w:p>
    <w:p w14:paraId="67435352" w14:textId="136590A8" w:rsidR="002F76C6" w:rsidRPr="002F76C6" w:rsidRDefault="002F76C6" w:rsidP="002F76C6">
      <w:pPr>
        <w:spacing w:line="360" w:lineRule="auto"/>
        <w:rPr>
          <w:rFonts w:ascii="Arial" w:hAnsi="Arial" w:cs="Arial"/>
        </w:rPr>
      </w:pPr>
      <w:r w:rsidRPr="002F76C6">
        <w:rPr>
          <w:rFonts w:ascii="Arial" w:hAnsi="Arial" w:cs="Arial"/>
        </w:rPr>
        <w:t>The process also reinforced the importance of critical judgement when evaluating sustainability claims and luxury positioning within different regulatory and cultural environments. International marketing is not solely about expansion; it involves balancing legitimacy, performance and symbolic value across diverse institutional contexts.</w:t>
      </w:r>
    </w:p>
    <w:p w14:paraId="541DA7A6" w14:textId="611A5C71" w:rsidR="002F76C6" w:rsidRPr="00E37F38" w:rsidRDefault="002F76C6" w:rsidP="002F76C6">
      <w:pPr>
        <w:pStyle w:val="Heading2"/>
        <w:spacing w:line="360" w:lineRule="auto"/>
        <w:rPr>
          <w:rFonts w:ascii="Arial" w:hAnsi="Arial" w:cs="Arial"/>
          <w:b/>
          <w:bCs/>
          <w:sz w:val="24"/>
          <w:szCs w:val="24"/>
        </w:rPr>
      </w:pPr>
      <w:bookmarkStart w:id="26" w:name="_Toc223435200"/>
      <w:r w:rsidRPr="00E37F38">
        <w:rPr>
          <w:rFonts w:ascii="Arial" w:hAnsi="Arial" w:cs="Arial"/>
          <w:b/>
          <w:bCs/>
          <w:sz w:val="24"/>
          <w:szCs w:val="24"/>
        </w:rPr>
        <w:t>9.6 Action Plan</w:t>
      </w:r>
      <w:bookmarkEnd w:id="26"/>
    </w:p>
    <w:p w14:paraId="1AFBA259" w14:textId="6C118CBE" w:rsidR="002F76C6" w:rsidRPr="002F76C6" w:rsidRDefault="002F76C6" w:rsidP="002F76C6">
      <w:pPr>
        <w:spacing w:line="360" w:lineRule="auto"/>
        <w:rPr>
          <w:rFonts w:ascii="Arial" w:hAnsi="Arial" w:cs="Arial"/>
        </w:rPr>
      </w:pPr>
      <w:r w:rsidRPr="002F76C6">
        <w:rPr>
          <w:rFonts w:ascii="Arial" w:hAnsi="Arial" w:cs="Arial"/>
        </w:rPr>
        <w:t xml:space="preserve">To further develop expertise in international marketing strategy, future analysis should incorporate deeper quantitative data evaluation, particularly consumer behaviour metrics and financial performance indicators across markets. </w:t>
      </w:r>
      <w:r w:rsidRPr="002F76C6">
        <w:rPr>
          <w:rFonts w:ascii="Arial" w:hAnsi="Arial" w:cs="Arial"/>
        </w:rPr>
        <w:lastRenderedPageBreak/>
        <w:t>Strengthening financial interpretation skills would enhance the credibility of strategic recommendations.</w:t>
      </w:r>
    </w:p>
    <w:p w14:paraId="265C9FC7" w14:textId="785146E9" w:rsidR="002F76C6" w:rsidRPr="002F76C6" w:rsidRDefault="002F76C6" w:rsidP="002F76C6">
      <w:pPr>
        <w:spacing w:line="360" w:lineRule="auto"/>
        <w:rPr>
          <w:rFonts w:ascii="Arial" w:hAnsi="Arial" w:cs="Arial"/>
        </w:rPr>
      </w:pPr>
      <w:r w:rsidRPr="002F76C6">
        <w:rPr>
          <w:rFonts w:ascii="Arial" w:hAnsi="Arial" w:cs="Arial"/>
        </w:rPr>
        <w:t xml:space="preserve">Additionally, further exploration of cross-cultural negotiation and partnership management would deepen understanding of entry mode decisions beyond theoretical modelling (Anderson and </w:t>
      </w:r>
      <w:proofErr w:type="spellStart"/>
      <w:r w:rsidRPr="002F76C6">
        <w:rPr>
          <w:rFonts w:ascii="Arial" w:hAnsi="Arial" w:cs="Arial"/>
        </w:rPr>
        <w:t>Gatignon</w:t>
      </w:r>
      <w:proofErr w:type="spellEnd"/>
      <w:r w:rsidRPr="002F76C6">
        <w:rPr>
          <w:rFonts w:ascii="Arial" w:hAnsi="Arial" w:cs="Arial"/>
        </w:rPr>
        <w:t>, 1986). Expanding engagement with sustainability governance literature will also support more rigorous evaluation of environmental positioning within global brand strategies (Crane et al., 2014).</w:t>
      </w:r>
    </w:p>
    <w:p w14:paraId="7A925821" w14:textId="4A6A537C" w:rsidR="002F76C6" w:rsidRDefault="002F76C6" w:rsidP="002F76C6">
      <w:pPr>
        <w:spacing w:line="360" w:lineRule="auto"/>
        <w:rPr>
          <w:rFonts w:ascii="Arial" w:hAnsi="Arial" w:cs="Arial"/>
        </w:rPr>
      </w:pPr>
      <w:r w:rsidRPr="002F76C6">
        <w:rPr>
          <w:rFonts w:ascii="Arial" w:hAnsi="Arial" w:cs="Arial"/>
        </w:rPr>
        <w:t>Continued application of theoretical frameworks to real-world corporate cases will strengthen the ability to move from descriptive comparison to strategic synthesis, which remains central to postgraduate-level marketing analysis.</w:t>
      </w:r>
    </w:p>
    <w:p w14:paraId="3B4F35B5" w14:textId="77777777" w:rsidR="007472AD" w:rsidRDefault="007472AD" w:rsidP="002F76C6">
      <w:pPr>
        <w:spacing w:line="360" w:lineRule="auto"/>
        <w:rPr>
          <w:rFonts w:ascii="Arial" w:hAnsi="Arial" w:cs="Arial"/>
        </w:rPr>
      </w:pPr>
    </w:p>
    <w:p w14:paraId="7A47950C" w14:textId="77777777" w:rsidR="007472AD" w:rsidRDefault="007472AD" w:rsidP="002F76C6">
      <w:pPr>
        <w:spacing w:line="360" w:lineRule="auto"/>
        <w:rPr>
          <w:rFonts w:ascii="Arial" w:hAnsi="Arial" w:cs="Arial"/>
        </w:rPr>
      </w:pPr>
    </w:p>
    <w:p w14:paraId="280AFE8B" w14:textId="77777777" w:rsidR="007472AD" w:rsidRDefault="007472AD" w:rsidP="002F76C6">
      <w:pPr>
        <w:spacing w:line="360" w:lineRule="auto"/>
        <w:rPr>
          <w:rFonts w:ascii="Arial" w:hAnsi="Arial" w:cs="Arial"/>
        </w:rPr>
      </w:pPr>
    </w:p>
    <w:p w14:paraId="04D30A1E" w14:textId="77777777" w:rsidR="007472AD" w:rsidRDefault="007472AD" w:rsidP="002F76C6">
      <w:pPr>
        <w:spacing w:line="360" w:lineRule="auto"/>
        <w:rPr>
          <w:rFonts w:ascii="Arial" w:hAnsi="Arial" w:cs="Arial"/>
        </w:rPr>
      </w:pPr>
    </w:p>
    <w:p w14:paraId="0D708651" w14:textId="77777777" w:rsidR="007472AD" w:rsidRDefault="007472AD" w:rsidP="002F76C6">
      <w:pPr>
        <w:spacing w:line="360" w:lineRule="auto"/>
        <w:rPr>
          <w:rFonts w:ascii="Arial" w:hAnsi="Arial" w:cs="Arial"/>
        </w:rPr>
      </w:pPr>
    </w:p>
    <w:p w14:paraId="3C578E11" w14:textId="77777777" w:rsidR="007472AD" w:rsidRDefault="007472AD" w:rsidP="002F76C6">
      <w:pPr>
        <w:spacing w:line="360" w:lineRule="auto"/>
        <w:rPr>
          <w:rFonts w:ascii="Arial" w:hAnsi="Arial" w:cs="Arial"/>
        </w:rPr>
      </w:pPr>
    </w:p>
    <w:p w14:paraId="2D94EBB0" w14:textId="77777777" w:rsidR="007472AD" w:rsidRDefault="007472AD" w:rsidP="002F76C6">
      <w:pPr>
        <w:spacing w:line="360" w:lineRule="auto"/>
        <w:rPr>
          <w:rFonts w:ascii="Arial" w:hAnsi="Arial" w:cs="Arial"/>
        </w:rPr>
      </w:pPr>
    </w:p>
    <w:p w14:paraId="5BB07770" w14:textId="77777777" w:rsidR="007472AD" w:rsidRDefault="007472AD" w:rsidP="002F76C6">
      <w:pPr>
        <w:spacing w:line="360" w:lineRule="auto"/>
        <w:rPr>
          <w:rFonts w:ascii="Arial" w:hAnsi="Arial" w:cs="Arial"/>
        </w:rPr>
      </w:pPr>
    </w:p>
    <w:p w14:paraId="6AA9A695" w14:textId="77777777" w:rsidR="007472AD" w:rsidRDefault="007472AD" w:rsidP="002F76C6">
      <w:pPr>
        <w:spacing w:line="360" w:lineRule="auto"/>
        <w:rPr>
          <w:rFonts w:ascii="Arial" w:hAnsi="Arial" w:cs="Arial"/>
        </w:rPr>
      </w:pPr>
    </w:p>
    <w:p w14:paraId="0AD2AEF7" w14:textId="77777777" w:rsidR="007472AD" w:rsidRDefault="007472AD" w:rsidP="002F76C6">
      <w:pPr>
        <w:spacing w:line="360" w:lineRule="auto"/>
        <w:rPr>
          <w:rFonts w:ascii="Arial" w:hAnsi="Arial" w:cs="Arial"/>
        </w:rPr>
      </w:pPr>
    </w:p>
    <w:p w14:paraId="3890C30A" w14:textId="77777777" w:rsidR="007472AD" w:rsidRDefault="007472AD" w:rsidP="002F76C6">
      <w:pPr>
        <w:spacing w:line="360" w:lineRule="auto"/>
        <w:rPr>
          <w:rFonts w:ascii="Arial" w:hAnsi="Arial" w:cs="Arial"/>
        </w:rPr>
      </w:pPr>
    </w:p>
    <w:p w14:paraId="56930A7B" w14:textId="77777777" w:rsidR="007472AD" w:rsidRDefault="007472AD" w:rsidP="002F76C6">
      <w:pPr>
        <w:spacing w:line="360" w:lineRule="auto"/>
        <w:rPr>
          <w:rFonts w:ascii="Arial" w:hAnsi="Arial" w:cs="Arial"/>
        </w:rPr>
      </w:pPr>
    </w:p>
    <w:p w14:paraId="1BEE1B38" w14:textId="77777777" w:rsidR="007472AD" w:rsidRDefault="007472AD" w:rsidP="002F76C6">
      <w:pPr>
        <w:spacing w:line="360" w:lineRule="auto"/>
        <w:rPr>
          <w:rFonts w:ascii="Arial" w:hAnsi="Arial" w:cs="Arial"/>
        </w:rPr>
      </w:pPr>
    </w:p>
    <w:p w14:paraId="72FED6FB" w14:textId="77777777" w:rsidR="007472AD" w:rsidRDefault="007472AD" w:rsidP="002F76C6">
      <w:pPr>
        <w:spacing w:line="360" w:lineRule="auto"/>
        <w:rPr>
          <w:rFonts w:ascii="Arial" w:hAnsi="Arial" w:cs="Arial"/>
        </w:rPr>
      </w:pPr>
    </w:p>
    <w:p w14:paraId="158DB169" w14:textId="77777777" w:rsidR="007472AD" w:rsidRDefault="007472AD" w:rsidP="002F76C6">
      <w:pPr>
        <w:spacing w:line="360" w:lineRule="auto"/>
        <w:rPr>
          <w:rFonts w:ascii="Arial" w:hAnsi="Arial" w:cs="Arial"/>
        </w:rPr>
      </w:pPr>
    </w:p>
    <w:p w14:paraId="4E9CB6A6" w14:textId="77777777" w:rsidR="007472AD" w:rsidRDefault="007472AD" w:rsidP="002F76C6">
      <w:pPr>
        <w:spacing w:line="360" w:lineRule="auto"/>
        <w:rPr>
          <w:rFonts w:ascii="Arial" w:hAnsi="Arial" w:cs="Arial"/>
        </w:rPr>
      </w:pPr>
    </w:p>
    <w:p w14:paraId="1A813D47" w14:textId="77777777" w:rsidR="007472AD" w:rsidRPr="007472AD" w:rsidRDefault="007472AD" w:rsidP="007472AD">
      <w:pPr>
        <w:pStyle w:val="Heading1"/>
        <w:rPr>
          <w:rFonts w:ascii="Arial" w:hAnsi="Arial" w:cs="Arial"/>
          <w:b/>
          <w:bCs/>
          <w:sz w:val="24"/>
          <w:szCs w:val="24"/>
        </w:rPr>
      </w:pPr>
      <w:bookmarkStart w:id="27" w:name="_Toc223435201"/>
      <w:r w:rsidRPr="007472AD">
        <w:rPr>
          <w:rFonts w:ascii="Arial" w:hAnsi="Arial" w:cs="Arial"/>
          <w:b/>
          <w:bCs/>
          <w:sz w:val="24"/>
          <w:szCs w:val="24"/>
        </w:rPr>
        <w:lastRenderedPageBreak/>
        <w:t>Reference list</w:t>
      </w:r>
      <w:bookmarkEnd w:id="27"/>
    </w:p>
    <w:p w14:paraId="6B188D27" w14:textId="77777777" w:rsidR="007472AD" w:rsidRPr="00D74174" w:rsidRDefault="007472AD" w:rsidP="007472AD">
      <w:pPr>
        <w:spacing w:line="360" w:lineRule="auto"/>
        <w:rPr>
          <w:rFonts w:ascii="Arial" w:hAnsi="Arial" w:cs="Arial"/>
        </w:rPr>
      </w:pPr>
      <w:r w:rsidRPr="00D74174">
        <w:rPr>
          <w:rFonts w:ascii="Arial" w:hAnsi="Arial" w:cs="Arial"/>
        </w:rPr>
        <w:t xml:space="preserve">Anderson, E. and </w:t>
      </w:r>
      <w:proofErr w:type="spellStart"/>
      <w:r w:rsidRPr="00D74174">
        <w:rPr>
          <w:rFonts w:ascii="Arial" w:hAnsi="Arial" w:cs="Arial"/>
        </w:rPr>
        <w:t>Gatignon</w:t>
      </w:r>
      <w:proofErr w:type="spellEnd"/>
      <w:r w:rsidRPr="00D74174">
        <w:rPr>
          <w:rFonts w:ascii="Arial" w:hAnsi="Arial" w:cs="Arial"/>
        </w:rPr>
        <w:t xml:space="preserve">, H. (1986) ‘Modes of foreign entry: A transaction cost analysis and propositions’, Journal of International Business Studies, 17(3), pp. 1–26. </w:t>
      </w:r>
      <w:proofErr w:type="gramStart"/>
      <w:r w:rsidRPr="00D74174">
        <w:rPr>
          <w:rFonts w:ascii="Arial" w:hAnsi="Arial" w:cs="Arial"/>
        </w:rPr>
        <w:t>doi:10.1057/palgrave.jibs</w:t>
      </w:r>
      <w:proofErr w:type="gramEnd"/>
      <w:r w:rsidRPr="00D74174">
        <w:rPr>
          <w:rFonts w:ascii="Arial" w:hAnsi="Arial" w:cs="Arial"/>
        </w:rPr>
        <w:t>.8490432.</w:t>
      </w:r>
    </w:p>
    <w:p w14:paraId="27EC127F" w14:textId="77777777" w:rsidR="007472AD" w:rsidRPr="00D74174" w:rsidRDefault="007472AD" w:rsidP="007472AD">
      <w:pPr>
        <w:spacing w:line="360" w:lineRule="auto"/>
        <w:rPr>
          <w:rFonts w:ascii="Arial" w:hAnsi="Arial" w:cs="Arial"/>
        </w:rPr>
      </w:pPr>
      <w:proofErr w:type="spellStart"/>
      <w:r w:rsidRPr="00D74174">
        <w:rPr>
          <w:rFonts w:ascii="Arial" w:hAnsi="Arial" w:cs="Arial"/>
        </w:rPr>
        <w:t>Cavusgil</w:t>
      </w:r>
      <w:proofErr w:type="spellEnd"/>
      <w:r w:rsidRPr="00D74174">
        <w:rPr>
          <w:rFonts w:ascii="Arial" w:hAnsi="Arial" w:cs="Arial"/>
        </w:rPr>
        <w:t xml:space="preserve">, S.T., Zou, S. and Naidu, G.M. (1993) ‘Product and promotion adaptation in export ventures: An empirical investigation’, Journal of International Business Studies, 24(3), pp. 479–506. </w:t>
      </w:r>
      <w:proofErr w:type="gramStart"/>
      <w:r w:rsidRPr="00D74174">
        <w:rPr>
          <w:rFonts w:ascii="Arial" w:hAnsi="Arial" w:cs="Arial"/>
        </w:rPr>
        <w:t>doi:10.1057/palgrave.jibs</w:t>
      </w:r>
      <w:proofErr w:type="gramEnd"/>
      <w:r w:rsidRPr="00D74174">
        <w:rPr>
          <w:rFonts w:ascii="Arial" w:hAnsi="Arial" w:cs="Arial"/>
        </w:rPr>
        <w:t>.8490242.</w:t>
      </w:r>
    </w:p>
    <w:p w14:paraId="268E5965" w14:textId="77777777" w:rsidR="007472AD" w:rsidRPr="0089702B" w:rsidRDefault="007472AD" w:rsidP="007472AD">
      <w:pPr>
        <w:spacing w:line="360" w:lineRule="auto"/>
        <w:rPr>
          <w:rFonts w:ascii="Arial" w:hAnsi="Arial" w:cs="Arial"/>
        </w:rPr>
      </w:pPr>
      <w:r w:rsidRPr="00D74174">
        <w:rPr>
          <w:rFonts w:ascii="Arial" w:hAnsi="Arial" w:cs="Arial"/>
        </w:rPr>
        <w:t xml:space="preserve">Dunning, J.H. (1988) ‘The eclectic paradigm of international production: A restatement and some possible extensions’, Journal of International Business Studies, 19(1), pp. 1–31. Available at: https://www.jstor.org/stable/154984 </w:t>
      </w:r>
      <w:r w:rsidRPr="0089702B">
        <w:rPr>
          <w:rFonts w:ascii="Arial" w:hAnsi="Arial" w:cs="Arial"/>
        </w:rPr>
        <w:t>[Accessed 8 Mar. 2026].</w:t>
      </w:r>
    </w:p>
    <w:p w14:paraId="3E084791" w14:textId="77777777" w:rsidR="007472AD" w:rsidRPr="0089702B" w:rsidRDefault="007472AD" w:rsidP="007472AD">
      <w:pPr>
        <w:spacing w:line="360" w:lineRule="auto"/>
        <w:rPr>
          <w:rFonts w:ascii="Arial" w:hAnsi="Arial" w:cs="Arial"/>
        </w:rPr>
      </w:pPr>
      <w:r w:rsidRPr="00D74174">
        <w:rPr>
          <w:rFonts w:ascii="Arial" w:hAnsi="Arial" w:cs="Arial"/>
        </w:rPr>
        <w:t xml:space="preserve">Ko, E., Costello, J.P. and Taylor, C.R. (2017) ‘What is a luxury brand? A new definition and review of the literature’, Journal of Business Research, 99, pp. 405–413. Available at: https://www.researchgate.net/publication/319418899_What_is_a_luxury_brand_A_new_definition_and_review_of_the_literature </w:t>
      </w:r>
      <w:r w:rsidRPr="0089702B">
        <w:rPr>
          <w:rFonts w:ascii="Arial" w:hAnsi="Arial" w:cs="Arial"/>
        </w:rPr>
        <w:t>[Accessed 7 Mar. 2026].</w:t>
      </w:r>
    </w:p>
    <w:p w14:paraId="5EAE5147" w14:textId="77777777" w:rsidR="007472AD" w:rsidRPr="0089702B" w:rsidRDefault="007472AD" w:rsidP="007472AD">
      <w:pPr>
        <w:spacing w:line="360" w:lineRule="auto"/>
        <w:rPr>
          <w:rFonts w:ascii="Arial" w:hAnsi="Arial" w:cs="Arial"/>
        </w:rPr>
      </w:pPr>
      <w:r w:rsidRPr="00D74174">
        <w:rPr>
          <w:rFonts w:ascii="Arial" w:hAnsi="Arial" w:cs="Arial"/>
        </w:rPr>
        <w:t xml:space="preserve">European Commission (2024) The Green Deal Industrial Plan. Available at: https://commission.europa.eu/topics/competitiveness/green-deal-industrial-plan_en </w:t>
      </w:r>
      <w:r w:rsidRPr="0089702B">
        <w:rPr>
          <w:rFonts w:ascii="Arial" w:hAnsi="Arial" w:cs="Arial"/>
        </w:rPr>
        <w:t>[Accessed 8 Mar. 2026].</w:t>
      </w:r>
    </w:p>
    <w:p w14:paraId="687B6849" w14:textId="77777777" w:rsidR="007472AD" w:rsidRPr="0089702B" w:rsidRDefault="007472AD" w:rsidP="007472AD">
      <w:pPr>
        <w:spacing w:line="360" w:lineRule="auto"/>
        <w:rPr>
          <w:rFonts w:ascii="Arial" w:hAnsi="Arial" w:cs="Arial"/>
        </w:rPr>
      </w:pPr>
      <w:r w:rsidRPr="00D74174">
        <w:rPr>
          <w:rFonts w:ascii="Arial" w:hAnsi="Arial" w:cs="Arial"/>
        </w:rPr>
        <w:t xml:space="preserve">Mercedes-Benz Group (2024a) Climate protection and advocacy. Available at: https://group.mercedes-benz.com/sustainability/society-governance/advocacy/climate-protection.html </w:t>
      </w:r>
      <w:r w:rsidRPr="0089702B">
        <w:rPr>
          <w:rFonts w:ascii="Arial" w:hAnsi="Arial" w:cs="Arial"/>
        </w:rPr>
        <w:t>[Accessed 3 Mar. 2026].</w:t>
      </w:r>
    </w:p>
    <w:p w14:paraId="3C3E8D5B" w14:textId="77777777" w:rsidR="007472AD" w:rsidRPr="0089702B" w:rsidRDefault="007472AD" w:rsidP="007472AD">
      <w:pPr>
        <w:spacing w:line="360" w:lineRule="auto"/>
        <w:rPr>
          <w:rFonts w:ascii="Arial" w:hAnsi="Arial" w:cs="Arial"/>
        </w:rPr>
      </w:pPr>
      <w:r w:rsidRPr="00D74174">
        <w:rPr>
          <w:rFonts w:ascii="Arial" w:hAnsi="Arial" w:cs="Arial"/>
        </w:rPr>
        <w:t xml:space="preserve">International Energy Agency (IEA) (2024) Global EV Outlook 2024. Available at: https://www.iea.org/reports/global-ev-outlook-2024 </w:t>
      </w:r>
      <w:r w:rsidRPr="0089702B">
        <w:rPr>
          <w:rFonts w:ascii="Arial" w:hAnsi="Arial" w:cs="Arial"/>
        </w:rPr>
        <w:t>[Accessed 12 Mar. 2026].</w:t>
      </w:r>
    </w:p>
    <w:p w14:paraId="46C1A9FC" w14:textId="77777777" w:rsidR="007472AD" w:rsidRPr="0089702B" w:rsidRDefault="007472AD" w:rsidP="007472AD">
      <w:pPr>
        <w:spacing w:line="360" w:lineRule="auto"/>
        <w:rPr>
          <w:rFonts w:ascii="Arial" w:hAnsi="Arial" w:cs="Arial"/>
        </w:rPr>
      </w:pPr>
      <w:r w:rsidRPr="00D74174">
        <w:rPr>
          <w:rFonts w:ascii="Arial" w:hAnsi="Arial" w:cs="Arial"/>
        </w:rPr>
        <w:t xml:space="preserve">Hofstede Insights (2024) Country comparison: Germany and United Arab Emirates. Available at: https://www.theculturefactor.com/country-comparison-tool?countries=germany%2Cunited+arab+emirates </w:t>
      </w:r>
      <w:r w:rsidRPr="0089702B">
        <w:rPr>
          <w:rFonts w:ascii="Arial" w:hAnsi="Arial" w:cs="Arial"/>
        </w:rPr>
        <w:t>[Accessed 6 Mar. 2026].</w:t>
      </w:r>
    </w:p>
    <w:p w14:paraId="0EA2FECB" w14:textId="77777777" w:rsidR="007472AD" w:rsidRPr="00D74174" w:rsidRDefault="007472AD" w:rsidP="007472AD">
      <w:pPr>
        <w:spacing w:line="360" w:lineRule="auto"/>
        <w:rPr>
          <w:rFonts w:ascii="Arial" w:hAnsi="Arial" w:cs="Arial"/>
        </w:rPr>
      </w:pPr>
      <w:r w:rsidRPr="00D74174">
        <w:rPr>
          <w:rFonts w:ascii="Arial" w:hAnsi="Arial" w:cs="Arial"/>
        </w:rPr>
        <w:t xml:space="preserve">Johanson, J. and Vahlne, J.-E. (2009) ‘The Uppsala internationalization process model revisited: From liability of foreignness to liability of </w:t>
      </w:r>
      <w:proofErr w:type="spellStart"/>
      <w:r w:rsidRPr="00D74174">
        <w:rPr>
          <w:rFonts w:ascii="Arial" w:hAnsi="Arial" w:cs="Arial"/>
        </w:rPr>
        <w:t>outsidership</w:t>
      </w:r>
      <w:proofErr w:type="spellEnd"/>
      <w:r w:rsidRPr="00D74174">
        <w:rPr>
          <w:rFonts w:ascii="Arial" w:hAnsi="Arial" w:cs="Arial"/>
        </w:rPr>
        <w:t>’, Journal of International Business Studies, 40(9), pp. 1411–1431. doi:10.1057/jibs.2009.24.</w:t>
      </w:r>
    </w:p>
    <w:p w14:paraId="1E1567D9" w14:textId="77777777" w:rsidR="007472AD" w:rsidRPr="0089702B" w:rsidRDefault="007472AD" w:rsidP="007472AD">
      <w:pPr>
        <w:spacing w:line="360" w:lineRule="auto"/>
        <w:rPr>
          <w:rFonts w:ascii="Arial" w:hAnsi="Arial" w:cs="Arial"/>
        </w:rPr>
      </w:pPr>
      <w:r w:rsidRPr="00D74174">
        <w:rPr>
          <w:rFonts w:ascii="Arial" w:hAnsi="Arial" w:cs="Arial"/>
        </w:rPr>
        <w:lastRenderedPageBreak/>
        <w:t xml:space="preserve">Kapferer, J.-N. and Bastien, V. (2009) The Luxury Strategy: Break the Rules of Marketing to Build Luxury Brands. London: Kogan Page. Available at: https://www.researchgate.net/publication/281251957_The_Luxury_Strategy_Break_the_Rules_of_Marketing_to_Build_Luxury_Brands </w:t>
      </w:r>
      <w:r w:rsidRPr="0089702B">
        <w:rPr>
          <w:rFonts w:ascii="Arial" w:hAnsi="Arial" w:cs="Arial"/>
        </w:rPr>
        <w:t>[Accessed 6 Mar. 2026].</w:t>
      </w:r>
    </w:p>
    <w:p w14:paraId="768395CC" w14:textId="77777777" w:rsidR="007472AD" w:rsidRPr="00D74174" w:rsidRDefault="007472AD" w:rsidP="007472AD">
      <w:pPr>
        <w:spacing w:line="360" w:lineRule="auto"/>
        <w:rPr>
          <w:rFonts w:ascii="Arial" w:hAnsi="Arial" w:cs="Arial"/>
        </w:rPr>
      </w:pPr>
      <w:r w:rsidRPr="00D74174">
        <w:rPr>
          <w:rFonts w:ascii="Arial" w:hAnsi="Arial" w:cs="Arial"/>
        </w:rPr>
        <w:t xml:space="preserve">Littrell, M.A. and Miller, N.J. (2001) ‘Marketing across cultures’, </w:t>
      </w:r>
      <w:r w:rsidRPr="00D74174">
        <w:rPr>
          <w:rFonts w:ascii="Arial" w:hAnsi="Arial" w:cs="Arial"/>
          <w:i/>
          <w:iCs/>
        </w:rPr>
        <w:t>Journal of Global Marketing</w:t>
      </w:r>
      <w:r w:rsidRPr="00D74174">
        <w:rPr>
          <w:rFonts w:ascii="Arial" w:hAnsi="Arial" w:cs="Arial"/>
        </w:rPr>
        <w:t>, 15(1), pp. 67–86. doi:10.1300/J042v15n01_05.</w:t>
      </w:r>
    </w:p>
    <w:p w14:paraId="3116B4D0" w14:textId="77777777" w:rsidR="007472AD" w:rsidRPr="0089702B" w:rsidRDefault="007472AD" w:rsidP="007472AD">
      <w:pPr>
        <w:spacing w:line="360" w:lineRule="auto"/>
        <w:rPr>
          <w:rFonts w:ascii="Arial" w:hAnsi="Arial" w:cs="Arial"/>
        </w:rPr>
      </w:pPr>
      <w:r w:rsidRPr="00D74174">
        <w:rPr>
          <w:rFonts w:ascii="Arial" w:hAnsi="Arial" w:cs="Arial"/>
        </w:rPr>
        <w:t xml:space="preserve">Mercedes-Benz Group (2024b) Annual Report 2024 including combined management report MBG AG. Available at: https://group.mercedes-benz.com/documents/investors/reports/annual-report/mercedes-benz/mercedes-benz-annual-report-2024-incl-combined-management-report-mbg-ag.pdf </w:t>
      </w:r>
      <w:r w:rsidRPr="0089702B">
        <w:rPr>
          <w:rFonts w:ascii="Arial" w:hAnsi="Arial" w:cs="Arial"/>
        </w:rPr>
        <w:t>[Accessed 3 Mar. 2026].</w:t>
      </w:r>
    </w:p>
    <w:p w14:paraId="4F235339" w14:textId="77777777" w:rsidR="007472AD" w:rsidRPr="0089702B" w:rsidRDefault="007472AD" w:rsidP="007472AD">
      <w:pPr>
        <w:spacing w:line="360" w:lineRule="auto"/>
        <w:rPr>
          <w:rFonts w:ascii="Arial" w:hAnsi="Arial" w:cs="Arial"/>
        </w:rPr>
      </w:pPr>
      <w:r w:rsidRPr="00D74174">
        <w:rPr>
          <w:rFonts w:ascii="Arial" w:hAnsi="Arial" w:cs="Arial"/>
        </w:rPr>
        <w:t xml:space="preserve">Crane, A., Palazzo, G., Spence, L.J. and Matten, D. (2014) ‘Contesting the value of “creating shared value”’, California Management Review, 56(2), pp. 130–153. Available at: https://www.researchgate.net/publication/260383052_Contesting_the_Value_of_Creating_Shared_Value </w:t>
      </w:r>
      <w:r w:rsidRPr="0089702B">
        <w:rPr>
          <w:rFonts w:ascii="Arial" w:hAnsi="Arial" w:cs="Arial"/>
        </w:rPr>
        <w:t>[Accessed 10 Mar. 2026].</w:t>
      </w:r>
    </w:p>
    <w:p w14:paraId="193C8C5F" w14:textId="77777777" w:rsidR="007472AD" w:rsidRPr="00D74174" w:rsidRDefault="007472AD" w:rsidP="007472AD">
      <w:pPr>
        <w:spacing w:line="360" w:lineRule="auto"/>
        <w:rPr>
          <w:rFonts w:ascii="Arial" w:hAnsi="Arial" w:cs="Arial"/>
        </w:rPr>
      </w:pPr>
      <w:r w:rsidRPr="00D74174">
        <w:rPr>
          <w:rFonts w:ascii="Arial" w:hAnsi="Arial" w:cs="Arial"/>
        </w:rPr>
        <w:t xml:space="preserve">Schmid, S. and </w:t>
      </w:r>
      <w:proofErr w:type="spellStart"/>
      <w:r w:rsidRPr="00D74174">
        <w:rPr>
          <w:rFonts w:ascii="Arial" w:hAnsi="Arial" w:cs="Arial"/>
        </w:rPr>
        <w:t>Kotulla</w:t>
      </w:r>
      <w:proofErr w:type="spellEnd"/>
      <w:r w:rsidRPr="00D74174">
        <w:rPr>
          <w:rFonts w:ascii="Arial" w:hAnsi="Arial" w:cs="Arial"/>
        </w:rPr>
        <w:t xml:space="preserve">, T. (2011) ‘50 years of research on international standardization and adaptation: From a systematic literature analysis to a theoretical framework’, International Business Review, 20(5), pp. 491–507. </w:t>
      </w:r>
      <w:proofErr w:type="gramStart"/>
      <w:r w:rsidRPr="00D74174">
        <w:rPr>
          <w:rFonts w:ascii="Arial" w:hAnsi="Arial" w:cs="Arial"/>
        </w:rPr>
        <w:t>doi:10.1016/j.ibusrev</w:t>
      </w:r>
      <w:proofErr w:type="gramEnd"/>
      <w:r w:rsidRPr="00D74174">
        <w:rPr>
          <w:rFonts w:ascii="Arial" w:hAnsi="Arial" w:cs="Arial"/>
        </w:rPr>
        <w:t>.2010.09.003.</w:t>
      </w:r>
    </w:p>
    <w:p w14:paraId="42E1EA1C" w14:textId="77777777" w:rsidR="007472AD" w:rsidRPr="00D74174" w:rsidRDefault="007472AD" w:rsidP="007472AD">
      <w:pPr>
        <w:spacing w:line="360" w:lineRule="auto"/>
        <w:rPr>
          <w:rFonts w:ascii="Arial" w:hAnsi="Arial" w:cs="Arial"/>
        </w:rPr>
      </w:pPr>
      <w:r w:rsidRPr="00D74174">
        <w:rPr>
          <w:rFonts w:ascii="Arial" w:hAnsi="Arial" w:cs="Arial"/>
        </w:rPr>
        <w:t xml:space="preserve">Theodosiou, M. and </w:t>
      </w:r>
      <w:proofErr w:type="spellStart"/>
      <w:r w:rsidRPr="00D74174">
        <w:rPr>
          <w:rFonts w:ascii="Arial" w:hAnsi="Arial" w:cs="Arial"/>
        </w:rPr>
        <w:t>Leonidou</w:t>
      </w:r>
      <w:proofErr w:type="spellEnd"/>
      <w:r w:rsidRPr="00D74174">
        <w:rPr>
          <w:rFonts w:ascii="Arial" w:hAnsi="Arial" w:cs="Arial"/>
        </w:rPr>
        <w:t>, L.C. (2003) ‘Standardization versus adaptation of international marketing strategy: An integrative assessment of the empirical research’, International Business Review, 12(2), pp. 141–171. doi:10.1016/S0969-5931(02)00094-X.</w:t>
      </w:r>
    </w:p>
    <w:p w14:paraId="6FDF0697" w14:textId="77777777" w:rsidR="007472AD" w:rsidRPr="0089702B" w:rsidRDefault="007472AD" w:rsidP="007472AD">
      <w:pPr>
        <w:spacing w:line="360" w:lineRule="auto"/>
        <w:rPr>
          <w:rFonts w:ascii="Arial" w:hAnsi="Arial" w:cs="Arial"/>
        </w:rPr>
      </w:pPr>
      <w:r w:rsidRPr="00D74174">
        <w:rPr>
          <w:rFonts w:ascii="Arial" w:hAnsi="Arial" w:cs="Arial"/>
        </w:rPr>
        <w:t>UAE Government (n.d.) Dubai Economic Agenda D33. Available at: https://u.ae/en/about-the-uae/strategies-initiatives-and-awards/strategies-plans-and-visions/finance-and-economy/dubai-economic-agenda-d33</w:t>
      </w:r>
      <w:r w:rsidRPr="0089702B">
        <w:rPr>
          <w:rFonts w:ascii="Arial" w:hAnsi="Arial" w:cs="Arial"/>
        </w:rPr>
        <w:t xml:space="preserve"> [Accessed 5 Mar. 2026].</w:t>
      </w:r>
    </w:p>
    <w:p w14:paraId="5A0CC790" w14:textId="77777777" w:rsidR="007472AD" w:rsidRPr="0089702B" w:rsidRDefault="007472AD" w:rsidP="007472AD">
      <w:pPr>
        <w:spacing w:line="360" w:lineRule="auto"/>
        <w:rPr>
          <w:rFonts w:ascii="Arial" w:hAnsi="Arial" w:cs="Arial"/>
        </w:rPr>
      </w:pPr>
      <w:r w:rsidRPr="00D74174">
        <w:rPr>
          <w:rFonts w:ascii="Arial" w:hAnsi="Arial" w:cs="Arial"/>
        </w:rPr>
        <w:t>UAE Government (2023) We the UAE 2031 vision. Available at: https://u.ae/en/about-the-uae/strategies-initiatives-and-awards/strategies-plans-and-visions/innovation-and-future-shaping/we-the-uae-2031-vision</w:t>
      </w:r>
      <w:r w:rsidRPr="0089702B">
        <w:rPr>
          <w:rFonts w:ascii="Arial" w:hAnsi="Arial" w:cs="Arial"/>
        </w:rPr>
        <w:t xml:space="preserve"> [Accessed 5 Mar. 2026].</w:t>
      </w:r>
    </w:p>
    <w:p w14:paraId="3750D121" w14:textId="77777777" w:rsidR="007472AD" w:rsidRPr="0089702B" w:rsidRDefault="007472AD" w:rsidP="007472AD">
      <w:pPr>
        <w:spacing w:line="360" w:lineRule="auto"/>
        <w:rPr>
          <w:rFonts w:ascii="Arial" w:hAnsi="Arial" w:cs="Arial"/>
        </w:rPr>
      </w:pPr>
      <w:r w:rsidRPr="00D74174">
        <w:rPr>
          <w:rFonts w:ascii="Arial" w:hAnsi="Arial" w:cs="Arial"/>
        </w:rPr>
        <w:lastRenderedPageBreak/>
        <w:t xml:space="preserve">World Bank (2025) GDP (current US$) – Germany. Available at: https://data.worldbank.org/indicator/NY.GDP.MKTP.CD?locations=DE </w:t>
      </w:r>
      <w:r w:rsidRPr="0089702B">
        <w:rPr>
          <w:rFonts w:ascii="Arial" w:hAnsi="Arial" w:cs="Arial"/>
        </w:rPr>
        <w:t>[Accessed 4 Mar. 2026].</w:t>
      </w:r>
    </w:p>
    <w:p w14:paraId="3273B575" w14:textId="77777777" w:rsidR="007472AD" w:rsidRPr="0089702B" w:rsidRDefault="007472AD" w:rsidP="007472AD">
      <w:pPr>
        <w:spacing w:line="360" w:lineRule="auto"/>
        <w:rPr>
          <w:rFonts w:ascii="Arial" w:hAnsi="Arial" w:cs="Arial"/>
        </w:rPr>
      </w:pPr>
      <w:r w:rsidRPr="00D74174">
        <w:rPr>
          <w:rFonts w:ascii="Arial" w:hAnsi="Arial" w:cs="Arial"/>
        </w:rPr>
        <w:t xml:space="preserve">World Bank (2021) World Bank Open Data: Germany and United Arab Emirates. Available at: https://data.worldbank.org/?locations=DE-AE </w:t>
      </w:r>
      <w:r w:rsidRPr="0089702B">
        <w:rPr>
          <w:rFonts w:ascii="Arial" w:hAnsi="Arial" w:cs="Arial"/>
        </w:rPr>
        <w:t>[Accessed 4 Mar. 2026].</w:t>
      </w:r>
    </w:p>
    <w:p w14:paraId="1C051482" w14:textId="77777777" w:rsidR="007472AD" w:rsidRPr="00D74174" w:rsidRDefault="007472AD" w:rsidP="007472AD">
      <w:pPr>
        <w:spacing w:line="360" w:lineRule="auto"/>
        <w:rPr>
          <w:rFonts w:ascii="Arial" w:hAnsi="Arial" w:cs="Arial"/>
        </w:rPr>
      </w:pPr>
      <w:r w:rsidRPr="00D74174">
        <w:rPr>
          <w:rFonts w:ascii="Arial" w:hAnsi="Arial" w:cs="Arial"/>
        </w:rPr>
        <w:t xml:space="preserve">Zou, S. and </w:t>
      </w:r>
      <w:proofErr w:type="spellStart"/>
      <w:r w:rsidRPr="00D74174">
        <w:rPr>
          <w:rFonts w:ascii="Arial" w:hAnsi="Arial" w:cs="Arial"/>
        </w:rPr>
        <w:t>Cavusgil</w:t>
      </w:r>
      <w:proofErr w:type="spellEnd"/>
      <w:r w:rsidRPr="00D74174">
        <w:rPr>
          <w:rFonts w:ascii="Arial" w:hAnsi="Arial" w:cs="Arial"/>
        </w:rPr>
        <w:t>, S.T. (2002) ‘The GMS: A broad conceptualization of global marketing strategy and its effect on firm performance’, Journal of Marketing, 66(4), pp. 40–56. doi:10.1509/jmkg.66.4.40.18519.</w:t>
      </w:r>
    </w:p>
    <w:p w14:paraId="451CA883" w14:textId="77777777" w:rsidR="007472AD" w:rsidRPr="002F76C6" w:rsidRDefault="007472AD" w:rsidP="002F76C6">
      <w:pPr>
        <w:spacing w:line="360" w:lineRule="auto"/>
        <w:rPr>
          <w:rFonts w:ascii="Arial" w:hAnsi="Arial" w:cs="Arial"/>
        </w:rPr>
      </w:pPr>
    </w:p>
    <w:sectPr w:rsidR="007472AD" w:rsidRPr="002F76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F4E"/>
    <w:rsid w:val="0022737D"/>
    <w:rsid w:val="0028324A"/>
    <w:rsid w:val="002F76C6"/>
    <w:rsid w:val="0037095B"/>
    <w:rsid w:val="007472AD"/>
    <w:rsid w:val="00775F47"/>
    <w:rsid w:val="00775F4E"/>
    <w:rsid w:val="00801995"/>
    <w:rsid w:val="00935FDE"/>
    <w:rsid w:val="00963810"/>
    <w:rsid w:val="00B54419"/>
    <w:rsid w:val="00BD5260"/>
    <w:rsid w:val="00E37F38"/>
    <w:rsid w:val="00E468E2"/>
    <w:rsid w:val="00E5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272FD"/>
  <w15:chartTrackingRefBased/>
  <w15:docId w15:val="{9E51C448-FEED-4013-88E4-23429A462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F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5F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5F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F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F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F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F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F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F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F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5F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5F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F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F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F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F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F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F4E"/>
    <w:rPr>
      <w:rFonts w:eastAsiaTheme="majorEastAsia" w:cstheme="majorBidi"/>
      <w:color w:val="272727" w:themeColor="text1" w:themeTint="D8"/>
    </w:rPr>
  </w:style>
  <w:style w:type="paragraph" w:styleId="Title">
    <w:name w:val="Title"/>
    <w:basedOn w:val="Normal"/>
    <w:next w:val="Normal"/>
    <w:link w:val="TitleChar"/>
    <w:uiPriority w:val="10"/>
    <w:qFormat/>
    <w:rsid w:val="00775F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F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F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F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F4E"/>
    <w:pPr>
      <w:spacing w:before="160"/>
      <w:jc w:val="center"/>
    </w:pPr>
    <w:rPr>
      <w:i/>
      <w:iCs/>
      <w:color w:val="404040" w:themeColor="text1" w:themeTint="BF"/>
    </w:rPr>
  </w:style>
  <w:style w:type="character" w:customStyle="1" w:styleId="QuoteChar">
    <w:name w:val="Quote Char"/>
    <w:basedOn w:val="DefaultParagraphFont"/>
    <w:link w:val="Quote"/>
    <w:uiPriority w:val="29"/>
    <w:rsid w:val="00775F4E"/>
    <w:rPr>
      <w:i/>
      <w:iCs/>
      <w:color w:val="404040" w:themeColor="text1" w:themeTint="BF"/>
    </w:rPr>
  </w:style>
  <w:style w:type="paragraph" w:styleId="ListParagraph">
    <w:name w:val="List Paragraph"/>
    <w:basedOn w:val="Normal"/>
    <w:uiPriority w:val="34"/>
    <w:qFormat/>
    <w:rsid w:val="00775F4E"/>
    <w:pPr>
      <w:ind w:left="720"/>
      <w:contextualSpacing/>
    </w:pPr>
  </w:style>
  <w:style w:type="character" w:styleId="IntenseEmphasis">
    <w:name w:val="Intense Emphasis"/>
    <w:basedOn w:val="DefaultParagraphFont"/>
    <w:uiPriority w:val="21"/>
    <w:qFormat/>
    <w:rsid w:val="00775F4E"/>
    <w:rPr>
      <w:i/>
      <w:iCs/>
      <w:color w:val="0F4761" w:themeColor="accent1" w:themeShade="BF"/>
    </w:rPr>
  </w:style>
  <w:style w:type="paragraph" w:styleId="IntenseQuote">
    <w:name w:val="Intense Quote"/>
    <w:basedOn w:val="Normal"/>
    <w:next w:val="Normal"/>
    <w:link w:val="IntenseQuoteChar"/>
    <w:uiPriority w:val="30"/>
    <w:qFormat/>
    <w:rsid w:val="00775F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F4E"/>
    <w:rPr>
      <w:i/>
      <w:iCs/>
      <w:color w:val="0F4761" w:themeColor="accent1" w:themeShade="BF"/>
    </w:rPr>
  </w:style>
  <w:style w:type="character" w:styleId="IntenseReference">
    <w:name w:val="Intense Reference"/>
    <w:basedOn w:val="DefaultParagraphFont"/>
    <w:uiPriority w:val="32"/>
    <w:qFormat/>
    <w:rsid w:val="00775F4E"/>
    <w:rPr>
      <w:b/>
      <w:bCs/>
      <w:smallCaps/>
      <w:color w:val="0F4761" w:themeColor="accent1" w:themeShade="BF"/>
      <w:spacing w:val="5"/>
    </w:rPr>
  </w:style>
  <w:style w:type="paragraph" w:styleId="TOCHeading">
    <w:name w:val="TOC Heading"/>
    <w:basedOn w:val="Heading1"/>
    <w:next w:val="Normal"/>
    <w:uiPriority w:val="39"/>
    <w:unhideWhenUsed/>
    <w:qFormat/>
    <w:rsid w:val="002F76C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F76C6"/>
    <w:pPr>
      <w:spacing w:after="100"/>
    </w:pPr>
  </w:style>
  <w:style w:type="paragraph" w:styleId="TOC2">
    <w:name w:val="toc 2"/>
    <w:basedOn w:val="Normal"/>
    <w:next w:val="Normal"/>
    <w:autoRedefine/>
    <w:uiPriority w:val="39"/>
    <w:unhideWhenUsed/>
    <w:rsid w:val="002F76C6"/>
    <w:pPr>
      <w:spacing w:after="100"/>
      <w:ind w:left="240"/>
    </w:pPr>
  </w:style>
  <w:style w:type="character" w:styleId="Hyperlink">
    <w:name w:val="Hyperlink"/>
    <w:basedOn w:val="DefaultParagraphFont"/>
    <w:uiPriority w:val="99"/>
    <w:unhideWhenUsed/>
    <w:rsid w:val="002F76C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3454A-E03B-417B-B386-C46EC5BFA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1573</TotalTime>
  <Pages>25</Pages>
  <Words>6050</Words>
  <Characters>44226</Characters>
  <Application>Microsoft Office Word</Application>
  <DocSecurity>0</DocSecurity>
  <Lines>775</Lines>
  <Paragraphs>215</Paragraphs>
  <ScaleCrop>false</ScaleCrop>
  <Company/>
  <LinksUpToDate>false</LinksUpToDate>
  <CharactersWithSpaces>50061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Dragos Rosu</cp:lastModifiedBy>
  <cp:revision>7</cp:revision>
  <dcterms:created xsi:type="dcterms:W3CDTF">2026-03-03T12:23:00Z</dcterms:created>
  <dcterms:modified xsi:type="dcterms:W3CDTF">2026-03-25T12:07:00Z</dcterms:modified>
</cp:coreProperties>
</file>