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30646" w:rsidRPr="0055130E" w:rsidRDefault="00730646" w:rsidP="0055130E">
      <w:pPr>
        <w:jc w:val="center"/>
        <w:rPr>
          <w:b/>
          <w:sz w:val="28"/>
        </w:rPr>
      </w:pPr>
      <w:r w:rsidRPr="00E20B03">
        <w:rPr>
          <w:b/>
          <w:sz w:val="28"/>
        </w:rPr>
        <w:t>Making use of funerary evidence associated with one individual pre-Roman Iron Age site, discuss how the evidence can be used to Identify differences in social status in this community.</w:t>
      </w:r>
    </w:p>
    <w:p w:rsidR="00730646" w:rsidRDefault="00730646">
      <w:pPr>
        <w:rPr>
          <w:sz w:val="24"/>
        </w:rPr>
      </w:pPr>
      <w:r>
        <w:rPr>
          <w:sz w:val="24"/>
        </w:rPr>
        <w:t xml:space="preserve">In the </w:t>
      </w:r>
      <w:r w:rsidR="00641E6D">
        <w:rPr>
          <w:sz w:val="24"/>
        </w:rPr>
        <w:t>“</w:t>
      </w:r>
      <w:r>
        <w:rPr>
          <w:sz w:val="24"/>
        </w:rPr>
        <w:t>Celtic” world which includes most of central Eur</w:t>
      </w:r>
      <w:r w:rsidR="0018606B">
        <w:rPr>
          <w:sz w:val="24"/>
        </w:rPr>
        <w:t>ope with epicentres along the Da</w:t>
      </w:r>
      <w:r>
        <w:rPr>
          <w:sz w:val="24"/>
        </w:rPr>
        <w:t>nu</w:t>
      </w:r>
      <w:r w:rsidR="0018606B">
        <w:rPr>
          <w:sz w:val="24"/>
        </w:rPr>
        <w:t>b</w:t>
      </w:r>
      <w:r>
        <w:rPr>
          <w:sz w:val="24"/>
        </w:rPr>
        <w:t>e</w:t>
      </w:r>
      <w:r w:rsidR="0018606B">
        <w:rPr>
          <w:sz w:val="24"/>
        </w:rPr>
        <w:t xml:space="preserve"> and Rhone r</w:t>
      </w:r>
      <w:r>
        <w:rPr>
          <w:sz w:val="24"/>
        </w:rPr>
        <w:t>iver</w:t>
      </w:r>
      <w:r w:rsidR="0018606B">
        <w:rPr>
          <w:sz w:val="24"/>
        </w:rPr>
        <w:t xml:space="preserve">s. </w:t>
      </w:r>
      <w:r>
        <w:rPr>
          <w:sz w:val="24"/>
        </w:rPr>
        <w:t xml:space="preserve"> </w:t>
      </w:r>
      <w:r w:rsidR="0018606B">
        <w:rPr>
          <w:sz w:val="24"/>
        </w:rPr>
        <w:t>There are two main type sites for the “Celtic” world; Hallstatt and La T</w:t>
      </w:r>
      <w:r w:rsidR="0018606B">
        <w:rPr>
          <w:rFonts w:cstheme="minorHAnsi"/>
          <w:sz w:val="24"/>
        </w:rPr>
        <w:t>é</w:t>
      </w:r>
      <w:r w:rsidR="0018606B">
        <w:rPr>
          <w:sz w:val="24"/>
        </w:rPr>
        <w:t>ne, both are trade hubs with a large preservation of material due to</w:t>
      </w:r>
      <w:r w:rsidR="009718BF">
        <w:rPr>
          <w:sz w:val="24"/>
        </w:rPr>
        <w:t xml:space="preserve"> their</w:t>
      </w:r>
      <w:r w:rsidR="0018606B">
        <w:rPr>
          <w:sz w:val="24"/>
        </w:rPr>
        <w:t xml:space="preserve"> location</w:t>
      </w:r>
      <w:r w:rsidR="009718BF">
        <w:rPr>
          <w:sz w:val="24"/>
        </w:rPr>
        <w:t>s</w:t>
      </w:r>
      <w:r w:rsidR="0018606B">
        <w:rPr>
          <w:sz w:val="24"/>
        </w:rPr>
        <w:t>. This material varies from broches and beads to weapons an</w:t>
      </w:r>
      <w:r w:rsidR="00E20B03">
        <w:rPr>
          <w:sz w:val="24"/>
        </w:rPr>
        <w:t>d buildings</w:t>
      </w:r>
      <w:r w:rsidR="0018606B">
        <w:rPr>
          <w:sz w:val="24"/>
        </w:rPr>
        <w:t xml:space="preserve">. </w:t>
      </w:r>
      <w:r w:rsidR="0002651E">
        <w:rPr>
          <w:sz w:val="24"/>
        </w:rPr>
        <w:t xml:space="preserve">The “Celtic” world is </w:t>
      </w:r>
      <w:bookmarkStart w:id="0" w:name="_GoBack"/>
      <w:bookmarkEnd w:id="0"/>
      <w:r w:rsidR="0002651E">
        <w:rPr>
          <w:sz w:val="24"/>
        </w:rPr>
        <w:t xml:space="preserve">thought to have an over reaching language uniting them, though we need to be aware that just because the group could share a language does not mean that they have the same culture and practices. </w:t>
      </w:r>
    </w:p>
    <w:p w:rsidR="0018606B" w:rsidRDefault="00445E81">
      <w:pPr>
        <w:rPr>
          <w:sz w:val="24"/>
        </w:rPr>
      </w:pPr>
      <w:r>
        <w:rPr>
          <w:sz w:val="24"/>
        </w:rPr>
        <w:t>Iron Age central Europe and Britain is thought by Archaeologists to have</w:t>
      </w:r>
      <w:r w:rsidR="0018606B">
        <w:rPr>
          <w:sz w:val="24"/>
        </w:rPr>
        <w:t xml:space="preserve"> a caste </w:t>
      </w:r>
      <w:r>
        <w:rPr>
          <w:sz w:val="24"/>
        </w:rPr>
        <w:t xml:space="preserve">social </w:t>
      </w:r>
      <w:r w:rsidR="0018606B">
        <w:rPr>
          <w:sz w:val="24"/>
        </w:rPr>
        <w:t>system</w:t>
      </w:r>
      <w:r w:rsidR="009718BF">
        <w:rPr>
          <w:sz w:val="24"/>
        </w:rPr>
        <w:t>,</w:t>
      </w:r>
      <w:r w:rsidR="0018606B">
        <w:rPr>
          <w:sz w:val="24"/>
        </w:rPr>
        <w:t xml:space="preserve"> </w:t>
      </w:r>
      <w:r w:rsidR="0002651E">
        <w:rPr>
          <w:sz w:val="24"/>
        </w:rPr>
        <w:t>with warriors having the higher</w:t>
      </w:r>
      <w:r w:rsidR="0018606B">
        <w:rPr>
          <w:sz w:val="24"/>
        </w:rPr>
        <w:t xml:space="preserve"> status</w:t>
      </w:r>
      <w:r w:rsidR="0002651E">
        <w:rPr>
          <w:sz w:val="24"/>
        </w:rPr>
        <w:t xml:space="preserve"> than </w:t>
      </w:r>
      <w:r w:rsidR="006E181D">
        <w:rPr>
          <w:sz w:val="24"/>
        </w:rPr>
        <w:t>others do</w:t>
      </w:r>
      <w:r w:rsidR="0002651E">
        <w:rPr>
          <w:sz w:val="24"/>
        </w:rPr>
        <w:t xml:space="preserve"> in society</w:t>
      </w:r>
      <w:r w:rsidR="00B11043">
        <w:rPr>
          <w:rStyle w:val="FootnoteReference"/>
          <w:sz w:val="24"/>
        </w:rPr>
        <w:footnoteReference w:id="1"/>
      </w:r>
      <w:r w:rsidR="0018606B">
        <w:rPr>
          <w:sz w:val="24"/>
        </w:rPr>
        <w:t xml:space="preserve">. </w:t>
      </w:r>
      <w:r w:rsidR="0002651E">
        <w:rPr>
          <w:sz w:val="24"/>
        </w:rPr>
        <w:t xml:space="preserve">In this </w:t>
      </w:r>
      <w:r w:rsidR="006E181D">
        <w:rPr>
          <w:sz w:val="24"/>
        </w:rPr>
        <w:t>system,</w:t>
      </w:r>
      <w:r w:rsidR="0002651E">
        <w:rPr>
          <w:sz w:val="24"/>
        </w:rPr>
        <w:t xml:space="preserve"> we can see different layers of society with ‘Chieftains’ or kings at the peak, followed by warriors before the commoner </w:t>
      </w:r>
      <w:r w:rsidR="006E181D">
        <w:rPr>
          <w:sz w:val="24"/>
        </w:rPr>
        <w:t>class or farmers. This c</w:t>
      </w:r>
      <w:r w:rsidR="0002651E">
        <w:rPr>
          <w:sz w:val="24"/>
        </w:rPr>
        <w:t xml:space="preserve">an be hard to see in the funerary record because </w:t>
      </w:r>
      <w:r w:rsidR="006E181D">
        <w:rPr>
          <w:sz w:val="24"/>
        </w:rPr>
        <w:t xml:space="preserve">the less wealth or prospering peoples </w:t>
      </w:r>
      <w:r w:rsidR="009718BF">
        <w:rPr>
          <w:sz w:val="24"/>
        </w:rPr>
        <w:t>are likely to have practiced none</w:t>
      </w:r>
      <w:r w:rsidR="006E181D">
        <w:rPr>
          <w:sz w:val="24"/>
        </w:rPr>
        <w:t xml:space="preserve"> archaeological identifiable ways to remove their dead</w:t>
      </w:r>
      <w:r w:rsidR="00266080">
        <w:rPr>
          <w:rStyle w:val="FootnoteReference"/>
          <w:sz w:val="24"/>
        </w:rPr>
        <w:footnoteReference w:id="2"/>
      </w:r>
      <w:r w:rsidR="006E181D">
        <w:rPr>
          <w:sz w:val="24"/>
        </w:rPr>
        <w:t>. In the record that we do have we can see the divide in the ‘grave goo</w:t>
      </w:r>
      <w:r w:rsidR="009718BF">
        <w:rPr>
          <w:sz w:val="24"/>
        </w:rPr>
        <w:t xml:space="preserve">ds’ or objects placed with the </w:t>
      </w:r>
      <w:r w:rsidR="006E181D">
        <w:rPr>
          <w:sz w:val="24"/>
        </w:rPr>
        <w:t>deceased at the time of their inhumation. The high social standing you had the more objects of higher quality were placed in with the remains.</w:t>
      </w:r>
      <w:r w:rsidR="00266080">
        <w:rPr>
          <w:rStyle w:val="FootnoteReference"/>
          <w:sz w:val="24"/>
        </w:rPr>
        <w:footnoteReference w:id="3"/>
      </w:r>
      <w:r w:rsidR="006E181D">
        <w:rPr>
          <w:sz w:val="24"/>
        </w:rPr>
        <w:t xml:space="preserve"> These objects could range from decorative pottery to gold </w:t>
      </w:r>
      <w:proofErr w:type="spellStart"/>
      <w:r w:rsidR="006E181D">
        <w:rPr>
          <w:sz w:val="24"/>
        </w:rPr>
        <w:t>torcs</w:t>
      </w:r>
      <w:proofErr w:type="spellEnd"/>
      <w:r w:rsidR="006E181D">
        <w:rPr>
          <w:sz w:val="24"/>
        </w:rPr>
        <w:t xml:space="preserve">. </w:t>
      </w:r>
      <w:r>
        <w:rPr>
          <w:sz w:val="24"/>
        </w:rPr>
        <w:t>The weapons inhumed with the remains let us</w:t>
      </w:r>
      <w:r w:rsidR="006E181D">
        <w:rPr>
          <w:sz w:val="24"/>
        </w:rPr>
        <w:t xml:space="preserve"> spot</w:t>
      </w:r>
      <w:r>
        <w:rPr>
          <w:sz w:val="24"/>
        </w:rPr>
        <w:t xml:space="preserve"> the</w:t>
      </w:r>
      <w:r w:rsidR="006E181D">
        <w:rPr>
          <w:sz w:val="24"/>
        </w:rPr>
        <w:t xml:space="preserve"> warriors, sword and spears are most common</w:t>
      </w:r>
      <w:r w:rsidR="00266080">
        <w:rPr>
          <w:rStyle w:val="FootnoteReference"/>
          <w:sz w:val="24"/>
        </w:rPr>
        <w:footnoteReference w:id="4"/>
      </w:r>
      <w:r w:rsidR="006E181D">
        <w:rPr>
          <w:sz w:val="24"/>
        </w:rPr>
        <w:t xml:space="preserve"> but they may have other objects of varying extravagance depending on how good a warrior they were and where they had travelled as one.</w:t>
      </w:r>
    </w:p>
    <w:p w:rsidR="0018606B" w:rsidRDefault="0018606B">
      <w:pPr>
        <w:rPr>
          <w:sz w:val="24"/>
        </w:rPr>
      </w:pPr>
      <w:r>
        <w:rPr>
          <w:sz w:val="24"/>
        </w:rPr>
        <w:t>There are three types of burial</w:t>
      </w:r>
      <w:r w:rsidR="00664CBA">
        <w:rPr>
          <w:sz w:val="24"/>
        </w:rPr>
        <w:t xml:space="preserve"> in the Iron Age, cremation, </w:t>
      </w:r>
      <w:proofErr w:type="spellStart"/>
      <w:r w:rsidR="00664CBA">
        <w:rPr>
          <w:sz w:val="24"/>
        </w:rPr>
        <w:t>ex</w:t>
      </w:r>
      <w:r>
        <w:rPr>
          <w:sz w:val="24"/>
        </w:rPr>
        <w:t>carnati</w:t>
      </w:r>
      <w:r w:rsidR="00664CBA">
        <w:rPr>
          <w:sz w:val="24"/>
        </w:rPr>
        <w:t>on</w:t>
      </w:r>
      <w:proofErr w:type="spellEnd"/>
      <w:r w:rsidR="00664CBA">
        <w:rPr>
          <w:sz w:val="24"/>
        </w:rPr>
        <w:t xml:space="preserve"> and inhumation. Sometimes </w:t>
      </w:r>
      <w:proofErr w:type="spellStart"/>
      <w:r w:rsidR="00664CBA">
        <w:rPr>
          <w:sz w:val="24"/>
        </w:rPr>
        <w:t>ex</w:t>
      </w:r>
      <w:r>
        <w:rPr>
          <w:sz w:val="24"/>
        </w:rPr>
        <w:t>carnated</w:t>
      </w:r>
      <w:proofErr w:type="spellEnd"/>
      <w:r>
        <w:rPr>
          <w:sz w:val="24"/>
        </w:rPr>
        <w:t xml:space="preserve"> </w:t>
      </w:r>
      <w:r w:rsidR="0063739A">
        <w:rPr>
          <w:sz w:val="24"/>
        </w:rPr>
        <w:t xml:space="preserve">or cremated </w:t>
      </w:r>
      <w:r>
        <w:rPr>
          <w:sz w:val="24"/>
        </w:rPr>
        <w:t xml:space="preserve">remains </w:t>
      </w:r>
      <w:r w:rsidR="0063739A">
        <w:rPr>
          <w:sz w:val="24"/>
        </w:rPr>
        <w:t>are th</w:t>
      </w:r>
      <w:r w:rsidR="00E20B03">
        <w:rPr>
          <w:sz w:val="24"/>
        </w:rPr>
        <w:t>en inhumed</w:t>
      </w:r>
      <w:r w:rsidR="00266080">
        <w:rPr>
          <w:rStyle w:val="FootnoteReference"/>
          <w:sz w:val="24"/>
        </w:rPr>
        <w:footnoteReference w:id="5"/>
      </w:r>
      <w:r w:rsidR="00E20B03">
        <w:rPr>
          <w:sz w:val="24"/>
        </w:rPr>
        <w:t xml:space="preserve">, sometimes </w:t>
      </w:r>
      <w:r w:rsidR="00664CBA">
        <w:rPr>
          <w:sz w:val="24"/>
        </w:rPr>
        <w:t>with belongings or moved to</w:t>
      </w:r>
      <w:r w:rsidR="0063739A">
        <w:rPr>
          <w:sz w:val="24"/>
        </w:rPr>
        <w:t xml:space="preserve"> a site of</w:t>
      </w:r>
      <w:r w:rsidR="00E20B03">
        <w:rPr>
          <w:sz w:val="24"/>
        </w:rPr>
        <w:t xml:space="preserve"> greater</w:t>
      </w:r>
      <w:r w:rsidR="0063739A">
        <w:rPr>
          <w:sz w:val="24"/>
        </w:rPr>
        <w:t xml:space="preserve"> </w:t>
      </w:r>
      <w:r w:rsidR="00664CBA">
        <w:rPr>
          <w:sz w:val="24"/>
        </w:rPr>
        <w:t>importance.</w:t>
      </w:r>
      <w:r w:rsidR="0063739A">
        <w:rPr>
          <w:sz w:val="24"/>
        </w:rPr>
        <w:t xml:space="preserve"> </w:t>
      </w:r>
      <w:r w:rsidR="00664CBA">
        <w:rPr>
          <w:sz w:val="24"/>
        </w:rPr>
        <w:t>H</w:t>
      </w:r>
      <w:r w:rsidR="0063739A">
        <w:rPr>
          <w:sz w:val="24"/>
        </w:rPr>
        <w:t>owever</w:t>
      </w:r>
      <w:r w:rsidR="00664CBA">
        <w:rPr>
          <w:sz w:val="24"/>
        </w:rPr>
        <w:t>,</w:t>
      </w:r>
      <w:r w:rsidR="0063739A">
        <w:rPr>
          <w:sz w:val="24"/>
        </w:rPr>
        <w:t xml:space="preserve"> most</w:t>
      </w:r>
      <w:r w:rsidR="00664CBA">
        <w:rPr>
          <w:sz w:val="24"/>
        </w:rPr>
        <w:t xml:space="preserve"> bodies in the Iron Age were </w:t>
      </w:r>
      <w:proofErr w:type="spellStart"/>
      <w:r w:rsidR="00664CBA">
        <w:rPr>
          <w:sz w:val="24"/>
        </w:rPr>
        <w:t>ex</w:t>
      </w:r>
      <w:r w:rsidR="00593FF5">
        <w:rPr>
          <w:sz w:val="24"/>
        </w:rPr>
        <w:t>carnated</w:t>
      </w:r>
      <w:proofErr w:type="spellEnd"/>
      <w:r w:rsidR="00593FF5">
        <w:rPr>
          <w:rStyle w:val="FootnoteReference"/>
          <w:sz w:val="24"/>
        </w:rPr>
        <w:footnoteReference w:id="6"/>
      </w:r>
      <w:r w:rsidR="0063739A">
        <w:rPr>
          <w:sz w:val="24"/>
        </w:rPr>
        <w:t xml:space="preserve">. There are two ways to cremate a body in this period that we can tell; one is where the body and objects are cremated in one location but inhumed in another; the other is where the body and objects are cremated in pits where they’re buried. Each type of burial has its own status attached to it those with the highest status, importance to the community and wealth would receive a more elaborate burial that those that </w:t>
      </w:r>
      <w:r w:rsidR="00664CBA">
        <w:rPr>
          <w:sz w:val="24"/>
        </w:rPr>
        <w:t>had not</w:t>
      </w:r>
      <w:r w:rsidR="0063739A">
        <w:rPr>
          <w:sz w:val="24"/>
        </w:rPr>
        <w:t xml:space="preserve">, however </w:t>
      </w:r>
      <w:r w:rsidR="005446A2">
        <w:rPr>
          <w:sz w:val="24"/>
        </w:rPr>
        <w:t>those without the backing or community rec</w:t>
      </w:r>
      <w:r w:rsidR="00664CBA">
        <w:rPr>
          <w:sz w:val="24"/>
        </w:rPr>
        <w:t xml:space="preserve">eived a smaller fair or were </w:t>
      </w:r>
      <w:proofErr w:type="spellStart"/>
      <w:r w:rsidR="00664CBA">
        <w:rPr>
          <w:sz w:val="24"/>
        </w:rPr>
        <w:lastRenderedPageBreak/>
        <w:t>ex</w:t>
      </w:r>
      <w:r w:rsidR="005446A2">
        <w:rPr>
          <w:sz w:val="24"/>
        </w:rPr>
        <w:t>carnated</w:t>
      </w:r>
      <w:proofErr w:type="spellEnd"/>
      <w:r w:rsidR="005446A2">
        <w:rPr>
          <w:sz w:val="24"/>
        </w:rPr>
        <w:t>.</w:t>
      </w:r>
      <w:r w:rsidR="00DC364A">
        <w:rPr>
          <w:sz w:val="24"/>
        </w:rPr>
        <w:t xml:space="preserve"> One way we can see this is the ‘</w:t>
      </w:r>
      <w:proofErr w:type="spellStart"/>
      <w:r w:rsidR="00DC364A">
        <w:rPr>
          <w:sz w:val="24"/>
        </w:rPr>
        <w:t>Ur</w:t>
      </w:r>
      <w:r w:rsidR="0002651E">
        <w:rPr>
          <w:sz w:val="24"/>
        </w:rPr>
        <w:t>nfield</w:t>
      </w:r>
      <w:proofErr w:type="spellEnd"/>
      <w:r w:rsidR="0002651E">
        <w:rPr>
          <w:sz w:val="24"/>
        </w:rPr>
        <w:t xml:space="preserve"> culture’ where </w:t>
      </w:r>
      <w:r w:rsidR="00B559F4">
        <w:rPr>
          <w:sz w:val="24"/>
        </w:rPr>
        <w:t xml:space="preserve">the </w:t>
      </w:r>
      <w:r w:rsidR="0002651E">
        <w:rPr>
          <w:sz w:val="24"/>
        </w:rPr>
        <w:t xml:space="preserve">ashes were </w:t>
      </w:r>
      <w:r w:rsidR="00DC364A">
        <w:rPr>
          <w:sz w:val="24"/>
        </w:rPr>
        <w:t>buried in pots from 700 to 400BCE</w:t>
      </w:r>
      <w:r w:rsidR="0055130E">
        <w:rPr>
          <w:rStyle w:val="FootnoteReference"/>
          <w:sz w:val="24"/>
        </w:rPr>
        <w:footnoteReference w:id="7"/>
      </w:r>
      <w:r w:rsidR="00DC364A">
        <w:rPr>
          <w:sz w:val="24"/>
        </w:rPr>
        <w:t xml:space="preserve">. </w:t>
      </w:r>
    </w:p>
    <w:p w:rsidR="00914426" w:rsidRDefault="00E20B03" w:rsidP="00914426">
      <w:pPr>
        <w:rPr>
          <w:sz w:val="24"/>
        </w:rPr>
      </w:pPr>
      <w:r>
        <w:rPr>
          <w:sz w:val="24"/>
        </w:rPr>
        <w:t xml:space="preserve">I have chosen to apply these interpretations to the Arras Culture in East Yorkshire. </w:t>
      </w:r>
      <w:r w:rsidR="00B559F4">
        <w:rPr>
          <w:sz w:val="24"/>
        </w:rPr>
        <w:t xml:space="preserve">I chose </w:t>
      </w:r>
      <w:r w:rsidR="00ED7152">
        <w:rPr>
          <w:sz w:val="24"/>
        </w:rPr>
        <w:t>t</w:t>
      </w:r>
      <w:r w:rsidR="00B559F4">
        <w:rPr>
          <w:sz w:val="24"/>
        </w:rPr>
        <w:t xml:space="preserve">he Arras Culture is made up of multiple sites, most of them funerary in nature, </w:t>
      </w:r>
      <w:proofErr w:type="spellStart"/>
      <w:r w:rsidR="00B559F4">
        <w:rPr>
          <w:sz w:val="24"/>
        </w:rPr>
        <w:t>Wetwang</w:t>
      </w:r>
      <w:proofErr w:type="spellEnd"/>
      <w:r w:rsidR="00B559F4">
        <w:rPr>
          <w:sz w:val="24"/>
        </w:rPr>
        <w:t xml:space="preserve"> for example is near the centre of this area and holds a variety of enclosed graves. </w:t>
      </w:r>
      <w:r w:rsidR="00914426">
        <w:rPr>
          <w:sz w:val="24"/>
        </w:rPr>
        <w:t xml:space="preserve">The Arras Culture is also called the </w:t>
      </w:r>
      <w:proofErr w:type="spellStart"/>
      <w:r w:rsidR="00914426">
        <w:rPr>
          <w:sz w:val="24"/>
        </w:rPr>
        <w:t>Parisii</w:t>
      </w:r>
      <w:proofErr w:type="spellEnd"/>
      <w:r w:rsidR="00914426">
        <w:rPr>
          <w:rStyle w:val="FootnoteReference"/>
          <w:sz w:val="24"/>
        </w:rPr>
        <w:footnoteReference w:id="8"/>
      </w:r>
      <w:r w:rsidR="00914426">
        <w:rPr>
          <w:sz w:val="24"/>
        </w:rPr>
        <w:t xml:space="preserve"> because of the similarities between the archaeological record in Yorkshire and </w:t>
      </w:r>
      <w:proofErr w:type="spellStart"/>
      <w:r w:rsidR="00914426">
        <w:rPr>
          <w:sz w:val="24"/>
        </w:rPr>
        <w:t>Champage</w:t>
      </w:r>
      <w:proofErr w:type="spellEnd"/>
      <w:r w:rsidR="00914426">
        <w:rPr>
          <w:sz w:val="24"/>
        </w:rPr>
        <w:t>, Marne in Northern France in the 3</w:t>
      </w:r>
      <w:r w:rsidR="00914426" w:rsidRPr="0055130E">
        <w:rPr>
          <w:sz w:val="24"/>
          <w:vertAlign w:val="superscript"/>
        </w:rPr>
        <w:t>rd</w:t>
      </w:r>
      <w:r w:rsidR="00914426">
        <w:rPr>
          <w:sz w:val="24"/>
        </w:rPr>
        <w:t xml:space="preserve"> and 4</w:t>
      </w:r>
      <w:r w:rsidR="00914426" w:rsidRPr="0055130E">
        <w:rPr>
          <w:sz w:val="24"/>
          <w:vertAlign w:val="superscript"/>
        </w:rPr>
        <w:t>th</w:t>
      </w:r>
      <w:r w:rsidR="00914426">
        <w:rPr>
          <w:sz w:val="24"/>
        </w:rPr>
        <w:t xml:space="preserve"> centuries BCE</w:t>
      </w:r>
      <w:r w:rsidR="00914426">
        <w:rPr>
          <w:rStyle w:val="FootnoteReference"/>
          <w:sz w:val="24"/>
        </w:rPr>
        <w:footnoteReference w:id="9"/>
      </w:r>
      <w:r w:rsidR="00914426">
        <w:rPr>
          <w:sz w:val="24"/>
        </w:rPr>
        <w:t>.</w:t>
      </w:r>
      <w:r w:rsidR="009718BF">
        <w:rPr>
          <w:sz w:val="24"/>
        </w:rPr>
        <w:t xml:space="preserve"> It is because of the</w:t>
      </w:r>
      <w:r w:rsidR="00914426">
        <w:rPr>
          <w:sz w:val="24"/>
        </w:rPr>
        <w:t xml:space="preserve"> similarities and the change in contemporary burials in France that brings back the  ideas of invasion or migration</w:t>
      </w:r>
      <w:r w:rsidR="00914426">
        <w:rPr>
          <w:rStyle w:val="FootnoteReference"/>
          <w:sz w:val="24"/>
        </w:rPr>
        <w:footnoteReference w:id="10"/>
      </w:r>
      <w:r w:rsidR="00914426">
        <w:rPr>
          <w:sz w:val="24"/>
        </w:rPr>
        <w:t>. This is further supported by the fact Britain has an absence of burial e</w:t>
      </w:r>
      <w:r w:rsidR="00237AB0">
        <w:rPr>
          <w:sz w:val="24"/>
        </w:rPr>
        <w:t>vidence until the Arras Culture</w:t>
      </w:r>
      <w:r w:rsidR="00914426">
        <w:rPr>
          <w:rStyle w:val="FootnoteReference"/>
          <w:sz w:val="24"/>
        </w:rPr>
        <w:footnoteReference w:id="11"/>
      </w:r>
      <w:r w:rsidR="00914426">
        <w:rPr>
          <w:sz w:val="24"/>
        </w:rPr>
        <w:t xml:space="preserve">. </w:t>
      </w:r>
      <w:r w:rsidR="00B67355">
        <w:rPr>
          <w:sz w:val="24"/>
        </w:rPr>
        <w:t xml:space="preserve">With this interpretation </w:t>
      </w:r>
      <w:r w:rsidR="009718BF">
        <w:rPr>
          <w:sz w:val="24"/>
        </w:rPr>
        <w:t>we can see it in the craft work because though</w:t>
      </w:r>
      <w:r w:rsidR="00B67355">
        <w:rPr>
          <w:sz w:val="24"/>
        </w:rPr>
        <w:t xml:space="preserve"> the pottery is local the metal is inspired by that of Northern France but the curious thing is that they objects more closely connected to France only start to come up in the second phase of burials</w:t>
      </w:r>
      <w:r w:rsidR="00B67355">
        <w:rPr>
          <w:rStyle w:val="FootnoteReference"/>
          <w:sz w:val="24"/>
        </w:rPr>
        <w:footnoteReference w:id="12"/>
      </w:r>
      <w:r w:rsidR="00B67355">
        <w:rPr>
          <w:sz w:val="24"/>
        </w:rPr>
        <w:t xml:space="preserve">. </w:t>
      </w:r>
    </w:p>
    <w:p w:rsidR="00663A08" w:rsidRDefault="00B559F4">
      <w:pPr>
        <w:rPr>
          <w:sz w:val="24"/>
        </w:rPr>
      </w:pPr>
      <w:r>
        <w:rPr>
          <w:sz w:val="24"/>
        </w:rPr>
        <w:t xml:space="preserve">While only 21.5% </w:t>
      </w:r>
      <w:r w:rsidR="00914426">
        <w:rPr>
          <w:sz w:val="24"/>
        </w:rPr>
        <w:t xml:space="preserve">of the </w:t>
      </w:r>
      <w:proofErr w:type="spellStart"/>
      <w:r w:rsidR="00914426">
        <w:rPr>
          <w:sz w:val="24"/>
        </w:rPr>
        <w:t>Wetwang</w:t>
      </w:r>
      <w:proofErr w:type="spellEnd"/>
      <w:r w:rsidR="00914426">
        <w:rPr>
          <w:sz w:val="24"/>
        </w:rPr>
        <w:t xml:space="preserve"> site </w:t>
      </w:r>
      <w:r>
        <w:rPr>
          <w:sz w:val="24"/>
        </w:rPr>
        <w:t>have grave goods</w:t>
      </w:r>
      <w:r w:rsidR="00B11043">
        <w:rPr>
          <w:rStyle w:val="FootnoteReference"/>
          <w:sz w:val="24"/>
        </w:rPr>
        <w:footnoteReference w:id="13"/>
      </w:r>
      <w:r>
        <w:rPr>
          <w:sz w:val="24"/>
        </w:rPr>
        <w:t>, their positions relative to others along with how their positioned within</w:t>
      </w:r>
      <w:r w:rsidR="00266080">
        <w:rPr>
          <w:sz w:val="24"/>
        </w:rPr>
        <w:t xml:space="preserve"> the burial give some insight. They can be in </w:t>
      </w:r>
      <w:proofErr w:type="spellStart"/>
      <w:r w:rsidR="00266080">
        <w:rPr>
          <w:sz w:val="24"/>
        </w:rPr>
        <w:t>extanded</w:t>
      </w:r>
      <w:proofErr w:type="spellEnd"/>
      <w:r w:rsidR="00266080">
        <w:rPr>
          <w:sz w:val="24"/>
        </w:rPr>
        <w:t xml:space="preserve"> position which is laying on their back or to one side, flexed which is a slightly more curled position, then crouched which brings the legs nearly to the chest, followed by contra</w:t>
      </w:r>
      <w:r w:rsidR="00D35AD7">
        <w:rPr>
          <w:sz w:val="24"/>
        </w:rPr>
        <w:t xml:space="preserve">cted which is similar to the </w:t>
      </w:r>
      <w:proofErr w:type="spellStart"/>
      <w:r w:rsidR="00D35AD7">
        <w:rPr>
          <w:sz w:val="24"/>
        </w:rPr>
        <w:t>fe</w:t>
      </w:r>
      <w:r w:rsidR="00266080">
        <w:rPr>
          <w:sz w:val="24"/>
        </w:rPr>
        <w:t>tal</w:t>
      </w:r>
      <w:proofErr w:type="spellEnd"/>
      <w:r w:rsidR="00266080">
        <w:rPr>
          <w:sz w:val="24"/>
        </w:rPr>
        <w:t xml:space="preserve"> position</w:t>
      </w:r>
      <w:r w:rsidR="00266080">
        <w:rPr>
          <w:rStyle w:val="FootnoteReference"/>
          <w:sz w:val="24"/>
        </w:rPr>
        <w:footnoteReference w:id="14"/>
      </w:r>
      <w:r w:rsidR="00266080">
        <w:rPr>
          <w:sz w:val="24"/>
        </w:rPr>
        <w:t xml:space="preserve">. I think these positions show status because the more tightly curled the person is the less space they are going to take up meaning less energy spent on creating the pit </w:t>
      </w:r>
      <w:r w:rsidR="00FD6DA6">
        <w:rPr>
          <w:sz w:val="24"/>
        </w:rPr>
        <w:t>for them. Following that train of thought, this may also help explain why they used shallow pits for the primary graves</w:t>
      </w:r>
      <w:r w:rsidR="00FD6DA6">
        <w:rPr>
          <w:rStyle w:val="FootnoteReference"/>
          <w:sz w:val="24"/>
        </w:rPr>
        <w:footnoteReference w:id="15"/>
      </w:r>
      <w:r w:rsidR="00FD6DA6">
        <w:rPr>
          <w:sz w:val="24"/>
        </w:rPr>
        <w:t xml:space="preserve"> in the central enclosures, as it would have taken less time to create the grave especially if the body going in it was only being buried in what the where wearing with only small things such as pots, or animal scraps</w:t>
      </w:r>
      <w:r w:rsidR="00663A08">
        <w:rPr>
          <w:rStyle w:val="FootnoteReference"/>
          <w:sz w:val="24"/>
        </w:rPr>
        <w:footnoteReference w:id="16"/>
      </w:r>
      <w:r w:rsidR="00663A08">
        <w:rPr>
          <w:rStyle w:val="FootnoteReference"/>
          <w:sz w:val="24"/>
        </w:rPr>
        <w:footnoteReference w:id="17"/>
      </w:r>
      <w:r w:rsidR="00FD6DA6">
        <w:rPr>
          <w:sz w:val="24"/>
        </w:rPr>
        <w:t xml:space="preserve">. </w:t>
      </w:r>
      <w:r w:rsidR="00663A08">
        <w:rPr>
          <w:sz w:val="24"/>
        </w:rPr>
        <w:t>The animal scraps were from pigs</w:t>
      </w:r>
      <w:r w:rsidR="00663A08">
        <w:rPr>
          <w:rStyle w:val="FootnoteReference"/>
          <w:sz w:val="24"/>
        </w:rPr>
        <w:footnoteReference w:id="18"/>
      </w:r>
      <w:r w:rsidR="00663A08">
        <w:rPr>
          <w:sz w:val="24"/>
        </w:rPr>
        <w:t>, only grave 186 had a whole pig and goat</w:t>
      </w:r>
      <w:r w:rsidR="00663A08">
        <w:rPr>
          <w:rStyle w:val="FootnoteReference"/>
          <w:sz w:val="24"/>
        </w:rPr>
        <w:footnoteReference w:id="19"/>
      </w:r>
      <w:r w:rsidR="00663A08">
        <w:rPr>
          <w:sz w:val="24"/>
        </w:rPr>
        <w:t xml:space="preserve">. </w:t>
      </w:r>
    </w:p>
    <w:p w:rsidR="00DC364A" w:rsidRDefault="00663A08">
      <w:pPr>
        <w:rPr>
          <w:sz w:val="24"/>
        </w:rPr>
      </w:pPr>
      <w:r>
        <w:rPr>
          <w:sz w:val="24"/>
        </w:rPr>
        <w:t xml:space="preserve">In summary, at the Arras Culture site </w:t>
      </w:r>
      <w:proofErr w:type="spellStart"/>
      <w:r>
        <w:rPr>
          <w:sz w:val="24"/>
        </w:rPr>
        <w:t>Wetwang</w:t>
      </w:r>
      <w:proofErr w:type="spellEnd"/>
      <w:r>
        <w:rPr>
          <w:sz w:val="24"/>
        </w:rPr>
        <w:t xml:space="preserve"> the social status of the </w:t>
      </w:r>
      <w:proofErr w:type="spellStart"/>
      <w:r>
        <w:rPr>
          <w:sz w:val="24"/>
        </w:rPr>
        <w:t>Parisi</w:t>
      </w:r>
      <w:r w:rsidR="0055130E">
        <w:rPr>
          <w:sz w:val="24"/>
        </w:rPr>
        <w:t>i</w:t>
      </w:r>
      <w:proofErr w:type="spellEnd"/>
      <w:r>
        <w:rPr>
          <w:sz w:val="24"/>
        </w:rPr>
        <w:t xml:space="preserve"> whom were said to live there by Caesar can be seen in the funerary record. It can be seen in the location </w:t>
      </w:r>
      <w:r>
        <w:rPr>
          <w:sz w:val="24"/>
        </w:rPr>
        <w:lastRenderedPageBreak/>
        <w:t xml:space="preserve">being under barrows </w:t>
      </w:r>
      <w:r>
        <w:rPr>
          <w:rStyle w:val="FootnoteReference"/>
          <w:sz w:val="24"/>
        </w:rPr>
        <w:footnoteReference w:id="20"/>
      </w:r>
      <w:r>
        <w:rPr>
          <w:sz w:val="24"/>
        </w:rPr>
        <w:t xml:space="preserve"> and surrounded by a ditch enclosure because this </w:t>
      </w:r>
      <w:r w:rsidR="00EE0034">
        <w:rPr>
          <w:sz w:val="24"/>
        </w:rPr>
        <w:t>separates</w:t>
      </w:r>
      <w:r>
        <w:rPr>
          <w:sz w:val="24"/>
        </w:rPr>
        <w:t xml:space="preserve"> the dead from the living while still allowing them to watch or protect the land</w:t>
      </w:r>
      <w:r w:rsidR="00EE0034">
        <w:rPr>
          <w:sz w:val="24"/>
        </w:rPr>
        <w:t>. We can mostly see status in the individuals from the grave goods left with the remains, we can do this by summarising that the people with swords and spears are warriors, those with more high quality objects had more money or more well liked in the community, those whom were chieftains had their chariots and those who were the farmers or ‘commoners’ had courseware pottery</w:t>
      </w:r>
      <w:r w:rsidR="00EE0034">
        <w:rPr>
          <w:rStyle w:val="FootnoteReference"/>
          <w:sz w:val="24"/>
        </w:rPr>
        <w:footnoteReference w:id="21"/>
      </w:r>
      <w:r w:rsidR="00EE0034">
        <w:rPr>
          <w:sz w:val="24"/>
        </w:rPr>
        <w:t>.  One thing that has to be kept in mind when looked at the funerary record is that the status of the individual is what it was perceived to be by their lineage and community doing the burial</w:t>
      </w:r>
      <w:r w:rsidR="00EE0034">
        <w:rPr>
          <w:rStyle w:val="FootnoteReference"/>
          <w:sz w:val="24"/>
        </w:rPr>
        <w:footnoteReference w:id="22"/>
      </w:r>
      <w:r w:rsidR="00EE0034">
        <w:rPr>
          <w:sz w:val="24"/>
        </w:rPr>
        <w:t>.</w:t>
      </w:r>
    </w:p>
    <w:p w:rsidR="00DC364A" w:rsidRDefault="00DC364A">
      <w:pPr>
        <w:rPr>
          <w:sz w:val="24"/>
        </w:rPr>
      </w:pPr>
    </w:p>
    <w:p w:rsidR="00DC364A" w:rsidRDefault="00DC364A">
      <w:pPr>
        <w:rPr>
          <w:b/>
          <w:sz w:val="28"/>
        </w:rPr>
      </w:pPr>
      <w:r>
        <w:rPr>
          <w:b/>
          <w:sz w:val="28"/>
        </w:rPr>
        <w:t>Bibliography</w:t>
      </w:r>
    </w:p>
    <w:p w:rsidR="00FD6DA6" w:rsidRPr="009718BF" w:rsidRDefault="00FD6DA6" w:rsidP="00FD6DA6">
      <w:pPr>
        <w:pStyle w:val="ListParagraph"/>
        <w:numPr>
          <w:ilvl w:val="0"/>
          <w:numId w:val="2"/>
        </w:numPr>
        <w:rPr>
          <w:sz w:val="24"/>
          <w:szCs w:val="24"/>
        </w:rPr>
      </w:pPr>
      <w:r w:rsidRPr="009718BF">
        <w:rPr>
          <w:sz w:val="24"/>
          <w:szCs w:val="24"/>
        </w:rPr>
        <w:t xml:space="preserve">Arnold, B. The material culture of social structure: Rank and status in early Iron Age Europe. IN. Arnold, B. Gibson, D. B. 1995. Celtic Chiefdom, Celtic state: The evolution of Complex social systems in Prehistoric Europe. Cambridge. Cambridge University Press. </w:t>
      </w:r>
    </w:p>
    <w:p w:rsidR="00DC364A" w:rsidRPr="009718BF" w:rsidRDefault="00664CBA" w:rsidP="00DC364A">
      <w:pPr>
        <w:pStyle w:val="ListParagraph"/>
        <w:numPr>
          <w:ilvl w:val="0"/>
          <w:numId w:val="2"/>
        </w:numPr>
        <w:rPr>
          <w:sz w:val="24"/>
          <w:szCs w:val="24"/>
        </w:rPr>
      </w:pPr>
      <w:proofErr w:type="spellStart"/>
      <w:r w:rsidRPr="009718BF">
        <w:rPr>
          <w:sz w:val="24"/>
          <w:szCs w:val="24"/>
        </w:rPr>
        <w:t>Cunliffe</w:t>
      </w:r>
      <w:proofErr w:type="spellEnd"/>
      <w:r w:rsidR="00DC364A" w:rsidRPr="009718BF">
        <w:rPr>
          <w:sz w:val="24"/>
          <w:szCs w:val="24"/>
        </w:rPr>
        <w:t>, B. 1992</w:t>
      </w:r>
      <w:r w:rsidR="00DC364A" w:rsidRPr="009718BF">
        <w:rPr>
          <w:i/>
          <w:sz w:val="24"/>
          <w:szCs w:val="24"/>
        </w:rPr>
        <w:t>. The Celtic world</w:t>
      </w:r>
      <w:r w:rsidR="00DC364A" w:rsidRPr="009718BF">
        <w:rPr>
          <w:sz w:val="24"/>
          <w:szCs w:val="24"/>
        </w:rPr>
        <w:t>. London. Constable.</w:t>
      </w:r>
    </w:p>
    <w:p w:rsidR="00FD6DA6" w:rsidRPr="009718BF" w:rsidRDefault="00FD6DA6" w:rsidP="00FD6DA6">
      <w:pPr>
        <w:pStyle w:val="ListParagraph"/>
        <w:numPr>
          <w:ilvl w:val="0"/>
          <w:numId w:val="2"/>
        </w:numPr>
        <w:rPr>
          <w:b/>
          <w:sz w:val="24"/>
          <w:szCs w:val="24"/>
        </w:rPr>
      </w:pPr>
      <w:proofErr w:type="spellStart"/>
      <w:r w:rsidRPr="009718BF">
        <w:rPr>
          <w:sz w:val="24"/>
          <w:szCs w:val="24"/>
        </w:rPr>
        <w:t>Cunliffe</w:t>
      </w:r>
      <w:proofErr w:type="spellEnd"/>
      <w:r w:rsidRPr="009718BF">
        <w:rPr>
          <w:sz w:val="24"/>
          <w:szCs w:val="24"/>
        </w:rPr>
        <w:t>, B. 2018. The Ancient Celts. 2</w:t>
      </w:r>
      <w:r w:rsidRPr="009718BF">
        <w:rPr>
          <w:sz w:val="24"/>
          <w:szCs w:val="24"/>
          <w:vertAlign w:val="superscript"/>
        </w:rPr>
        <w:t>nd</w:t>
      </w:r>
      <w:r w:rsidRPr="009718BF">
        <w:rPr>
          <w:sz w:val="24"/>
          <w:szCs w:val="24"/>
        </w:rPr>
        <w:t xml:space="preserve"> ed. Oxford. Oxford University Press.</w:t>
      </w:r>
    </w:p>
    <w:p w:rsidR="00FD6DA6" w:rsidRPr="009718BF" w:rsidRDefault="00FD6DA6" w:rsidP="00FD6DA6">
      <w:pPr>
        <w:pStyle w:val="ListParagraph"/>
        <w:numPr>
          <w:ilvl w:val="0"/>
          <w:numId w:val="2"/>
        </w:numPr>
        <w:rPr>
          <w:b/>
          <w:sz w:val="24"/>
          <w:szCs w:val="24"/>
        </w:rPr>
      </w:pPr>
      <w:r w:rsidRPr="009718BF">
        <w:rPr>
          <w:sz w:val="24"/>
          <w:szCs w:val="24"/>
        </w:rPr>
        <w:t xml:space="preserve">Dent, J. S. 1984. </w:t>
      </w:r>
      <w:proofErr w:type="spellStart"/>
      <w:r w:rsidRPr="009718BF">
        <w:rPr>
          <w:sz w:val="24"/>
          <w:szCs w:val="24"/>
        </w:rPr>
        <w:t>Wetwang</w:t>
      </w:r>
      <w:proofErr w:type="spellEnd"/>
      <w:r w:rsidRPr="009718BF">
        <w:rPr>
          <w:sz w:val="24"/>
          <w:szCs w:val="24"/>
        </w:rPr>
        <w:t xml:space="preserve"> Slack: An Iron Age cemetery on the Yorkshire Wolds. University of Sheffield. </w:t>
      </w:r>
      <w:hyperlink r:id="rId8" w:history="1">
        <w:r w:rsidRPr="009718BF">
          <w:rPr>
            <w:rStyle w:val="Hyperlink"/>
            <w:sz w:val="24"/>
            <w:szCs w:val="24"/>
          </w:rPr>
          <w:t>http://etheses.whiterose.ac.uk/1819/1/DX190573.pdf</w:t>
        </w:r>
      </w:hyperlink>
      <w:r w:rsidRPr="009718BF">
        <w:rPr>
          <w:sz w:val="24"/>
          <w:szCs w:val="24"/>
        </w:rPr>
        <w:t xml:space="preserve"> accessed: 18/01/2019</w:t>
      </w:r>
    </w:p>
    <w:p w:rsidR="00DC364A" w:rsidRPr="009718BF" w:rsidRDefault="00DC364A" w:rsidP="00DC364A">
      <w:pPr>
        <w:pStyle w:val="ListParagraph"/>
        <w:numPr>
          <w:ilvl w:val="0"/>
          <w:numId w:val="2"/>
        </w:numPr>
        <w:rPr>
          <w:b/>
          <w:sz w:val="24"/>
          <w:szCs w:val="24"/>
        </w:rPr>
      </w:pPr>
      <w:r w:rsidRPr="009718BF">
        <w:rPr>
          <w:sz w:val="24"/>
          <w:szCs w:val="24"/>
        </w:rPr>
        <w:t xml:space="preserve">Ellis, P.B. 1998. </w:t>
      </w:r>
      <w:r w:rsidRPr="009718BF">
        <w:rPr>
          <w:i/>
          <w:sz w:val="24"/>
          <w:szCs w:val="24"/>
        </w:rPr>
        <w:t>The Ancient world of the Celts</w:t>
      </w:r>
      <w:r w:rsidRPr="009718BF">
        <w:rPr>
          <w:sz w:val="24"/>
          <w:szCs w:val="24"/>
        </w:rPr>
        <w:t>. London. Constable</w:t>
      </w:r>
      <w:r w:rsidRPr="009718BF">
        <w:rPr>
          <w:b/>
          <w:sz w:val="24"/>
          <w:szCs w:val="24"/>
        </w:rPr>
        <w:t xml:space="preserve">. </w:t>
      </w:r>
    </w:p>
    <w:p w:rsidR="00664CBA" w:rsidRPr="009718BF" w:rsidRDefault="00664CBA" w:rsidP="00664CBA">
      <w:pPr>
        <w:pStyle w:val="ListParagraph"/>
        <w:numPr>
          <w:ilvl w:val="0"/>
          <w:numId w:val="2"/>
        </w:numPr>
        <w:rPr>
          <w:b/>
          <w:sz w:val="24"/>
          <w:szCs w:val="24"/>
        </w:rPr>
      </w:pPr>
      <w:r w:rsidRPr="009718BF">
        <w:rPr>
          <w:sz w:val="24"/>
          <w:szCs w:val="24"/>
        </w:rPr>
        <w:t xml:space="preserve">Wait, C.A. Burial and the other word. IN. Green, M. J. 1996. The Celtic World. London. </w:t>
      </w:r>
      <w:proofErr w:type="spellStart"/>
      <w:r w:rsidRPr="009718BF">
        <w:rPr>
          <w:sz w:val="24"/>
          <w:szCs w:val="24"/>
        </w:rPr>
        <w:t>Routlodge</w:t>
      </w:r>
      <w:proofErr w:type="spellEnd"/>
      <w:r w:rsidRPr="009718BF">
        <w:rPr>
          <w:sz w:val="24"/>
          <w:szCs w:val="24"/>
        </w:rPr>
        <w:t>.</w:t>
      </w:r>
    </w:p>
    <w:p w:rsidR="00664CBA" w:rsidRPr="00663A08" w:rsidRDefault="00664CBA" w:rsidP="00663A08">
      <w:pPr>
        <w:ind w:left="360"/>
        <w:rPr>
          <w:sz w:val="28"/>
        </w:rPr>
      </w:pPr>
    </w:p>
    <w:sectPr w:rsidR="00664CBA" w:rsidRPr="00663A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1043" w:rsidRDefault="00B11043" w:rsidP="00B11043">
      <w:pPr>
        <w:spacing w:after="0" w:line="240" w:lineRule="auto"/>
      </w:pPr>
      <w:r>
        <w:separator/>
      </w:r>
    </w:p>
  </w:endnote>
  <w:endnote w:type="continuationSeparator" w:id="0">
    <w:p w:rsidR="00B11043" w:rsidRDefault="00B11043" w:rsidP="00B110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1043" w:rsidRDefault="00B11043" w:rsidP="00B11043">
      <w:pPr>
        <w:spacing w:after="0" w:line="240" w:lineRule="auto"/>
      </w:pPr>
      <w:r>
        <w:separator/>
      </w:r>
    </w:p>
  </w:footnote>
  <w:footnote w:type="continuationSeparator" w:id="0">
    <w:p w:rsidR="00B11043" w:rsidRDefault="00B11043" w:rsidP="00B11043">
      <w:pPr>
        <w:spacing w:after="0" w:line="240" w:lineRule="auto"/>
      </w:pPr>
      <w:r>
        <w:continuationSeparator/>
      </w:r>
    </w:p>
  </w:footnote>
  <w:footnote w:id="1">
    <w:p w:rsidR="00B11043" w:rsidRPr="00B11043" w:rsidRDefault="00B11043" w:rsidP="00B11043">
      <w:pPr>
        <w:pStyle w:val="FootnoteText"/>
      </w:pPr>
      <w:r w:rsidRPr="00B11043">
        <w:rPr>
          <w:rStyle w:val="FootnoteReference"/>
        </w:rPr>
        <w:footnoteRef/>
      </w:r>
      <w:r w:rsidRPr="00B11043">
        <w:t xml:space="preserve"> Ellis, P.B. 1998. </w:t>
      </w:r>
      <w:r w:rsidRPr="00B11043">
        <w:rPr>
          <w:i/>
        </w:rPr>
        <w:t>The Ancient world of the Celts</w:t>
      </w:r>
      <w:r w:rsidRPr="00B11043">
        <w:t>. London. Constable</w:t>
      </w:r>
      <w:r w:rsidRPr="00B11043">
        <w:rPr>
          <w:b/>
        </w:rPr>
        <w:t>.</w:t>
      </w:r>
    </w:p>
  </w:footnote>
  <w:footnote w:id="2">
    <w:p w:rsidR="00266080" w:rsidRPr="00B67355" w:rsidRDefault="00266080" w:rsidP="00B67355">
      <w:pPr>
        <w:pStyle w:val="FootnoteText"/>
      </w:pPr>
      <w:r>
        <w:rPr>
          <w:rStyle w:val="FootnoteReference"/>
        </w:rPr>
        <w:footnoteRef/>
      </w:r>
      <w:r w:rsidR="00B67355">
        <w:t xml:space="preserve"> </w:t>
      </w:r>
      <w:r w:rsidR="00B67355" w:rsidRPr="00B67355">
        <w:t>Arnold, B. The material culture of social structure: Rank and status in early Iron Age Europe. IN. Arnold, B. Gibson, D. B. 1995. Celtic Chiefdom, Celtic state: The evolution of Complex social systems in Prehistoric Europe. Cambridge. Cambridge University Press.</w:t>
      </w:r>
    </w:p>
  </w:footnote>
  <w:footnote w:id="3">
    <w:p w:rsidR="00266080" w:rsidRDefault="00266080">
      <w:pPr>
        <w:pStyle w:val="FootnoteText"/>
      </w:pPr>
      <w:r>
        <w:rPr>
          <w:rStyle w:val="FootnoteReference"/>
        </w:rPr>
        <w:footnoteRef/>
      </w:r>
      <w:r>
        <w:t xml:space="preserve"> </w:t>
      </w:r>
      <w:proofErr w:type="spellStart"/>
      <w:r w:rsidR="00B67355" w:rsidRPr="00B67355">
        <w:t>Cunliffe</w:t>
      </w:r>
      <w:proofErr w:type="spellEnd"/>
      <w:r w:rsidR="00B67355" w:rsidRPr="00B67355">
        <w:t>, B. 1992. The Celtic world. London. Constable.</w:t>
      </w:r>
    </w:p>
  </w:footnote>
  <w:footnote w:id="4">
    <w:p w:rsidR="00266080" w:rsidRDefault="00266080">
      <w:pPr>
        <w:pStyle w:val="FootnoteText"/>
      </w:pPr>
      <w:r>
        <w:rPr>
          <w:rStyle w:val="FootnoteReference"/>
        </w:rPr>
        <w:footnoteRef/>
      </w:r>
      <w:r>
        <w:t xml:space="preserve">  </w:t>
      </w:r>
      <w:r w:rsidR="00875B06" w:rsidRPr="00B67355">
        <w:t xml:space="preserve">Wait, C.A. Burial and the other word. IN. Green, M. J. 1996. The Celtic World. London. </w:t>
      </w:r>
      <w:proofErr w:type="spellStart"/>
      <w:r w:rsidR="00875B06" w:rsidRPr="00B67355">
        <w:t>Routlodge</w:t>
      </w:r>
      <w:proofErr w:type="spellEnd"/>
      <w:r w:rsidR="00875B06" w:rsidRPr="00B67355">
        <w:t>.</w:t>
      </w:r>
    </w:p>
  </w:footnote>
  <w:footnote w:id="5">
    <w:p w:rsidR="00266080" w:rsidRDefault="00266080">
      <w:pPr>
        <w:pStyle w:val="FootnoteText"/>
      </w:pPr>
      <w:r>
        <w:rPr>
          <w:rStyle w:val="FootnoteReference"/>
        </w:rPr>
        <w:footnoteRef/>
      </w:r>
      <w:r>
        <w:t xml:space="preserve"> </w:t>
      </w:r>
      <w:r w:rsidR="00B67355" w:rsidRPr="00B67355">
        <w:t>Arnold, B. The material culture of social structure: Rank and status in early Iron Age Europe. IN. Arnold, B. Gibson, D. B. 1995. Celtic Chiefdom, Celtic state: The evolution of Complex social systems in Prehistoric Europe. Cambridge. Cambridge University Press.</w:t>
      </w:r>
    </w:p>
  </w:footnote>
  <w:footnote w:id="6">
    <w:p w:rsidR="00593FF5" w:rsidRDefault="00593FF5">
      <w:pPr>
        <w:pStyle w:val="FootnoteText"/>
      </w:pPr>
      <w:r>
        <w:rPr>
          <w:rStyle w:val="FootnoteReference"/>
        </w:rPr>
        <w:footnoteRef/>
      </w:r>
      <w:r>
        <w:t xml:space="preserve"> </w:t>
      </w:r>
      <w:r w:rsidRPr="00B67355">
        <w:t>Arnold, B. The material culture of social structure: Rank and status in early Iron Age Europe. IN. Arnold, B. Gibson, D. B. 1995. Celtic Chiefdom, Celtic state: The evolution of Complex social systems in Prehistoric Europe. Cambridge. Cambridge University Press.</w:t>
      </w:r>
    </w:p>
  </w:footnote>
  <w:footnote w:id="7">
    <w:p w:rsidR="0055130E" w:rsidRDefault="0055130E">
      <w:pPr>
        <w:pStyle w:val="FootnoteText"/>
      </w:pPr>
      <w:r>
        <w:rPr>
          <w:rStyle w:val="FootnoteReference"/>
        </w:rPr>
        <w:footnoteRef/>
      </w:r>
      <w:r>
        <w:t xml:space="preserve"> </w:t>
      </w:r>
      <w:proofErr w:type="spellStart"/>
      <w:r w:rsidR="00B67355" w:rsidRPr="00B67355">
        <w:t>Cunliffe</w:t>
      </w:r>
      <w:proofErr w:type="spellEnd"/>
      <w:r w:rsidR="00B67355" w:rsidRPr="00B67355">
        <w:t>, B. 1992. The Celtic world. London. Constable.</w:t>
      </w:r>
    </w:p>
  </w:footnote>
  <w:footnote w:id="8">
    <w:p w:rsidR="00914426" w:rsidRDefault="00914426" w:rsidP="00914426">
      <w:pPr>
        <w:pStyle w:val="FootnoteText"/>
      </w:pPr>
      <w:r>
        <w:rPr>
          <w:rStyle w:val="FootnoteReference"/>
        </w:rPr>
        <w:footnoteRef/>
      </w:r>
      <w:proofErr w:type="spellStart"/>
      <w:r w:rsidR="00875B06" w:rsidRPr="00875B06">
        <w:t>Cunliffe</w:t>
      </w:r>
      <w:proofErr w:type="spellEnd"/>
      <w:r w:rsidR="00875B06" w:rsidRPr="00875B06">
        <w:t>, B. 2018. The Ancient Celts. 2nd ed. Oxford. Oxford University Press.</w:t>
      </w:r>
    </w:p>
  </w:footnote>
  <w:footnote w:id="9">
    <w:p w:rsidR="00914426" w:rsidRDefault="00914426" w:rsidP="00914426">
      <w:pPr>
        <w:pStyle w:val="FootnoteText"/>
      </w:pPr>
      <w:r>
        <w:rPr>
          <w:rStyle w:val="FootnoteReference"/>
        </w:rPr>
        <w:footnoteRef/>
      </w:r>
      <w:r>
        <w:t xml:space="preserve"> </w:t>
      </w:r>
      <w:r w:rsidR="00B67355" w:rsidRPr="00B67355">
        <w:t xml:space="preserve">Wait, C.A. Burial and the other word. IN. Green, M. J. 1996. The Celtic World. London. </w:t>
      </w:r>
      <w:proofErr w:type="spellStart"/>
      <w:r w:rsidR="00B67355" w:rsidRPr="00B67355">
        <w:t>Routlodge</w:t>
      </w:r>
      <w:proofErr w:type="spellEnd"/>
      <w:r w:rsidR="00B67355" w:rsidRPr="00B67355">
        <w:t>.</w:t>
      </w:r>
    </w:p>
  </w:footnote>
  <w:footnote w:id="10">
    <w:p w:rsidR="00914426" w:rsidRDefault="00914426" w:rsidP="00914426">
      <w:pPr>
        <w:pStyle w:val="FootnoteText"/>
      </w:pPr>
      <w:r>
        <w:rPr>
          <w:rStyle w:val="FootnoteReference"/>
        </w:rPr>
        <w:footnoteRef/>
      </w:r>
      <w:r>
        <w:t xml:space="preserve"> </w:t>
      </w:r>
      <w:r w:rsidR="00B67355" w:rsidRPr="00B67355">
        <w:t xml:space="preserve">Wait, C.A. Burial and the other word. IN. Green, M. J. 1996. The Celtic World. London. </w:t>
      </w:r>
      <w:proofErr w:type="spellStart"/>
      <w:r w:rsidR="00B67355" w:rsidRPr="00B67355">
        <w:t>Routlodge</w:t>
      </w:r>
      <w:proofErr w:type="spellEnd"/>
      <w:r w:rsidR="00B67355" w:rsidRPr="00B67355">
        <w:t>.</w:t>
      </w:r>
    </w:p>
  </w:footnote>
  <w:footnote w:id="11">
    <w:p w:rsidR="00914426" w:rsidRDefault="00914426" w:rsidP="00914426">
      <w:pPr>
        <w:pStyle w:val="FootnoteText"/>
      </w:pPr>
      <w:r>
        <w:rPr>
          <w:rStyle w:val="FootnoteReference"/>
        </w:rPr>
        <w:footnoteRef/>
      </w:r>
      <w:r>
        <w:t xml:space="preserve"> </w:t>
      </w:r>
      <w:proofErr w:type="spellStart"/>
      <w:r w:rsidR="00875B06" w:rsidRPr="00875B06">
        <w:t>Cunliffe</w:t>
      </w:r>
      <w:proofErr w:type="spellEnd"/>
      <w:r w:rsidR="00875B06" w:rsidRPr="00875B06">
        <w:t>, B. 2018. The Ancient Celts. 2nd ed. Oxford. Oxford University Press.</w:t>
      </w:r>
    </w:p>
  </w:footnote>
  <w:footnote w:id="12">
    <w:p w:rsidR="00B67355" w:rsidRDefault="00B67355">
      <w:pPr>
        <w:pStyle w:val="FootnoteText"/>
      </w:pPr>
      <w:r>
        <w:rPr>
          <w:rStyle w:val="FootnoteReference"/>
        </w:rPr>
        <w:footnoteRef/>
      </w:r>
      <w:r>
        <w:t xml:space="preserve"> </w:t>
      </w:r>
      <w:r w:rsidRPr="00B67355">
        <w:t xml:space="preserve">Wait, C.A. Burial and the other word. IN. Green, M. J. 1996. The Celtic World. London. </w:t>
      </w:r>
      <w:proofErr w:type="spellStart"/>
      <w:r w:rsidRPr="00B67355">
        <w:t>Routlodge</w:t>
      </w:r>
      <w:proofErr w:type="spellEnd"/>
      <w:r w:rsidRPr="00B67355">
        <w:t>.</w:t>
      </w:r>
    </w:p>
  </w:footnote>
  <w:footnote w:id="13">
    <w:p w:rsidR="00B11043" w:rsidRPr="00663A08" w:rsidRDefault="00B11043" w:rsidP="00663A08">
      <w:pPr>
        <w:rPr>
          <w:b/>
          <w:sz w:val="20"/>
        </w:rPr>
      </w:pPr>
      <w:r>
        <w:rPr>
          <w:rStyle w:val="FootnoteReference"/>
        </w:rPr>
        <w:footnoteRef/>
      </w:r>
      <w:r w:rsidRPr="00266080">
        <w:rPr>
          <w:sz w:val="12"/>
        </w:rPr>
        <w:t xml:space="preserve"> </w:t>
      </w:r>
      <w:r w:rsidRPr="00266080">
        <w:rPr>
          <w:sz w:val="20"/>
        </w:rPr>
        <w:t xml:space="preserve">Dent, J. S. 1984. </w:t>
      </w:r>
      <w:proofErr w:type="spellStart"/>
      <w:r w:rsidRPr="00266080">
        <w:rPr>
          <w:sz w:val="20"/>
        </w:rPr>
        <w:t>Wetwang</w:t>
      </w:r>
      <w:proofErr w:type="spellEnd"/>
      <w:r w:rsidRPr="00266080">
        <w:rPr>
          <w:sz w:val="20"/>
        </w:rPr>
        <w:t xml:space="preserve"> Slack: An Iron Age cemetery on the Yorkshire Wolds. University of Sheffield. </w:t>
      </w:r>
      <w:hyperlink r:id="rId1" w:history="1">
        <w:r w:rsidRPr="00266080">
          <w:rPr>
            <w:rStyle w:val="Hyperlink"/>
            <w:sz w:val="20"/>
          </w:rPr>
          <w:t>http://etheses.whiterose.ac.uk/1819/1/DX190573.pdf</w:t>
        </w:r>
      </w:hyperlink>
      <w:r w:rsidRPr="00266080">
        <w:rPr>
          <w:sz w:val="20"/>
        </w:rPr>
        <w:t xml:space="preserve"> accessed: 18/01/2019</w:t>
      </w:r>
    </w:p>
  </w:footnote>
  <w:footnote w:id="14">
    <w:p w:rsidR="00266080" w:rsidRDefault="00266080">
      <w:pPr>
        <w:pStyle w:val="FootnoteText"/>
      </w:pPr>
      <w:r>
        <w:rPr>
          <w:rStyle w:val="FootnoteReference"/>
        </w:rPr>
        <w:footnoteRef/>
      </w:r>
      <w:r w:rsidR="00B67355">
        <w:t xml:space="preserve"> </w:t>
      </w:r>
      <w:r w:rsidR="00B67355" w:rsidRPr="00266080">
        <w:t xml:space="preserve">Dent, J. S. 1984. </w:t>
      </w:r>
      <w:proofErr w:type="spellStart"/>
      <w:r w:rsidR="00B67355" w:rsidRPr="00266080">
        <w:t>Wetwang</w:t>
      </w:r>
      <w:proofErr w:type="spellEnd"/>
      <w:r w:rsidR="00B67355" w:rsidRPr="00266080">
        <w:t xml:space="preserve"> Slack: An Iron Age cemetery on the Yorkshire Wolds. University of Sheffield. </w:t>
      </w:r>
      <w:hyperlink r:id="rId2" w:history="1">
        <w:r w:rsidR="00B67355" w:rsidRPr="00266080">
          <w:rPr>
            <w:rStyle w:val="Hyperlink"/>
          </w:rPr>
          <w:t>http://etheses.whiterose.ac.uk/1819/1/DX190573.pdf</w:t>
        </w:r>
      </w:hyperlink>
      <w:r w:rsidR="00B67355" w:rsidRPr="00266080">
        <w:t xml:space="preserve"> accessed: 18/01/2019</w:t>
      </w:r>
    </w:p>
  </w:footnote>
  <w:footnote w:id="15">
    <w:p w:rsidR="00FD6DA6" w:rsidRDefault="00FD6DA6">
      <w:pPr>
        <w:pStyle w:val="FootnoteText"/>
      </w:pPr>
      <w:r>
        <w:rPr>
          <w:rStyle w:val="FootnoteReference"/>
        </w:rPr>
        <w:footnoteRef/>
      </w:r>
      <w:r w:rsidR="00B67355">
        <w:t xml:space="preserve"> </w:t>
      </w:r>
      <w:r w:rsidR="00B67355" w:rsidRPr="00266080">
        <w:t xml:space="preserve">Dent, J. S. 1984. </w:t>
      </w:r>
      <w:proofErr w:type="spellStart"/>
      <w:r w:rsidR="00B67355" w:rsidRPr="00266080">
        <w:t>Wetwang</w:t>
      </w:r>
      <w:proofErr w:type="spellEnd"/>
      <w:r w:rsidR="00B67355" w:rsidRPr="00266080">
        <w:t xml:space="preserve"> Slack: An Iron Age cemetery on the Yorkshire Wolds. University of Sheffield. </w:t>
      </w:r>
      <w:hyperlink r:id="rId3" w:history="1">
        <w:r w:rsidR="00B67355" w:rsidRPr="00266080">
          <w:rPr>
            <w:rStyle w:val="Hyperlink"/>
          </w:rPr>
          <w:t>http://etheses.whiterose.ac.uk/1819/1/DX190573.pdf</w:t>
        </w:r>
      </w:hyperlink>
      <w:r w:rsidR="00B67355" w:rsidRPr="00266080">
        <w:t xml:space="preserve"> accessed: 18/01/2019</w:t>
      </w:r>
    </w:p>
  </w:footnote>
  <w:footnote w:id="16">
    <w:p w:rsidR="00663A08" w:rsidRDefault="00663A08">
      <w:pPr>
        <w:pStyle w:val="FootnoteText"/>
      </w:pPr>
      <w:r>
        <w:rPr>
          <w:rStyle w:val="FootnoteReference"/>
        </w:rPr>
        <w:footnoteRef/>
      </w:r>
      <w:r>
        <w:t xml:space="preserve"> </w:t>
      </w:r>
      <w:r w:rsidR="00B67355" w:rsidRPr="00266080">
        <w:t xml:space="preserve">Dent, J. S. 1984. </w:t>
      </w:r>
      <w:proofErr w:type="spellStart"/>
      <w:r w:rsidR="00B67355" w:rsidRPr="00266080">
        <w:t>Wetwang</w:t>
      </w:r>
      <w:proofErr w:type="spellEnd"/>
      <w:r w:rsidR="00B67355" w:rsidRPr="00266080">
        <w:t xml:space="preserve"> Slack: An Iron Age cemetery on the Yorkshire Wolds. University of Sheffield. </w:t>
      </w:r>
      <w:hyperlink r:id="rId4" w:history="1">
        <w:r w:rsidR="00B67355" w:rsidRPr="00266080">
          <w:rPr>
            <w:rStyle w:val="Hyperlink"/>
          </w:rPr>
          <w:t>http://etheses.whiterose.ac.uk/1819/1/DX190573.pdf</w:t>
        </w:r>
      </w:hyperlink>
      <w:r w:rsidR="00B67355" w:rsidRPr="00266080">
        <w:t xml:space="preserve"> accessed: 18/01/2019</w:t>
      </w:r>
    </w:p>
  </w:footnote>
  <w:footnote w:id="17">
    <w:p w:rsidR="00663A08" w:rsidRDefault="00663A08">
      <w:pPr>
        <w:pStyle w:val="FootnoteText"/>
      </w:pPr>
      <w:r>
        <w:rPr>
          <w:rStyle w:val="FootnoteReference"/>
        </w:rPr>
        <w:footnoteRef/>
      </w:r>
      <w:r>
        <w:t xml:space="preserve"> </w:t>
      </w:r>
      <w:r w:rsidR="00875B06" w:rsidRPr="00B67355">
        <w:t xml:space="preserve">Wait, C.A. Burial and the other word. IN. Green, M. J. 1996. The Celtic World. London. </w:t>
      </w:r>
      <w:proofErr w:type="spellStart"/>
      <w:r w:rsidR="00875B06" w:rsidRPr="00B67355">
        <w:t>Routlodge</w:t>
      </w:r>
      <w:proofErr w:type="spellEnd"/>
      <w:r w:rsidR="00875B06" w:rsidRPr="00B67355">
        <w:t>.</w:t>
      </w:r>
    </w:p>
  </w:footnote>
  <w:footnote w:id="18">
    <w:p w:rsidR="00875B06" w:rsidRDefault="00663A08">
      <w:pPr>
        <w:pStyle w:val="FootnoteText"/>
      </w:pPr>
      <w:r>
        <w:rPr>
          <w:rStyle w:val="FootnoteReference"/>
        </w:rPr>
        <w:footnoteRef/>
      </w:r>
      <w:r>
        <w:t xml:space="preserve"> </w:t>
      </w:r>
      <w:r w:rsidR="00875B06" w:rsidRPr="00B67355">
        <w:t xml:space="preserve">Wait, C.A. Burial and the other word. IN. Green, M. J. 1996. The Celtic World. London. </w:t>
      </w:r>
      <w:proofErr w:type="spellStart"/>
      <w:r w:rsidR="00875B06" w:rsidRPr="00B67355">
        <w:t>Routlodge</w:t>
      </w:r>
      <w:proofErr w:type="spellEnd"/>
      <w:r w:rsidR="00875B06" w:rsidRPr="00B67355">
        <w:t>.</w:t>
      </w:r>
    </w:p>
  </w:footnote>
  <w:footnote w:id="19">
    <w:p w:rsidR="00663A08" w:rsidRDefault="00663A08">
      <w:pPr>
        <w:pStyle w:val="FootnoteText"/>
      </w:pPr>
      <w:r>
        <w:rPr>
          <w:rStyle w:val="FootnoteReference"/>
        </w:rPr>
        <w:footnoteRef/>
      </w:r>
      <w:r>
        <w:t xml:space="preserve"> </w:t>
      </w:r>
      <w:r w:rsidR="00B67355" w:rsidRPr="00266080">
        <w:t xml:space="preserve">Dent, J. S. 1984. </w:t>
      </w:r>
      <w:proofErr w:type="spellStart"/>
      <w:r w:rsidR="00B67355" w:rsidRPr="00266080">
        <w:t>Wetwang</w:t>
      </w:r>
      <w:proofErr w:type="spellEnd"/>
      <w:r w:rsidR="00B67355" w:rsidRPr="00266080">
        <w:t xml:space="preserve"> Slack: An Iron Age cemetery on the Yorkshire Wolds. University of Sheffield. </w:t>
      </w:r>
      <w:hyperlink r:id="rId5" w:history="1">
        <w:r w:rsidR="00B67355" w:rsidRPr="00266080">
          <w:rPr>
            <w:rStyle w:val="Hyperlink"/>
          </w:rPr>
          <w:t>http://etheses.whiterose.ac.uk/1819/1/DX190573.pdf</w:t>
        </w:r>
      </w:hyperlink>
      <w:r w:rsidR="00B67355" w:rsidRPr="00266080">
        <w:t xml:space="preserve"> accessed: 18/01/2019</w:t>
      </w:r>
    </w:p>
  </w:footnote>
  <w:footnote w:id="20">
    <w:p w:rsidR="00663A08" w:rsidRDefault="00663A08">
      <w:pPr>
        <w:pStyle w:val="FootnoteText"/>
      </w:pPr>
      <w:r>
        <w:rPr>
          <w:rStyle w:val="FootnoteReference"/>
        </w:rPr>
        <w:footnoteRef/>
      </w:r>
      <w:r>
        <w:t xml:space="preserve"> </w:t>
      </w:r>
      <w:r w:rsidR="00B67355" w:rsidRPr="00B67355">
        <w:t xml:space="preserve">Wait, C.A. Burial and the other word. IN. Green, M. J. 1996. The Celtic World. London. </w:t>
      </w:r>
      <w:proofErr w:type="spellStart"/>
      <w:r w:rsidR="00B67355" w:rsidRPr="00B67355">
        <w:t>Routlodge</w:t>
      </w:r>
      <w:proofErr w:type="spellEnd"/>
      <w:r w:rsidR="00B67355" w:rsidRPr="00B67355">
        <w:t>.</w:t>
      </w:r>
    </w:p>
  </w:footnote>
  <w:footnote w:id="21">
    <w:p w:rsidR="00EE0034" w:rsidRDefault="00EE0034">
      <w:pPr>
        <w:pStyle w:val="FootnoteText"/>
      </w:pPr>
      <w:r>
        <w:rPr>
          <w:rStyle w:val="FootnoteReference"/>
        </w:rPr>
        <w:footnoteRef/>
      </w:r>
      <w:r w:rsidR="00B67355">
        <w:t xml:space="preserve"> </w:t>
      </w:r>
      <w:r w:rsidR="00B67355" w:rsidRPr="00B67355">
        <w:t xml:space="preserve">Wait, C.A. Burial and the other word. IN. Green, M. J. 1996. The Celtic World. London. </w:t>
      </w:r>
      <w:proofErr w:type="spellStart"/>
      <w:r w:rsidR="00B67355" w:rsidRPr="00B67355">
        <w:t>Routlodge</w:t>
      </w:r>
      <w:proofErr w:type="spellEnd"/>
      <w:r w:rsidR="00B67355" w:rsidRPr="00B67355">
        <w:t>.</w:t>
      </w:r>
    </w:p>
  </w:footnote>
  <w:footnote w:id="22">
    <w:p w:rsidR="00EE0034" w:rsidRDefault="00EE0034">
      <w:pPr>
        <w:pStyle w:val="FootnoteText"/>
      </w:pPr>
      <w:r>
        <w:rPr>
          <w:rStyle w:val="FootnoteReference"/>
        </w:rPr>
        <w:footnoteRef/>
      </w:r>
      <w:r>
        <w:t xml:space="preserve"> </w:t>
      </w:r>
      <w:proofErr w:type="spellStart"/>
      <w:r w:rsidR="00875B06" w:rsidRPr="00875B06">
        <w:t>Cunliffe</w:t>
      </w:r>
      <w:proofErr w:type="spellEnd"/>
      <w:r w:rsidR="00875B06" w:rsidRPr="00875B06">
        <w:t>, B. 2018. The Ancient Celts. 2nd ed. Oxford. Oxford University Press.</w:t>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93F30"/>
    <w:multiLevelType w:val="hybridMultilevel"/>
    <w:tmpl w:val="991E7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C42282"/>
    <w:multiLevelType w:val="hybridMultilevel"/>
    <w:tmpl w:val="139EE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0646"/>
    <w:rsid w:val="0002651E"/>
    <w:rsid w:val="0018606B"/>
    <w:rsid w:val="00237AB0"/>
    <w:rsid w:val="00266080"/>
    <w:rsid w:val="00445E81"/>
    <w:rsid w:val="005446A2"/>
    <w:rsid w:val="0055130E"/>
    <w:rsid w:val="00593FF5"/>
    <w:rsid w:val="0063739A"/>
    <w:rsid w:val="00641E6D"/>
    <w:rsid w:val="00663A08"/>
    <w:rsid w:val="00664CBA"/>
    <w:rsid w:val="006E181D"/>
    <w:rsid w:val="00730646"/>
    <w:rsid w:val="00875B06"/>
    <w:rsid w:val="00914426"/>
    <w:rsid w:val="009718BF"/>
    <w:rsid w:val="00B11043"/>
    <w:rsid w:val="00B559F4"/>
    <w:rsid w:val="00B67355"/>
    <w:rsid w:val="00D35AD7"/>
    <w:rsid w:val="00DC364A"/>
    <w:rsid w:val="00E20B03"/>
    <w:rsid w:val="00ED7152"/>
    <w:rsid w:val="00EE0034"/>
    <w:rsid w:val="00FD6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79708"/>
  <w15:chartTrackingRefBased/>
  <w15:docId w15:val="{19970BD2-B517-461D-BD70-853A8952E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364A"/>
    <w:pPr>
      <w:ind w:left="720"/>
      <w:contextualSpacing/>
    </w:pPr>
  </w:style>
  <w:style w:type="character" w:styleId="Hyperlink">
    <w:name w:val="Hyperlink"/>
    <w:basedOn w:val="DefaultParagraphFont"/>
    <w:uiPriority w:val="99"/>
    <w:unhideWhenUsed/>
    <w:rsid w:val="00664CBA"/>
    <w:rPr>
      <w:color w:val="0563C1" w:themeColor="hyperlink"/>
      <w:u w:val="single"/>
    </w:rPr>
  </w:style>
  <w:style w:type="paragraph" w:styleId="FootnoteText">
    <w:name w:val="footnote text"/>
    <w:basedOn w:val="Normal"/>
    <w:link w:val="FootnoteTextChar"/>
    <w:uiPriority w:val="99"/>
    <w:semiHidden/>
    <w:unhideWhenUsed/>
    <w:rsid w:val="00B1104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11043"/>
    <w:rPr>
      <w:sz w:val="20"/>
      <w:szCs w:val="20"/>
    </w:rPr>
  </w:style>
  <w:style w:type="character" w:styleId="FootnoteReference">
    <w:name w:val="footnote reference"/>
    <w:basedOn w:val="DefaultParagraphFont"/>
    <w:uiPriority w:val="99"/>
    <w:semiHidden/>
    <w:unhideWhenUsed/>
    <w:rsid w:val="00B1104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theses.whiterose.ac.uk/1819/1/DX190573.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etheses.whiterose.ac.uk/1819/1/DX190573.pdf" TargetMode="External"/><Relationship Id="rId2" Type="http://schemas.openxmlformats.org/officeDocument/2006/relationships/hyperlink" Target="http://etheses.whiterose.ac.uk/1819/1/DX190573.pdf" TargetMode="External"/><Relationship Id="rId1" Type="http://schemas.openxmlformats.org/officeDocument/2006/relationships/hyperlink" Target="http://etheses.whiterose.ac.uk/1819/1/DX190573.pdf" TargetMode="External"/><Relationship Id="rId5" Type="http://schemas.openxmlformats.org/officeDocument/2006/relationships/hyperlink" Target="http://etheses.whiterose.ac.uk/1819/1/DX190573.pdf" TargetMode="External"/><Relationship Id="rId4" Type="http://schemas.openxmlformats.org/officeDocument/2006/relationships/hyperlink" Target="http://etheses.whiterose.ac.uk/1819/1/DX19057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D084FA-10E1-480F-ABB2-1B9DF759D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4294967028</TotalTime>
  <Pages>3</Pages>
  <Words>954</Words>
  <Characters>5444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Lorna Kelly (1700914)</dc:creator>
  <cp:keywords/>
  <dc:description/>
  <cp:lastModifiedBy>UWTSD</cp:lastModifiedBy>
  <cp:revision>16</cp:revision>
  <dcterms:created xsi:type="dcterms:W3CDTF">2019-01-19T00:08:00Z</dcterms:created>
  <dcterms:modified xsi:type="dcterms:W3CDTF">2019-01-18T22:41:00Z</dcterms:modified>
</cp:coreProperties>
</file>