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FD250B" w14:textId="77777777" w:rsidR="00F67CE1" w:rsidRDefault="00C34D2F" w:rsidP="00561989">
      <w:pPr>
        <w:spacing w:line="480" w:lineRule="auto"/>
        <w:rPr>
          <w:b/>
          <w:sz w:val="24"/>
          <w:szCs w:val="24"/>
          <w:u w:val="single"/>
        </w:rPr>
      </w:pPr>
      <w:r>
        <w:rPr>
          <w:b/>
          <w:sz w:val="24"/>
          <w:szCs w:val="24"/>
          <w:u w:val="single"/>
        </w:rPr>
        <w:t>Criminal Law – Non-Fatal Offense Legislation Assignment</w:t>
      </w:r>
    </w:p>
    <w:p w14:paraId="0182F782" w14:textId="2AC9DA49" w:rsidR="00C34D2F" w:rsidRDefault="00C34D2F" w:rsidP="00561989">
      <w:pPr>
        <w:spacing w:line="480" w:lineRule="auto"/>
        <w:rPr>
          <w:sz w:val="24"/>
          <w:szCs w:val="24"/>
        </w:rPr>
      </w:pPr>
      <w:r>
        <w:rPr>
          <w:sz w:val="24"/>
          <w:szCs w:val="24"/>
        </w:rPr>
        <w:t>According to</w:t>
      </w:r>
      <w:r w:rsidR="00B9377A" w:rsidRPr="00B9377A">
        <w:t xml:space="preserve"> </w:t>
      </w:r>
      <w:r w:rsidR="00926329">
        <w:rPr>
          <w:sz w:val="24"/>
          <w:szCs w:val="24"/>
        </w:rPr>
        <w:t>Thomas (2015),</w:t>
      </w:r>
      <w:r w:rsidR="00561989">
        <w:rPr>
          <w:sz w:val="24"/>
          <w:szCs w:val="24"/>
        </w:rPr>
        <w:t xml:space="preserve"> the Lord Chief J</w:t>
      </w:r>
      <w:r>
        <w:rPr>
          <w:sz w:val="24"/>
          <w:szCs w:val="24"/>
        </w:rPr>
        <w:t>ustic</w:t>
      </w:r>
      <w:r w:rsidR="00B9377A">
        <w:rPr>
          <w:sz w:val="24"/>
          <w:szCs w:val="24"/>
        </w:rPr>
        <w:t xml:space="preserve">e of England and Wales, </w:t>
      </w:r>
      <w:r>
        <w:rPr>
          <w:sz w:val="24"/>
          <w:szCs w:val="24"/>
        </w:rPr>
        <w:t>the Offences Against the Person Act of 1861 is “out of date and in some areas obsolete; new ways of offending are not adequately captured.”</w:t>
      </w:r>
      <w:r w:rsidR="00E625F1">
        <w:rPr>
          <w:sz w:val="24"/>
          <w:szCs w:val="24"/>
        </w:rPr>
        <w:t xml:space="preserve"> The purpose of this assignment is to evaluate this legislation on non-fatal offences against the person and determine </w:t>
      </w:r>
      <w:r w:rsidR="00F111C0">
        <w:rPr>
          <w:sz w:val="24"/>
          <w:szCs w:val="24"/>
        </w:rPr>
        <w:t>if</w:t>
      </w:r>
      <w:r w:rsidR="00E625F1">
        <w:rPr>
          <w:sz w:val="24"/>
          <w:szCs w:val="24"/>
        </w:rPr>
        <w:t xml:space="preserve"> </w:t>
      </w:r>
      <w:r w:rsidR="00F111C0">
        <w:rPr>
          <w:sz w:val="24"/>
          <w:szCs w:val="24"/>
        </w:rPr>
        <w:t>the Lord Chief Justice is correct in his evaluation of the legislation as in need of reformation.</w:t>
      </w:r>
    </w:p>
    <w:p w14:paraId="78583FA9" w14:textId="754F5372" w:rsidR="00370B16" w:rsidRDefault="00370B16" w:rsidP="00561989">
      <w:pPr>
        <w:spacing w:line="480" w:lineRule="auto"/>
        <w:rPr>
          <w:sz w:val="24"/>
          <w:szCs w:val="24"/>
        </w:rPr>
      </w:pPr>
    </w:p>
    <w:p w14:paraId="5750E024" w14:textId="54B3AE94" w:rsidR="00CF369A" w:rsidRDefault="00D24837" w:rsidP="00561989">
      <w:pPr>
        <w:spacing w:line="480" w:lineRule="auto"/>
        <w:rPr>
          <w:sz w:val="24"/>
          <w:szCs w:val="24"/>
        </w:rPr>
      </w:pPr>
      <w:r>
        <w:rPr>
          <w:sz w:val="24"/>
          <w:szCs w:val="24"/>
        </w:rPr>
        <w:t>One of the most significant factors of the wide</w:t>
      </w:r>
      <w:r w:rsidR="00CF369A">
        <w:rPr>
          <w:sz w:val="24"/>
          <w:szCs w:val="24"/>
        </w:rPr>
        <w:t>spread agreement to reform the Offences Against the Person A</w:t>
      </w:r>
      <w:r>
        <w:rPr>
          <w:sz w:val="24"/>
          <w:szCs w:val="24"/>
        </w:rPr>
        <w:t xml:space="preserve">ct is the view of it as outdated. </w:t>
      </w:r>
      <w:r w:rsidR="00370B16">
        <w:rPr>
          <w:sz w:val="24"/>
          <w:szCs w:val="24"/>
        </w:rPr>
        <w:t>The legislation was written and enacted in 1861, during the Victorian period, which has resulted in the inclusion of sections on crimes which are no longer committed in modern Britain, and the use of language which, although accepted during the nineteenth century, has becom</w:t>
      </w:r>
      <w:r w:rsidR="005624BE">
        <w:rPr>
          <w:sz w:val="24"/>
          <w:szCs w:val="24"/>
        </w:rPr>
        <w:t xml:space="preserve">e unclear and </w:t>
      </w:r>
      <w:r w:rsidR="00370B16">
        <w:rPr>
          <w:sz w:val="24"/>
          <w:szCs w:val="24"/>
        </w:rPr>
        <w:t>confus</w:t>
      </w:r>
      <w:r w:rsidR="005624BE">
        <w:rPr>
          <w:sz w:val="24"/>
          <w:szCs w:val="24"/>
        </w:rPr>
        <w:t>ing for</w:t>
      </w:r>
      <w:r w:rsidR="00370B16">
        <w:rPr>
          <w:sz w:val="24"/>
          <w:szCs w:val="24"/>
        </w:rPr>
        <w:t xml:space="preserve"> interpret</w:t>
      </w:r>
      <w:r w:rsidR="005624BE">
        <w:rPr>
          <w:sz w:val="24"/>
          <w:szCs w:val="24"/>
        </w:rPr>
        <w:t xml:space="preserve">ation, </w:t>
      </w:r>
      <w:r w:rsidR="0063390A">
        <w:rPr>
          <w:sz w:val="24"/>
          <w:szCs w:val="24"/>
        </w:rPr>
        <w:t>a problem which even judge</w:t>
      </w:r>
      <w:r w:rsidR="00D550E7">
        <w:rPr>
          <w:sz w:val="24"/>
          <w:szCs w:val="24"/>
        </w:rPr>
        <w:t>s and juries have struggled to overcome, according to Goymer (2015)</w:t>
      </w:r>
      <w:r w:rsidR="00370B16">
        <w:rPr>
          <w:sz w:val="24"/>
          <w:szCs w:val="24"/>
        </w:rPr>
        <w:t xml:space="preserve">. The legislation also makes frequent use of different terms for the same meaning across each section, such as using “felony” or “misdemeanour” </w:t>
      </w:r>
      <w:r w:rsidR="00CF369A">
        <w:rPr>
          <w:sz w:val="24"/>
          <w:szCs w:val="24"/>
        </w:rPr>
        <w:t>in reference to prohibited acts.</w:t>
      </w:r>
      <w:r w:rsidR="00EE6144">
        <w:rPr>
          <w:sz w:val="24"/>
          <w:szCs w:val="24"/>
        </w:rPr>
        <w:t xml:space="preserve"> </w:t>
      </w:r>
      <w:r w:rsidR="00EE6144" w:rsidRPr="00EE6144">
        <w:rPr>
          <w:sz w:val="24"/>
          <w:szCs w:val="24"/>
        </w:rPr>
        <w:t>The outdated nature of the legislation is further exemplified by the previously mentioned crimes during the Victorian period which are no longer relevant in the twenty-first century</w:t>
      </w:r>
      <w:r w:rsidR="00BF1C7A">
        <w:rPr>
          <w:sz w:val="24"/>
          <w:szCs w:val="24"/>
        </w:rPr>
        <w:t xml:space="preserve">. For example, section 17 of </w:t>
      </w:r>
      <w:r w:rsidR="00BF1C7A" w:rsidRPr="00BF1C7A">
        <w:rPr>
          <w:sz w:val="24"/>
          <w:szCs w:val="24"/>
        </w:rPr>
        <w:t>Acts causing or tending to cause Danger to Life or Bodily Harm</w:t>
      </w:r>
      <w:r w:rsidR="00BF1C7A">
        <w:rPr>
          <w:sz w:val="24"/>
          <w:szCs w:val="24"/>
        </w:rPr>
        <w:t xml:space="preserve"> prohibits interference of an attempt to escape a shipwreck under the threat of a li</w:t>
      </w:r>
      <w:r w:rsidR="007D5C66">
        <w:rPr>
          <w:sz w:val="24"/>
          <w:szCs w:val="24"/>
        </w:rPr>
        <w:t xml:space="preserve">fe sentence, </w:t>
      </w:r>
      <w:r w:rsidR="003B4DF7">
        <w:rPr>
          <w:sz w:val="24"/>
          <w:szCs w:val="24"/>
        </w:rPr>
        <w:t>while failure to provide apprentices or servants with food, despite the lack of responsibility for the former or existing occupation</w:t>
      </w:r>
      <w:r w:rsidR="007C5A63">
        <w:rPr>
          <w:sz w:val="24"/>
          <w:szCs w:val="24"/>
        </w:rPr>
        <w:t xml:space="preserve"> in the case of the latter</w:t>
      </w:r>
      <w:r w:rsidR="003B4DF7">
        <w:rPr>
          <w:sz w:val="24"/>
          <w:szCs w:val="24"/>
        </w:rPr>
        <w:t xml:space="preserve"> in the modern UK, may still be punished with a prison sentence</w:t>
      </w:r>
      <w:r w:rsidR="00E55590">
        <w:rPr>
          <w:sz w:val="24"/>
          <w:szCs w:val="24"/>
        </w:rPr>
        <w:t xml:space="preserve">. </w:t>
      </w:r>
      <w:r w:rsidR="003A73D3">
        <w:rPr>
          <w:sz w:val="24"/>
          <w:szCs w:val="24"/>
        </w:rPr>
        <w:t>This reinforces the argument for refor</w:t>
      </w:r>
      <w:r w:rsidR="004D6F4B">
        <w:rPr>
          <w:sz w:val="24"/>
          <w:szCs w:val="24"/>
        </w:rPr>
        <w:t xml:space="preserve">mation of this legislation </w:t>
      </w:r>
      <w:r w:rsidR="003A73D3">
        <w:rPr>
          <w:sz w:val="24"/>
          <w:szCs w:val="24"/>
        </w:rPr>
        <w:t xml:space="preserve">further </w:t>
      </w:r>
      <w:r w:rsidR="004D6F4B">
        <w:rPr>
          <w:sz w:val="24"/>
          <w:szCs w:val="24"/>
        </w:rPr>
        <w:t>through the abse</w:t>
      </w:r>
      <w:r w:rsidR="00347F91">
        <w:rPr>
          <w:sz w:val="24"/>
          <w:szCs w:val="24"/>
        </w:rPr>
        <w:t xml:space="preserve">nce of several sections redacted </w:t>
      </w:r>
      <w:r w:rsidR="004D6F4B">
        <w:rPr>
          <w:sz w:val="24"/>
          <w:szCs w:val="24"/>
        </w:rPr>
        <w:t xml:space="preserve">over </w:t>
      </w:r>
      <w:r w:rsidR="004D6F4B">
        <w:rPr>
          <w:sz w:val="24"/>
          <w:szCs w:val="24"/>
        </w:rPr>
        <w:lastRenderedPageBreak/>
        <w:t>time</w:t>
      </w:r>
      <w:r w:rsidR="00347F91">
        <w:rPr>
          <w:sz w:val="24"/>
          <w:szCs w:val="24"/>
        </w:rPr>
        <w:t xml:space="preserve"> in order to adapt the act to meet changes to separate legislations</w:t>
      </w:r>
      <w:r w:rsidR="00A33A2B">
        <w:rPr>
          <w:sz w:val="24"/>
          <w:szCs w:val="24"/>
        </w:rPr>
        <w:t>. For example, section 1</w:t>
      </w:r>
      <w:r w:rsidR="00347F91">
        <w:rPr>
          <w:sz w:val="24"/>
          <w:szCs w:val="24"/>
        </w:rPr>
        <w:t>9</w:t>
      </w:r>
      <w:r w:rsidR="004D6F4B" w:rsidRPr="004D6F4B">
        <w:rPr>
          <w:sz w:val="24"/>
          <w:szCs w:val="24"/>
        </w:rPr>
        <w:t xml:space="preserve"> of the legislation’s coverage </w:t>
      </w:r>
      <w:r w:rsidR="00347F91">
        <w:rPr>
          <w:sz w:val="24"/>
          <w:szCs w:val="24"/>
        </w:rPr>
        <w:t xml:space="preserve">of </w:t>
      </w:r>
      <w:r w:rsidR="00347F91" w:rsidRPr="00347F91">
        <w:rPr>
          <w:sz w:val="24"/>
          <w:szCs w:val="24"/>
        </w:rPr>
        <w:t>Acts causing or tending to cau</w:t>
      </w:r>
      <w:r w:rsidR="00347F91">
        <w:rPr>
          <w:sz w:val="24"/>
          <w:szCs w:val="24"/>
        </w:rPr>
        <w:t>se Danger to Life or Bodily Harm</w:t>
      </w:r>
      <w:r w:rsidR="00A52843">
        <w:rPr>
          <w:sz w:val="24"/>
          <w:szCs w:val="24"/>
        </w:rPr>
        <w:t>,</w:t>
      </w:r>
      <w:r w:rsidR="00347F91">
        <w:rPr>
          <w:sz w:val="24"/>
          <w:szCs w:val="24"/>
        </w:rPr>
        <w:t xml:space="preserve"> establishing the recognition of a firearm as loaded if done so with gunpowder and ammunition</w:t>
      </w:r>
      <w:r w:rsidR="00A52843">
        <w:rPr>
          <w:sz w:val="24"/>
          <w:szCs w:val="24"/>
        </w:rPr>
        <w:t>,</w:t>
      </w:r>
      <w:r w:rsidR="00347F91">
        <w:rPr>
          <w:sz w:val="24"/>
          <w:szCs w:val="24"/>
        </w:rPr>
        <w:t xml:space="preserve"> has been repealed by the criminal law act 1967</w:t>
      </w:r>
      <w:r w:rsidR="00AD69D0">
        <w:rPr>
          <w:sz w:val="24"/>
          <w:szCs w:val="24"/>
        </w:rPr>
        <w:t>, whereas section 54</w:t>
      </w:r>
      <w:r w:rsidR="00EB5BE3">
        <w:rPr>
          <w:sz w:val="24"/>
          <w:szCs w:val="24"/>
        </w:rPr>
        <w:t xml:space="preserve">, </w:t>
      </w:r>
      <w:r w:rsidR="00AD69D0">
        <w:rPr>
          <w:sz w:val="24"/>
          <w:szCs w:val="24"/>
        </w:rPr>
        <w:t>establishing the abduction of a woman with intent of forced marriage or intercourse to be punishable by a maximum of a fourteen-year prison sentence</w:t>
      </w:r>
      <w:r w:rsidR="00EB5BE3">
        <w:rPr>
          <w:sz w:val="24"/>
          <w:szCs w:val="24"/>
        </w:rPr>
        <w:t xml:space="preserve">, </w:t>
      </w:r>
      <w:r w:rsidR="004D6F4B" w:rsidRPr="004D6F4B">
        <w:rPr>
          <w:sz w:val="24"/>
          <w:szCs w:val="24"/>
        </w:rPr>
        <w:t>have also been repeale</w:t>
      </w:r>
      <w:r w:rsidR="00AD69D0">
        <w:rPr>
          <w:sz w:val="24"/>
          <w:szCs w:val="24"/>
        </w:rPr>
        <w:t>d by the sexual offences act 1956</w:t>
      </w:r>
      <w:r w:rsidR="00CF369A">
        <w:rPr>
          <w:sz w:val="24"/>
          <w:szCs w:val="24"/>
        </w:rPr>
        <w:t>.</w:t>
      </w:r>
    </w:p>
    <w:p w14:paraId="0C3D3404" w14:textId="77777777" w:rsidR="00CF369A" w:rsidRDefault="00CF369A" w:rsidP="00561989">
      <w:pPr>
        <w:spacing w:line="480" w:lineRule="auto"/>
        <w:rPr>
          <w:sz w:val="24"/>
          <w:szCs w:val="24"/>
        </w:rPr>
      </w:pPr>
    </w:p>
    <w:p w14:paraId="5DC9928D" w14:textId="1550C98D" w:rsidR="005B167F" w:rsidRDefault="006E458E" w:rsidP="00561989">
      <w:pPr>
        <w:spacing w:line="480" w:lineRule="auto"/>
        <w:rPr>
          <w:sz w:val="24"/>
          <w:szCs w:val="24"/>
        </w:rPr>
      </w:pPr>
      <w:r>
        <w:rPr>
          <w:sz w:val="24"/>
          <w:szCs w:val="24"/>
        </w:rPr>
        <w:t xml:space="preserve">As a result of the Victorian background of the legislation, it has also been criticised for its lack of coverage of modern crimes which were not yet in practice at the time of the act’s implementation. For example, </w:t>
      </w:r>
      <w:r w:rsidR="002B0ABC">
        <w:rPr>
          <w:sz w:val="24"/>
          <w:szCs w:val="24"/>
        </w:rPr>
        <w:t xml:space="preserve">the case of Burstow [1997] </w:t>
      </w:r>
      <w:r w:rsidR="00F1170C">
        <w:rPr>
          <w:sz w:val="24"/>
          <w:szCs w:val="24"/>
        </w:rPr>
        <w:t xml:space="preserve">would not have been covered by the act, as the defendant was charged with harassing three women through silent phone calls. The defendant was only charged with causing bodily harm due to the </w:t>
      </w:r>
      <w:r w:rsidR="001428B2">
        <w:rPr>
          <w:sz w:val="24"/>
          <w:szCs w:val="24"/>
        </w:rPr>
        <w:t xml:space="preserve">decision that the </w:t>
      </w:r>
      <w:r w:rsidR="00F1170C">
        <w:rPr>
          <w:sz w:val="24"/>
          <w:szCs w:val="24"/>
        </w:rPr>
        <w:t>psychological damage inflicted on</w:t>
      </w:r>
      <w:r w:rsidR="001428B2">
        <w:rPr>
          <w:sz w:val="24"/>
          <w:szCs w:val="24"/>
        </w:rPr>
        <w:t xml:space="preserve"> the victims amounted to it</w:t>
      </w:r>
      <w:r w:rsidR="00F1170C">
        <w:rPr>
          <w:sz w:val="24"/>
          <w:szCs w:val="24"/>
        </w:rPr>
        <w:t xml:space="preserve">, as the technology which enabled the offence to be committed was not developed at the time of the act’s implementation. </w:t>
      </w:r>
      <w:r w:rsidR="0043509A">
        <w:rPr>
          <w:sz w:val="24"/>
          <w:szCs w:val="24"/>
        </w:rPr>
        <w:t xml:space="preserve">However, </w:t>
      </w:r>
      <w:r w:rsidR="009D09EC">
        <w:rPr>
          <w:sz w:val="24"/>
          <w:szCs w:val="24"/>
        </w:rPr>
        <w:t xml:space="preserve">the </w:t>
      </w:r>
      <w:r w:rsidR="00CA68AA">
        <w:rPr>
          <w:sz w:val="24"/>
          <w:szCs w:val="24"/>
        </w:rPr>
        <w:t>consensus of refo</w:t>
      </w:r>
      <w:r w:rsidR="007E7201">
        <w:rPr>
          <w:sz w:val="24"/>
          <w:szCs w:val="24"/>
        </w:rPr>
        <w:t xml:space="preserve">rming the offences against the person act 1861 has been opposed by the </w:t>
      </w:r>
      <w:r w:rsidR="00220C60">
        <w:rPr>
          <w:sz w:val="24"/>
          <w:szCs w:val="24"/>
        </w:rPr>
        <w:t xml:space="preserve">majority of barristers present on the </w:t>
      </w:r>
      <w:r w:rsidR="007E7201">
        <w:rPr>
          <w:sz w:val="24"/>
          <w:szCs w:val="24"/>
        </w:rPr>
        <w:t>Bar Council and the Criminal Bar Association</w:t>
      </w:r>
      <w:r w:rsidR="00220C60">
        <w:rPr>
          <w:sz w:val="24"/>
          <w:szCs w:val="24"/>
        </w:rPr>
        <w:t xml:space="preserve"> of England and Wales</w:t>
      </w:r>
      <w:r w:rsidR="007E7201">
        <w:rPr>
          <w:sz w:val="24"/>
          <w:szCs w:val="24"/>
        </w:rPr>
        <w:t>, as they view the current legislation’s issues of outdated sections and failures to address more modern offences as theoretical, as case law has already established proper legal meaning and that the repeal of unnecessary sections of the act would be sufficient in modernising it without the need for a complete reformation.</w:t>
      </w:r>
      <w:r w:rsidR="00CF369A">
        <w:rPr>
          <w:sz w:val="24"/>
          <w:szCs w:val="24"/>
        </w:rPr>
        <w:t xml:space="preserve"> </w:t>
      </w:r>
      <w:r w:rsidR="00220C60">
        <w:rPr>
          <w:sz w:val="24"/>
          <w:szCs w:val="24"/>
        </w:rPr>
        <w:t xml:space="preserve">They also argue that the </w:t>
      </w:r>
      <w:r w:rsidR="00ED318A">
        <w:rPr>
          <w:sz w:val="24"/>
          <w:szCs w:val="24"/>
        </w:rPr>
        <w:t>removal or continued inclusion of obsolete sections within the act would</w:t>
      </w:r>
      <w:r w:rsidR="0037792A">
        <w:rPr>
          <w:sz w:val="24"/>
          <w:szCs w:val="24"/>
        </w:rPr>
        <w:t xml:space="preserve"> not</w:t>
      </w:r>
      <w:r w:rsidR="00ED318A">
        <w:rPr>
          <w:sz w:val="24"/>
          <w:szCs w:val="24"/>
        </w:rPr>
        <w:t xml:space="preserve"> have an</w:t>
      </w:r>
      <w:r w:rsidR="0037792A">
        <w:rPr>
          <w:sz w:val="24"/>
          <w:szCs w:val="24"/>
        </w:rPr>
        <w:t>y</w:t>
      </w:r>
      <w:r w:rsidR="00ED318A">
        <w:rPr>
          <w:sz w:val="24"/>
          <w:szCs w:val="24"/>
        </w:rPr>
        <w:t xml:space="preserve"> </w:t>
      </w:r>
      <w:r w:rsidR="0037792A">
        <w:rPr>
          <w:sz w:val="24"/>
          <w:szCs w:val="24"/>
        </w:rPr>
        <w:t xml:space="preserve">significant </w:t>
      </w:r>
      <w:r w:rsidR="00ED318A">
        <w:rPr>
          <w:sz w:val="24"/>
          <w:szCs w:val="24"/>
        </w:rPr>
        <w:t>impact on the practicality of the act</w:t>
      </w:r>
      <w:r w:rsidR="00D70ED5">
        <w:rPr>
          <w:sz w:val="24"/>
          <w:szCs w:val="24"/>
        </w:rPr>
        <w:t xml:space="preserve">, although </w:t>
      </w:r>
      <w:r w:rsidR="00D70ED5">
        <w:rPr>
          <w:sz w:val="24"/>
          <w:szCs w:val="24"/>
        </w:rPr>
        <w:lastRenderedPageBreak/>
        <w:t>they agree that much of the language is obscure and in need of modernising to a limited extent</w:t>
      </w:r>
      <w:r w:rsidR="00ED318A">
        <w:rPr>
          <w:sz w:val="24"/>
          <w:szCs w:val="24"/>
        </w:rPr>
        <w:t>.</w:t>
      </w:r>
    </w:p>
    <w:p w14:paraId="11E352A1" w14:textId="77777777" w:rsidR="007D5C66" w:rsidRDefault="007D5C66" w:rsidP="00561989">
      <w:pPr>
        <w:spacing w:line="480" w:lineRule="auto"/>
        <w:rPr>
          <w:sz w:val="24"/>
          <w:szCs w:val="24"/>
        </w:rPr>
      </w:pPr>
    </w:p>
    <w:p w14:paraId="7FD09B20" w14:textId="471C3972" w:rsidR="00187A90" w:rsidRDefault="006D5320" w:rsidP="00561989">
      <w:pPr>
        <w:spacing w:line="480" w:lineRule="auto"/>
        <w:rPr>
          <w:sz w:val="24"/>
          <w:szCs w:val="24"/>
        </w:rPr>
      </w:pPr>
      <w:r w:rsidRPr="006D5320">
        <w:rPr>
          <w:sz w:val="24"/>
          <w:szCs w:val="24"/>
        </w:rPr>
        <w:t>The popularity of the dec</w:t>
      </w:r>
      <w:r w:rsidR="00187A90">
        <w:rPr>
          <w:sz w:val="24"/>
          <w:szCs w:val="24"/>
        </w:rPr>
        <w:t>ision to reform the Offences Against the Person A</w:t>
      </w:r>
      <w:r w:rsidRPr="006D5320">
        <w:rPr>
          <w:sz w:val="24"/>
          <w:szCs w:val="24"/>
        </w:rPr>
        <w:t xml:space="preserve">ct 1861 has resulted in multiple attempts to propose and establish alternative legislations to replace it. The most recent proposal for </w:t>
      </w:r>
      <w:r w:rsidR="009C4785" w:rsidRPr="006D5320">
        <w:rPr>
          <w:sz w:val="24"/>
          <w:szCs w:val="24"/>
        </w:rPr>
        <w:t>reformation</w:t>
      </w:r>
      <w:r w:rsidR="009C4785">
        <w:rPr>
          <w:sz w:val="24"/>
          <w:szCs w:val="24"/>
        </w:rPr>
        <w:t xml:space="preserve">, released in 2015, </w:t>
      </w:r>
      <w:r w:rsidRPr="006D5320">
        <w:rPr>
          <w:sz w:val="24"/>
          <w:szCs w:val="24"/>
        </w:rPr>
        <w:t xml:space="preserve">is </w:t>
      </w:r>
      <w:r w:rsidR="009C4785">
        <w:rPr>
          <w:sz w:val="24"/>
          <w:szCs w:val="24"/>
        </w:rPr>
        <w:t xml:space="preserve">a modified version of </w:t>
      </w:r>
      <w:r w:rsidRPr="006D5320">
        <w:rPr>
          <w:sz w:val="24"/>
          <w:szCs w:val="24"/>
        </w:rPr>
        <w:t xml:space="preserve">the 1998 home office draft bill, which </w:t>
      </w:r>
      <w:r w:rsidR="009C4785">
        <w:rPr>
          <w:sz w:val="24"/>
          <w:szCs w:val="24"/>
        </w:rPr>
        <w:t>maintains the original proposition</w:t>
      </w:r>
      <w:r w:rsidRPr="006D5320">
        <w:rPr>
          <w:sz w:val="24"/>
          <w:szCs w:val="24"/>
        </w:rPr>
        <w:t xml:space="preserve"> a logical hierarchy of violent offences based on the serio</w:t>
      </w:r>
      <w:r w:rsidR="009C4785">
        <w:rPr>
          <w:sz w:val="24"/>
          <w:szCs w:val="24"/>
        </w:rPr>
        <w:t>usness of each crime and the use of</w:t>
      </w:r>
      <w:r w:rsidRPr="006D5320">
        <w:rPr>
          <w:sz w:val="24"/>
          <w:szCs w:val="24"/>
        </w:rPr>
        <w:t xml:space="preserve"> plain English </w:t>
      </w:r>
      <w:r w:rsidR="009C4785">
        <w:rPr>
          <w:sz w:val="24"/>
          <w:szCs w:val="24"/>
        </w:rPr>
        <w:t xml:space="preserve">in writing </w:t>
      </w:r>
      <w:r w:rsidRPr="006D5320">
        <w:rPr>
          <w:sz w:val="24"/>
          <w:szCs w:val="24"/>
        </w:rPr>
        <w:t>to ensure the legislation can be easily interpreted within courts. However, this draft bill has been acknowledged to be flawed in the hiera</w:t>
      </w:r>
      <w:r w:rsidR="009C4785">
        <w:rPr>
          <w:sz w:val="24"/>
          <w:szCs w:val="24"/>
        </w:rPr>
        <w:t>rchy of seriousness it proposes. Thi</w:t>
      </w:r>
      <w:r w:rsidRPr="006D5320">
        <w:rPr>
          <w:sz w:val="24"/>
          <w:szCs w:val="24"/>
        </w:rPr>
        <w:t xml:space="preserve">s </w:t>
      </w:r>
      <w:r w:rsidR="009C4785">
        <w:rPr>
          <w:sz w:val="24"/>
          <w:szCs w:val="24"/>
        </w:rPr>
        <w:t xml:space="preserve">is </w:t>
      </w:r>
      <w:r w:rsidRPr="006D5320">
        <w:rPr>
          <w:sz w:val="24"/>
          <w:szCs w:val="24"/>
        </w:rPr>
        <w:t>exemplified by the placement of the six-month prison sentence for the charge of common assault, considered the lowest level charge of non-fatal violence, in contrast with the next listed offence placed directly after it, a five-year prison sentence for the offenc</w:t>
      </w:r>
      <w:r w:rsidR="009C4785">
        <w:rPr>
          <w:sz w:val="24"/>
          <w:szCs w:val="24"/>
        </w:rPr>
        <w:t>e of causing actual bodily harm.</w:t>
      </w:r>
      <w:r w:rsidRPr="006D5320">
        <w:rPr>
          <w:sz w:val="24"/>
          <w:szCs w:val="24"/>
        </w:rPr>
        <w:t xml:space="preserve"> </w:t>
      </w:r>
      <w:r w:rsidR="009C4785">
        <w:rPr>
          <w:sz w:val="24"/>
          <w:szCs w:val="24"/>
        </w:rPr>
        <w:t>This is an issue the draft bill shared with the O</w:t>
      </w:r>
      <w:r w:rsidRPr="006D5320">
        <w:rPr>
          <w:sz w:val="24"/>
          <w:szCs w:val="24"/>
        </w:rPr>
        <w:t>ffen</w:t>
      </w:r>
      <w:r w:rsidR="009C4785">
        <w:rPr>
          <w:sz w:val="24"/>
          <w:szCs w:val="24"/>
        </w:rPr>
        <w:t>ces Against the Persons A</w:t>
      </w:r>
      <w:r w:rsidRPr="006D5320">
        <w:rPr>
          <w:sz w:val="24"/>
          <w:szCs w:val="24"/>
        </w:rPr>
        <w:t>ct 1861. As a result of this flaw, prosecutors would be required to either charge the defendant with the lowest level offence, ensuring the trial will be carried out in a magistrates court but potentially failing to appropriately reflect the consequences of the defendant’s act, or risking the trial to be held in the crowns court to better reflect the crime committed, but would also hold a significant financial cost and may even be unnecessary due to the responsibility of magistrates to conclude</w:t>
      </w:r>
      <w:r>
        <w:rPr>
          <w:sz w:val="24"/>
          <w:szCs w:val="24"/>
        </w:rPr>
        <w:t xml:space="preserve"> the sentencing in either case.</w:t>
      </w:r>
    </w:p>
    <w:p w14:paraId="178AEDE4" w14:textId="77777777" w:rsidR="00187A90" w:rsidRDefault="00187A90" w:rsidP="00561989">
      <w:pPr>
        <w:spacing w:line="480" w:lineRule="auto"/>
        <w:rPr>
          <w:sz w:val="24"/>
          <w:szCs w:val="24"/>
        </w:rPr>
      </w:pPr>
    </w:p>
    <w:p w14:paraId="7100B3B8" w14:textId="732ED448" w:rsidR="00291ACC" w:rsidRDefault="009C4785" w:rsidP="00561989">
      <w:pPr>
        <w:spacing w:line="480" w:lineRule="auto"/>
        <w:rPr>
          <w:sz w:val="24"/>
          <w:szCs w:val="24"/>
        </w:rPr>
      </w:pPr>
      <w:r>
        <w:rPr>
          <w:sz w:val="24"/>
          <w:szCs w:val="24"/>
        </w:rPr>
        <w:t xml:space="preserve"> In order to improve on areas in which 1998 draft bill was flawed in</w:t>
      </w:r>
      <w:r w:rsidR="00A12ACB">
        <w:rPr>
          <w:sz w:val="24"/>
          <w:szCs w:val="24"/>
        </w:rPr>
        <w:t xml:space="preserve">, </w:t>
      </w:r>
      <w:r w:rsidR="006537C5">
        <w:rPr>
          <w:sz w:val="24"/>
          <w:szCs w:val="24"/>
        </w:rPr>
        <w:t>Ormerod (2015)</w:t>
      </w:r>
      <w:r>
        <w:rPr>
          <w:sz w:val="24"/>
          <w:szCs w:val="24"/>
        </w:rPr>
        <w:t>, representing the Law Commission,</w:t>
      </w:r>
      <w:r w:rsidR="006537C5">
        <w:rPr>
          <w:sz w:val="24"/>
          <w:szCs w:val="24"/>
        </w:rPr>
        <w:t xml:space="preserve"> has rec</w:t>
      </w:r>
      <w:r>
        <w:rPr>
          <w:sz w:val="24"/>
          <w:szCs w:val="24"/>
        </w:rPr>
        <w:t>ommended the implementation of the</w:t>
      </w:r>
      <w:r w:rsidR="006537C5">
        <w:rPr>
          <w:sz w:val="24"/>
          <w:szCs w:val="24"/>
        </w:rPr>
        <w:t xml:space="preserve"> modified </w:t>
      </w:r>
      <w:r w:rsidR="006537C5">
        <w:rPr>
          <w:sz w:val="24"/>
          <w:szCs w:val="24"/>
        </w:rPr>
        <w:lastRenderedPageBreak/>
        <w:t>version of the 199</w:t>
      </w:r>
      <w:r>
        <w:rPr>
          <w:sz w:val="24"/>
          <w:szCs w:val="24"/>
        </w:rPr>
        <w:t>8 draft bill. This modification is largely similar to the original, but with the additional recognition of new</w:t>
      </w:r>
      <w:r w:rsidR="006537C5">
        <w:rPr>
          <w:sz w:val="24"/>
          <w:szCs w:val="24"/>
        </w:rPr>
        <w:t xml:space="preserve"> offences</w:t>
      </w:r>
      <w:r>
        <w:rPr>
          <w:sz w:val="24"/>
          <w:szCs w:val="24"/>
        </w:rPr>
        <w:t>. Aggravated assault would be recognised as its own offence separate from other prohibited acts of violence and would be</w:t>
      </w:r>
      <w:r w:rsidR="00EA604E">
        <w:rPr>
          <w:sz w:val="24"/>
          <w:szCs w:val="24"/>
        </w:rPr>
        <w:t xml:space="preserve"> situated between assault and actual bodily harm in the hierarchy of seriousness proposed by the </w:t>
      </w:r>
      <w:r>
        <w:rPr>
          <w:sz w:val="24"/>
          <w:szCs w:val="24"/>
        </w:rPr>
        <w:t>original draft bill. Threats of violence or rape would</w:t>
      </w:r>
      <w:r w:rsidR="00167D29">
        <w:rPr>
          <w:sz w:val="24"/>
          <w:szCs w:val="24"/>
        </w:rPr>
        <w:t xml:space="preserve"> be</w:t>
      </w:r>
      <w:r w:rsidR="00EA604E">
        <w:rPr>
          <w:sz w:val="24"/>
          <w:szCs w:val="24"/>
        </w:rPr>
        <w:t xml:space="preserve"> </w:t>
      </w:r>
      <w:r w:rsidR="00167D29">
        <w:rPr>
          <w:sz w:val="24"/>
          <w:szCs w:val="24"/>
        </w:rPr>
        <w:t>considered</w:t>
      </w:r>
      <w:r w:rsidR="00EA604E">
        <w:rPr>
          <w:sz w:val="24"/>
          <w:szCs w:val="24"/>
        </w:rPr>
        <w:t xml:space="preserve"> </w:t>
      </w:r>
      <w:r w:rsidR="00167D29">
        <w:rPr>
          <w:sz w:val="24"/>
          <w:szCs w:val="24"/>
        </w:rPr>
        <w:t xml:space="preserve">an </w:t>
      </w:r>
      <w:r w:rsidR="00EA604E">
        <w:rPr>
          <w:sz w:val="24"/>
          <w:szCs w:val="24"/>
        </w:rPr>
        <w:t>offence</w:t>
      </w:r>
      <w:r w:rsidR="00167D29">
        <w:rPr>
          <w:sz w:val="24"/>
          <w:szCs w:val="24"/>
        </w:rPr>
        <w:t xml:space="preserve"> under what is currently recognised as section 16,</w:t>
      </w:r>
      <w:r w:rsidR="00EA604E">
        <w:rPr>
          <w:sz w:val="24"/>
          <w:szCs w:val="24"/>
        </w:rPr>
        <w:t xml:space="preserve"> </w:t>
      </w:r>
      <w:r w:rsidR="00167D29">
        <w:rPr>
          <w:sz w:val="24"/>
          <w:szCs w:val="24"/>
        </w:rPr>
        <w:t>prohibiting the</w:t>
      </w:r>
      <w:r w:rsidR="00EA604E">
        <w:rPr>
          <w:sz w:val="24"/>
          <w:szCs w:val="24"/>
        </w:rPr>
        <w:t xml:space="preserve"> sending </w:t>
      </w:r>
      <w:r w:rsidR="00167D29">
        <w:rPr>
          <w:sz w:val="24"/>
          <w:szCs w:val="24"/>
        </w:rPr>
        <w:t xml:space="preserve">of death threats to a victim. The 2015 modification of the draft bill also suggests that in the </w:t>
      </w:r>
      <w:r w:rsidR="00EA604E">
        <w:rPr>
          <w:sz w:val="24"/>
          <w:szCs w:val="24"/>
        </w:rPr>
        <w:t xml:space="preserve">event a police officer is the victim of a violent offence, </w:t>
      </w:r>
      <w:r w:rsidR="00167D29">
        <w:rPr>
          <w:sz w:val="24"/>
          <w:szCs w:val="24"/>
        </w:rPr>
        <w:t xml:space="preserve">evidence would be required that </w:t>
      </w:r>
      <w:r w:rsidR="00EA604E">
        <w:rPr>
          <w:sz w:val="24"/>
          <w:szCs w:val="24"/>
        </w:rPr>
        <w:t>the defendan</w:t>
      </w:r>
      <w:r w:rsidR="00D06E46">
        <w:rPr>
          <w:sz w:val="24"/>
          <w:szCs w:val="24"/>
        </w:rPr>
        <w:t>t was aware</w:t>
      </w:r>
      <w:r w:rsidR="00EA604E">
        <w:rPr>
          <w:sz w:val="24"/>
          <w:szCs w:val="24"/>
        </w:rPr>
        <w:t xml:space="preserve">, or suspected the possibility of the victim’s </w:t>
      </w:r>
      <w:r w:rsidR="00D06E46">
        <w:rPr>
          <w:sz w:val="24"/>
          <w:szCs w:val="24"/>
        </w:rPr>
        <w:t xml:space="preserve">police </w:t>
      </w:r>
      <w:r w:rsidR="00EA604E">
        <w:rPr>
          <w:sz w:val="24"/>
          <w:szCs w:val="24"/>
        </w:rPr>
        <w:t>occupation</w:t>
      </w:r>
      <w:r w:rsidR="00167D29">
        <w:rPr>
          <w:sz w:val="24"/>
          <w:szCs w:val="24"/>
        </w:rPr>
        <w:t xml:space="preserve"> before it can be tried as a separate offence from violence on other citizens. T</w:t>
      </w:r>
      <w:r w:rsidR="00D06E46">
        <w:rPr>
          <w:sz w:val="24"/>
          <w:szCs w:val="24"/>
        </w:rPr>
        <w:t xml:space="preserve">he trials of these additional offences </w:t>
      </w:r>
      <w:r w:rsidR="00167D29">
        <w:rPr>
          <w:sz w:val="24"/>
          <w:szCs w:val="24"/>
        </w:rPr>
        <w:t xml:space="preserve">have been </w:t>
      </w:r>
      <w:r w:rsidR="00D06E46">
        <w:rPr>
          <w:sz w:val="24"/>
          <w:szCs w:val="24"/>
        </w:rPr>
        <w:t xml:space="preserve">recommended </w:t>
      </w:r>
      <w:r w:rsidR="00167D29">
        <w:rPr>
          <w:sz w:val="24"/>
          <w:szCs w:val="24"/>
        </w:rPr>
        <w:t xml:space="preserve">by the new draft bill </w:t>
      </w:r>
      <w:r w:rsidR="00D06E46">
        <w:rPr>
          <w:sz w:val="24"/>
          <w:szCs w:val="24"/>
        </w:rPr>
        <w:t xml:space="preserve">to be held in a </w:t>
      </w:r>
      <w:r w:rsidR="00167D29">
        <w:rPr>
          <w:sz w:val="24"/>
          <w:szCs w:val="24"/>
        </w:rPr>
        <w:t>magistrates</w:t>
      </w:r>
      <w:r w:rsidR="00D06E46">
        <w:rPr>
          <w:sz w:val="24"/>
          <w:szCs w:val="24"/>
        </w:rPr>
        <w:t xml:space="preserve"> court.</w:t>
      </w:r>
      <w:r w:rsidR="00A513DA">
        <w:rPr>
          <w:sz w:val="24"/>
          <w:szCs w:val="24"/>
        </w:rPr>
        <w:t xml:space="preserve"> According to Ormerod, the implementation of this modified draft bill will “produce </w:t>
      </w:r>
      <w:r w:rsidR="0085680E">
        <w:rPr>
          <w:sz w:val="24"/>
          <w:szCs w:val="24"/>
        </w:rPr>
        <w:t>a clearer modern statutory code dealing with offences of violence providing a coherent scheme of structured offences that can be readily understood and efficiently prosecuted.”</w:t>
      </w:r>
      <w:r w:rsidR="00187A90">
        <w:rPr>
          <w:sz w:val="24"/>
          <w:szCs w:val="24"/>
        </w:rPr>
        <w:t xml:space="preserve"> </w:t>
      </w:r>
      <w:r w:rsidR="00465019">
        <w:rPr>
          <w:sz w:val="24"/>
          <w:szCs w:val="24"/>
        </w:rPr>
        <w:t xml:space="preserve">However, </w:t>
      </w:r>
      <w:r w:rsidR="00AB60A8">
        <w:rPr>
          <w:sz w:val="24"/>
          <w:szCs w:val="24"/>
        </w:rPr>
        <w:t xml:space="preserve">the 1998 draft bill </w:t>
      </w:r>
      <w:r w:rsidR="005D4B52">
        <w:rPr>
          <w:sz w:val="24"/>
          <w:szCs w:val="24"/>
        </w:rPr>
        <w:t xml:space="preserve">and the proposed modified version </w:t>
      </w:r>
      <w:r w:rsidR="00AB60A8">
        <w:rPr>
          <w:sz w:val="24"/>
          <w:szCs w:val="24"/>
        </w:rPr>
        <w:t xml:space="preserve">has been rejected by </w:t>
      </w:r>
      <w:r w:rsidR="00BE0F2F">
        <w:rPr>
          <w:sz w:val="24"/>
          <w:szCs w:val="24"/>
        </w:rPr>
        <w:t>the Bar Council</w:t>
      </w:r>
      <w:r w:rsidR="003F3A05">
        <w:rPr>
          <w:sz w:val="24"/>
          <w:szCs w:val="24"/>
        </w:rPr>
        <w:t>, despite acknowledgement that it can be used as a basis for consideration of future pro</w:t>
      </w:r>
      <w:r w:rsidR="00FF5356">
        <w:rPr>
          <w:sz w:val="24"/>
          <w:szCs w:val="24"/>
        </w:rPr>
        <w:t>posals on necessary reformation.</w:t>
      </w:r>
      <w:r w:rsidR="00BE0F2F">
        <w:rPr>
          <w:sz w:val="24"/>
          <w:szCs w:val="24"/>
        </w:rPr>
        <w:t xml:space="preserve"> </w:t>
      </w:r>
      <w:r w:rsidR="00FF5356">
        <w:rPr>
          <w:sz w:val="24"/>
          <w:szCs w:val="24"/>
        </w:rPr>
        <w:t xml:space="preserve">This is </w:t>
      </w:r>
      <w:r w:rsidR="00BE0F2F">
        <w:rPr>
          <w:sz w:val="24"/>
          <w:szCs w:val="24"/>
        </w:rPr>
        <w:t>because</w:t>
      </w:r>
      <w:r w:rsidR="00ED318A">
        <w:rPr>
          <w:sz w:val="24"/>
          <w:szCs w:val="24"/>
        </w:rPr>
        <w:t xml:space="preserve"> practical</w:t>
      </w:r>
      <w:r w:rsidR="00FF5356">
        <w:rPr>
          <w:sz w:val="24"/>
          <w:szCs w:val="24"/>
        </w:rPr>
        <w:t xml:space="preserve"> problems in differentiating </w:t>
      </w:r>
      <w:r w:rsidR="00ED318A">
        <w:rPr>
          <w:sz w:val="24"/>
          <w:szCs w:val="24"/>
        </w:rPr>
        <w:t xml:space="preserve">the offences </w:t>
      </w:r>
      <w:r w:rsidR="00FF5356">
        <w:rPr>
          <w:sz w:val="24"/>
          <w:szCs w:val="24"/>
        </w:rPr>
        <w:t xml:space="preserve">of grievous and actual bodily harm </w:t>
      </w:r>
      <w:r w:rsidR="00ED318A">
        <w:rPr>
          <w:sz w:val="24"/>
          <w:szCs w:val="24"/>
        </w:rPr>
        <w:t>are unlikely to occur due to the consideration of the prohibited acts by the sentencing tribunal and potentially the experience of judges in deciding the most appropriate sentencing based on the context behind the behaviour of the defendant.</w:t>
      </w:r>
      <w:r w:rsidR="00FF5356" w:rsidRPr="00FF5356">
        <w:t xml:space="preserve"> </w:t>
      </w:r>
      <w:r w:rsidR="00FF5356">
        <w:rPr>
          <w:sz w:val="24"/>
          <w:szCs w:val="24"/>
        </w:rPr>
        <w:t xml:space="preserve">Despite this, they </w:t>
      </w:r>
      <w:r w:rsidR="00FF5356" w:rsidRPr="00FF5356">
        <w:rPr>
          <w:sz w:val="24"/>
          <w:szCs w:val="24"/>
        </w:rPr>
        <w:t xml:space="preserve">agree that the shared sentences of sections 20 and 47 makes little sense due to the contrasting </w:t>
      </w:r>
      <w:r w:rsidR="00FF5356">
        <w:rPr>
          <w:sz w:val="24"/>
          <w:szCs w:val="24"/>
        </w:rPr>
        <w:t>seriousness between the two offences</w:t>
      </w:r>
      <w:r w:rsidR="00FF5356" w:rsidRPr="00FF5356">
        <w:rPr>
          <w:sz w:val="24"/>
          <w:szCs w:val="24"/>
        </w:rPr>
        <w:t>, something which th</w:t>
      </w:r>
      <w:r w:rsidR="00FF5356">
        <w:rPr>
          <w:sz w:val="24"/>
          <w:szCs w:val="24"/>
        </w:rPr>
        <w:t>e draft bill offers to address.</w:t>
      </w:r>
    </w:p>
    <w:p w14:paraId="4B11CF10" w14:textId="77777777" w:rsidR="007D5C66" w:rsidRPr="006D5320" w:rsidRDefault="007D5C66" w:rsidP="00561989">
      <w:pPr>
        <w:spacing w:line="480" w:lineRule="auto"/>
        <w:rPr>
          <w:sz w:val="24"/>
          <w:szCs w:val="24"/>
        </w:rPr>
      </w:pPr>
    </w:p>
    <w:p w14:paraId="655215FD" w14:textId="561C4F69" w:rsidR="005B167F" w:rsidRDefault="002F0DDE" w:rsidP="00561989">
      <w:pPr>
        <w:spacing w:line="480" w:lineRule="auto"/>
        <w:rPr>
          <w:sz w:val="24"/>
          <w:szCs w:val="24"/>
        </w:rPr>
      </w:pPr>
      <w:r>
        <w:rPr>
          <w:sz w:val="24"/>
          <w:szCs w:val="24"/>
        </w:rPr>
        <w:lastRenderedPageBreak/>
        <w:t xml:space="preserve">Over the course of designing a draft bill to replace the OAPA </w:t>
      </w:r>
      <w:r w:rsidR="00187A90">
        <w:rPr>
          <w:sz w:val="24"/>
          <w:szCs w:val="24"/>
        </w:rPr>
        <w:t>1861, the Law C</w:t>
      </w:r>
      <w:r w:rsidR="00F910A4">
        <w:rPr>
          <w:sz w:val="24"/>
          <w:szCs w:val="24"/>
        </w:rPr>
        <w:t xml:space="preserve">ommission have considered </w:t>
      </w:r>
      <w:r w:rsidR="00214F01">
        <w:rPr>
          <w:sz w:val="24"/>
          <w:szCs w:val="24"/>
        </w:rPr>
        <w:t xml:space="preserve">the inclusion of </w:t>
      </w:r>
      <w:r w:rsidR="0063390A">
        <w:rPr>
          <w:sz w:val="24"/>
          <w:szCs w:val="24"/>
        </w:rPr>
        <w:t>non-fatal</w:t>
      </w:r>
      <w:r w:rsidR="00334424">
        <w:rPr>
          <w:sz w:val="24"/>
          <w:szCs w:val="24"/>
        </w:rPr>
        <w:t xml:space="preserve"> offences </w:t>
      </w:r>
      <w:r w:rsidR="0063390A">
        <w:rPr>
          <w:sz w:val="24"/>
          <w:szCs w:val="24"/>
        </w:rPr>
        <w:t xml:space="preserve">which are not considered within the current legislation, </w:t>
      </w:r>
      <w:r w:rsidR="00334424">
        <w:rPr>
          <w:sz w:val="24"/>
          <w:szCs w:val="24"/>
        </w:rPr>
        <w:t xml:space="preserve">specifically on the matter of domestic violence and a potential </w:t>
      </w:r>
      <w:r w:rsidR="00900684">
        <w:rPr>
          <w:sz w:val="24"/>
          <w:szCs w:val="24"/>
        </w:rPr>
        <w:t>change in punishment</w:t>
      </w:r>
      <w:r w:rsidR="00334424">
        <w:rPr>
          <w:sz w:val="24"/>
          <w:szCs w:val="24"/>
        </w:rPr>
        <w:t xml:space="preserve"> for the spreading of</w:t>
      </w:r>
      <w:r w:rsidR="00FF5356">
        <w:rPr>
          <w:sz w:val="24"/>
          <w:szCs w:val="24"/>
        </w:rPr>
        <w:t xml:space="preserve"> infectious diseases.</w:t>
      </w:r>
      <w:r w:rsidR="00132773">
        <w:rPr>
          <w:sz w:val="24"/>
          <w:szCs w:val="24"/>
        </w:rPr>
        <w:t xml:space="preserve"> </w:t>
      </w:r>
      <w:r w:rsidR="00FF5356">
        <w:rPr>
          <w:sz w:val="24"/>
          <w:szCs w:val="24"/>
        </w:rPr>
        <w:t>Domestic violence</w:t>
      </w:r>
      <w:r w:rsidR="00900684">
        <w:rPr>
          <w:sz w:val="24"/>
          <w:szCs w:val="24"/>
        </w:rPr>
        <w:t xml:space="preserve"> is not specifically charged as a separate offence from othe</w:t>
      </w:r>
      <w:r w:rsidR="00FF5356">
        <w:rPr>
          <w:sz w:val="24"/>
          <w:szCs w:val="24"/>
        </w:rPr>
        <w:t>r violent crimes, while the intentional or reckless transmission of harmful diseases</w:t>
      </w:r>
      <w:r w:rsidR="00900684">
        <w:rPr>
          <w:sz w:val="24"/>
          <w:szCs w:val="24"/>
        </w:rPr>
        <w:t xml:space="preserve"> is</w:t>
      </w:r>
      <w:r w:rsidR="006C653E">
        <w:rPr>
          <w:sz w:val="24"/>
          <w:szCs w:val="24"/>
        </w:rPr>
        <w:t xml:space="preserve"> already considered an</w:t>
      </w:r>
      <w:r w:rsidR="0079566B">
        <w:rPr>
          <w:sz w:val="24"/>
          <w:szCs w:val="24"/>
        </w:rPr>
        <w:t xml:space="preserve"> offense </w:t>
      </w:r>
      <w:r w:rsidR="00E04BB3">
        <w:rPr>
          <w:sz w:val="24"/>
          <w:szCs w:val="24"/>
        </w:rPr>
        <w:t>punishable by imprisonment</w:t>
      </w:r>
      <w:r w:rsidR="00FF5356">
        <w:rPr>
          <w:sz w:val="24"/>
          <w:szCs w:val="24"/>
        </w:rPr>
        <w:t>,</w:t>
      </w:r>
      <w:r w:rsidR="006C653E">
        <w:rPr>
          <w:sz w:val="24"/>
          <w:szCs w:val="24"/>
        </w:rPr>
        <w:t xml:space="preserve"> </w:t>
      </w:r>
      <w:r w:rsidR="00FF5356">
        <w:rPr>
          <w:sz w:val="24"/>
          <w:szCs w:val="24"/>
        </w:rPr>
        <w:t xml:space="preserve">such as </w:t>
      </w:r>
      <w:r w:rsidR="0079566B">
        <w:rPr>
          <w:sz w:val="24"/>
          <w:szCs w:val="24"/>
        </w:rPr>
        <w:t xml:space="preserve">if the defendant </w:t>
      </w:r>
      <w:r w:rsidR="00FF5356">
        <w:rPr>
          <w:sz w:val="24"/>
          <w:szCs w:val="24"/>
        </w:rPr>
        <w:t>is charged with intentionally or recklessly infecting</w:t>
      </w:r>
      <w:r w:rsidR="0079566B">
        <w:rPr>
          <w:sz w:val="24"/>
          <w:szCs w:val="24"/>
        </w:rPr>
        <w:t xml:space="preserve"> the victim </w:t>
      </w:r>
      <w:r w:rsidR="00FF5356">
        <w:rPr>
          <w:sz w:val="24"/>
          <w:szCs w:val="24"/>
        </w:rPr>
        <w:t xml:space="preserve">with a sexually transmitted disease </w:t>
      </w:r>
      <w:r w:rsidR="0079566B">
        <w:rPr>
          <w:sz w:val="24"/>
          <w:szCs w:val="24"/>
        </w:rPr>
        <w:t>without inform</w:t>
      </w:r>
      <w:r w:rsidR="000904BD">
        <w:rPr>
          <w:sz w:val="24"/>
          <w:szCs w:val="24"/>
        </w:rPr>
        <w:t xml:space="preserve">ing them of their condition before </w:t>
      </w:r>
      <w:r w:rsidR="00900684">
        <w:rPr>
          <w:sz w:val="24"/>
          <w:szCs w:val="24"/>
        </w:rPr>
        <w:t xml:space="preserve">intercourse. </w:t>
      </w:r>
      <w:r w:rsidR="00FA5CE2">
        <w:rPr>
          <w:sz w:val="24"/>
          <w:szCs w:val="24"/>
        </w:rPr>
        <w:t xml:space="preserve">The lack of consideration the current act gives the transmission of infectious diseases is exemplified by the case of </w:t>
      </w:r>
      <w:r w:rsidR="00C123A5">
        <w:rPr>
          <w:sz w:val="24"/>
          <w:szCs w:val="24"/>
        </w:rPr>
        <w:t xml:space="preserve">Clarence (1888), in which the defendant had recklessly infected his wife with </w:t>
      </w:r>
      <w:r w:rsidR="002034D8">
        <w:rPr>
          <w:sz w:val="24"/>
          <w:szCs w:val="24"/>
        </w:rPr>
        <w:t>Gonorrhoea</w:t>
      </w:r>
      <w:r w:rsidR="00C123A5">
        <w:rPr>
          <w:sz w:val="24"/>
          <w:szCs w:val="24"/>
        </w:rPr>
        <w:t>, yet the charges against him were quashed under sections 20 and 47 of the OAPA 1861, as the actual bodily harm of the victim was not a consequence of physical violence.</w:t>
      </w:r>
      <w:r w:rsidR="00FA5CE2">
        <w:rPr>
          <w:sz w:val="24"/>
          <w:szCs w:val="24"/>
        </w:rPr>
        <w:t xml:space="preserve"> </w:t>
      </w:r>
      <w:r w:rsidR="00A262F4">
        <w:rPr>
          <w:sz w:val="24"/>
          <w:szCs w:val="24"/>
        </w:rPr>
        <w:t>The possibility of establishing domestic violence as a separate offence from other acts of unlawful violence is supported by the argument of more trials of non-fatal offences being held in magistrates courts rather than in a more expensive crown court</w:t>
      </w:r>
      <w:r w:rsidR="005D4B52">
        <w:rPr>
          <w:sz w:val="24"/>
          <w:szCs w:val="24"/>
        </w:rPr>
        <w:t>, although the bar council does not support this argument. This is be</w:t>
      </w:r>
      <w:r w:rsidR="00C56433">
        <w:rPr>
          <w:sz w:val="24"/>
          <w:szCs w:val="24"/>
        </w:rPr>
        <w:t xml:space="preserve">cause the </w:t>
      </w:r>
      <w:r w:rsidR="005D4B52">
        <w:rPr>
          <w:sz w:val="24"/>
          <w:szCs w:val="24"/>
        </w:rPr>
        <w:t xml:space="preserve">establishment of domestic violence as a separate offence </w:t>
      </w:r>
      <w:r w:rsidR="00C56433">
        <w:rPr>
          <w:sz w:val="24"/>
          <w:szCs w:val="24"/>
        </w:rPr>
        <w:t>is viewed as unnecessary and p</w:t>
      </w:r>
      <w:r w:rsidR="003F3A05">
        <w:rPr>
          <w:sz w:val="24"/>
          <w:szCs w:val="24"/>
        </w:rPr>
        <w:t>otentially counter – productive</w:t>
      </w:r>
      <w:r w:rsidR="00C56433">
        <w:rPr>
          <w:sz w:val="24"/>
          <w:szCs w:val="24"/>
        </w:rPr>
        <w:t xml:space="preserve"> due to the requirement for proof of the relationship between the defen</w:t>
      </w:r>
      <w:r w:rsidR="003F3A05">
        <w:rPr>
          <w:sz w:val="24"/>
          <w:szCs w:val="24"/>
        </w:rPr>
        <w:t>dant and the victim, and the remaining</w:t>
      </w:r>
      <w:r w:rsidR="00C56433">
        <w:rPr>
          <w:sz w:val="24"/>
          <w:szCs w:val="24"/>
        </w:rPr>
        <w:t xml:space="preserve"> evidence </w:t>
      </w:r>
      <w:r w:rsidR="003F3A05">
        <w:rPr>
          <w:sz w:val="24"/>
          <w:szCs w:val="24"/>
        </w:rPr>
        <w:t xml:space="preserve">outside of this relationship would not be </w:t>
      </w:r>
      <w:r w:rsidR="00C56433">
        <w:rPr>
          <w:sz w:val="24"/>
          <w:szCs w:val="24"/>
        </w:rPr>
        <w:t>necessary to secure a conviction.</w:t>
      </w:r>
      <w:r w:rsidR="002B4DF6">
        <w:rPr>
          <w:sz w:val="24"/>
          <w:szCs w:val="24"/>
        </w:rPr>
        <w:t xml:space="preserve"> The bar council also suggests the alternative solution </w:t>
      </w:r>
      <w:r w:rsidR="002B4DF6" w:rsidRPr="002B4DF6">
        <w:rPr>
          <w:sz w:val="24"/>
          <w:szCs w:val="24"/>
        </w:rPr>
        <w:t xml:space="preserve">of </w:t>
      </w:r>
      <w:r w:rsidR="002B4DF6">
        <w:rPr>
          <w:sz w:val="24"/>
          <w:szCs w:val="24"/>
        </w:rPr>
        <w:t xml:space="preserve">providing additional resources and education of </w:t>
      </w:r>
      <w:r w:rsidR="002B4DF6" w:rsidRPr="002B4DF6">
        <w:rPr>
          <w:sz w:val="24"/>
          <w:szCs w:val="24"/>
        </w:rPr>
        <w:t>the import</w:t>
      </w:r>
      <w:r w:rsidR="002B4DF6">
        <w:rPr>
          <w:sz w:val="24"/>
          <w:szCs w:val="24"/>
        </w:rPr>
        <w:t>ance of pursuing cases of unlawful violence rather than create further complexity through the addition of additional, overly-similar offences to such acts.</w:t>
      </w:r>
      <w:r w:rsidR="00D70ED5">
        <w:rPr>
          <w:sz w:val="24"/>
          <w:szCs w:val="24"/>
        </w:rPr>
        <w:t xml:space="preserve"> However, despite their rejection of the 1998 draft bill, the bar council has acknowledged that previous </w:t>
      </w:r>
      <w:r w:rsidR="00D70ED5">
        <w:rPr>
          <w:sz w:val="24"/>
          <w:szCs w:val="24"/>
        </w:rPr>
        <w:lastRenderedPageBreak/>
        <w:t>consideration of reforming the current act could be uses as the ba</w:t>
      </w:r>
      <w:r w:rsidR="00187A90">
        <w:rPr>
          <w:sz w:val="24"/>
          <w:szCs w:val="24"/>
        </w:rPr>
        <w:t>sis of future reformation plans.</w:t>
      </w:r>
    </w:p>
    <w:p w14:paraId="477A2551" w14:textId="382F62EF" w:rsidR="00291ACC" w:rsidRDefault="003F3A05" w:rsidP="00561989">
      <w:pPr>
        <w:spacing w:line="480" w:lineRule="auto"/>
        <w:rPr>
          <w:sz w:val="24"/>
          <w:szCs w:val="24"/>
        </w:rPr>
      </w:pPr>
      <w:r>
        <w:rPr>
          <w:sz w:val="24"/>
          <w:szCs w:val="24"/>
        </w:rPr>
        <w:t>In c</w:t>
      </w:r>
      <w:r w:rsidR="00BB3023">
        <w:rPr>
          <w:sz w:val="24"/>
          <w:szCs w:val="24"/>
        </w:rPr>
        <w:t xml:space="preserve">onclusion, </w:t>
      </w:r>
      <w:r w:rsidR="004731E2">
        <w:rPr>
          <w:sz w:val="24"/>
          <w:szCs w:val="24"/>
        </w:rPr>
        <w:t>the offences against the person act 1861</w:t>
      </w:r>
      <w:r w:rsidR="00503A0B">
        <w:rPr>
          <w:sz w:val="24"/>
          <w:szCs w:val="24"/>
        </w:rPr>
        <w:t>,</w:t>
      </w:r>
      <w:r w:rsidR="0037792A">
        <w:rPr>
          <w:sz w:val="24"/>
          <w:szCs w:val="24"/>
        </w:rPr>
        <w:t xml:space="preserve"> </w:t>
      </w:r>
      <w:r w:rsidR="00503A0B">
        <w:rPr>
          <w:sz w:val="24"/>
          <w:szCs w:val="24"/>
        </w:rPr>
        <w:t>in terms of non-fatal offences,</w:t>
      </w:r>
      <w:r w:rsidR="0037792A">
        <w:rPr>
          <w:sz w:val="24"/>
          <w:szCs w:val="24"/>
        </w:rPr>
        <w:t xml:space="preserve"> should </w:t>
      </w:r>
      <w:r w:rsidR="00503A0B">
        <w:rPr>
          <w:sz w:val="24"/>
          <w:szCs w:val="24"/>
        </w:rPr>
        <w:t xml:space="preserve">potentially </w:t>
      </w:r>
      <w:r w:rsidR="0037792A">
        <w:rPr>
          <w:sz w:val="24"/>
          <w:szCs w:val="24"/>
        </w:rPr>
        <w:t xml:space="preserve">be reformed because of the outdated nature of the legislation resulting in the inclusion of obsolete offences, complicated language which would be difficult to interpret for </w:t>
      </w:r>
      <w:r w:rsidR="00503A0B">
        <w:rPr>
          <w:sz w:val="24"/>
          <w:szCs w:val="24"/>
        </w:rPr>
        <w:t xml:space="preserve">modern courts, and the failure of the act to specifically acknowledge offences more commonly recognised in the modern UK, resulting in the infliction of non-physical harm and the intentional or reckless transmission of harmful illnesses such as sexually transmitted diseases to be charged and sentenced identically to actual bodily harm. </w:t>
      </w:r>
      <w:r w:rsidR="00D70ED5">
        <w:rPr>
          <w:sz w:val="24"/>
          <w:szCs w:val="24"/>
        </w:rPr>
        <w:t xml:space="preserve">The argument for reforming the current act is largely supported by many within the UK’s legal system, including the lord chief justice and the law commission, the latter of which have already drafted and proposed a replacement legislation to replace the OAPA 1861 and have more recently suggested modifications to this draft bill to better address the problems met by the current act. </w:t>
      </w:r>
      <w:r w:rsidR="00503A0B">
        <w:rPr>
          <w:sz w:val="24"/>
          <w:szCs w:val="24"/>
        </w:rPr>
        <w:t xml:space="preserve">Alternatively, reforming the current legislation may not be necessary as the barristers of the bar council, the most significant party in favour of maintaining the act, argue that simply repealing obsolete sections of the act would be more effective and less complex than reforming it entirely, while </w:t>
      </w:r>
      <w:r w:rsidR="00D70ED5">
        <w:rPr>
          <w:sz w:val="24"/>
          <w:szCs w:val="24"/>
        </w:rPr>
        <w:t>most of</w:t>
      </w:r>
      <w:r w:rsidR="00503A0B">
        <w:rPr>
          <w:sz w:val="24"/>
          <w:szCs w:val="24"/>
        </w:rPr>
        <w:t xml:space="preserve"> the issues they pose would have little</w:t>
      </w:r>
      <w:r w:rsidR="00D70ED5">
        <w:rPr>
          <w:sz w:val="24"/>
          <w:szCs w:val="24"/>
        </w:rPr>
        <w:t xml:space="preserve"> </w:t>
      </w:r>
      <w:r w:rsidR="00503A0B">
        <w:rPr>
          <w:sz w:val="24"/>
          <w:szCs w:val="24"/>
        </w:rPr>
        <w:t xml:space="preserve">impact </w:t>
      </w:r>
      <w:r w:rsidR="00D70ED5">
        <w:rPr>
          <w:sz w:val="24"/>
          <w:szCs w:val="24"/>
        </w:rPr>
        <w:t>on cases held within courts when put into practise.</w:t>
      </w:r>
    </w:p>
    <w:p w14:paraId="0CF336E1" w14:textId="698D1739" w:rsidR="00832B34" w:rsidRDefault="00832B34" w:rsidP="00561989">
      <w:pPr>
        <w:spacing w:line="480" w:lineRule="auto"/>
        <w:rPr>
          <w:sz w:val="24"/>
          <w:szCs w:val="24"/>
        </w:rPr>
      </w:pPr>
    </w:p>
    <w:p w14:paraId="64C0DC77" w14:textId="00BF99D1" w:rsidR="00832B34" w:rsidRDefault="00832B34" w:rsidP="00561989">
      <w:pPr>
        <w:spacing w:line="480" w:lineRule="auto"/>
        <w:rPr>
          <w:sz w:val="24"/>
          <w:szCs w:val="24"/>
        </w:rPr>
      </w:pPr>
    </w:p>
    <w:p w14:paraId="517C89EB" w14:textId="31C3CF8B" w:rsidR="00832B34" w:rsidRDefault="00832B34" w:rsidP="00561989">
      <w:pPr>
        <w:spacing w:line="480" w:lineRule="auto"/>
        <w:rPr>
          <w:sz w:val="24"/>
          <w:szCs w:val="24"/>
        </w:rPr>
      </w:pPr>
    </w:p>
    <w:p w14:paraId="3FFDDE43" w14:textId="09449738" w:rsidR="00832B34" w:rsidRDefault="00832B34" w:rsidP="00561989">
      <w:pPr>
        <w:spacing w:line="480" w:lineRule="auto"/>
        <w:rPr>
          <w:sz w:val="24"/>
          <w:szCs w:val="24"/>
        </w:rPr>
      </w:pPr>
    </w:p>
    <w:p w14:paraId="5A4061C7" w14:textId="2984DCB9" w:rsidR="00832B34" w:rsidRDefault="00832B34" w:rsidP="00561989">
      <w:pPr>
        <w:spacing w:line="480" w:lineRule="auto"/>
        <w:rPr>
          <w:sz w:val="24"/>
          <w:szCs w:val="24"/>
        </w:rPr>
      </w:pPr>
    </w:p>
    <w:p w14:paraId="69145DB3" w14:textId="6DF2D1E4" w:rsidR="00832B34" w:rsidRDefault="0072296C" w:rsidP="00AE0EB3">
      <w:pPr>
        <w:spacing w:after="0" w:line="480" w:lineRule="auto"/>
        <w:rPr>
          <w:b/>
          <w:sz w:val="24"/>
          <w:szCs w:val="24"/>
          <w:u w:val="single"/>
        </w:rPr>
      </w:pPr>
      <w:r>
        <w:rPr>
          <w:b/>
          <w:sz w:val="24"/>
          <w:szCs w:val="24"/>
          <w:u w:val="single"/>
        </w:rPr>
        <w:t>References</w:t>
      </w:r>
    </w:p>
    <w:p w14:paraId="62C50BA9" w14:textId="4ABA366A" w:rsidR="00FF5356" w:rsidRDefault="00FF5356" w:rsidP="00AE0EB3">
      <w:pPr>
        <w:spacing w:after="0" w:line="480" w:lineRule="auto"/>
        <w:rPr>
          <w:sz w:val="24"/>
          <w:szCs w:val="24"/>
        </w:rPr>
      </w:pPr>
      <w:r w:rsidRPr="00FF5356">
        <w:rPr>
          <w:sz w:val="24"/>
          <w:szCs w:val="24"/>
        </w:rPr>
        <w:t xml:space="preserve">“Offences Against the Person Act 1861”. Available at: </w:t>
      </w:r>
      <w:hyperlink r:id="rId8" w:history="1">
        <w:r w:rsidRPr="00FF5356">
          <w:rPr>
            <w:rStyle w:val="Hyperlink"/>
            <w:sz w:val="24"/>
            <w:szCs w:val="24"/>
          </w:rPr>
          <w:t>http://www.legislation.gov.uk/ukpga/Vict/24-25/100/contents</w:t>
        </w:r>
      </w:hyperlink>
      <w:r w:rsidRPr="00FF5356">
        <w:rPr>
          <w:sz w:val="24"/>
          <w:szCs w:val="24"/>
        </w:rPr>
        <w:t>. Accessed: 17.10.2017.</w:t>
      </w:r>
    </w:p>
    <w:p w14:paraId="64C650AE" w14:textId="77777777" w:rsidR="00FF5356" w:rsidRPr="00FF5356" w:rsidRDefault="00FF5356" w:rsidP="00AE0EB3">
      <w:pPr>
        <w:spacing w:after="0" w:line="480" w:lineRule="auto"/>
        <w:rPr>
          <w:sz w:val="24"/>
          <w:szCs w:val="24"/>
        </w:rPr>
      </w:pPr>
      <w:bookmarkStart w:id="0" w:name="_GoBack"/>
      <w:bookmarkEnd w:id="0"/>
    </w:p>
    <w:p w14:paraId="3C5D4BC7" w14:textId="7E999D74" w:rsidR="00FF5356" w:rsidRDefault="00FF5356" w:rsidP="00AE0EB3">
      <w:pPr>
        <w:spacing w:after="0" w:line="480" w:lineRule="auto"/>
        <w:rPr>
          <w:sz w:val="24"/>
          <w:szCs w:val="24"/>
        </w:rPr>
      </w:pPr>
      <w:r>
        <w:rPr>
          <w:sz w:val="24"/>
          <w:szCs w:val="24"/>
        </w:rPr>
        <w:t>Bowcott, O</w:t>
      </w:r>
      <w:r w:rsidRPr="0072296C">
        <w:rPr>
          <w:sz w:val="24"/>
          <w:szCs w:val="24"/>
        </w:rPr>
        <w:t xml:space="preserve">. </w:t>
      </w:r>
      <w:r>
        <w:rPr>
          <w:sz w:val="24"/>
          <w:szCs w:val="24"/>
        </w:rPr>
        <w:t>(2014).</w:t>
      </w:r>
      <w:r w:rsidRPr="0072296C">
        <w:rPr>
          <w:sz w:val="24"/>
          <w:szCs w:val="24"/>
        </w:rPr>
        <w:t xml:space="preserve"> “Should domestic violence</w:t>
      </w:r>
      <w:r>
        <w:rPr>
          <w:sz w:val="24"/>
          <w:szCs w:val="24"/>
        </w:rPr>
        <w:t xml:space="preserve"> be specific criminal offence, A</w:t>
      </w:r>
      <w:r w:rsidRPr="0072296C">
        <w:rPr>
          <w:sz w:val="24"/>
          <w:szCs w:val="24"/>
        </w:rPr>
        <w:t>sks Law Commissio</w:t>
      </w:r>
      <w:r>
        <w:rPr>
          <w:sz w:val="24"/>
          <w:szCs w:val="24"/>
        </w:rPr>
        <w:t>n?” Avai</w:t>
      </w:r>
      <w:r w:rsidR="00A765EB">
        <w:rPr>
          <w:sz w:val="24"/>
          <w:szCs w:val="24"/>
        </w:rPr>
        <w:t>l</w:t>
      </w:r>
      <w:r>
        <w:rPr>
          <w:sz w:val="24"/>
          <w:szCs w:val="24"/>
        </w:rPr>
        <w:t xml:space="preserve">able at: </w:t>
      </w:r>
      <w:hyperlink r:id="rId9" w:history="1">
        <w:r w:rsidRPr="0072296C">
          <w:rPr>
            <w:rStyle w:val="Hyperlink"/>
            <w:sz w:val="24"/>
            <w:szCs w:val="24"/>
          </w:rPr>
          <w:t>https://www.theguardian.com/society/2014/nov/12/domestic-violence-specific-criminal-offence-law-commission</w:t>
        </w:r>
      </w:hyperlink>
      <w:r w:rsidRPr="0072296C">
        <w:rPr>
          <w:sz w:val="24"/>
          <w:szCs w:val="24"/>
        </w:rPr>
        <w:t xml:space="preserve">. </w:t>
      </w:r>
      <w:r>
        <w:rPr>
          <w:sz w:val="24"/>
          <w:szCs w:val="24"/>
        </w:rPr>
        <w:t>A</w:t>
      </w:r>
      <w:r w:rsidRPr="0072296C">
        <w:rPr>
          <w:sz w:val="24"/>
          <w:szCs w:val="24"/>
        </w:rPr>
        <w:t>ccesse</w:t>
      </w:r>
      <w:r>
        <w:rPr>
          <w:sz w:val="24"/>
          <w:szCs w:val="24"/>
        </w:rPr>
        <w:t>d: 26/10/2017.</w:t>
      </w:r>
    </w:p>
    <w:p w14:paraId="7A30D5DB" w14:textId="77777777" w:rsidR="00FF5356" w:rsidRDefault="00FF5356" w:rsidP="00AE0EB3">
      <w:pPr>
        <w:spacing w:after="0" w:line="480" w:lineRule="auto"/>
        <w:rPr>
          <w:sz w:val="24"/>
          <w:szCs w:val="24"/>
        </w:rPr>
      </w:pPr>
    </w:p>
    <w:p w14:paraId="6230F505" w14:textId="3431E078" w:rsidR="00FF5356" w:rsidRPr="00FF5356" w:rsidRDefault="00FF5356" w:rsidP="00AE0EB3">
      <w:pPr>
        <w:spacing w:after="0" w:line="480" w:lineRule="auto"/>
        <w:rPr>
          <w:sz w:val="24"/>
          <w:szCs w:val="24"/>
        </w:rPr>
      </w:pPr>
      <w:r w:rsidRPr="00FF5356">
        <w:rPr>
          <w:sz w:val="24"/>
          <w:szCs w:val="24"/>
        </w:rPr>
        <w:t>Darby, N. (2015). “Bar Council response to the Reform of Offences against the Person Scoping Consu</w:t>
      </w:r>
      <w:r>
        <w:rPr>
          <w:sz w:val="24"/>
          <w:szCs w:val="24"/>
        </w:rPr>
        <w:t xml:space="preserve">ltation Paper”. Available at: </w:t>
      </w:r>
      <w:hyperlink r:id="rId10" w:history="1">
        <w:r w:rsidRPr="00FF5356">
          <w:rPr>
            <w:rStyle w:val="Hyperlink"/>
            <w:sz w:val="24"/>
            <w:szCs w:val="24"/>
          </w:rPr>
          <w:t>http://www.barcouncil.org.uk/media/405738/bar_council_response_to_the_law_commission_consultation_paper_-_offences_against_the_person.pdf</w:t>
        </w:r>
      </w:hyperlink>
      <w:r w:rsidRPr="00FF5356">
        <w:rPr>
          <w:sz w:val="24"/>
          <w:szCs w:val="24"/>
        </w:rPr>
        <w:t xml:space="preserve">. Accessed: 26/10/2017. </w:t>
      </w:r>
    </w:p>
    <w:p w14:paraId="639EAEFE" w14:textId="77777777" w:rsidR="00A765EB" w:rsidRDefault="00A765EB" w:rsidP="00AE0EB3">
      <w:pPr>
        <w:spacing w:after="0" w:line="480" w:lineRule="auto"/>
        <w:rPr>
          <w:sz w:val="24"/>
          <w:szCs w:val="24"/>
        </w:rPr>
      </w:pPr>
    </w:p>
    <w:p w14:paraId="0B34B7F5" w14:textId="0AA1F266" w:rsidR="00FF5356" w:rsidRDefault="00FF5356" w:rsidP="00AE0EB3">
      <w:pPr>
        <w:spacing w:after="0" w:line="480" w:lineRule="auto"/>
        <w:rPr>
          <w:sz w:val="24"/>
          <w:szCs w:val="24"/>
        </w:rPr>
      </w:pPr>
      <w:r w:rsidRPr="0072296C">
        <w:rPr>
          <w:sz w:val="24"/>
          <w:szCs w:val="24"/>
        </w:rPr>
        <w:t>E</w:t>
      </w:r>
      <w:r w:rsidR="00A765EB">
        <w:rPr>
          <w:sz w:val="24"/>
          <w:szCs w:val="24"/>
        </w:rPr>
        <w:t>ugenicos, A-M</w:t>
      </w:r>
      <w:r w:rsidRPr="0072296C">
        <w:rPr>
          <w:sz w:val="24"/>
          <w:szCs w:val="24"/>
        </w:rPr>
        <w:t>. “Should we Reform the Offences Against the Person Act 1861?” The Journal of Criminal Law. Volume 81. Issue 1. Page 31.</w:t>
      </w:r>
    </w:p>
    <w:p w14:paraId="01DCF7D8" w14:textId="77777777" w:rsidR="00A765EB" w:rsidRPr="0072296C" w:rsidRDefault="00A765EB" w:rsidP="00AE0EB3">
      <w:pPr>
        <w:spacing w:after="0" w:line="480" w:lineRule="auto"/>
        <w:rPr>
          <w:sz w:val="24"/>
          <w:szCs w:val="24"/>
        </w:rPr>
      </w:pPr>
    </w:p>
    <w:p w14:paraId="0081DE24" w14:textId="00DCA069" w:rsidR="00FF5356" w:rsidRDefault="00A765EB" w:rsidP="00AE0EB3">
      <w:pPr>
        <w:spacing w:after="0" w:line="480" w:lineRule="auto"/>
        <w:rPr>
          <w:sz w:val="24"/>
          <w:szCs w:val="24"/>
        </w:rPr>
      </w:pPr>
      <w:r w:rsidRPr="00A765EB">
        <w:rPr>
          <w:sz w:val="24"/>
          <w:szCs w:val="24"/>
        </w:rPr>
        <w:t>Goymer, A</w:t>
      </w:r>
      <w:r w:rsidR="00FF5356" w:rsidRPr="00A765EB">
        <w:rPr>
          <w:sz w:val="24"/>
          <w:szCs w:val="24"/>
        </w:rPr>
        <w:t xml:space="preserve">. 2015. “Offences Against the Person”. Law Commission. Available at: </w:t>
      </w:r>
      <w:hyperlink r:id="rId11" w:history="1">
        <w:r w:rsidR="00FF5356" w:rsidRPr="00A765EB">
          <w:rPr>
            <w:rStyle w:val="Hyperlink"/>
            <w:sz w:val="24"/>
            <w:szCs w:val="24"/>
          </w:rPr>
          <w:t>https://www.lawcom.gov.uk/project/offences-against-the-person/</w:t>
        </w:r>
      </w:hyperlink>
      <w:r w:rsidR="00FF5356" w:rsidRPr="00A765EB">
        <w:rPr>
          <w:sz w:val="24"/>
          <w:szCs w:val="24"/>
        </w:rPr>
        <w:t>. Accessed on 26/10/2017.</w:t>
      </w:r>
    </w:p>
    <w:p w14:paraId="2B029325" w14:textId="77777777" w:rsidR="00A765EB" w:rsidRPr="00A765EB" w:rsidRDefault="00A765EB" w:rsidP="00AE0EB3">
      <w:pPr>
        <w:spacing w:after="0" w:line="480" w:lineRule="auto"/>
        <w:rPr>
          <w:sz w:val="24"/>
          <w:szCs w:val="24"/>
        </w:rPr>
      </w:pPr>
    </w:p>
    <w:p w14:paraId="1133BE08" w14:textId="40540A54" w:rsidR="00FF5356" w:rsidRPr="0072296C" w:rsidRDefault="00FF5356" w:rsidP="00AE0EB3">
      <w:pPr>
        <w:spacing w:after="0" w:line="480" w:lineRule="auto"/>
        <w:rPr>
          <w:sz w:val="24"/>
          <w:szCs w:val="24"/>
        </w:rPr>
      </w:pPr>
      <w:r w:rsidRPr="0072296C">
        <w:rPr>
          <w:sz w:val="24"/>
          <w:szCs w:val="24"/>
        </w:rPr>
        <w:t xml:space="preserve">O’Hanlon, Kate. </w:t>
      </w:r>
      <w:r>
        <w:rPr>
          <w:sz w:val="24"/>
          <w:szCs w:val="24"/>
        </w:rPr>
        <w:t xml:space="preserve">(1997). </w:t>
      </w:r>
      <w:r w:rsidRPr="0072296C">
        <w:rPr>
          <w:sz w:val="24"/>
          <w:szCs w:val="24"/>
        </w:rPr>
        <w:t>“Law report: Purely psychiatric injury was capable of amounting to b</w:t>
      </w:r>
      <w:r>
        <w:rPr>
          <w:sz w:val="24"/>
          <w:szCs w:val="24"/>
        </w:rPr>
        <w:t>odily harm”.</w:t>
      </w:r>
      <w:r w:rsidR="00A765EB">
        <w:rPr>
          <w:sz w:val="24"/>
          <w:szCs w:val="24"/>
        </w:rPr>
        <w:t xml:space="preserve"> Available</w:t>
      </w:r>
      <w:r w:rsidRPr="0072296C">
        <w:rPr>
          <w:sz w:val="24"/>
          <w:szCs w:val="24"/>
        </w:rPr>
        <w:t xml:space="preserve"> at: </w:t>
      </w:r>
      <w:hyperlink r:id="rId12" w:history="1">
        <w:r w:rsidRPr="0072296C">
          <w:rPr>
            <w:rStyle w:val="Hyperlink"/>
            <w:sz w:val="24"/>
            <w:szCs w:val="24"/>
          </w:rPr>
          <w:t>http://www.independent.co.uk/news/people/law-report-purely-</w:t>
        </w:r>
        <w:r w:rsidRPr="0072296C">
          <w:rPr>
            <w:rStyle w:val="Hyperlink"/>
            <w:sz w:val="24"/>
            <w:szCs w:val="24"/>
          </w:rPr>
          <w:lastRenderedPageBreak/>
          <w:t>psychiatric-injury-was-capable-of-amounting-to-bodily-harm-1253269.html</w:t>
        </w:r>
      </w:hyperlink>
      <w:r w:rsidR="00A765EB">
        <w:rPr>
          <w:sz w:val="24"/>
          <w:szCs w:val="24"/>
        </w:rPr>
        <w:t>. Accessed on</w:t>
      </w:r>
      <w:r>
        <w:rPr>
          <w:sz w:val="24"/>
          <w:szCs w:val="24"/>
        </w:rPr>
        <w:t>: 24/10/2017.</w:t>
      </w:r>
    </w:p>
    <w:p w14:paraId="006E3015" w14:textId="77777777" w:rsidR="00A765EB" w:rsidRDefault="00A765EB" w:rsidP="00AE0EB3">
      <w:pPr>
        <w:spacing w:after="0" w:line="480" w:lineRule="auto"/>
        <w:rPr>
          <w:sz w:val="24"/>
          <w:szCs w:val="24"/>
        </w:rPr>
      </w:pPr>
    </w:p>
    <w:p w14:paraId="090E002B" w14:textId="1CD3B25C" w:rsidR="00FF5356" w:rsidRPr="00A765EB" w:rsidRDefault="00FF5356" w:rsidP="00AE0EB3">
      <w:pPr>
        <w:spacing w:after="0" w:line="480" w:lineRule="auto"/>
        <w:rPr>
          <w:sz w:val="24"/>
          <w:szCs w:val="24"/>
        </w:rPr>
      </w:pPr>
      <w:r w:rsidRPr="00A765EB">
        <w:rPr>
          <w:sz w:val="24"/>
          <w:szCs w:val="24"/>
        </w:rPr>
        <w:t>Offences against the person – options for reform. Law Commission, Reforming the law.</w:t>
      </w:r>
      <w:r w:rsidR="00A765EB">
        <w:rPr>
          <w:sz w:val="24"/>
          <w:szCs w:val="24"/>
        </w:rPr>
        <w:t xml:space="preserve"> Available at:</w:t>
      </w:r>
      <w:r w:rsidR="00A765EB" w:rsidRPr="00A765EB">
        <w:t xml:space="preserve"> </w:t>
      </w:r>
      <w:hyperlink r:id="rId13" w:history="1">
        <w:r w:rsidR="00A765EB" w:rsidRPr="00447C14">
          <w:rPr>
            <w:rStyle w:val="Hyperlink"/>
            <w:sz w:val="24"/>
            <w:szCs w:val="24"/>
          </w:rPr>
          <w:t>https://www.lawcom.gov.uk/offences-against-the-person-options-for-reform/</w:t>
        </w:r>
      </w:hyperlink>
      <w:r w:rsidR="00A765EB">
        <w:rPr>
          <w:sz w:val="24"/>
          <w:szCs w:val="24"/>
        </w:rPr>
        <w:t>.   Accessed on:18/10/2017</w:t>
      </w:r>
    </w:p>
    <w:p w14:paraId="47549111" w14:textId="77777777" w:rsidR="00A765EB" w:rsidRDefault="00A765EB" w:rsidP="00AE0EB3">
      <w:pPr>
        <w:spacing w:after="0" w:line="480" w:lineRule="auto"/>
        <w:rPr>
          <w:sz w:val="24"/>
          <w:szCs w:val="24"/>
        </w:rPr>
      </w:pPr>
    </w:p>
    <w:p w14:paraId="792926A1" w14:textId="1E373763" w:rsidR="00FF5356" w:rsidRPr="00A765EB" w:rsidRDefault="00FF5356" w:rsidP="00AE0EB3">
      <w:pPr>
        <w:spacing w:after="0" w:line="480" w:lineRule="auto"/>
        <w:rPr>
          <w:sz w:val="24"/>
          <w:szCs w:val="24"/>
        </w:rPr>
      </w:pPr>
      <w:r w:rsidRPr="00A765EB">
        <w:rPr>
          <w:sz w:val="24"/>
          <w:szCs w:val="24"/>
        </w:rPr>
        <w:t>Ormerod, D.</w:t>
      </w:r>
      <w:r w:rsidRPr="00EA71FA">
        <w:t xml:space="preserve"> </w:t>
      </w:r>
      <w:r w:rsidRPr="00A765EB">
        <w:rPr>
          <w:sz w:val="24"/>
          <w:szCs w:val="24"/>
        </w:rPr>
        <w:t>(2015). “Offences Against the Person – The Need for Reform.”</w:t>
      </w:r>
      <w:r w:rsidR="00A765EB">
        <w:rPr>
          <w:sz w:val="24"/>
          <w:szCs w:val="24"/>
        </w:rPr>
        <w:t xml:space="preserve"> Available at:</w:t>
      </w:r>
      <w:r w:rsidRPr="00A765EB">
        <w:rPr>
          <w:sz w:val="24"/>
          <w:szCs w:val="24"/>
        </w:rPr>
        <w:t xml:space="preserve"> </w:t>
      </w:r>
      <w:hyperlink r:id="rId14" w:history="1">
        <w:r w:rsidRPr="00A765EB">
          <w:rPr>
            <w:rStyle w:val="Hyperlink"/>
            <w:sz w:val="24"/>
            <w:szCs w:val="24"/>
          </w:rPr>
          <w:t>https://youtu.be/diWKWOdY8IQ</w:t>
        </w:r>
      </w:hyperlink>
      <w:r w:rsidRPr="00A765EB">
        <w:rPr>
          <w:sz w:val="24"/>
          <w:szCs w:val="24"/>
        </w:rPr>
        <w:t xml:space="preserve">. Accessed: 24/10/2017. </w:t>
      </w:r>
    </w:p>
    <w:p w14:paraId="5958E552" w14:textId="77777777" w:rsidR="00A765EB" w:rsidRDefault="00A765EB" w:rsidP="00AE0EB3">
      <w:pPr>
        <w:spacing w:after="0" w:line="480" w:lineRule="auto"/>
        <w:rPr>
          <w:sz w:val="24"/>
          <w:szCs w:val="24"/>
        </w:rPr>
      </w:pPr>
    </w:p>
    <w:p w14:paraId="3ABBEF1A" w14:textId="124E1A70" w:rsidR="00FF5356" w:rsidRDefault="00FF5356" w:rsidP="00AE0EB3">
      <w:pPr>
        <w:spacing w:after="0" w:line="480" w:lineRule="auto"/>
        <w:rPr>
          <w:sz w:val="24"/>
          <w:szCs w:val="24"/>
        </w:rPr>
      </w:pPr>
      <w:r w:rsidRPr="0072296C">
        <w:rPr>
          <w:sz w:val="24"/>
          <w:szCs w:val="24"/>
        </w:rPr>
        <w:t>S</w:t>
      </w:r>
      <w:r>
        <w:rPr>
          <w:sz w:val="24"/>
          <w:szCs w:val="24"/>
        </w:rPr>
        <w:t>tanton, C. Quirk, H</w:t>
      </w:r>
      <w:r w:rsidRPr="0072296C">
        <w:rPr>
          <w:sz w:val="24"/>
          <w:szCs w:val="24"/>
        </w:rPr>
        <w:t>. 2016. Criminalising contagion. Legal and ethical challenges of disease transmission and the criminal law. Cambridge. Cambridge University Press. Page 204.</w:t>
      </w:r>
    </w:p>
    <w:p w14:paraId="7B32C1FB" w14:textId="77777777" w:rsidR="00A765EB" w:rsidRDefault="00A765EB" w:rsidP="00AE0EB3">
      <w:pPr>
        <w:spacing w:after="0" w:line="480" w:lineRule="auto"/>
        <w:rPr>
          <w:sz w:val="24"/>
          <w:szCs w:val="24"/>
        </w:rPr>
      </w:pPr>
    </w:p>
    <w:p w14:paraId="56D09D5F" w14:textId="6CADCB34" w:rsidR="00FF5356" w:rsidRPr="00A765EB" w:rsidRDefault="00FF5356" w:rsidP="00AE0EB3">
      <w:pPr>
        <w:spacing w:after="0" w:line="480" w:lineRule="auto"/>
        <w:rPr>
          <w:sz w:val="24"/>
          <w:szCs w:val="24"/>
        </w:rPr>
      </w:pPr>
      <w:r w:rsidRPr="00A765EB">
        <w:rPr>
          <w:sz w:val="24"/>
          <w:szCs w:val="24"/>
        </w:rPr>
        <w:t>Tabbush, Simon. (2014). “Reform of Offences Against the Person.” Available at:</w:t>
      </w:r>
      <w:r w:rsidR="00A765EB">
        <w:rPr>
          <w:sz w:val="24"/>
          <w:szCs w:val="24"/>
        </w:rPr>
        <w:t xml:space="preserve"> </w:t>
      </w:r>
      <w:hyperlink r:id="rId15" w:history="1">
        <w:r w:rsidRPr="00A765EB">
          <w:rPr>
            <w:rStyle w:val="Hyperlink"/>
            <w:sz w:val="24"/>
            <w:szCs w:val="24"/>
          </w:rPr>
          <w:t>https://www.criminallawandjustice.co.uk/features/Reform-Offences-Against-Person</w:t>
        </w:r>
      </w:hyperlink>
      <w:r w:rsidRPr="00A765EB">
        <w:rPr>
          <w:sz w:val="24"/>
          <w:szCs w:val="24"/>
        </w:rPr>
        <w:t>. Accessed on 17.10.2017.</w:t>
      </w:r>
    </w:p>
    <w:p w14:paraId="1FC8CFD5" w14:textId="77777777" w:rsidR="00A765EB" w:rsidRDefault="00A765EB" w:rsidP="00AE0EB3">
      <w:pPr>
        <w:spacing w:after="0" w:line="480" w:lineRule="auto"/>
        <w:rPr>
          <w:sz w:val="24"/>
          <w:szCs w:val="24"/>
        </w:rPr>
      </w:pPr>
    </w:p>
    <w:p w14:paraId="1C32390E" w14:textId="62598825" w:rsidR="00FF5356" w:rsidRDefault="00FF5356" w:rsidP="00AE0EB3">
      <w:pPr>
        <w:spacing w:after="0" w:line="480" w:lineRule="auto"/>
        <w:rPr>
          <w:sz w:val="24"/>
          <w:szCs w:val="24"/>
        </w:rPr>
      </w:pPr>
      <w:r w:rsidRPr="0072296C">
        <w:rPr>
          <w:sz w:val="24"/>
          <w:szCs w:val="24"/>
        </w:rPr>
        <w:t>Theoharis</w:t>
      </w:r>
      <w:r>
        <w:rPr>
          <w:sz w:val="24"/>
          <w:szCs w:val="24"/>
        </w:rPr>
        <w:t>, M. (</w:t>
      </w:r>
      <w:r w:rsidRPr="00EA71FA">
        <w:rPr>
          <w:sz w:val="24"/>
          <w:szCs w:val="24"/>
        </w:rPr>
        <w:t>2017</w:t>
      </w:r>
      <w:r>
        <w:rPr>
          <w:sz w:val="24"/>
          <w:szCs w:val="24"/>
        </w:rPr>
        <w:t>).</w:t>
      </w:r>
      <w:r w:rsidRPr="0072296C">
        <w:rPr>
          <w:sz w:val="24"/>
          <w:szCs w:val="24"/>
        </w:rPr>
        <w:t xml:space="preserve"> “Transmitting an STD: Criminal Laws &amp; Pena</w:t>
      </w:r>
      <w:r>
        <w:rPr>
          <w:sz w:val="24"/>
          <w:szCs w:val="24"/>
        </w:rPr>
        <w:t>lties.”</w:t>
      </w:r>
      <w:r w:rsidRPr="0072296C">
        <w:rPr>
          <w:sz w:val="24"/>
          <w:szCs w:val="24"/>
        </w:rPr>
        <w:t xml:space="preserve">  </w:t>
      </w:r>
      <w:r>
        <w:rPr>
          <w:sz w:val="24"/>
          <w:szCs w:val="24"/>
        </w:rPr>
        <w:t xml:space="preserve">Available at: </w:t>
      </w:r>
      <w:hyperlink r:id="rId16" w:history="1">
        <w:r w:rsidRPr="0072296C">
          <w:rPr>
            <w:rStyle w:val="Hyperlink"/>
            <w:sz w:val="24"/>
            <w:szCs w:val="24"/>
          </w:rPr>
          <w:t>https://www.criminaldefenselawyer.com/resources/transmitting-std-criminal-laws-penalties.htm</w:t>
        </w:r>
      </w:hyperlink>
      <w:r w:rsidRPr="0072296C">
        <w:rPr>
          <w:sz w:val="24"/>
          <w:szCs w:val="24"/>
        </w:rPr>
        <w:t xml:space="preserve">. </w:t>
      </w:r>
      <w:r>
        <w:rPr>
          <w:sz w:val="24"/>
          <w:szCs w:val="24"/>
        </w:rPr>
        <w:t>Accessed on: 21/10/2017.</w:t>
      </w:r>
    </w:p>
    <w:p w14:paraId="17780B12" w14:textId="77777777" w:rsidR="00A765EB" w:rsidRDefault="00A765EB" w:rsidP="00AE0EB3">
      <w:pPr>
        <w:spacing w:after="0" w:line="480" w:lineRule="auto"/>
        <w:rPr>
          <w:sz w:val="24"/>
          <w:szCs w:val="24"/>
        </w:rPr>
      </w:pPr>
    </w:p>
    <w:p w14:paraId="4DC38502" w14:textId="4FAF69BB" w:rsidR="00FF5356" w:rsidRPr="00A765EB" w:rsidRDefault="00FF5356" w:rsidP="00AE0EB3">
      <w:pPr>
        <w:spacing w:after="0" w:line="480" w:lineRule="auto"/>
        <w:rPr>
          <w:sz w:val="24"/>
          <w:szCs w:val="24"/>
        </w:rPr>
      </w:pPr>
      <w:r w:rsidRPr="00A765EB">
        <w:rPr>
          <w:sz w:val="24"/>
          <w:szCs w:val="24"/>
        </w:rPr>
        <w:t xml:space="preserve">Thomas, John. 2015. “Offences Against the Person”. Law Commission. Available: </w:t>
      </w:r>
      <w:hyperlink r:id="rId17" w:history="1">
        <w:r w:rsidRPr="00A765EB">
          <w:rPr>
            <w:rStyle w:val="Hyperlink"/>
            <w:sz w:val="24"/>
            <w:szCs w:val="24"/>
          </w:rPr>
          <w:t>https://www.lawcom.gov.uk/project/offences-against-the-person/</w:t>
        </w:r>
      </w:hyperlink>
      <w:r w:rsidRPr="00A765EB">
        <w:rPr>
          <w:sz w:val="24"/>
          <w:szCs w:val="24"/>
        </w:rPr>
        <w:t>.  Accessed on 09.10.2017.</w:t>
      </w:r>
    </w:p>
    <w:p w14:paraId="4C882B21" w14:textId="6B7F03B7" w:rsidR="00187A90" w:rsidRDefault="00187A90" w:rsidP="00AE0EB3">
      <w:pPr>
        <w:spacing w:after="0" w:line="480" w:lineRule="auto"/>
        <w:rPr>
          <w:b/>
          <w:sz w:val="24"/>
          <w:szCs w:val="24"/>
          <w:u w:val="single"/>
        </w:rPr>
      </w:pPr>
      <w:r>
        <w:rPr>
          <w:b/>
          <w:sz w:val="24"/>
          <w:szCs w:val="24"/>
          <w:u w:val="single"/>
        </w:rPr>
        <w:lastRenderedPageBreak/>
        <w:t>Case List</w:t>
      </w:r>
    </w:p>
    <w:p w14:paraId="02BE6989" w14:textId="77777777" w:rsidR="00187A90" w:rsidRPr="00187A90" w:rsidRDefault="00187A90" w:rsidP="00AE0EB3">
      <w:pPr>
        <w:spacing w:line="480" w:lineRule="auto"/>
        <w:rPr>
          <w:sz w:val="24"/>
          <w:szCs w:val="24"/>
        </w:rPr>
      </w:pPr>
    </w:p>
    <w:sectPr w:rsidR="00187A90" w:rsidRPr="00187A9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2E02C3" w14:textId="77777777" w:rsidR="00A14435" w:rsidRDefault="00A14435" w:rsidP="0015040F">
      <w:pPr>
        <w:spacing w:after="0" w:line="240" w:lineRule="auto"/>
      </w:pPr>
      <w:r>
        <w:separator/>
      </w:r>
    </w:p>
  </w:endnote>
  <w:endnote w:type="continuationSeparator" w:id="0">
    <w:p w14:paraId="10C3B742" w14:textId="77777777" w:rsidR="00A14435" w:rsidRDefault="00A14435" w:rsidP="001504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DA9AF6" w14:textId="77777777" w:rsidR="00A14435" w:rsidRDefault="00A14435" w:rsidP="0015040F">
      <w:pPr>
        <w:spacing w:after="0" w:line="240" w:lineRule="auto"/>
      </w:pPr>
      <w:r>
        <w:separator/>
      </w:r>
    </w:p>
  </w:footnote>
  <w:footnote w:type="continuationSeparator" w:id="0">
    <w:p w14:paraId="250409FB" w14:textId="77777777" w:rsidR="00A14435" w:rsidRDefault="00A14435" w:rsidP="001504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BEC0DF4"/>
    <w:multiLevelType w:val="hybridMultilevel"/>
    <w:tmpl w:val="B650CD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4D2F"/>
    <w:rsid w:val="00013367"/>
    <w:rsid w:val="00024A86"/>
    <w:rsid w:val="00070CEF"/>
    <w:rsid w:val="000902D8"/>
    <w:rsid w:val="000904BD"/>
    <w:rsid w:val="000A7A29"/>
    <w:rsid w:val="000C7D8C"/>
    <w:rsid w:val="00113F2C"/>
    <w:rsid w:val="00130AB1"/>
    <w:rsid w:val="00132773"/>
    <w:rsid w:val="001428B2"/>
    <w:rsid w:val="0015040F"/>
    <w:rsid w:val="00167D29"/>
    <w:rsid w:val="00187A90"/>
    <w:rsid w:val="00192D51"/>
    <w:rsid w:val="002034D8"/>
    <w:rsid w:val="00214F01"/>
    <w:rsid w:val="00220C60"/>
    <w:rsid w:val="00251A4C"/>
    <w:rsid w:val="0026422C"/>
    <w:rsid w:val="00291ACC"/>
    <w:rsid w:val="002A248F"/>
    <w:rsid w:val="002A3841"/>
    <w:rsid w:val="002A696E"/>
    <w:rsid w:val="002B0ABC"/>
    <w:rsid w:val="002B4DF6"/>
    <w:rsid w:val="002C2F46"/>
    <w:rsid w:val="002E1868"/>
    <w:rsid w:val="002F0DDE"/>
    <w:rsid w:val="003017EB"/>
    <w:rsid w:val="00331554"/>
    <w:rsid w:val="00334424"/>
    <w:rsid w:val="00347F91"/>
    <w:rsid w:val="00370B16"/>
    <w:rsid w:val="0037792A"/>
    <w:rsid w:val="003A73D3"/>
    <w:rsid w:val="003B4DF7"/>
    <w:rsid w:val="003F3A05"/>
    <w:rsid w:val="00401FDB"/>
    <w:rsid w:val="0043509A"/>
    <w:rsid w:val="00465019"/>
    <w:rsid w:val="004731E2"/>
    <w:rsid w:val="004B0532"/>
    <w:rsid w:val="004D6F4B"/>
    <w:rsid w:val="00500536"/>
    <w:rsid w:val="00503A0B"/>
    <w:rsid w:val="00545E23"/>
    <w:rsid w:val="00561989"/>
    <w:rsid w:val="005624BE"/>
    <w:rsid w:val="005772A9"/>
    <w:rsid w:val="0059538D"/>
    <w:rsid w:val="005B167F"/>
    <w:rsid w:val="005B6816"/>
    <w:rsid w:val="005D4B52"/>
    <w:rsid w:val="0063390A"/>
    <w:rsid w:val="006537C5"/>
    <w:rsid w:val="00656158"/>
    <w:rsid w:val="006C1A33"/>
    <w:rsid w:val="006C2A57"/>
    <w:rsid w:val="006C653E"/>
    <w:rsid w:val="006D5320"/>
    <w:rsid w:val="006E458E"/>
    <w:rsid w:val="00716066"/>
    <w:rsid w:val="0072296C"/>
    <w:rsid w:val="00732482"/>
    <w:rsid w:val="00784DD1"/>
    <w:rsid w:val="0079566B"/>
    <w:rsid w:val="007A0D9F"/>
    <w:rsid w:val="007C5A63"/>
    <w:rsid w:val="007D5C66"/>
    <w:rsid w:val="007D6598"/>
    <w:rsid w:val="007E7201"/>
    <w:rsid w:val="00832B34"/>
    <w:rsid w:val="0085680E"/>
    <w:rsid w:val="0087144E"/>
    <w:rsid w:val="008E3B35"/>
    <w:rsid w:val="00900684"/>
    <w:rsid w:val="00926329"/>
    <w:rsid w:val="00940CD5"/>
    <w:rsid w:val="0098123F"/>
    <w:rsid w:val="00993879"/>
    <w:rsid w:val="009A5707"/>
    <w:rsid w:val="009A5752"/>
    <w:rsid w:val="009C4785"/>
    <w:rsid w:val="009D09EC"/>
    <w:rsid w:val="009E6067"/>
    <w:rsid w:val="00A12ACB"/>
    <w:rsid w:val="00A14435"/>
    <w:rsid w:val="00A262F4"/>
    <w:rsid w:val="00A33A2B"/>
    <w:rsid w:val="00A513DA"/>
    <w:rsid w:val="00A52843"/>
    <w:rsid w:val="00A57350"/>
    <w:rsid w:val="00A75C6C"/>
    <w:rsid w:val="00A765EB"/>
    <w:rsid w:val="00AA6B82"/>
    <w:rsid w:val="00AB60A8"/>
    <w:rsid w:val="00AD69D0"/>
    <w:rsid w:val="00AE0EB3"/>
    <w:rsid w:val="00B522D9"/>
    <w:rsid w:val="00B9377A"/>
    <w:rsid w:val="00BB3023"/>
    <w:rsid w:val="00BE0F2F"/>
    <w:rsid w:val="00BF1C7A"/>
    <w:rsid w:val="00C123A5"/>
    <w:rsid w:val="00C26803"/>
    <w:rsid w:val="00C34D2F"/>
    <w:rsid w:val="00C5424A"/>
    <w:rsid w:val="00C56433"/>
    <w:rsid w:val="00CA68AA"/>
    <w:rsid w:val="00CE54D3"/>
    <w:rsid w:val="00CF3634"/>
    <w:rsid w:val="00CF369A"/>
    <w:rsid w:val="00D06E46"/>
    <w:rsid w:val="00D24837"/>
    <w:rsid w:val="00D550E7"/>
    <w:rsid w:val="00D70ED5"/>
    <w:rsid w:val="00D92AF1"/>
    <w:rsid w:val="00E04BB3"/>
    <w:rsid w:val="00E2195A"/>
    <w:rsid w:val="00E55590"/>
    <w:rsid w:val="00E625F1"/>
    <w:rsid w:val="00EA1C94"/>
    <w:rsid w:val="00EA604E"/>
    <w:rsid w:val="00EA71FA"/>
    <w:rsid w:val="00EB5BE3"/>
    <w:rsid w:val="00EC1835"/>
    <w:rsid w:val="00ED318A"/>
    <w:rsid w:val="00ED6A4A"/>
    <w:rsid w:val="00EE6144"/>
    <w:rsid w:val="00F111C0"/>
    <w:rsid w:val="00F1170C"/>
    <w:rsid w:val="00F211D5"/>
    <w:rsid w:val="00F6198C"/>
    <w:rsid w:val="00F67CE1"/>
    <w:rsid w:val="00F910A4"/>
    <w:rsid w:val="00FA5CE2"/>
    <w:rsid w:val="00FF53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EE8D4C"/>
  <w15:chartTrackingRefBased/>
  <w15:docId w15:val="{B18ADBD3-D7F6-40C5-A2FC-619A3D0521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15040F"/>
    <w:pPr>
      <w:spacing w:after="0" w:line="240" w:lineRule="auto"/>
    </w:pPr>
    <w:rPr>
      <w:sz w:val="20"/>
      <w:szCs w:val="20"/>
    </w:rPr>
  </w:style>
  <w:style w:type="character" w:customStyle="1" w:styleId="FootnoteTextChar">
    <w:name w:val="Footnote Text Char"/>
    <w:basedOn w:val="DefaultParagraphFont"/>
    <w:link w:val="FootnoteText"/>
    <w:uiPriority w:val="99"/>
    <w:rsid w:val="0015040F"/>
    <w:rPr>
      <w:sz w:val="20"/>
      <w:szCs w:val="20"/>
    </w:rPr>
  </w:style>
  <w:style w:type="character" w:styleId="FootnoteReference">
    <w:name w:val="footnote reference"/>
    <w:basedOn w:val="DefaultParagraphFont"/>
    <w:uiPriority w:val="99"/>
    <w:semiHidden/>
    <w:unhideWhenUsed/>
    <w:rsid w:val="0015040F"/>
    <w:rPr>
      <w:vertAlign w:val="superscript"/>
    </w:rPr>
  </w:style>
  <w:style w:type="character" w:styleId="Hyperlink">
    <w:name w:val="Hyperlink"/>
    <w:basedOn w:val="DefaultParagraphFont"/>
    <w:uiPriority w:val="99"/>
    <w:unhideWhenUsed/>
    <w:rsid w:val="006C2A57"/>
    <w:rPr>
      <w:color w:val="0563C1" w:themeColor="hyperlink"/>
      <w:u w:val="single"/>
    </w:rPr>
  </w:style>
  <w:style w:type="character" w:styleId="UnresolvedMention">
    <w:name w:val="Unresolved Mention"/>
    <w:basedOn w:val="DefaultParagraphFont"/>
    <w:uiPriority w:val="99"/>
    <w:semiHidden/>
    <w:unhideWhenUsed/>
    <w:rsid w:val="006C2A57"/>
    <w:rPr>
      <w:color w:val="808080"/>
      <w:shd w:val="clear" w:color="auto" w:fill="E6E6E6"/>
    </w:rPr>
  </w:style>
  <w:style w:type="character" w:styleId="FollowedHyperlink">
    <w:name w:val="FollowedHyperlink"/>
    <w:basedOn w:val="DefaultParagraphFont"/>
    <w:uiPriority w:val="99"/>
    <w:semiHidden/>
    <w:unhideWhenUsed/>
    <w:rsid w:val="00291ACC"/>
    <w:rPr>
      <w:color w:val="954F72" w:themeColor="followedHyperlink"/>
      <w:u w:val="single"/>
    </w:rPr>
  </w:style>
  <w:style w:type="paragraph" w:styleId="ListParagraph">
    <w:name w:val="List Paragraph"/>
    <w:basedOn w:val="Normal"/>
    <w:uiPriority w:val="34"/>
    <w:qFormat/>
    <w:rsid w:val="00832B3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gislation.gov.uk/ukpga/Vict/24-25/100/contents" TargetMode="External"/><Relationship Id="rId13" Type="http://schemas.openxmlformats.org/officeDocument/2006/relationships/hyperlink" Target="https://www.lawcom.gov.uk/offences-against-the-person-options-for-refor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independent.co.uk/news/people/law-report-purely-psychiatric-injury-was-capable-of-amounting-to-bodily-harm-1253269.html" TargetMode="External"/><Relationship Id="rId17" Type="http://schemas.openxmlformats.org/officeDocument/2006/relationships/hyperlink" Target="https://www.lawcom.gov.uk/project/offences-against-the-person/" TargetMode="External"/><Relationship Id="rId2" Type="http://schemas.openxmlformats.org/officeDocument/2006/relationships/numbering" Target="numbering.xml"/><Relationship Id="rId16" Type="http://schemas.openxmlformats.org/officeDocument/2006/relationships/hyperlink" Target="https://www.criminaldefenselawyer.com/resources/transmitting-std-criminal-laws-penalties.ht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awcom.gov.uk/project/offences-against-the-person/" TargetMode="External"/><Relationship Id="rId5" Type="http://schemas.openxmlformats.org/officeDocument/2006/relationships/webSettings" Target="webSettings.xml"/><Relationship Id="rId15" Type="http://schemas.openxmlformats.org/officeDocument/2006/relationships/hyperlink" Target="https://www.criminallawandjustice.co.uk/features/Reform-Offences-Against-Person" TargetMode="External"/><Relationship Id="rId10" Type="http://schemas.openxmlformats.org/officeDocument/2006/relationships/hyperlink" Target="http://www.barcouncil.org.uk/media/405738/bar_council_response_to_the_law_commission_consultation_paper_-_offences_against_the_person.pdf"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theguardian.com/society/2014/nov/12/domestic-violence-specific-criminal-offence-law-commission" TargetMode="External"/><Relationship Id="rId14" Type="http://schemas.openxmlformats.org/officeDocument/2006/relationships/hyperlink" Target="https://youtu.be/diWKWOdY8IQ"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B8B182-CF90-41D3-A18A-B9141C9CFE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TotalTime>
  <Pages>9</Pages>
  <Words>2186</Words>
  <Characters>12462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Shawn Roberts</dc:creator>
  <cp:keywords/>
  <dc:description/>
  <cp:lastModifiedBy>Shawn Roberts</cp:lastModifiedBy>
  <cp:revision>12</cp:revision>
  <dcterms:created xsi:type="dcterms:W3CDTF">2017-10-30T10:21:00Z</dcterms:created>
  <dcterms:modified xsi:type="dcterms:W3CDTF">2017-11-06T11:03:00Z</dcterms:modified>
</cp:coreProperties>
</file>