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C5A29" w14:textId="0537CB19" w:rsidR="00775A2C" w:rsidRDefault="00023D2D" w:rsidP="00783399">
      <w:r>
        <w:rPr>
          <w:noProof/>
        </w:rPr>
        <w:drawing>
          <wp:inline distT="114300" distB="114300" distL="114300" distR="114300" wp14:anchorId="48772126" wp14:editId="1D3F88F2">
            <wp:extent cx="1452563" cy="648333"/>
            <wp:effectExtent l="0" t="0" r="0" b="0"/>
            <wp:docPr id="1" name="image2.png" descr="Uma imagem com texto, Tipo de letra, logótipo, símbolo&#10;&#10;Os conteúdos gerados por IA podem estar incorretos."/>
            <wp:cNvGraphicFramePr/>
            <a:graphic xmlns:a="http://schemas.openxmlformats.org/drawingml/2006/main">
              <a:graphicData uri="http://schemas.openxmlformats.org/drawingml/2006/picture">
                <pic:pic xmlns:pic="http://schemas.openxmlformats.org/drawingml/2006/picture">
                  <pic:nvPicPr>
                    <pic:cNvPr id="1" name="image2.png" descr="Uma imagem com texto, Tipo de letra, logótipo, símbolo&#10;&#10;Os conteúdos gerados por IA podem estar incorretos."/>
                    <pic:cNvPicPr preferRelativeResize="0"/>
                  </pic:nvPicPr>
                  <pic:blipFill>
                    <a:blip r:embed="rId5"/>
                    <a:srcRect/>
                    <a:stretch>
                      <a:fillRect/>
                    </a:stretch>
                  </pic:blipFill>
                  <pic:spPr>
                    <a:xfrm>
                      <a:off x="0" y="0"/>
                      <a:ext cx="1452563" cy="648333"/>
                    </a:xfrm>
                    <a:prstGeom prst="rect">
                      <a:avLst/>
                    </a:prstGeom>
                    <a:ln/>
                  </pic:spPr>
                </pic:pic>
              </a:graphicData>
            </a:graphic>
          </wp:inline>
        </w:drawing>
      </w:r>
    </w:p>
    <w:p w14:paraId="4B999629" w14:textId="77777777" w:rsidR="00023D2D" w:rsidRDefault="00023D2D" w:rsidP="00783399"/>
    <w:p w14:paraId="4FEE9393" w14:textId="77777777" w:rsidR="00B77133" w:rsidRDefault="00B77133" w:rsidP="00783399"/>
    <w:p w14:paraId="344B57DB" w14:textId="77777777" w:rsidR="00B77133" w:rsidRDefault="00B77133" w:rsidP="00783399"/>
    <w:p w14:paraId="558975FD" w14:textId="77777777" w:rsidR="00B77133" w:rsidRDefault="00B77133" w:rsidP="00783399"/>
    <w:p w14:paraId="7838A49F" w14:textId="77777777" w:rsidR="00B77133" w:rsidRDefault="00B77133" w:rsidP="00783399"/>
    <w:p w14:paraId="6CDB812C" w14:textId="77777777" w:rsidR="00023D2D" w:rsidRDefault="00023D2D" w:rsidP="00783399"/>
    <w:p w14:paraId="1D85D923" w14:textId="5856200E" w:rsidR="00023D2D" w:rsidRDefault="00B77133" w:rsidP="00B77133">
      <w:pPr>
        <w:jc w:val="center"/>
        <w:rPr>
          <w:rFonts w:ascii="Arial" w:hAnsi="Arial" w:cs="Arial"/>
          <w:b/>
          <w:bCs/>
          <w:sz w:val="44"/>
          <w:szCs w:val="44"/>
        </w:rPr>
      </w:pPr>
      <w:proofErr w:type="spellStart"/>
      <w:r w:rsidRPr="00B77133">
        <w:rPr>
          <w:rFonts w:ascii="Arial" w:hAnsi="Arial" w:cs="Arial"/>
          <w:b/>
          <w:bCs/>
          <w:sz w:val="44"/>
          <w:szCs w:val="44"/>
        </w:rPr>
        <w:t>Developing</w:t>
      </w:r>
      <w:proofErr w:type="spellEnd"/>
      <w:r w:rsidRPr="00B77133">
        <w:rPr>
          <w:rFonts w:ascii="Arial" w:hAnsi="Arial" w:cs="Arial"/>
          <w:b/>
          <w:bCs/>
          <w:sz w:val="44"/>
          <w:szCs w:val="44"/>
        </w:rPr>
        <w:t xml:space="preserve"> </w:t>
      </w:r>
      <w:proofErr w:type="spellStart"/>
      <w:r w:rsidRPr="00B77133">
        <w:rPr>
          <w:rFonts w:ascii="Arial" w:hAnsi="Arial" w:cs="Arial"/>
          <w:b/>
          <w:bCs/>
          <w:sz w:val="44"/>
          <w:szCs w:val="44"/>
        </w:rPr>
        <w:t>and</w:t>
      </w:r>
      <w:proofErr w:type="spellEnd"/>
      <w:r w:rsidRPr="00B77133">
        <w:rPr>
          <w:rFonts w:ascii="Arial" w:hAnsi="Arial" w:cs="Arial"/>
          <w:b/>
          <w:bCs/>
          <w:sz w:val="44"/>
          <w:szCs w:val="44"/>
        </w:rPr>
        <w:t xml:space="preserve"> </w:t>
      </w:r>
      <w:proofErr w:type="spellStart"/>
      <w:r w:rsidRPr="00B77133">
        <w:rPr>
          <w:rFonts w:ascii="Arial" w:hAnsi="Arial" w:cs="Arial"/>
          <w:b/>
          <w:bCs/>
          <w:sz w:val="44"/>
          <w:szCs w:val="44"/>
        </w:rPr>
        <w:t>Managing</w:t>
      </w:r>
      <w:proofErr w:type="spellEnd"/>
      <w:r w:rsidRPr="00B77133">
        <w:rPr>
          <w:rFonts w:ascii="Arial" w:hAnsi="Arial" w:cs="Arial"/>
          <w:b/>
          <w:bCs/>
          <w:sz w:val="44"/>
          <w:szCs w:val="44"/>
        </w:rPr>
        <w:t xml:space="preserve"> </w:t>
      </w:r>
      <w:proofErr w:type="spellStart"/>
      <w:r w:rsidRPr="00B77133">
        <w:rPr>
          <w:rFonts w:ascii="Arial" w:hAnsi="Arial" w:cs="Arial"/>
          <w:b/>
          <w:bCs/>
          <w:sz w:val="44"/>
          <w:szCs w:val="44"/>
        </w:rPr>
        <w:t>Individuals</w:t>
      </w:r>
      <w:proofErr w:type="spellEnd"/>
      <w:r w:rsidRPr="00B77133">
        <w:rPr>
          <w:rFonts w:ascii="Arial" w:hAnsi="Arial" w:cs="Arial"/>
          <w:b/>
          <w:bCs/>
          <w:sz w:val="44"/>
          <w:szCs w:val="44"/>
        </w:rPr>
        <w:t xml:space="preserve"> </w:t>
      </w:r>
      <w:proofErr w:type="spellStart"/>
      <w:r w:rsidRPr="00B77133">
        <w:rPr>
          <w:rFonts w:ascii="Arial" w:hAnsi="Arial" w:cs="Arial"/>
          <w:b/>
          <w:bCs/>
          <w:sz w:val="44"/>
          <w:szCs w:val="44"/>
        </w:rPr>
        <w:t>and</w:t>
      </w:r>
      <w:proofErr w:type="spellEnd"/>
      <w:r w:rsidRPr="00B77133">
        <w:rPr>
          <w:rFonts w:ascii="Arial" w:hAnsi="Arial" w:cs="Arial"/>
          <w:b/>
          <w:bCs/>
          <w:sz w:val="44"/>
          <w:szCs w:val="44"/>
        </w:rPr>
        <w:t xml:space="preserve"> Teams</w:t>
      </w:r>
    </w:p>
    <w:p w14:paraId="7F129040" w14:textId="77777777" w:rsidR="00B77133" w:rsidRDefault="00B77133" w:rsidP="00B77133">
      <w:pPr>
        <w:jc w:val="center"/>
        <w:rPr>
          <w:rFonts w:ascii="Arial" w:hAnsi="Arial" w:cs="Arial"/>
          <w:b/>
          <w:bCs/>
          <w:sz w:val="44"/>
          <w:szCs w:val="44"/>
        </w:rPr>
      </w:pPr>
    </w:p>
    <w:p w14:paraId="38356C94" w14:textId="77777777" w:rsidR="00B77133" w:rsidRDefault="00B77133" w:rsidP="00B77133">
      <w:pPr>
        <w:jc w:val="center"/>
        <w:rPr>
          <w:rFonts w:ascii="Arial" w:hAnsi="Arial" w:cs="Arial"/>
          <w:b/>
          <w:bCs/>
          <w:sz w:val="44"/>
          <w:szCs w:val="44"/>
        </w:rPr>
      </w:pPr>
    </w:p>
    <w:p w14:paraId="4FAC8D75" w14:textId="77777777" w:rsidR="00B77133" w:rsidRDefault="00B77133" w:rsidP="00B77133">
      <w:pPr>
        <w:jc w:val="center"/>
        <w:rPr>
          <w:rFonts w:ascii="Arial" w:hAnsi="Arial" w:cs="Arial"/>
          <w:b/>
          <w:bCs/>
          <w:sz w:val="44"/>
          <w:szCs w:val="44"/>
        </w:rPr>
      </w:pPr>
    </w:p>
    <w:p w14:paraId="1B7D2514" w14:textId="77777777" w:rsidR="00B77133" w:rsidRDefault="00B77133" w:rsidP="00B77133">
      <w:pPr>
        <w:jc w:val="center"/>
        <w:rPr>
          <w:rFonts w:ascii="Arial" w:hAnsi="Arial" w:cs="Arial"/>
          <w:b/>
          <w:bCs/>
          <w:sz w:val="44"/>
          <w:szCs w:val="44"/>
        </w:rPr>
      </w:pPr>
    </w:p>
    <w:p w14:paraId="58A28448" w14:textId="77777777" w:rsidR="00B77133" w:rsidRDefault="00B77133" w:rsidP="00B77133">
      <w:pPr>
        <w:jc w:val="center"/>
        <w:rPr>
          <w:rFonts w:ascii="Arial" w:hAnsi="Arial" w:cs="Arial"/>
          <w:b/>
          <w:bCs/>
          <w:sz w:val="44"/>
          <w:szCs w:val="44"/>
        </w:rPr>
      </w:pPr>
    </w:p>
    <w:p w14:paraId="04D21A42" w14:textId="77777777" w:rsidR="00B77133" w:rsidRDefault="00B77133" w:rsidP="00B77133">
      <w:pPr>
        <w:jc w:val="center"/>
        <w:rPr>
          <w:rFonts w:ascii="Arial" w:hAnsi="Arial" w:cs="Arial"/>
          <w:b/>
          <w:bCs/>
          <w:sz w:val="44"/>
          <w:szCs w:val="44"/>
        </w:rPr>
      </w:pPr>
    </w:p>
    <w:p w14:paraId="1B9759C7" w14:textId="77777777" w:rsidR="00B77133" w:rsidRDefault="00B77133" w:rsidP="00B77133">
      <w:pPr>
        <w:jc w:val="center"/>
        <w:rPr>
          <w:rFonts w:ascii="Arial" w:hAnsi="Arial" w:cs="Arial"/>
          <w:b/>
          <w:bCs/>
          <w:sz w:val="44"/>
          <w:szCs w:val="44"/>
        </w:rPr>
      </w:pPr>
    </w:p>
    <w:p w14:paraId="7A9BA177" w14:textId="77777777" w:rsidR="00B77133" w:rsidRDefault="00B77133" w:rsidP="0045136C">
      <w:pPr>
        <w:rPr>
          <w:rFonts w:ascii="Arial" w:hAnsi="Arial" w:cs="Arial"/>
          <w:b/>
          <w:bCs/>
          <w:sz w:val="44"/>
          <w:szCs w:val="44"/>
        </w:rPr>
      </w:pPr>
    </w:p>
    <w:p w14:paraId="34695FA5" w14:textId="77777777" w:rsidR="0045136C" w:rsidRDefault="0045136C" w:rsidP="0045136C">
      <w:pPr>
        <w:rPr>
          <w:rFonts w:ascii="Arial" w:hAnsi="Arial" w:cs="Arial"/>
          <w:b/>
          <w:bCs/>
          <w:sz w:val="44"/>
          <w:szCs w:val="44"/>
        </w:rPr>
      </w:pPr>
    </w:p>
    <w:p w14:paraId="107EA123" w14:textId="77777777" w:rsidR="00595498" w:rsidRDefault="00595498" w:rsidP="0045136C">
      <w:pPr>
        <w:rPr>
          <w:rFonts w:ascii="Arial" w:hAnsi="Arial" w:cs="Arial"/>
          <w:b/>
          <w:bCs/>
          <w:sz w:val="44"/>
          <w:szCs w:val="44"/>
        </w:rPr>
      </w:pPr>
    </w:p>
    <w:p w14:paraId="4192F206" w14:textId="305ABB44" w:rsidR="00595498" w:rsidRPr="007056C4" w:rsidRDefault="00595498" w:rsidP="00595498">
      <w:pPr>
        <w:jc w:val="both"/>
        <w:rPr>
          <w:rFonts w:ascii="Arial" w:hAnsi="Arial" w:cs="Arial"/>
        </w:rPr>
      </w:pPr>
      <w:proofErr w:type="spellStart"/>
      <w:r w:rsidRPr="007056C4">
        <w:rPr>
          <w:rFonts w:ascii="Arial" w:hAnsi="Arial" w:cs="Arial"/>
          <w:b/>
          <w:bCs/>
        </w:rPr>
        <w:t>Student</w:t>
      </w:r>
      <w:proofErr w:type="spellEnd"/>
      <w:r w:rsidRPr="007056C4">
        <w:rPr>
          <w:rFonts w:ascii="Arial" w:hAnsi="Arial" w:cs="Arial"/>
          <w:b/>
          <w:bCs/>
        </w:rPr>
        <w:t> </w:t>
      </w:r>
      <w:proofErr w:type="spellStart"/>
      <w:r w:rsidRPr="007056C4">
        <w:rPr>
          <w:rFonts w:ascii="Arial" w:hAnsi="Arial" w:cs="Arial"/>
          <w:b/>
          <w:bCs/>
        </w:rPr>
        <w:t>name</w:t>
      </w:r>
      <w:proofErr w:type="spellEnd"/>
      <w:r w:rsidRPr="007056C4">
        <w:rPr>
          <w:rFonts w:ascii="Arial" w:hAnsi="Arial" w:cs="Arial"/>
          <w:b/>
          <w:bCs/>
        </w:rPr>
        <w:t>: </w:t>
      </w:r>
      <w:r w:rsidRPr="007056C4">
        <w:rPr>
          <w:rFonts w:ascii="Arial" w:hAnsi="Arial" w:cs="Arial"/>
        </w:rPr>
        <w:t>Lara Chumbinho</w:t>
      </w:r>
    </w:p>
    <w:p w14:paraId="22E560FE" w14:textId="23CEDF9E" w:rsidR="0045136C" w:rsidRPr="007056C4" w:rsidRDefault="0045136C" w:rsidP="00595498">
      <w:pPr>
        <w:jc w:val="both"/>
        <w:rPr>
          <w:rFonts w:ascii="Arial" w:hAnsi="Arial" w:cs="Arial"/>
        </w:rPr>
      </w:pPr>
      <w:proofErr w:type="spellStart"/>
      <w:r w:rsidRPr="007056C4">
        <w:rPr>
          <w:rFonts w:ascii="Arial" w:hAnsi="Arial" w:cs="Arial"/>
          <w:b/>
          <w:bCs/>
        </w:rPr>
        <w:t>Student</w:t>
      </w:r>
      <w:proofErr w:type="spellEnd"/>
      <w:r w:rsidRPr="007056C4">
        <w:rPr>
          <w:rFonts w:ascii="Arial" w:hAnsi="Arial" w:cs="Arial"/>
          <w:b/>
          <w:bCs/>
        </w:rPr>
        <w:t> ID: </w:t>
      </w:r>
      <w:r w:rsidRPr="007056C4">
        <w:rPr>
          <w:rFonts w:ascii="Arial" w:hAnsi="Arial" w:cs="Arial"/>
        </w:rPr>
        <w:t>2425764</w:t>
      </w:r>
    </w:p>
    <w:p w14:paraId="54C6A4F2" w14:textId="5099F4A2" w:rsidR="0045136C" w:rsidRPr="007056C4" w:rsidRDefault="0045136C" w:rsidP="00595498">
      <w:pPr>
        <w:jc w:val="both"/>
        <w:rPr>
          <w:rFonts w:ascii="Arial" w:hAnsi="Arial" w:cs="Arial"/>
          <w:b/>
          <w:bCs/>
        </w:rPr>
      </w:pPr>
      <w:r w:rsidRPr="007056C4">
        <w:rPr>
          <w:rFonts w:ascii="Arial" w:hAnsi="Arial" w:cs="Arial"/>
          <w:b/>
          <w:bCs/>
        </w:rPr>
        <w:t>Module </w:t>
      </w:r>
      <w:proofErr w:type="spellStart"/>
      <w:r w:rsidRPr="007056C4">
        <w:rPr>
          <w:rFonts w:ascii="Arial" w:hAnsi="Arial" w:cs="Arial"/>
          <w:b/>
          <w:bCs/>
        </w:rPr>
        <w:t>Code</w:t>
      </w:r>
      <w:proofErr w:type="spellEnd"/>
      <w:r w:rsidRPr="007056C4">
        <w:rPr>
          <w:rFonts w:ascii="Arial" w:hAnsi="Arial" w:cs="Arial"/>
          <w:b/>
          <w:bCs/>
        </w:rPr>
        <w:t>:</w:t>
      </w:r>
      <w:r>
        <w:rPr>
          <w:rFonts w:ascii="Arial" w:hAnsi="Arial" w:cs="Arial"/>
          <w:b/>
          <w:bCs/>
        </w:rPr>
        <w:t xml:space="preserve"> </w:t>
      </w:r>
      <w:r>
        <w:t>LCLM500</w:t>
      </w:r>
      <w:r w:rsidR="00595498">
        <w:t>2</w:t>
      </w:r>
    </w:p>
    <w:p w14:paraId="63B2CC5A" w14:textId="61604539" w:rsidR="0045136C" w:rsidRDefault="0045136C" w:rsidP="00595498">
      <w:pPr>
        <w:jc w:val="both"/>
        <w:rPr>
          <w:rFonts w:ascii="Arial" w:hAnsi="Arial" w:cs="Arial"/>
        </w:rPr>
      </w:pPr>
      <w:proofErr w:type="spellStart"/>
      <w:r w:rsidRPr="007056C4">
        <w:rPr>
          <w:rFonts w:ascii="Arial" w:hAnsi="Arial" w:cs="Arial"/>
          <w:b/>
          <w:bCs/>
        </w:rPr>
        <w:t>Lecturer</w:t>
      </w:r>
      <w:proofErr w:type="spellEnd"/>
      <w:r w:rsidRPr="007056C4">
        <w:rPr>
          <w:rFonts w:ascii="Arial" w:hAnsi="Arial" w:cs="Arial"/>
          <w:b/>
          <w:bCs/>
        </w:rPr>
        <w:t>: </w:t>
      </w:r>
      <w:proofErr w:type="spellStart"/>
      <w:r w:rsidR="005D5F45" w:rsidRPr="005D5F45">
        <w:rPr>
          <w:rFonts w:ascii="Arial" w:hAnsi="Arial" w:cs="Arial"/>
        </w:rPr>
        <w:t>Sukhpreet</w:t>
      </w:r>
      <w:proofErr w:type="spellEnd"/>
      <w:r w:rsidR="005D5F45" w:rsidRPr="005D5F45">
        <w:rPr>
          <w:rFonts w:ascii="Arial" w:hAnsi="Arial" w:cs="Arial"/>
        </w:rPr>
        <w:t xml:space="preserve"> </w:t>
      </w:r>
      <w:proofErr w:type="spellStart"/>
      <w:r w:rsidR="005D5F45" w:rsidRPr="005D5F45">
        <w:rPr>
          <w:rFonts w:ascii="Arial" w:hAnsi="Arial" w:cs="Arial"/>
        </w:rPr>
        <w:t>Grewal</w:t>
      </w:r>
      <w:proofErr w:type="spellEnd"/>
    </w:p>
    <w:p w14:paraId="29BB9427" w14:textId="77777777" w:rsidR="00F50B11" w:rsidRPr="00F50B11" w:rsidRDefault="00F50B11" w:rsidP="00F50B11">
      <w:pPr>
        <w:jc w:val="both"/>
        <w:rPr>
          <w:rFonts w:ascii="Arial" w:hAnsi="Arial" w:cs="Arial"/>
          <w:b/>
          <w:bCs/>
          <w:lang w:val="en-GB"/>
        </w:rPr>
      </w:pPr>
      <w:r w:rsidRPr="00F50B11">
        <w:rPr>
          <w:rFonts w:ascii="Arial" w:hAnsi="Arial" w:cs="Arial"/>
          <w:b/>
          <w:bCs/>
          <w:lang w:val="en-GB"/>
        </w:rPr>
        <w:lastRenderedPageBreak/>
        <w:t>Table of Contents</w:t>
      </w:r>
    </w:p>
    <w:p w14:paraId="1C2F67A0" w14:textId="33DEF3B5" w:rsidR="00F50B11" w:rsidRPr="00F50B11" w:rsidRDefault="00F50B11" w:rsidP="00F50B11">
      <w:pPr>
        <w:numPr>
          <w:ilvl w:val="0"/>
          <w:numId w:val="4"/>
        </w:numPr>
        <w:jc w:val="both"/>
        <w:rPr>
          <w:rFonts w:ascii="Arial" w:hAnsi="Arial" w:cs="Arial"/>
          <w:lang w:val="en-GB"/>
        </w:rPr>
      </w:pPr>
      <w:r w:rsidRPr="00F50B11">
        <w:rPr>
          <w:rFonts w:ascii="Arial" w:hAnsi="Arial" w:cs="Arial"/>
          <w:lang w:val="en-GB"/>
        </w:rPr>
        <w:t xml:space="preserve">Introduction ............................................................................. </w:t>
      </w:r>
      <w:r>
        <w:rPr>
          <w:rFonts w:ascii="Arial" w:hAnsi="Arial" w:cs="Arial"/>
          <w:lang w:val="en-GB"/>
        </w:rPr>
        <w:t>3</w:t>
      </w:r>
    </w:p>
    <w:p w14:paraId="61A7153A" w14:textId="74D750A7" w:rsidR="00F50B11" w:rsidRPr="00F50B11" w:rsidRDefault="00F50B11" w:rsidP="00F50B11">
      <w:pPr>
        <w:numPr>
          <w:ilvl w:val="0"/>
          <w:numId w:val="4"/>
        </w:numPr>
        <w:jc w:val="both"/>
        <w:rPr>
          <w:rFonts w:ascii="Arial" w:hAnsi="Arial" w:cs="Arial"/>
          <w:lang w:val="en-GB"/>
        </w:rPr>
      </w:pPr>
      <w:r w:rsidRPr="00F50B11">
        <w:rPr>
          <w:rFonts w:ascii="Arial" w:hAnsi="Arial" w:cs="Arial"/>
          <w:lang w:val="en-GB"/>
        </w:rPr>
        <w:t xml:space="preserve">Key Factors Affecting Human Resource Management ............. </w:t>
      </w:r>
      <w:r w:rsidR="0094382D">
        <w:rPr>
          <w:rFonts w:ascii="Arial" w:hAnsi="Arial" w:cs="Arial"/>
          <w:lang w:val="en-GB"/>
        </w:rPr>
        <w:t>3</w:t>
      </w:r>
      <w:r w:rsidRPr="00F50B11">
        <w:rPr>
          <w:rFonts w:ascii="Arial" w:hAnsi="Arial" w:cs="Arial"/>
          <w:lang w:val="en-GB"/>
        </w:rPr>
        <w:br/>
      </w:r>
      <w:r w:rsidRPr="00F50B11">
        <w:rPr>
          <w:rFonts w:ascii="Arial" w:hAnsi="Arial" w:cs="Arial"/>
          <w:b/>
          <w:bCs/>
          <w:lang w:val="en-GB"/>
        </w:rPr>
        <w:t xml:space="preserve">   2.1 </w:t>
      </w:r>
      <w:r w:rsidRPr="00F50B11">
        <w:rPr>
          <w:rFonts w:ascii="Arial" w:hAnsi="Arial" w:cs="Arial"/>
          <w:lang w:val="en-GB"/>
        </w:rPr>
        <w:t xml:space="preserve">Meeting Technological Advancement ................................. </w:t>
      </w:r>
      <w:r w:rsidR="0094382D">
        <w:rPr>
          <w:rFonts w:ascii="Arial" w:hAnsi="Arial" w:cs="Arial"/>
          <w:lang w:val="en-GB"/>
        </w:rPr>
        <w:t>3</w:t>
      </w:r>
      <w:r w:rsidRPr="00F50B11">
        <w:rPr>
          <w:rFonts w:ascii="Arial" w:hAnsi="Arial" w:cs="Arial"/>
          <w:lang w:val="en-GB"/>
        </w:rPr>
        <w:br/>
      </w:r>
      <w:r w:rsidRPr="00F50B11">
        <w:rPr>
          <w:rFonts w:ascii="Arial" w:hAnsi="Arial" w:cs="Arial"/>
          <w:b/>
          <w:bCs/>
          <w:lang w:val="en-GB"/>
        </w:rPr>
        <w:t xml:space="preserve">   2.2 </w:t>
      </w:r>
      <w:r w:rsidRPr="00F50B11">
        <w:rPr>
          <w:rFonts w:ascii="Arial" w:hAnsi="Arial" w:cs="Arial"/>
          <w:lang w:val="en-GB"/>
        </w:rPr>
        <w:t xml:space="preserve">Talent Acquisition and Retention ..................................... </w:t>
      </w:r>
      <w:r w:rsidR="0094382D">
        <w:rPr>
          <w:rFonts w:ascii="Arial" w:hAnsi="Arial" w:cs="Arial"/>
          <w:lang w:val="en-GB"/>
        </w:rPr>
        <w:t>4</w:t>
      </w:r>
      <w:r w:rsidRPr="00F50B11">
        <w:rPr>
          <w:rFonts w:ascii="Arial" w:hAnsi="Arial" w:cs="Arial"/>
          <w:lang w:val="en-GB"/>
        </w:rPr>
        <w:br/>
      </w:r>
      <w:r w:rsidRPr="00F50B11">
        <w:rPr>
          <w:rFonts w:ascii="Arial" w:hAnsi="Arial" w:cs="Arial"/>
          <w:b/>
          <w:bCs/>
          <w:lang w:val="en-GB"/>
        </w:rPr>
        <w:t xml:space="preserve">   2.3 </w:t>
      </w:r>
      <w:r w:rsidRPr="00F50B11">
        <w:rPr>
          <w:rFonts w:ascii="Arial" w:hAnsi="Arial" w:cs="Arial"/>
          <w:lang w:val="en-GB"/>
        </w:rPr>
        <w:t xml:space="preserve">Diversity, Equity and Inclusion (DEI) ............................. 4 </w:t>
      </w:r>
    </w:p>
    <w:p w14:paraId="61E6436F" w14:textId="00D3D073" w:rsidR="00F50B11" w:rsidRPr="00F50B11" w:rsidRDefault="00F50B11" w:rsidP="00F50B11">
      <w:pPr>
        <w:numPr>
          <w:ilvl w:val="0"/>
          <w:numId w:val="4"/>
        </w:numPr>
        <w:jc w:val="both"/>
        <w:rPr>
          <w:rFonts w:ascii="Arial" w:hAnsi="Arial" w:cs="Arial"/>
          <w:b/>
          <w:bCs/>
          <w:lang w:val="en-GB"/>
        </w:rPr>
      </w:pPr>
      <w:r w:rsidRPr="00F50B11">
        <w:rPr>
          <w:rFonts w:ascii="Arial" w:hAnsi="Arial" w:cs="Arial"/>
          <w:lang w:val="en-GB"/>
        </w:rPr>
        <w:t>Evaluation of Contemporary HR Practices ............................... 5</w:t>
      </w:r>
      <w:r w:rsidRPr="00F50B11">
        <w:rPr>
          <w:rFonts w:ascii="Arial" w:hAnsi="Arial" w:cs="Arial"/>
          <w:b/>
          <w:bCs/>
          <w:lang w:val="en-GB"/>
        </w:rPr>
        <w:br/>
        <w:t xml:space="preserve">   3.1 </w:t>
      </w:r>
      <w:r w:rsidRPr="00F50B11">
        <w:rPr>
          <w:rFonts w:ascii="Arial" w:hAnsi="Arial" w:cs="Arial"/>
          <w:lang w:val="en-GB"/>
        </w:rPr>
        <w:t>HR Practices Addressing Technological Advancement ...... 5</w:t>
      </w:r>
      <w:r w:rsidRPr="00F50B11">
        <w:rPr>
          <w:rFonts w:ascii="Arial" w:hAnsi="Arial" w:cs="Arial"/>
          <w:b/>
          <w:bCs/>
          <w:lang w:val="en-GB"/>
        </w:rPr>
        <w:br/>
        <w:t xml:space="preserve">   3.2 </w:t>
      </w:r>
      <w:r w:rsidRPr="00F50B11">
        <w:rPr>
          <w:rFonts w:ascii="Arial" w:hAnsi="Arial" w:cs="Arial"/>
          <w:lang w:val="en-GB"/>
        </w:rPr>
        <w:t>HR Practices Addressing Talent Acquisition and Retention</w:t>
      </w:r>
      <w:r w:rsidRPr="00F50B11">
        <w:rPr>
          <w:rFonts w:ascii="Arial" w:hAnsi="Arial" w:cs="Arial"/>
          <w:b/>
          <w:bCs/>
          <w:lang w:val="en-GB"/>
        </w:rPr>
        <w:t xml:space="preserve"> ................................................................. </w:t>
      </w:r>
      <w:r w:rsidR="00635ECF">
        <w:rPr>
          <w:rFonts w:ascii="Arial" w:hAnsi="Arial" w:cs="Arial"/>
          <w:lang w:val="en-GB"/>
        </w:rPr>
        <w:t>5</w:t>
      </w:r>
      <w:r w:rsidRPr="00F50B11">
        <w:rPr>
          <w:rFonts w:ascii="Arial" w:hAnsi="Arial" w:cs="Arial"/>
          <w:b/>
          <w:bCs/>
          <w:lang w:val="en-GB"/>
        </w:rPr>
        <w:br/>
        <w:t xml:space="preserve">   3.3 </w:t>
      </w:r>
      <w:r w:rsidRPr="00F50B11">
        <w:rPr>
          <w:rFonts w:ascii="Arial" w:hAnsi="Arial" w:cs="Arial"/>
          <w:lang w:val="en-GB"/>
        </w:rPr>
        <w:t xml:space="preserve">HR Practices Addressing DEI ........................................... </w:t>
      </w:r>
      <w:r w:rsidR="00635ECF">
        <w:rPr>
          <w:rFonts w:ascii="Arial" w:hAnsi="Arial" w:cs="Arial"/>
          <w:lang w:val="en-GB"/>
        </w:rPr>
        <w:t>6</w:t>
      </w:r>
    </w:p>
    <w:p w14:paraId="59B5F2B5" w14:textId="07DA7126" w:rsidR="00F50B11" w:rsidRPr="00F50B11" w:rsidRDefault="00F50B11" w:rsidP="00F50B11">
      <w:pPr>
        <w:numPr>
          <w:ilvl w:val="0"/>
          <w:numId w:val="4"/>
        </w:numPr>
        <w:jc w:val="both"/>
        <w:rPr>
          <w:rFonts w:ascii="Arial" w:hAnsi="Arial" w:cs="Arial"/>
          <w:lang w:val="en-GB"/>
        </w:rPr>
      </w:pPr>
      <w:r w:rsidRPr="00F50B11">
        <w:rPr>
          <w:rFonts w:ascii="Arial" w:hAnsi="Arial" w:cs="Arial"/>
          <w:lang w:val="en-GB"/>
        </w:rPr>
        <w:t xml:space="preserve">Critical Evaluation of Managerial Implementation ................. </w:t>
      </w:r>
      <w:r w:rsidR="009D05C9">
        <w:rPr>
          <w:rFonts w:ascii="Arial" w:hAnsi="Arial" w:cs="Arial"/>
          <w:lang w:val="en-GB"/>
        </w:rPr>
        <w:t>6</w:t>
      </w:r>
    </w:p>
    <w:p w14:paraId="342CED7C" w14:textId="1CE5FE7E" w:rsidR="00F50B11" w:rsidRPr="00F50B11" w:rsidRDefault="00F50B11" w:rsidP="00F50B11">
      <w:pPr>
        <w:numPr>
          <w:ilvl w:val="0"/>
          <w:numId w:val="4"/>
        </w:numPr>
        <w:jc w:val="both"/>
        <w:rPr>
          <w:rFonts w:ascii="Arial" w:hAnsi="Arial" w:cs="Arial"/>
          <w:lang w:val="en-GB"/>
        </w:rPr>
      </w:pPr>
      <w:r w:rsidRPr="00F50B11">
        <w:rPr>
          <w:rFonts w:ascii="Arial" w:hAnsi="Arial" w:cs="Arial"/>
          <w:lang w:val="en-GB"/>
        </w:rPr>
        <w:t xml:space="preserve">Conclusion and Recommendations .......................................... </w:t>
      </w:r>
      <w:r w:rsidR="009D05C9">
        <w:rPr>
          <w:rFonts w:ascii="Arial" w:hAnsi="Arial" w:cs="Arial"/>
          <w:lang w:val="en-GB"/>
        </w:rPr>
        <w:t>7</w:t>
      </w:r>
    </w:p>
    <w:p w14:paraId="3A9F7ED2" w14:textId="4D81AC42" w:rsidR="00F50B11" w:rsidRPr="00F50B11" w:rsidRDefault="00F50B11" w:rsidP="00F50B11">
      <w:pPr>
        <w:numPr>
          <w:ilvl w:val="0"/>
          <w:numId w:val="4"/>
        </w:numPr>
        <w:jc w:val="both"/>
        <w:rPr>
          <w:rFonts w:ascii="Arial" w:hAnsi="Arial" w:cs="Arial"/>
          <w:lang w:val="en-GB"/>
        </w:rPr>
      </w:pPr>
      <w:r w:rsidRPr="00F50B11">
        <w:rPr>
          <w:rFonts w:ascii="Arial" w:hAnsi="Arial" w:cs="Arial"/>
          <w:lang w:val="en-GB"/>
        </w:rPr>
        <w:t xml:space="preserve">Reference List ......................................................................... </w:t>
      </w:r>
      <w:r w:rsidR="009D05C9">
        <w:rPr>
          <w:rFonts w:ascii="Arial" w:hAnsi="Arial" w:cs="Arial"/>
          <w:lang w:val="en-GB"/>
        </w:rPr>
        <w:t>8</w:t>
      </w:r>
    </w:p>
    <w:p w14:paraId="3C664710" w14:textId="77777777" w:rsidR="00B1413D" w:rsidRDefault="00B1413D" w:rsidP="00B22AAF">
      <w:pPr>
        <w:jc w:val="both"/>
        <w:rPr>
          <w:rFonts w:ascii="Arial" w:hAnsi="Arial" w:cs="Arial"/>
          <w:b/>
          <w:bCs/>
          <w:lang w:val="en-GB"/>
        </w:rPr>
      </w:pPr>
    </w:p>
    <w:p w14:paraId="19162D9D" w14:textId="77777777" w:rsidR="00B1413D" w:rsidRDefault="00B1413D" w:rsidP="00B22AAF">
      <w:pPr>
        <w:jc w:val="both"/>
        <w:rPr>
          <w:rFonts w:ascii="Arial" w:hAnsi="Arial" w:cs="Arial"/>
          <w:b/>
          <w:bCs/>
          <w:lang w:val="en-GB"/>
        </w:rPr>
      </w:pPr>
    </w:p>
    <w:p w14:paraId="25B59B1F" w14:textId="77777777" w:rsidR="00B1413D" w:rsidRDefault="00B1413D" w:rsidP="00B22AAF">
      <w:pPr>
        <w:jc w:val="both"/>
        <w:rPr>
          <w:rFonts w:ascii="Arial" w:hAnsi="Arial" w:cs="Arial"/>
          <w:b/>
          <w:bCs/>
          <w:lang w:val="en-GB"/>
        </w:rPr>
      </w:pPr>
    </w:p>
    <w:p w14:paraId="5A12923B" w14:textId="77777777" w:rsidR="00B1413D" w:rsidRDefault="00B1413D" w:rsidP="00B22AAF">
      <w:pPr>
        <w:jc w:val="both"/>
        <w:rPr>
          <w:rFonts w:ascii="Arial" w:hAnsi="Arial" w:cs="Arial"/>
          <w:b/>
          <w:bCs/>
          <w:lang w:val="en-GB"/>
        </w:rPr>
      </w:pPr>
    </w:p>
    <w:p w14:paraId="0B51A7EB" w14:textId="77777777" w:rsidR="00B1413D" w:rsidRDefault="00B1413D" w:rsidP="00B22AAF">
      <w:pPr>
        <w:jc w:val="both"/>
        <w:rPr>
          <w:rFonts w:ascii="Arial" w:hAnsi="Arial" w:cs="Arial"/>
          <w:b/>
          <w:bCs/>
          <w:lang w:val="en-GB"/>
        </w:rPr>
      </w:pPr>
    </w:p>
    <w:p w14:paraId="5C98D8ED" w14:textId="77777777" w:rsidR="00B1413D" w:rsidRDefault="00B1413D" w:rsidP="00B22AAF">
      <w:pPr>
        <w:jc w:val="both"/>
        <w:rPr>
          <w:rFonts w:ascii="Arial" w:hAnsi="Arial" w:cs="Arial"/>
          <w:b/>
          <w:bCs/>
          <w:lang w:val="en-GB"/>
        </w:rPr>
      </w:pPr>
    </w:p>
    <w:p w14:paraId="5E043E9B" w14:textId="77777777" w:rsidR="00B1413D" w:rsidRDefault="00B1413D" w:rsidP="00B22AAF">
      <w:pPr>
        <w:jc w:val="both"/>
        <w:rPr>
          <w:rFonts w:ascii="Arial" w:hAnsi="Arial" w:cs="Arial"/>
          <w:b/>
          <w:bCs/>
          <w:lang w:val="en-GB"/>
        </w:rPr>
      </w:pPr>
    </w:p>
    <w:p w14:paraId="0AF50ACD" w14:textId="77777777" w:rsidR="00B1413D" w:rsidRDefault="00B1413D" w:rsidP="00B22AAF">
      <w:pPr>
        <w:jc w:val="both"/>
        <w:rPr>
          <w:rFonts w:ascii="Arial" w:hAnsi="Arial" w:cs="Arial"/>
          <w:b/>
          <w:bCs/>
          <w:lang w:val="en-GB"/>
        </w:rPr>
      </w:pPr>
    </w:p>
    <w:p w14:paraId="67B95141" w14:textId="77777777" w:rsidR="00B1413D" w:rsidRDefault="00B1413D" w:rsidP="00B22AAF">
      <w:pPr>
        <w:jc w:val="both"/>
        <w:rPr>
          <w:rFonts w:ascii="Arial" w:hAnsi="Arial" w:cs="Arial"/>
          <w:b/>
          <w:bCs/>
          <w:lang w:val="en-GB"/>
        </w:rPr>
      </w:pPr>
    </w:p>
    <w:p w14:paraId="7F04910C" w14:textId="77777777" w:rsidR="00B1413D" w:rsidRDefault="00B1413D" w:rsidP="00B22AAF">
      <w:pPr>
        <w:jc w:val="both"/>
        <w:rPr>
          <w:rFonts w:ascii="Arial" w:hAnsi="Arial" w:cs="Arial"/>
          <w:b/>
          <w:bCs/>
          <w:lang w:val="en-GB"/>
        </w:rPr>
      </w:pPr>
    </w:p>
    <w:p w14:paraId="6AE615A0" w14:textId="77777777" w:rsidR="00B1413D" w:rsidRDefault="00B1413D" w:rsidP="00B22AAF">
      <w:pPr>
        <w:jc w:val="both"/>
        <w:rPr>
          <w:rFonts w:ascii="Arial" w:hAnsi="Arial" w:cs="Arial"/>
          <w:b/>
          <w:bCs/>
          <w:lang w:val="en-GB"/>
        </w:rPr>
      </w:pPr>
    </w:p>
    <w:p w14:paraId="69D78DC3" w14:textId="77777777" w:rsidR="00B1413D" w:rsidRDefault="00B1413D" w:rsidP="00B22AAF">
      <w:pPr>
        <w:jc w:val="both"/>
        <w:rPr>
          <w:rFonts w:ascii="Arial" w:hAnsi="Arial" w:cs="Arial"/>
          <w:b/>
          <w:bCs/>
          <w:lang w:val="en-GB"/>
        </w:rPr>
      </w:pPr>
    </w:p>
    <w:p w14:paraId="2D65CADA" w14:textId="77777777" w:rsidR="00B1413D" w:rsidRDefault="00B1413D" w:rsidP="00B22AAF">
      <w:pPr>
        <w:jc w:val="both"/>
        <w:rPr>
          <w:rFonts w:ascii="Arial" w:hAnsi="Arial" w:cs="Arial"/>
          <w:b/>
          <w:bCs/>
          <w:lang w:val="en-GB"/>
        </w:rPr>
      </w:pPr>
    </w:p>
    <w:p w14:paraId="3B2CCF6B" w14:textId="77777777" w:rsidR="00B1413D" w:rsidRDefault="00B1413D" w:rsidP="00B22AAF">
      <w:pPr>
        <w:jc w:val="both"/>
        <w:rPr>
          <w:rFonts w:ascii="Arial" w:hAnsi="Arial" w:cs="Arial"/>
          <w:b/>
          <w:bCs/>
          <w:lang w:val="en-GB"/>
        </w:rPr>
      </w:pPr>
    </w:p>
    <w:p w14:paraId="3B110ED5" w14:textId="77777777" w:rsidR="00B1413D" w:rsidRDefault="00B1413D" w:rsidP="00B22AAF">
      <w:pPr>
        <w:jc w:val="both"/>
        <w:rPr>
          <w:rFonts w:ascii="Arial" w:hAnsi="Arial" w:cs="Arial"/>
          <w:b/>
          <w:bCs/>
          <w:lang w:val="en-GB"/>
        </w:rPr>
      </w:pPr>
    </w:p>
    <w:p w14:paraId="07AFF7C6" w14:textId="77777777" w:rsidR="00B1413D" w:rsidRDefault="00B1413D" w:rsidP="00B22AAF">
      <w:pPr>
        <w:jc w:val="both"/>
        <w:rPr>
          <w:rFonts w:ascii="Arial" w:hAnsi="Arial" w:cs="Arial"/>
          <w:b/>
          <w:bCs/>
          <w:lang w:val="en-GB"/>
        </w:rPr>
      </w:pPr>
    </w:p>
    <w:p w14:paraId="7C9DD64A" w14:textId="77777777" w:rsidR="00B1413D" w:rsidRDefault="00B1413D" w:rsidP="00B22AAF">
      <w:pPr>
        <w:jc w:val="both"/>
        <w:rPr>
          <w:rFonts w:ascii="Arial" w:hAnsi="Arial" w:cs="Arial"/>
          <w:b/>
          <w:bCs/>
          <w:lang w:val="en-GB"/>
        </w:rPr>
      </w:pPr>
    </w:p>
    <w:p w14:paraId="0ED22291" w14:textId="77777777" w:rsidR="00B1413D" w:rsidRDefault="00B1413D" w:rsidP="00B22AAF">
      <w:pPr>
        <w:jc w:val="both"/>
        <w:rPr>
          <w:rFonts w:ascii="Arial" w:hAnsi="Arial" w:cs="Arial"/>
          <w:b/>
          <w:bCs/>
          <w:lang w:val="en-GB"/>
        </w:rPr>
      </w:pPr>
    </w:p>
    <w:p w14:paraId="39AE52EE" w14:textId="77777777" w:rsidR="00B1413D" w:rsidRDefault="00B1413D" w:rsidP="00B22AAF">
      <w:pPr>
        <w:jc w:val="both"/>
        <w:rPr>
          <w:rFonts w:ascii="Arial" w:hAnsi="Arial" w:cs="Arial"/>
          <w:b/>
          <w:bCs/>
          <w:lang w:val="en-GB"/>
        </w:rPr>
      </w:pPr>
    </w:p>
    <w:p w14:paraId="5B877CD2" w14:textId="77777777" w:rsidR="00B1413D" w:rsidRDefault="00B1413D" w:rsidP="00B22AAF">
      <w:pPr>
        <w:jc w:val="both"/>
        <w:rPr>
          <w:rFonts w:ascii="Arial" w:hAnsi="Arial" w:cs="Arial"/>
          <w:b/>
          <w:bCs/>
          <w:lang w:val="en-GB"/>
        </w:rPr>
      </w:pPr>
    </w:p>
    <w:p w14:paraId="77272FD0" w14:textId="77777777" w:rsidR="00B1413D" w:rsidRDefault="00B1413D" w:rsidP="00B22AAF">
      <w:pPr>
        <w:jc w:val="both"/>
        <w:rPr>
          <w:rFonts w:ascii="Arial" w:hAnsi="Arial" w:cs="Arial"/>
          <w:b/>
          <w:bCs/>
          <w:lang w:val="en-GB"/>
        </w:rPr>
      </w:pPr>
    </w:p>
    <w:p w14:paraId="464DB56C" w14:textId="77777777" w:rsidR="00B1413D" w:rsidRDefault="00B1413D" w:rsidP="00B22AAF">
      <w:pPr>
        <w:jc w:val="both"/>
        <w:rPr>
          <w:rFonts w:ascii="Arial" w:hAnsi="Arial" w:cs="Arial"/>
          <w:b/>
          <w:bCs/>
          <w:lang w:val="en-GB"/>
        </w:rPr>
      </w:pPr>
    </w:p>
    <w:p w14:paraId="37557D8D" w14:textId="67A1D3F8" w:rsidR="00B22AAF" w:rsidRPr="00B22AAF" w:rsidRDefault="00B22AAF" w:rsidP="00B22AAF">
      <w:pPr>
        <w:jc w:val="both"/>
        <w:rPr>
          <w:rFonts w:ascii="Arial" w:hAnsi="Arial" w:cs="Arial"/>
          <w:b/>
          <w:bCs/>
          <w:lang w:val="en-GB"/>
        </w:rPr>
      </w:pPr>
      <w:r w:rsidRPr="00B22AAF">
        <w:rPr>
          <w:rFonts w:ascii="Arial" w:hAnsi="Arial" w:cs="Arial"/>
          <w:b/>
          <w:bCs/>
          <w:lang w:val="en-GB"/>
        </w:rPr>
        <w:t>1. Introduction</w:t>
      </w:r>
    </w:p>
    <w:p w14:paraId="65BE50CE" w14:textId="77777777" w:rsidR="00B22AAF" w:rsidRPr="00B22AAF" w:rsidRDefault="00B22AAF" w:rsidP="00B22AAF">
      <w:pPr>
        <w:jc w:val="both"/>
        <w:rPr>
          <w:rFonts w:ascii="Arial" w:hAnsi="Arial" w:cs="Arial"/>
          <w:lang w:val="en-GB"/>
        </w:rPr>
      </w:pPr>
      <w:r w:rsidRPr="00B22AAF">
        <w:rPr>
          <w:rFonts w:ascii="Arial" w:hAnsi="Arial" w:cs="Arial"/>
          <w:lang w:val="en-GB"/>
        </w:rPr>
        <w:t>Human Resource Management (HRM) plays a crucial role in ensuring that organisations remain competitive, sustainable, and adaptable in a rapidly evolving business environment. In the United Kingdom, organisations are increasingly challenged by factors such as technological advancement, talent shortages, and the growing importance of Diversity, Equity, and Inclusion (DEI). These factors significantly influence how companies attract, develop, and retain employees while maintaining organisational performance.</w:t>
      </w:r>
    </w:p>
    <w:p w14:paraId="512ECCB8" w14:textId="77777777" w:rsidR="00B22AAF" w:rsidRPr="00B22AAF" w:rsidRDefault="00B22AAF" w:rsidP="00B22AAF">
      <w:pPr>
        <w:jc w:val="both"/>
        <w:rPr>
          <w:rFonts w:ascii="Arial" w:hAnsi="Arial" w:cs="Arial"/>
          <w:lang w:val="en-GB"/>
        </w:rPr>
      </w:pPr>
      <w:r w:rsidRPr="00B22AAF">
        <w:rPr>
          <w:rFonts w:ascii="Arial" w:hAnsi="Arial" w:cs="Arial"/>
          <w:lang w:val="en-GB"/>
        </w:rPr>
        <w:t>This report focuses on Tesco plc, one of the largest retail organisations in the UK, employing over 300,000 people. As a large-scale employer operating in a highly competitive and technology-driven sector, Tesco provides an ideal case for analysing contemporary HR challenges and practices.</w:t>
      </w:r>
    </w:p>
    <w:p w14:paraId="0B709F8A" w14:textId="77777777" w:rsidR="00B22AAF" w:rsidRPr="00B22AAF" w:rsidRDefault="00B22AAF" w:rsidP="00B22AAF">
      <w:pPr>
        <w:jc w:val="both"/>
        <w:rPr>
          <w:rFonts w:ascii="Arial" w:hAnsi="Arial" w:cs="Arial"/>
          <w:lang w:val="en-GB"/>
        </w:rPr>
      </w:pPr>
      <w:r w:rsidRPr="00B22AAF">
        <w:rPr>
          <w:rFonts w:ascii="Arial" w:hAnsi="Arial" w:cs="Arial"/>
          <w:lang w:val="en-GB"/>
        </w:rPr>
        <w:t>The report aims to:</w:t>
      </w:r>
    </w:p>
    <w:p w14:paraId="7AA52BCC" w14:textId="77777777" w:rsidR="00B22AAF" w:rsidRPr="00B22AAF" w:rsidRDefault="00B22AAF" w:rsidP="00B22AAF">
      <w:pPr>
        <w:numPr>
          <w:ilvl w:val="0"/>
          <w:numId w:val="2"/>
        </w:numPr>
        <w:jc w:val="both"/>
        <w:rPr>
          <w:rFonts w:ascii="Arial" w:hAnsi="Arial" w:cs="Arial"/>
          <w:lang w:val="en-GB"/>
        </w:rPr>
      </w:pPr>
      <w:r w:rsidRPr="00B22AAF">
        <w:rPr>
          <w:rFonts w:ascii="Arial" w:hAnsi="Arial" w:cs="Arial"/>
          <w:lang w:val="en-GB"/>
        </w:rPr>
        <w:t xml:space="preserve">Explain key HR challenges related to technology, talent management, and DEI </w:t>
      </w:r>
    </w:p>
    <w:p w14:paraId="2D8E39EE" w14:textId="77777777" w:rsidR="00B22AAF" w:rsidRPr="00B22AAF" w:rsidRDefault="00B22AAF" w:rsidP="00B22AAF">
      <w:pPr>
        <w:numPr>
          <w:ilvl w:val="0"/>
          <w:numId w:val="2"/>
        </w:numPr>
        <w:jc w:val="both"/>
        <w:rPr>
          <w:rFonts w:ascii="Arial" w:hAnsi="Arial" w:cs="Arial"/>
          <w:lang w:val="en-GB"/>
        </w:rPr>
      </w:pPr>
      <w:r w:rsidRPr="00B22AAF">
        <w:rPr>
          <w:rFonts w:ascii="Arial" w:hAnsi="Arial" w:cs="Arial"/>
          <w:lang w:val="en-GB"/>
        </w:rPr>
        <w:t xml:space="preserve">Evaluate contemporary HR practices used to address these challenges </w:t>
      </w:r>
    </w:p>
    <w:p w14:paraId="44512D03" w14:textId="77777777" w:rsidR="00B22AAF" w:rsidRPr="00B22AAF" w:rsidRDefault="00B22AAF" w:rsidP="00B22AAF">
      <w:pPr>
        <w:numPr>
          <w:ilvl w:val="0"/>
          <w:numId w:val="2"/>
        </w:numPr>
        <w:jc w:val="both"/>
        <w:rPr>
          <w:rFonts w:ascii="Arial" w:hAnsi="Arial" w:cs="Arial"/>
          <w:lang w:val="en-GB"/>
        </w:rPr>
      </w:pPr>
      <w:r w:rsidRPr="00B22AAF">
        <w:rPr>
          <w:rFonts w:ascii="Arial" w:hAnsi="Arial" w:cs="Arial"/>
          <w:lang w:val="en-GB"/>
        </w:rPr>
        <w:t xml:space="preserve">Critically assess how departmental managers can ensure effective implementation </w:t>
      </w:r>
    </w:p>
    <w:p w14:paraId="7938A5DA" w14:textId="77777777" w:rsidR="00B22AAF" w:rsidRDefault="00B22AAF" w:rsidP="00B22AAF">
      <w:pPr>
        <w:jc w:val="both"/>
        <w:rPr>
          <w:rFonts w:ascii="Arial" w:hAnsi="Arial" w:cs="Arial"/>
          <w:lang w:val="en-GB"/>
        </w:rPr>
      </w:pPr>
      <w:r w:rsidRPr="00B22AAF">
        <w:rPr>
          <w:rFonts w:ascii="Arial" w:hAnsi="Arial" w:cs="Arial"/>
          <w:lang w:val="en-GB"/>
        </w:rPr>
        <w:t>The report concludes with practical recommendations to improve HR effectiveness and organisational performance.</w:t>
      </w:r>
    </w:p>
    <w:p w14:paraId="1E736958" w14:textId="77777777" w:rsidR="00B1413D" w:rsidRDefault="00B1413D" w:rsidP="00B22AAF">
      <w:pPr>
        <w:jc w:val="both"/>
        <w:rPr>
          <w:rFonts w:ascii="Arial" w:hAnsi="Arial" w:cs="Arial"/>
          <w:lang w:val="en-GB"/>
        </w:rPr>
      </w:pPr>
    </w:p>
    <w:p w14:paraId="198066E7" w14:textId="2167280D" w:rsidR="00E67D6B" w:rsidRPr="00E67D6B" w:rsidRDefault="00E67D6B" w:rsidP="00E67D6B">
      <w:pPr>
        <w:jc w:val="both"/>
        <w:rPr>
          <w:rFonts w:ascii="Arial" w:hAnsi="Arial" w:cs="Arial"/>
          <w:b/>
          <w:bCs/>
          <w:lang w:val="en-GB"/>
        </w:rPr>
      </w:pPr>
      <w:r>
        <w:rPr>
          <w:rFonts w:ascii="Arial" w:hAnsi="Arial" w:cs="Arial"/>
          <w:b/>
          <w:bCs/>
          <w:lang w:val="en-GB"/>
        </w:rPr>
        <w:t>2</w:t>
      </w:r>
      <w:r w:rsidRPr="00E67D6B">
        <w:rPr>
          <w:rFonts w:ascii="Arial" w:hAnsi="Arial" w:cs="Arial"/>
          <w:b/>
          <w:bCs/>
          <w:lang w:val="en-GB"/>
        </w:rPr>
        <w:t>. Key Factors Affecting Human Resource Management</w:t>
      </w:r>
    </w:p>
    <w:p w14:paraId="6DF860BD" w14:textId="57A51FC8" w:rsidR="00E67D6B" w:rsidRPr="00E67D6B" w:rsidRDefault="00E67D6B" w:rsidP="00E67D6B">
      <w:pPr>
        <w:jc w:val="both"/>
        <w:rPr>
          <w:rFonts w:ascii="Arial" w:hAnsi="Arial" w:cs="Arial"/>
          <w:b/>
          <w:bCs/>
          <w:lang w:val="en-GB"/>
        </w:rPr>
      </w:pPr>
      <w:r>
        <w:rPr>
          <w:rFonts w:ascii="Arial" w:hAnsi="Arial" w:cs="Arial"/>
          <w:b/>
          <w:bCs/>
          <w:lang w:val="en-GB"/>
        </w:rPr>
        <w:t>2</w:t>
      </w:r>
      <w:r w:rsidRPr="00E67D6B">
        <w:rPr>
          <w:rFonts w:ascii="Arial" w:hAnsi="Arial" w:cs="Arial"/>
          <w:b/>
          <w:bCs/>
          <w:lang w:val="en-GB"/>
        </w:rPr>
        <w:t>.1 Meeting Technological Advancement</w:t>
      </w:r>
    </w:p>
    <w:p w14:paraId="6CA43508" w14:textId="77777777" w:rsidR="00E67D6B" w:rsidRPr="00E67D6B" w:rsidRDefault="00E67D6B" w:rsidP="00E67D6B">
      <w:pPr>
        <w:jc w:val="both"/>
        <w:rPr>
          <w:rFonts w:ascii="Arial" w:hAnsi="Arial" w:cs="Arial"/>
          <w:lang w:val="en-GB"/>
        </w:rPr>
      </w:pPr>
      <w:r w:rsidRPr="00E67D6B">
        <w:rPr>
          <w:rFonts w:ascii="Arial" w:hAnsi="Arial" w:cs="Arial"/>
          <w:lang w:val="en-GB"/>
        </w:rPr>
        <w:t>Technological advancement represents a critical factor influencing Human Resource Management (HRM) within modern organisations such as Tesco. The rapid integration of digital technologies—including automation, artificial intelligence (AI), and data analytics—has significantly transformed operational processes in the retail sector.</w:t>
      </w:r>
    </w:p>
    <w:p w14:paraId="72937634" w14:textId="77777777" w:rsidR="00E67D6B" w:rsidRPr="00E67D6B" w:rsidRDefault="00E67D6B" w:rsidP="00E67D6B">
      <w:pPr>
        <w:jc w:val="both"/>
        <w:rPr>
          <w:rFonts w:ascii="Arial" w:hAnsi="Arial" w:cs="Arial"/>
          <w:lang w:val="en-GB"/>
        </w:rPr>
      </w:pPr>
      <w:r w:rsidRPr="00E67D6B">
        <w:rPr>
          <w:rFonts w:ascii="Arial" w:hAnsi="Arial" w:cs="Arial"/>
          <w:lang w:val="en-GB"/>
        </w:rPr>
        <w:t xml:space="preserve">One key issue is the growing </w:t>
      </w:r>
      <w:r w:rsidRPr="00E67D6B">
        <w:rPr>
          <w:rFonts w:ascii="Arial" w:hAnsi="Arial" w:cs="Arial"/>
          <w:b/>
          <w:bCs/>
          <w:lang w:val="en-GB"/>
        </w:rPr>
        <w:t>skills gap</w:t>
      </w:r>
      <w:r w:rsidRPr="00E67D6B">
        <w:rPr>
          <w:rFonts w:ascii="Arial" w:hAnsi="Arial" w:cs="Arial"/>
          <w:lang w:val="en-GB"/>
        </w:rPr>
        <w:t>. As organisations adopt advanced technologies, employees are required to develop new digital competencies. Many existing employees may lack the necessary technical skills, creating a mismatch between job requirements and workforce capabilities. This necessitates continuous investment in training and development, placing additional pressure on HR departments.</w:t>
      </w:r>
    </w:p>
    <w:p w14:paraId="1E2AA44D" w14:textId="77777777" w:rsidR="00E67D6B" w:rsidRPr="00E67D6B" w:rsidRDefault="00E67D6B" w:rsidP="00E67D6B">
      <w:pPr>
        <w:jc w:val="both"/>
        <w:rPr>
          <w:rFonts w:ascii="Arial" w:hAnsi="Arial" w:cs="Arial"/>
          <w:lang w:val="en-GB"/>
        </w:rPr>
      </w:pPr>
      <w:r w:rsidRPr="00E67D6B">
        <w:rPr>
          <w:rFonts w:ascii="Arial" w:hAnsi="Arial" w:cs="Arial"/>
          <w:lang w:val="en-GB"/>
        </w:rPr>
        <w:t xml:space="preserve">Furthermore, technological change can lead to </w:t>
      </w:r>
      <w:r w:rsidRPr="00E67D6B">
        <w:rPr>
          <w:rFonts w:ascii="Arial" w:hAnsi="Arial" w:cs="Arial"/>
          <w:b/>
          <w:bCs/>
          <w:lang w:val="en-GB"/>
        </w:rPr>
        <w:t>job displacement and insecurity</w:t>
      </w:r>
      <w:r w:rsidRPr="00E67D6B">
        <w:rPr>
          <w:rFonts w:ascii="Arial" w:hAnsi="Arial" w:cs="Arial"/>
          <w:lang w:val="en-GB"/>
        </w:rPr>
        <w:t>, particularly in roles affected by automation, such as checkout operations. This may reduce employee morale and engagement, potentially impacting productivity. HR must therefore manage change carefully, ensuring clear communication and support for affected employees.</w:t>
      </w:r>
    </w:p>
    <w:p w14:paraId="64EDD7BE" w14:textId="77777777" w:rsidR="00E67D6B" w:rsidRPr="00E67D6B" w:rsidRDefault="00E67D6B" w:rsidP="00E67D6B">
      <w:pPr>
        <w:jc w:val="both"/>
        <w:rPr>
          <w:rFonts w:ascii="Arial" w:hAnsi="Arial" w:cs="Arial"/>
          <w:lang w:val="en-GB"/>
        </w:rPr>
      </w:pPr>
      <w:r w:rsidRPr="00E67D6B">
        <w:rPr>
          <w:rFonts w:ascii="Arial" w:hAnsi="Arial" w:cs="Arial"/>
          <w:lang w:val="en-GB"/>
        </w:rPr>
        <w:t xml:space="preserve">Another important factor is the need for </w:t>
      </w:r>
      <w:r w:rsidRPr="00E67D6B">
        <w:rPr>
          <w:rFonts w:ascii="Arial" w:hAnsi="Arial" w:cs="Arial"/>
          <w:b/>
          <w:bCs/>
          <w:lang w:val="en-GB"/>
        </w:rPr>
        <w:t>organisational adaptability</w:t>
      </w:r>
      <w:r w:rsidRPr="00E67D6B">
        <w:rPr>
          <w:rFonts w:ascii="Arial" w:hAnsi="Arial" w:cs="Arial"/>
          <w:lang w:val="en-GB"/>
        </w:rPr>
        <w:t>. Employees are expected to embrace continuous change, which requires a shift in organisational culture towards innovation and learning. However, resistance to change remains a common challenge, particularly among long-serving employees.</w:t>
      </w:r>
    </w:p>
    <w:p w14:paraId="7AA4AF78" w14:textId="27080D43" w:rsidR="00E67D6B" w:rsidRDefault="00E67D6B" w:rsidP="00B22AAF">
      <w:pPr>
        <w:jc w:val="both"/>
        <w:rPr>
          <w:rFonts w:ascii="Arial" w:hAnsi="Arial" w:cs="Arial"/>
          <w:lang w:val="en-GB"/>
        </w:rPr>
      </w:pPr>
      <w:r w:rsidRPr="00E67D6B">
        <w:rPr>
          <w:rFonts w:ascii="Arial" w:hAnsi="Arial" w:cs="Arial"/>
          <w:lang w:val="en-GB"/>
        </w:rPr>
        <w:lastRenderedPageBreak/>
        <w:t>Overall, technological advancement creates both opportunities and challenges. While it enhances efficiency and competitiveness, it also requires strategic workforce planning and proactive HR interventions to ensure employees can adapt effectively.</w:t>
      </w:r>
    </w:p>
    <w:p w14:paraId="141E61D7" w14:textId="68F0029C" w:rsidR="00B1413D" w:rsidRPr="00B1413D" w:rsidRDefault="00B1413D" w:rsidP="00B1413D">
      <w:pPr>
        <w:jc w:val="both"/>
        <w:rPr>
          <w:rFonts w:ascii="Arial" w:hAnsi="Arial" w:cs="Arial"/>
          <w:b/>
          <w:bCs/>
          <w:lang w:val="en-GB"/>
        </w:rPr>
      </w:pPr>
      <w:r>
        <w:rPr>
          <w:rFonts w:ascii="Arial" w:hAnsi="Arial" w:cs="Arial"/>
          <w:b/>
          <w:bCs/>
          <w:lang w:val="en-GB"/>
        </w:rPr>
        <w:t>2</w:t>
      </w:r>
      <w:r w:rsidRPr="00B1413D">
        <w:rPr>
          <w:rFonts w:ascii="Arial" w:hAnsi="Arial" w:cs="Arial"/>
          <w:b/>
          <w:bCs/>
          <w:lang w:val="en-GB"/>
        </w:rPr>
        <w:t>.2 Talent Acquisition and Retention</w:t>
      </w:r>
    </w:p>
    <w:p w14:paraId="6C9C2BE0" w14:textId="77777777" w:rsidR="00B1413D" w:rsidRPr="00B1413D" w:rsidRDefault="00B1413D" w:rsidP="00B1413D">
      <w:pPr>
        <w:jc w:val="both"/>
        <w:rPr>
          <w:rFonts w:ascii="Arial" w:hAnsi="Arial" w:cs="Arial"/>
          <w:lang w:val="en-GB"/>
        </w:rPr>
      </w:pPr>
      <w:r w:rsidRPr="00B1413D">
        <w:rPr>
          <w:rFonts w:ascii="Arial" w:hAnsi="Arial" w:cs="Arial"/>
          <w:lang w:val="en-GB"/>
        </w:rPr>
        <w:t>Talent acquisition and retention are ongoing challenges for organisations operating in competitive labour markets. In the UK retail sector, companies such as Tesco face difficulties in attracting and retaining skilled employees due to factors such as high employee turnover, changing workforce expectations, and increased competition.</w:t>
      </w:r>
    </w:p>
    <w:p w14:paraId="3E4C281C" w14:textId="77777777" w:rsidR="00B1413D" w:rsidRPr="00B1413D" w:rsidRDefault="00B1413D" w:rsidP="00B1413D">
      <w:pPr>
        <w:jc w:val="both"/>
        <w:rPr>
          <w:rFonts w:ascii="Arial" w:hAnsi="Arial" w:cs="Arial"/>
          <w:lang w:val="en-GB"/>
        </w:rPr>
      </w:pPr>
      <w:r w:rsidRPr="00B1413D">
        <w:rPr>
          <w:rFonts w:ascii="Arial" w:hAnsi="Arial" w:cs="Arial"/>
          <w:lang w:val="en-GB"/>
        </w:rPr>
        <w:t xml:space="preserve">One major issue is the </w:t>
      </w:r>
      <w:r w:rsidRPr="00B1413D">
        <w:rPr>
          <w:rFonts w:ascii="Arial" w:hAnsi="Arial" w:cs="Arial"/>
          <w:b/>
          <w:bCs/>
          <w:lang w:val="en-GB"/>
        </w:rPr>
        <w:t>changing expectations of employees</w:t>
      </w:r>
      <w:r w:rsidRPr="00B1413D">
        <w:rPr>
          <w:rFonts w:ascii="Arial" w:hAnsi="Arial" w:cs="Arial"/>
          <w:lang w:val="en-GB"/>
        </w:rPr>
        <w:t>. Modern workers increasingly value flexibility, career progression, and work-life balance over traditional incentives such as job security. As a result, organisations must offer more than just competitive salaries to attract talent.</w:t>
      </w:r>
    </w:p>
    <w:p w14:paraId="0AAB9E34" w14:textId="77777777" w:rsidR="00B1413D" w:rsidRPr="00B1413D" w:rsidRDefault="00B1413D" w:rsidP="00B1413D">
      <w:pPr>
        <w:jc w:val="both"/>
        <w:rPr>
          <w:rFonts w:ascii="Arial" w:hAnsi="Arial" w:cs="Arial"/>
          <w:lang w:val="en-GB"/>
        </w:rPr>
      </w:pPr>
      <w:r w:rsidRPr="00B1413D">
        <w:rPr>
          <w:rFonts w:ascii="Arial" w:hAnsi="Arial" w:cs="Arial"/>
          <w:lang w:val="en-GB"/>
        </w:rPr>
        <w:t xml:space="preserve">Additionally, the retail sector is often perceived as offering </w:t>
      </w:r>
      <w:r w:rsidRPr="00B1413D">
        <w:rPr>
          <w:rFonts w:ascii="Arial" w:hAnsi="Arial" w:cs="Arial"/>
          <w:b/>
          <w:bCs/>
          <w:lang w:val="en-GB"/>
        </w:rPr>
        <w:t>limited career development opportunities</w:t>
      </w:r>
      <w:r w:rsidRPr="00B1413D">
        <w:rPr>
          <w:rFonts w:ascii="Arial" w:hAnsi="Arial" w:cs="Arial"/>
          <w:lang w:val="en-GB"/>
        </w:rPr>
        <w:t>, which can discourage highly skilled candidates. This perception makes it difficult for companies to attract talent, particularly for specialised roles such as digital and managerial positions.</w:t>
      </w:r>
    </w:p>
    <w:p w14:paraId="75773B5B" w14:textId="067357AF" w:rsidR="00B1413D" w:rsidRPr="00B1413D" w:rsidRDefault="00B1413D" w:rsidP="00B1413D">
      <w:pPr>
        <w:jc w:val="both"/>
        <w:rPr>
          <w:rFonts w:ascii="Arial" w:hAnsi="Arial" w:cs="Arial"/>
          <w:lang w:val="en-GB"/>
        </w:rPr>
      </w:pPr>
      <w:r w:rsidRPr="00B1413D">
        <w:rPr>
          <w:rFonts w:ascii="Arial" w:hAnsi="Arial" w:cs="Arial"/>
          <w:lang w:val="en-GB"/>
        </w:rPr>
        <w:t>Retention presents further challenges. High turnover rates are often linked to factors such as low job satisfaction, lack of recognition, and limited opportunities for advancement. When employees feel undervalued or see no clear career path, they are more likely to leave the organisation.</w:t>
      </w:r>
      <w:r w:rsidR="003565CA">
        <w:rPr>
          <w:rFonts w:ascii="Arial" w:hAnsi="Arial" w:cs="Arial"/>
          <w:lang w:val="en-GB"/>
        </w:rPr>
        <w:t xml:space="preserve"> </w:t>
      </w:r>
      <w:r w:rsidRPr="00B1413D">
        <w:rPr>
          <w:rFonts w:ascii="Arial" w:hAnsi="Arial" w:cs="Arial"/>
          <w:lang w:val="en-GB"/>
        </w:rPr>
        <w:t>Moreover, external competition from other sectors—such as technology and logistics—has intensified the demand for skilled workers. This increases the risk of employee attrition, particularly among high performers.</w:t>
      </w:r>
    </w:p>
    <w:p w14:paraId="2E4AA447" w14:textId="37F4EE2E" w:rsidR="00B1413D" w:rsidRPr="00B1413D" w:rsidRDefault="00B1413D" w:rsidP="00B1413D">
      <w:pPr>
        <w:jc w:val="both"/>
        <w:rPr>
          <w:rFonts w:ascii="Arial" w:hAnsi="Arial" w:cs="Arial"/>
          <w:lang w:val="en-GB"/>
        </w:rPr>
      </w:pPr>
      <w:r w:rsidRPr="00B1413D">
        <w:rPr>
          <w:rFonts w:ascii="Arial" w:hAnsi="Arial" w:cs="Arial"/>
          <w:lang w:val="en-GB"/>
        </w:rPr>
        <w:t>In response, HR departments must adopt strategic approaches to talent management, focusing on employee engagement, development, and retention. Failure to address these issues can result in increased recruitment costs and reduced organisational performance.</w:t>
      </w:r>
    </w:p>
    <w:p w14:paraId="008D04E6" w14:textId="3253703E" w:rsidR="00B1413D" w:rsidRPr="00B1413D" w:rsidRDefault="00B1413D" w:rsidP="00B1413D">
      <w:pPr>
        <w:jc w:val="both"/>
        <w:rPr>
          <w:rFonts w:ascii="Arial" w:hAnsi="Arial" w:cs="Arial"/>
          <w:b/>
          <w:bCs/>
          <w:lang w:val="en-GB"/>
        </w:rPr>
      </w:pPr>
      <w:r>
        <w:rPr>
          <w:rFonts w:ascii="Arial" w:hAnsi="Arial" w:cs="Arial"/>
          <w:b/>
          <w:bCs/>
          <w:lang w:val="en-GB"/>
        </w:rPr>
        <w:t>2</w:t>
      </w:r>
      <w:r w:rsidRPr="00B1413D">
        <w:rPr>
          <w:rFonts w:ascii="Arial" w:hAnsi="Arial" w:cs="Arial"/>
          <w:b/>
          <w:bCs/>
          <w:lang w:val="en-GB"/>
        </w:rPr>
        <w:t>.3 Diversity, Equity and Inclusion (DEI)</w:t>
      </w:r>
    </w:p>
    <w:p w14:paraId="01B7ADA9" w14:textId="488AC3BA" w:rsidR="00B1413D" w:rsidRPr="00B1413D" w:rsidRDefault="00B1413D" w:rsidP="00B1413D">
      <w:pPr>
        <w:jc w:val="both"/>
        <w:rPr>
          <w:rFonts w:ascii="Arial" w:hAnsi="Arial" w:cs="Arial"/>
          <w:lang w:val="en-GB"/>
        </w:rPr>
      </w:pPr>
      <w:r w:rsidRPr="00B1413D">
        <w:rPr>
          <w:rFonts w:ascii="Arial" w:hAnsi="Arial" w:cs="Arial"/>
          <w:lang w:val="en-GB"/>
        </w:rPr>
        <w:t>Diversity, Equity, and Inclusion (DEI) have become central considerations in contemporary HRM. Organisations are increasingly expected to create workplaces that are diverse, inclusive, and fair, both to meet legal requirements and to enhance organisational performance.</w:t>
      </w:r>
      <w:r w:rsidR="003565CA">
        <w:rPr>
          <w:rFonts w:ascii="Arial" w:hAnsi="Arial" w:cs="Arial"/>
          <w:lang w:val="en-GB"/>
        </w:rPr>
        <w:t xml:space="preserve"> </w:t>
      </w:r>
      <w:r w:rsidRPr="00B1413D">
        <w:rPr>
          <w:rFonts w:ascii="Arial" w:hAnsi="Arial" w:cs="Arial"/>
          <w:lang w:val="en-GB"/>
        </w:rPr>
        <w:t xml:space="preserve">One key factor is the importance of </w:t>
      </w:r>
      <w:r w:rsidRPr="00B1413D">
        <w:rPr>
          <w:rFonts w:ascii="Arial" w:hAnsi="Arial" w:cs="Arial"/>
          <w:b/>
          <w:bCs/>
          <w:lang w:val="en-GB"/>
        </w:rPr>
        <w:t>workforce diversity</w:t>
      </w:r>
      <w:r w:rsidRPr="00B1413D">
        <w:rPr>
          <w:rFonts w:ascii="Arial" w:hAnsi="Arial" w:cs="Arial"/>
          <w:lang w:val="en-GB"/>
        </w:rPr>
        <w:t>. A diverse workforce brings a variety of perspectives, which can improve creativity, innovation, and decision-making. However, achieving diversity requires effective recruitment strategies and a commitment to equal opportunities.</w:t>
      </w:r>
    </w:p>
    <w:p w14:paraId="7E8DECC1" w14:textId="77777777" w:rsidR="00B1413D" w:rsidRPr="00B1413D" w:rsidRDefault="00B1413D" w:rsidP="00B1413D">
      <w:pPr>
        <w:jc w:val="both"/>
        <w:rPr>
          <w:rFonts w:ascii="Arial" w:hAnsi="Arial" w:cs="Arial"/>
          <w:lang w:val="en-GB"/>
        </w:rPr>
      </w:pPr>
      <w:r w:rsidRPr="00B1413D">
        <w:rPr>
          <w:rFonts w:ascii="Arial" w:hAnsi="Arial" w:cs="Arial"/>
          <w:lang w:val="en-GB"/>
        </w:rPr>
        <w:t xml:space="preserve">Equity is another critical aspect, focusing on </w:t>
      </w:r>
      <w:r w:rsidRPr="00B1413D">
        <w:rPr>
          <w:rFonts w:ascii="Arial" w:hAnsi="Arial" w:cs="Arial"/>
          <w:b/>
          <w:bCs/>
          <w:lang w:val="en-GB"/>
        </w:rPr>
        <w:t>fair treatment and access to opportunities</w:t>
      </w:r>
      <w:r w:rsidRPr="00B1413D">
        <w:rPr>
          <w:rFonts w:ascii="Arial" w:hAnsi="Arial" w:cs="Arial"/>
          <w:lang w:val="en-GB"/>
        </w:rPr>
        <w:t>. Issues such as gender pay gaps and unequal promotion opportunities remain significant challenges in many organisations. Addressing these inequalities requires transparent policies and consistent implementation.</w:t>
      </w:r>
    </w:p>
    <w:p w14:paraId="25C0A972" w14:textId="77777777" w:rsidR="00B1413D" w:rsidRPr="00B1413D" w:rsidRDefault="00B1413D" w:rsidP="00B1413D">
      <w:pPr>
        <w:jc w:val="both"/>
        <w:rPr>
          <w:rFonts w:ascii="Arial" w:hAnsi="Arial" w:cs="Arial"/>
          <w:lang w:val="en-GB"/>
        </w:rPr>
      </w:pPr>
      <w:r w:rsidRPr="00B1413D">
        <w:rPr>
          <w:rFonts w:ascii="Arial" w:hAnsi="Arial" w:cs="Arial"/>
          <w:lang w:val="en-GB"/>
        </w:rPr>
        <w:t>Inclusion goes beyond diversity by ensuring that all employees feel valued and respected. A lack of inclusion can lead to disengagement, reduced productivity, and higher turnover rates. Employees who do not feel included are less likely to contribute fully to organisational goals.</w:t>
      </w:r>
    </w:p>
    <w:p w14:paraId="59610DFF" w14:textId="6CDA9081" w:rsidR="00B1413D" w:rsidRPr="00B1413D" w:rsidRDefault="00B1413D" w:rsidP="00B1413D">
      <w:pPr>
        <w:jc w:val="both"/>
        <w:rPr>
          <w:rFonts w:ascii="Arial" w:hAnsi="Arial" w:cs="Arial"/>
          <w:lang w:val="en-GB"/>
        </w:rPr>
      </w:pPr>
      <w:r w:rsidRPr="00B1413D">
        <w:rPr>
          <w:rFonts w:ascii="Arial" w:hAnsi="Arial" w:cs="Arial"/>
          <w:lang w:val="en-GB"/>
        </w:rPr>
        <w:lastRenderedPageBreak/>
        <w:t xml:space="preserve">Another challenge is the presence of </w:t>
      </w:r>
      <w:r w:rsidRPr="00B1413D">
        <w:rPr>
          <w:rFonts w:ascii="Arial" w:hAnsi="Arial" w:cs="Arial"/>
          <w:b/>
          <w:bCs/>
          <w:lang w:val="en-GB"/>
        </w:rPr>
        <w:t>unconscious bias</w:t>
      </w:r>
      <w:r w:rsidRPr="00B1413D">
        <w:rPr>
          <w:rFonts w:ascii="Arial" w:hAnsi="Arial" w:cs="Arial"/>
          <w:lang w:val="en-GB"/>
        </w:rPr>
        <w:t xml:space="preserve"> in recruitment and management practices. Bias can influence decision-making, leading to unfair outcomes and limiting diversity within the </w:t>
      </w:r>
      <w:proofErr w:type="spellStart"/>
      <w:proofErr w:type="gramStart"/>
      <w:r w:rsidRPr="00B1413D">
        <w:rPr>
          <w:rFonts w:ascii="Arial" w:hAnsi="Arial" w:cs="Arial"/>
          <w:lang w:val="en-GB"/>
        </w:rPr>
        <w:t>organisation.Overall</w:t>
      </w:r>
      <w:proofErr w:type="spellEnd"/>
      <w:proofErr w:type="gramEnd"/>
      <w:r w:rsidRPr="00B1413D">
        <w:rPr>
          <w:rFonts w:ascii="Arial" w:hAnsi="Arial" w:cs="Arial"/>
          <w:lang w:val="en-GB"/>
        </w:rPr>
        <w:t>, DEI is not only a moral and legal obligation but also a strategic priority. Organisations that fail to address DEI effectively risk reputational damage, reduced employee engagement, and lower overall performance.</w:t>
      </w:r>
    </w:p>
    <w:p w14:paraId="75DCCEBD" w14:textId="59E392EA" w:rsidR="001828C7" w:rsidRPr="001828C7" w:rsidRDefault="003565CA" w:rsidP="001828C7">
      <w:pPr>
        <w:jc w:val="both"/>
        <w:rPr>
          <w:rFonts w:ascii="Arial" w:hAnsi="Arial" w:cs="Arial"/>
          <w:b/>
          <w:bCs/>
          <w:lang w:val="en-GB"/>
        </w:rPr>
      </w:pPr>
      <w:r>
        <w:rPr>
          <w:rFonts w:ascii="Arial" w:hAnsi="Arial" w:cs="Arial"/>
          <w:b/>
          <w:bCs/>
          <w:lang w:val="en-GB"/>
        </w:rPr>
        <w:t>3</w:t>
      </w:r>
      <w:r w:rsidR="001828C7" w:rsidRPr="001828C7">
        <w:rPr>
          <w:rFonts w:ascii="Arial" w:hAnsi="Arial" w:cs="Arial"/>
          <w:b/>
          <w:bCs/>
          <w:lang w:val="en-GB"/>
        </w:rPr>
        <w:t>. Evaluation of Contemporary HR Practices</w:t>
      </w:r>
    </w:p>
    <w:p w14:paraId="32F40F8A" w14:textId="23F54BD3" w:rsidR="001828C7" w:rsidRPr="001828C7" w:rsidRDefault="003565CA" w:rsidP="001828C7">
      <w:pPr>
        <w:jc w:val="both"/>
        <w:rPr>
          <w:rFonts w:ascii="Arial" w:hAnsi="Arial" w:cs="Arial"/>
          <w:b/>
          <w:bCs/>
          <w:lang w:val="en-GB"/>
        </w:rPr>
      </w:pPr>
      <w:r>
        <w:rPr>
          <w:rFonts w:ascii="Arial" w:hAnsi="Arial" w:cs="Arial"/>
          <w:b/>
          <w:bCs/>
          <w:lang w:val="en-GB"/>
        </w:rPr>
        <w:t>3</w:t>
      </w:r>
      <w:r w:rsidR="001828C7" w:rsidRPr="001828C7">
        <w:rPr>
          <w:rFonts w:ascii="Arial" w:hAnsi="Arial" w:cs="Arial"/>
          <w:b/>
          <w:bCs/>
          <w:lang w:val="en-GB"/>
        </w:rPr>
        <w:t>.1 HR Practices Addressing Technological Advancement</w:t>
      </w:r>
    </w:p>
    <w:p w14:paraId="5804E3BE"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One of the most widely adopted contemporary HR practices to address technological advancement is </w:t>
      </w:r>
      <w:r w:rsidRPr="001828C7">
        <w:rPr>
          <w:rFonts w:ascii="Arial" w:hAnsi="Arial" w:cs="Arial"/>
          <w:b/>
          <w:bCs/>
          <w:lang w:val="en-GB"/>
        </w:rPr>
        <w:t>continuous learning and development</w:t>
      </w:r>
      <w:r w:rsidRPr="001828C7">
        <w:rPr>
          <w:rFonts w:ascii="Arial" w:hAnsi="Arial" w:cs="Arial"/>
          <w:lang w:val="en-GB"/>
        </w:rPr>
        <w:t>, particularly through digital training platforms. Organisations such as Tesco invest in e-learning systems, workshops, and on-the-job training to enhance employees’ digital competencies.</w:t>
      </w:r>
    </w:p>
    <w:p w14:paraId="4EA1DC38"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This approach is highly beneficial as it promotes workforce adaptability and reduces the skills gap. Employees who are continuously trained are more likely to accept and effectively use new technologies. However, this practice can be </w:t>
      </w:r>
      <w:r w:rsidRPr="001828C7">
        <w:rPr>
          <w:rFonts w:ascii="Arial" w:hAnsi="Arial" w:cs="Arial"/>
          <w:b/>
          <w:bCs/>
          <w:lang w:val="en-GB"/>
        </w:rPr>
        <w:t>resource-intensive</w:t>
      </w:r>
      <w:r w:rsidRPr="001828C7">
        <w:rPr>
          <w:rFonts w:ascii="Arial" w:hAnsi="Arial" w:cs="Arial"/>
          <w:lang w:val="en-GB"/>
        </w:rPr>
        <w:t>, requiring significant financial investment and time. Additionally, not all employees engage equally with digital learning, limiting its effectiveness.</w:t>
      </w:r>
    </w:p>
    <w:p w14:paraId="328A3546"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Another important practice is </w:t>
      </w:r>
      <w:r w:rsidRPr="001828C7">
        <w:rPr>
          <w:rFonts w:ascii="Arial" w:hAnsi="Arial" w:cs="Arial"/>
          <w:b/>
          <w:bCs/>
          <w:lang w:val="en-GB"/>
        </w:rPr>
        <w:t>strategic workforce planning</w:t>
      </w:r>
      <w:r w:rsidRPr="001828C7">
        <w:rPr>
          <w:rFonts w:ascii="Arial" w:hAnsi="Arial" w:cs="Arial"/>
          <w:lang w:val="en-GB"/>
        </w:rPr>
        <w:t xml:space="preserve">, which involves forecasting future skill requirements and aligning them with organisational goals. This allows HR to prepare for technological changes proactively rather than reactively. While this approach improves long-term planning, its effectiveness is limited by the </w:t>
      </w:r>
      <w:r w:rsidRPr="001828C7">
        <w:rPr>
          <w:rFonts w:ascii="Arial" w:hAnsi="Arial" w:cs="Arial"/>
          <w:b/>
          <w:bCs/>
          <w:lang w:val="en-GB"/>
        </w:rPr>
        <w:t>unpredictable nature of technological change</w:t>
      </w:r>
      <w:r w:rsidRPr="001828C7">
        <w:rPr>
          <w:rFonts w:ascii="Arial" w:hAnsi="Arial" w:cs="Arial"/>
          <w:lang w:val="en-GB"/>
        </w:rPr>
        <w:t>, which can render forecasts inaccurate.</w:t>
      </w:r>
    </w:p>
    <w:p w14:paraId="7B2A8B9A"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Furthermore, organisations increasingly adopt </w:t>
      </w:r>
      <w:r w:rsidRPr="001828C7">
        <w:rPr>
          <w:rFonts w:ascii="Arial" w:hAnsi="Arial" w:cs="Arial"/>
          <w:b/>
          <w:bCs/>
          <w:lang w:val="en-GB"/>
        </w:rPr>
        <w:t>flexible and remote working models</w:t>
      </w:r>
      <w:r w:rsidRPr="001828C7">
        <w:rPr>
          <w:rFonts w:ascii="Arial" w:hAnsi="Arial" w:cs="Arial"/>
          <w:lang w:val="en-GB"/>
        </w:rPr>
        <w:t>, enabled by digital technologies. This enhances employee satisfaction and productivity, particularly among knowledge workers. However, in sectors such as retail, the applicability of remote work is limited for frontline employees, creating potential inequalities within the workforce.</w:t>
      </w:r>
    </w:p>
    <w:p w14:paraId="24B0249B" w14:textId="4DCD1733" w:rsidR="001828C7" w:rsidRPr="001828C7" w:rsidRDefault="001828C7" w:rsidP="001828C7">
      <w:pPr>
        <w:jc w:val="both"/>
        <w:rPr>
          <w:rFonts w:ascii="Arial" w:hAnsi="Arial" w:cs="Arial"/>
          <w:lang w:val="en-GB"/>
        </w:rPr>
      </w:pPr>
      <w:r w:rsidRPr="001828C7">
        <w:rPr>
          <w:rFonts w:ascii="Arial" w:hAnsi="Arial" w:cs="Arial"/>
          <w:lang w:val="en-GB"/>
        </w:rPr>
        <w:t>Overall, while these HR practices support technological adaptation, their success depends on effective implementation and employee engagement.</w:t>
      </w:r>
    </w:p>
    <w:p w14:paraId="14790A8E" w14:textId="14FB9D2D" w:rsidR="001828C7" w:rsidRPr="001828C7" w:rsidRDefault="00635ECF" w:rsidP="001828C7">
      <w:pPr>
        <w:jc w:val="both"/>
        <w:rPr>
          <w:rFonts w:ascii="Arial" w:hAnsi="Arial" w:cs="Arial"/>
          <w:b/>
          <w:bCs/>
          <w:lang w:val="en-GB"/>
        </w:rPr>
      </w:pPr>
      <w:r>
        <w:rPr>
          <w:rFonts w:ascii="Arial" w:hAnsi="Arial" w:cs="Arial"/>
          <w:b/>
          <w:bCs/>
          <w:lang w:val="en-GB"/>
        </w:rPr>
        <w:t>3</w:t>
      </w:r>
      <w:r w:rsidR="001828C7" w:rsidRPr="001828C7">
        <w:rPr>
          <w:rFonts w:ascii="Arial" w:hAnsi="Arial" w:cs="Arial"/>
          <w:b/>
          <w:bCs/>
          <w:lang w:val="en-GB"/>
        </w:rPr>
        <w:t>.2 HR Practices Addressing Talent Acquisition and Retention</w:t>
      </w:r>
    </w:p>
    <w:p w14:paraId="674DBDE5" w14:textId="4EC6E854" w:rsidR="001828C7" w:rsidRPr="001828C7" w:rsidRDefault="001828C7" w:rsidP="001828C7">
      <w:pPr>
        <w:jc w:val="both"/>
        <w:rPr>
          <w:rFonts w:ascii="Arial" w:hAnsi="Arial" w:cs="Arial"/>
          <w:lang w:val="en-GB"/>
        </w:rPr>
      </w:pPr>
      <w:r w:rsidRPr="001828C7">
        <w:rPr>
          <w:rFonts w:ascii="Arial" w:hAnsi="Arial" w:cs="Arial"/>
          <w:lang w:val="en-GB"/>
        </w:rPr>
        <w:t xml:space="preserve">To address talent acquisition challenges, organisations utilise </w:t>
      </w:r>
      <w:r w:rsidRPr="001828C7">
        <w:rPr>
          <w:rFonts w:ascii="Arial" w:hAnsi="Arial" w:cs="Arial"/>
          <w:b/>
          <w:bCs/>
          <w:lang w:val="en-GB"/>
        </w:rPr>
        <w:t>employer branding</w:t>
      </w:r>
      <w:r w:rsidRPr="001828C7">
        <w:rPr>
          <w:rFonts w:ascii="Arial" w:hAnsi="Arial" w:cs="Arial"/>
          <w:lang w:val="en-GB"/>
        </w:rPr>
        <w:t xml:space="preserve"> as a strategic tool. By promoting a positive organisational image—highlighting values such as inclusivity, development opportunities, and employee wellbeing—companies can attract high-quality </w:t>
      </w:r>
      <w:proofErr w:type="spellStart"/>
      <w:proofErr w:type="gramStart"/>
      <w:r w:rsidRPr="001828C7">
        <w:rPr>
          <w:rFonts w:ascii="Arial" w:hAnsi="Arial" w:cs="Arial"/>
          <w:lang w:val="en-GB"/>
        </w:rPr>
        <w:t>candidates.This</w:t>
      </w:r>
      <w:proofErr w:type="spellEnd"/>
      <w:proofErr w:type="gramEnd"/>
      <w:r w:rsidRPr="001828C7">
        <w:rPr>
          <w:rFonts w:ascii="Arial" w:hAnsi="Arial" w:cs="Arial"/>
          <w:lang w:val="en-GB"/>
        </w:rPr>
        <w:t xml:space="preserve"> approach is effective in differentiating organisations in competitive labour markets. However, if the employer brand does not reflect the </w:t>
      </w:r>
      <w:r w:rsidRPr="001828C7">
        <w:rPr>
          <w:rFonts w:ascii="Arial" w:hAnsi="Arial" w:cs="Arial"/>
          <w:b/>
          <w:bCs/>
          <w:lang w:val="en-GB"/>
        </w:rPr>
        <w:t>actual employee experience</w:t>
      </w:r>
      <w:r w:rsidRPr="001828C7">
        <w:rPr>
          <w:rFonts w:ascii="Arial" w:hAnsi="Arial" w:cs="Arial"/>
          <w:lang w:val="en-GB"/>
        </w:rPr>
        <w:t>, it can lead to dissatisfaction and increased turnover.</w:t>
      </w:r>
    </w:p>
    <w:p w14:paraId="03F927FA" w14:textId="247CDABC" w:rsidR="001828C7" w:rsidRPr="001828C7" w:rsidRDefault="001828C7" w:rsidP="001828C7">
      <w:pPr>
        <w:jc w:val="both"/>
        <w:rPr>
          <w:rFonts w:ascii="Arial" w:hAnsi="Arial" w:cs="Arial"/>
          <w:lang w:val="en-GB"/>
        </w:rPr>
      </w:pPr>
      <w:r w:rsidRPr="001828C7">
        <w:rPr>
          <w:rFonts w:ascii="Arial" w:hAnsi="Arial" w:cs="Arial"/>
          <w:lang w:val="en-GB"/>
        </w:rPr>
        <w:t xml:space="preserve">Another key practice is the implementation of </w:t>
      </w:r>
      <w:r w:rsidRPr="001828C7">
        <w:rPr>
          <w:rFonts w:ascii="Arial" w:hAnsi="Arial" w:cs="Arial"/>
          <w:b/>
          <w:bCs/>
          <w:lang w:val="en-GB"/>
        </w:rPr>
        <w:t>career development and progression programmes</w:t>
      </w:r>
      <w:r w:rsidRPr="001828C7">
        <w:rPr>
          <w:rFonts w:ascii="Arial" w:hAnsi="Arial" w:cs="Arial"/>
          <w:lang w:val="en-GB"/>
        </w:rPr>
        <w:t xml:space="preserve">, including training schemes, mentoring, and leadership development. These initiatives are particularly effective in improving employee retention, as they provide clear pathways for </w:t>
      </w:r>
      <w:proofErr w:type="spellStart"/>
      <w:proofErr w:type="gramStart"/>
      <w:r w:rsidRPr="001828C7">
        <w:rPr>
          <w:rFonts w:ascii="Arial" w:hAnsi="Arial" w:cs="Arial"/>
          <w:lang w:val="en-GB"/>
        </w:rPr>
        <w:t>growth.Despite</w:t>
      </w:r>
      <w:proofErr w:type="spellEnd"/>
      <w:proofErr w:type="gramEnd"/>
      <w:r w:rsidRPr="001828C7">
        <w:rPr>
          <w:rFonts w:ascii="Arial" w:hAnsi="Arial" w:cs="Arial"/>
          <w:lang w:val="en-GB"/>
        </w:rPr>
        <w:t xml:space="preserve"> their benefits, such programmes may not always be accessible to all employees, particularly those in lower-level roles, which can create perceptions of inequality.</w:t>
      </w:r>
    </w:p>
    <w:p w14:paraId="15715362" w14:textId="720364D6" w:rsidR="001828C7" w:rsidRPr="001828C7" w:rsidRDefault="001828C7" w:rsidP="001828C7">
      <w:pPr>
        <w:jc w:val="both"/>
        <w:rPr>
          <w:rFonts w:ascii="Arial" w:hAnsi="Arial" w:cs="Arial"/>
          <w:lang w:val="en-GB"/>
        </w:rPr>
      </w:pPr>
      <w:r w:rsidRPr="001828C7">
        <w:rPr>
          <w:rFonts w:ascii="Arial" w:hAnsi="Arial" w:cs="Arial"/>
          <w:b/>
          <w:bCs/>
          <w:lang w:val="en-GB"/>
        </w:rPr>
        <w:t>Performance management systems</w:t>
      </w:r>
      <w:r w:rsidRPr="001828C7">
        <w:rPr>
          <w:rFonts w:ascii="Arial" w:hAnsi="Arial" w:cs="Arial"/>
          <w:lang w:val="en-GB"/>
        </w:rPr>
        <w:t xml:space="preserve"> are also widely used to support retention and productivity. Modern approaches emphasise continuous feedback rather than traditional annual appraisals. This helps improve communication and employee </w:t>
      </w:r>
      <w:proofErr w:type="spellStart"/>
      <w:proofErr w:type="gramStart"/>
      <w:r w:rsidRPr="001828C7">
        <w:rPr>
          <w:rFonts w:ascii="Arial" w:hAnsi="Arial" w:cs="Arial"/>
          <w:lang w:val="en-GB"/>
        </w:rPr>
        <w:lastRenderedPageBreak/>
        <w:t>engagement.However</w:t>
      </w:r>
      <w:proofErr w:type="spellEnd"/>
      <w:proofErr w:type="gramEnd"/>
      <w:r w:rsidRPr="001828C7">
        <w:rPr>
          <w:rFonts w:ascii="Arial" w:hAnsi="Arial" w:cs="Arial"/>
          <w:lang w:val="en-GB"/>
        </w:rPr>
        <w:t>, poorly designed systems can become overly bureaucratic and may fail to motivate employees if feedback is not meaningful or constructive.</w:t>
      </w:r>
    </w:p>
    <w:p w14:paraId="37989026"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Additionally, organisations offer </w:t>
      </w:r>
      <w:r w:rsidRPr="001828C7">
        <w:rPr>
          <w:rFonts w:ascii="Arial" w:hAnsi="Arial" w:cs="Arial"/>
          <w:b/>
          <w:bCs/>
          <w:lang w:val="en-GB"/>
        </w:rPr>
        <w:t>reward and recognition strategies</w:t>
      </w:r>
      <w:r w:rsidRPr="001828C7">
        <w:rPr>
          <w:rFonts w:ascii="Arial" w:hAnsi="Arial" w:cs="Arial"/>
          <w:lang w:val="en-GB"/>
        </w:rPr>
        <w:t>, such as financial incentives, bonuses, and employee benefits. These can enhance motivation and job satisfaction. Nevertheless, financial rewards alone are often insufficient to retain employees, as non-financial factors—such as work environment and career development—play a crucial role.</w:t>
      </w:r>
    </w:p>
    <w:p w14:paraId="72DEC876" w14:textId="77777777" w:rsidR="001828C7" w:rsidRPr="001828C7" w:rsidRDefault="001828C7" w:rsidP="001828C7">
      <w:pPr>
        <w:jc w:val="both"/>
        <w:rPr>
          <w:rFonts w:ascii="Arial" w:hAnsi="Arial" w:cs="Arial"/>
          <w:lang w:val="en-GB"/>
        </w:rPr>
      </w:pPr>
      <w:r w:rsidRPr="001828C7">
        <w:rPr>
          <w:rFonts w:ascii="Arial" w:hAnsi="Arial" w:cs="Arial"/>
          <w:lang w:val="en-GB"/>
        </w:rPr>
        <w:t>In summary, while contemporary HR practices provide effective tools for attracting and retaining talent, their impact depends on consistency, fairness, and alignment with employee expectations.</w:t>
      </w:r>
    </w:p>
    <w:p w14:paraId="67BD3BB8" w14:textId="06E95DDE" w:rsidR="001828C7" w:rsidRPr="001828C7" w:rsidRDefault="001828C7" w:rsidP="001828C7">
      <w:pPr>
        <w:jc w:val="both"/>
        <w:rPr>
          <w:rFonts w:ascii="Arial" w:hAnsi="Arial" w:cs="Arial"/>
          <w:lang w:val="en-GB"/>
        </w:rPr>
      </w:pPr>
    </w:p>
    <w:p w14:paraId="61A8EE90" w14:textId="65BB5B2C" w:rsidR="001828C7" w:rsidRPr="001828C7" w:rsidRDefault="003565CA" w:rsidP="001828C7">
      <w:pPr>
        <w:jc w:val="both"/>
        <w:rPr>
          <w:rFonts w:ascii="Arial" w:hAnsi="Arial" w:cs="Arial"/>
          <w:b/>
          <w:bCs/>
          <w:lang w:val="en-GB"/>
        </w:rPr>
      </w:pPr>
      <w:r>
        <w:rPr>
          <w:rFonts w:ascii="Arial" w:hAnsi="Arial" w:cs="Arial"/>
          <w:b/>
          <w:bCs/>
          <w:lang w:val="en-GB"/>
        </w:rPr>
        <w:t>3</w:t>
      </w:r>
      <w:r w:rsidR="001828C7" w:rsidRPr="001828C7">
        <w:rPr>
          <w:rFonts w:ascii="Arial" w:hAnsi="Arial" w:cs="Arial"/>
          <w:b/>
          <w:bCs/>
          <w:lang w:val="en-GB"/>
        </w:rPr>
        <w:t>.3 HR Practices Addressing Diversity, Equity and Inclusion (DEI)</w:t>
      </w:r>
    </w:p>
    <w:p w14:paraId="0D7A78BA" w14:textId="5C524A4A" w:rsidR="001828C7" w:rsidRPr="001828C7" w:rsidRDefault="001828C7" w:rsidP="001828C7">
      <w:pPr>
        <w:jc w:val="both"/>
        <w:rPr>
          <w:rFonts w:ascii="Arial" w:hAnsi="Arial" w:cs="Arial"/>
          <w:lang w:val="en-GB"/>
        </w:rPr>
      </w:pPr>
      <w:r w:rsidRPr="001828C7">
        <w:rPr>
          <w:rFonts w:ascii="Arial" w:hAnsi="Arial" w:cs="Arial"/>
          <w:lang w:val="en-GB"/>
        </w:rPr>
        <w:t xml:space="preserve">Organisations have adopted various HR practices to promote DEI, including </w:t>
      </w:r>
      <w:r w:rsidRPr="001828C7">
        <w:rPr>
          <w:rFonts w:ascii="Arial" w:hAnsi="Arial" w:cs="Arial"/>
          <w:b/>
          <w:bCs/>
          <w:lang w:val="en-GB"/>
        </w:rPr>
        <w:t>diversity training programmes</w:t>
      </w:r>
      <w:r w:rsidRPr="001828C7">
        <w:rPr>
          <w:rFonts w:ascii="Arial" w:hAnsi="Arial" w:cs="Arial"/>
          <w:lang w:val="en-GB"/>
        </w:rPr>
        <w:t>. These aim to raise awareness of unconscious bias and encourage inclusive behaviours among employees and managers</w:t>
      </w:r>
      <w:r w:rsidR="00F54CB1">
        <w:rPr>
          <w:rFonts w:ascii="Arial" w:hAnsi="Arial" w:cs="Arial"/>
          <w:lang w:val="en-GB"/>
        </w:rPr>
        <w:t xml:space="preserve">. </w:t>
      </w:r>
      <w:r w:rsidRPr="001828C7">
        <w:rPr>
          <w:rFonts w:ascii="Arial" w:hAnsi="Arial" w:cs="Arial"/>
          <w:lang w:val="en-GB"/>
        </w:rPr>
        <w:t xml:space="preserve">While such training can improve understanding, its long-term effectiveness is often questioned. Some studies suggest that diversity training may have </w:t>
      </w:r>
      <w:r w:rsidRPr="001828C7">
        <w:rPr>
          <w:rFonts w:ascii="Arial" w:hAnsi="Arial" w:cs="Arial"/>
          <w:b/>
          <w:bCs/>
          <w:lang w:val="en-GB"/>
        </w:rPr>
        <w:t>limited impact</w:t>
      </w:r>
      <w:r w:rsidRPr="001828C7">
        <w:rPr>
          <w:rFonts w:ascii="Arial" w:hAnsi="Arial" w:cs="Arial"/>
          <w:lang w:val="en-GB"/>
        </w:rPr>
        <w:t xml:space="preserve"> unless reinforced by organisational culture and leadership commitment.</w:t>
      </w:r>
    </w:p>
    <w:p w14:paraId="0747128F" w14:textId="221BD194" w:rsidR="001828C7" w:rsidRPr="001828C7" w:rsidRDefault="001828C7" w:rsidP="001828C7">
      <w:pPr>
        <w:jc w:val="both"/>
        <w:rPr>
          <w:rFonts w:ascii="Arial" w:hAnsi="Arial" w:cs="Arial"/>
          <w:lang w:val="en-GB"/>
        </w:rPr>
      </w:pPr>
      <w:r w:rsidRPr="001828C7">
        <w:rPr>
          <w:rFonts w:ascii="Arial" w:hAnsi="Arial" w:cs="Arial"/>
          <w:lang w:val="en-GB"/>
        </w:rPr>
        <w:t xml:space="preserve">Another widely used practice is </w:t>
      </w:r>
      <w:r w:rsidRPr="001828C7">
        <w:rPr>
          <w:rFonts w:ascii="Arial" w:hAnsi="Arial" w:cs="Arial"/>
          <w:b/>
          <w:bCs/>
          <w:lang w:val="en-GB"/>
        </w:rPr>
        <w:t>inclusive recruitment</w:t>
      </w:r>
      <w:r w:rsidRPr="001828C7">
        <w:rPr>
          <w:rFonts w:ascii="Arial" w:hAnsi="Arial" w:cs="Arial"/>
          <w:lang w:val="en-GB"/>
        </w:rPr>
        <w:t xml:space="preserve">, such as blind recruitment processes that remove personal identifiers from applications. This helps reduce bias and promotes fairer hiring </w:t>
      </w:r>
      <w:proofErr w:type="spellStart"/>
      <w:proofErr w:type="gramStart"/>
      <w:r w:rsidRPr="001828C7">
        <w:rPr>
          <w:rFonts w:ascii="Arial" w:hAnsi="Arial" w:cs="Arial"/>
          <w:lang w:val="en-GB"/>
        </w:rPr>
        <w:t>decisions.However</w:t>
      </w:r>
      <w:proofErr w:type="spellEnd"/>
      <w:proofErr w:type="gramEnd"/>
      <w:r w:rsidRPr="001828C7">
        <w:rPr>
          <w:rFonts w:ascii="Arial" w:hAnsi="Arial" w:cs="Arial"/>
          <w:lang w:val="en-GB"/>
        </w:rPr>
        <w:t>, this approach addresses only the initial stage of the employee lifecycle and does not guarantee inclusion in the workplace. Without broader organisational changes, diversity gains may not be sustained.</w:t>
      </w:r>
    </w:p>
    <w:p w14:paraId="4C9FB670" w14:textId="77777777" w:rsidR="001828C7" w:rsidRPr="001828C7" w:rsidRDefault="001828C7" w:rsidP="001828C7">
      <w:pPr>
        <w:jc w:val="both"/>
        <w:rPr>
          <w:rFonts w:ascii="Arial" w:hAnsi="Arial" w:cs="Arial"/>
          <w:lang w:val="en-GB"/>
        </w:rPr>
      </w:pPr>
      <w:r w:rsidRPr="001828C7">
        <w:rPr>
          <w:rFonts w:ascii="Arial" w:hAnsi="Arial" w:cs="Arial"/>
          <w:lang w:val="en-GB"/>
        </w:rPr>
        <w:t xml:space="preserve">Organisations also implement </w:t>
      </w:r>
      <w:r w:rsidRPr="001828C7">
        <w:rPr>
          <w:rFonts w:ascii="Arial" w:hAnsi="Arial" w:cs="Arial"/>
          <w:b/>
          <w:bCs/>
          <w:lang w:val="en-GB"/>
        </w:rPr>
        <w:t>diversity targets and monitoring systems</w:t>
      </w:r>
      <w:r w:rsidRPr="001828C7">
        <w:rPr>
          <w:rFonts w:ascii="Arial" w:hAnsi="Arial" w:cs="Arial"/>
          <w:lang w:val="en-GB"/>
        </w:rPr>
        <w:t xml:space="preserve"> to track progress. These provide measurable outcomes and increase accountability. Nevertheless, targets can be controversial if perceived as prioritising numbers over merit, potentially leading to resistance among employees.</w:t>
      </w:r>
    </w:p>
    <w:p w14:paraId="3A836C62" w14:textId="5FA58F22" w:rsidR="001828C7" w:rsidRDefault="001828C7" w:rsidP="001828C7">
      <w:pPr>
        <w:jc w:val="both"/>
        <w:rPr>
          <w:rFonts w:ascii="Arial" w:hAnsi="Arial" w:cs="Arial"/>
          <w:lang w:val="en-GB"/>
        </w:rPr>
      </w:pPr>
      <w:r w:rsidRPr="001828C7">
        <w:rPr>
          <w:rFonts w:ascii="Arial" w:hAnsi="Arial" w:cs="Arial"/>
          <w:lang w:val="en-GB"/>
        </w:rPr>
        <w:t xml:space="preserve">In addition, </w:t>
      </w:r>
      <w:r w:rsidRPr="001828C7">
        <w:rPr>
          <w:rFonts w:ascii="Arial" w:hAnsi="Arial" w:cs="Arial"/>
          <w:b/>
          <w:bCs/>
          <w:lang w:val="en-GB"/>
        </w:rPr>
        <w:t>employee resource groups (ERGs)</w:t>
      </w:r>
      <w:r w:rsidRPr="001828C7">
        <w:rPr>
          <w:rFonts w:ascii="Arial" w:hAnsi="Arial" w:cs="Arial"/>
          <w:lang w:val="en-GB"/>
        </w:rPr>
        <w:t xml:space="preserve"> and support networks are used to foster inclusion and provide a voice for underrepresented groups. These can significantly improve employee engagement and </w:t>
      </w:r>
      <w:proofErr w:type="spellStart"/>
      <w:proofErr w:type="gramStart"/>
      <w:r w:rsidRPr="001828C7">
        <w:rPr>
          <w:rFonts w:ascii="Arial" w:hAnsi="Arial" w:cs="Arial"/>
          <w:lang w:val="en-GB"/>
        </w:rPr>
        <w:t>belonging.Despite</w:t>
      </w:r>
      <w:proofErr w:type="spellEnd"/>
      <w:proofErr w:type="gramEnd"/>
      <w:r w:rsidRPr="001828C7">
        <w:rPr>
          <w:rFonts w:ascii="Arial" w:hAnsi="Arial" w:cs="Arial"/>
          <w:lang w:val="en-GB"/>
        </w:rPr>
        <w:t xml:space="preserve"> these efforts, the effectiveness of DEI practices often depends on </w:t>
      </w:r>
      <w:r w:rsidRPr="001828C7">
        <w:rPr>
          <w:rFonts w:ascii="Arial" w:hAnsi="Arial" w:cs="Arial"/>
          <w:b/>
          <w:bCs/>
          <w:lang w:val="en-GB"/>
        </w:rPr>
        <w:t>leadership commitment and organisational culture</w:t>
      </w:r>
      <w:r w:rsidRPr="001828C7">
        <w:rPr>
          <w:rFonts w:ascii="Arial" w:hAnsi="Arial" w:cs="Arial"/>
          <w:lang w:val="en-GB"/>
        </w:rPr>
        <w:t>. Without genuine support from management, DEI initiatives may become symbolic rather than impactful</w:t>
      </w:r>
      <w:r w:rsidR="003565CA">
        <w:rPr>
          <w:rFonts w:ascii="Arial" w:hAnsi="Arial" w:cs="Arial"/>
          <w:lang w:val="en-GB"/>
        </w:rPr>
        <w:t>.</w:t>
      </w:r>
    </w:p>
    <w:p w14:paraId="6B051C26" w14:textId="61DF5C08" w:rsidR="00447F01" w:rsidRPr="00447F01" w:rsidRDefault="00447F01" w:rsidP="00447F01">
      <w:pPr>
        <w:jc w:val="both"/>
        <w:rPr>
          <w:rFonts w:ascii="Arial" w:hAnsi="Arial" w:cs="Arial"/>
          <w:b/>
          <w:bCs/>
          <w:lang w:val="en-GB"/>
        </w:rPr>
      </w:pPr>
      <w:r>
        <w:rPr>
          <w:rFonts w:ascii="Arial" w:hAnsi="Arial" w:cs="Arial"/>
          <w:b/>
          <w:bCs/>
          <w:lang w:val="en-GB"/>
        </w:rPr>
        <w:t>4</w:t>
      </w:r>
      <w:r w:rsidRPr="00447F01">
        <w:rPr>
          <w:rFonts w:ascii="Arial" w:hAnsi="Arial" w:cs="Arial"/>
          <w:b/>
          <w:bCs/>
          <w:lang w:val="en-GB"/>
        </w:rPr>
        <w:t>. Critical Evaluation of the Role of Departmental Managers in Implementing HR Practices</w:t>
      </w:r>
    </w:p>
    <w:p w14:paraId="3E15CC19" w14:textId="77777777" w:rsidR="00447F01" w:rsidRPr="00447F01" w:rsidRDefault="00447F01" w:rsidP="00447F01">
      <w:pPr>
        <w:jc w:val="both"/>
        <w:rPr>
          <w:rFonts w:ascii="Arial" w:hAnsi="Arial" w:cs="Arial"/>
          <w:lang w:val="en-GB"/>
        </w:rPr>
      </w:pPr>
      <w:r w:rsidRPr="00447F01">
        <w:rPr>
          <w:rFonts w:ascii="Arial" w:hAnsi="Arial" w:cs="Arial"/>
          <w:lang w:val="en-GB"/>
        </w:rPr>
        <w:t>Departmental managers play a pivotal role in translating HR strategies into operational reality. While organisations may design effective HR policies, their success ultimately depends on how consistently and urgently these are implemented at departmental level. However, this process is complex and often constrained by organisational, behavioural, and structural challenges.</w:t>
      </w:r>
    </w:p>
    <w:p w14:paraId="6543C34E"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Firstly, managers act as </w:t>
      </w:r>
      <w:r w:rsidRPr="00447F01">
        <w:rPr>
          <w:rFonts w:ascii="Arial" w:hAnsi="Arial" w:cs="Arial"/>
          <w:b/>
          <w:bCs/>
          <w:lang w:val="en-GB"/>
        </w:rPr>
        <w:t>key change agents</w:t>
      </w:r>
      <w:r w:rsidRPr="00447F01">
        <w:rPr>
          <w:rFonts w:ascii="Arial" w:hAnsi="Arial" w:cs="Arial"/>
          <w:lang w:val="en-GB"/>
        </w:rPr>
        <w:t xml:space="preserve">, particularly in the context of technological advancement. They are responsible for communicating organisational changes, supporting employees through transitions, and ensuring adoption of new systems. In theory, this positions managers as central to successful digital transformation. However, </w:t>
      </w:r>
      <w:r w:rsidRPr="00447F01">
        <w:rPr>
          <w:rFonts w:ascii="Arial" w:hAnsi="Arial" w:cs="Arial"/>
          <w:lang w:val="en-GB"/>
        </w:rPr>
        <w:lastRenderedPageBreak/>
        <w:t>in practice, many managers lack the necessary digital competencies or leadership skills to effectively manage such change. This creates a gap between strategic intent and actual implementation. As a result, resistance to change among employees may persist, limiting the effectiveness of technological initiatives.</w:t>
      </w:r>
    </w:p>
    <w:p w14:paraId="73A87A93"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Secondly, managers are responsible for the </w:t>
      </w:r>
      <w:r w:rsidRPr="00447F01">
        <w:rPr>
          <w:rFonts w:ascii="Arial" w:hAnsi="Arial" w:cs="Arial"/>
          <w:b/>
          <w:bCs/>
          <w:lang w:val="en-GB"/>
        </w:rPr>
        <w:t>consistent application of HR policies</w:t>
      </w:r>
      <w:r w:rsidRPr="00447F01">
        <w:rPr>
          <w:rFonts w:ascii="Arial" w:hAnsi="Arial" w:cs="Arial"/>
          <w:lang w:val="en-GB"/>
        </w:rPr>
        <w:t>, including those related to talent management and DEI. Consistency is essential to ensure fairness and maintain employee trust. However, managerial discretion often leads to variations in how policies are applied across departments. For example, flexible working arrangements or development opportunities may be more accessible in some teams than others. This inconsistency can create perceptions of inequality and reduce employee morale. Therefore, while decentralised decision-making allows flexibility, it also introduces the risk of bias and uneven implementation.</w:t>
      </w:r>
    </w:p>
    <w:p w14:paraId="2173412E"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Furthermore, managers play a critical role in </w:t>
      </w:r>
      <w:r w:rsidRPr="00447F01">
        <w:rPr>
          <w:rFonts w:ascii="Arial" w:hAnsi="Arial" w:cs="Arial"/>
          <w:b/>
          <w:bCs/>
          <w:lang w:val="en-GB"/>
        </w:rPr>
        <w:t>employee engagement and retention</w:t>
      </w:r>
      <w:r w:rsidRPr="00447F01">
        <w:rPr>
          <w:rFonts w:ascii="Arial" w:hAnsi="Arial" w:cs="Arial"/>
          <w:lang w:val="en-GB"/>
        </w:rPr>
        <w:t>. Through regular communication, feedback, and recognition, managers influence how employees perceive their value within the organisation. Contemporary HR practices such as continuous performance management rely heavily on managerial capability. However, operational pressures—such as meeting targets and managing workloads—often limit the time managers can dedicate to people management. Consequently, HR practices may be deprioritised, reducing their effectiveness.</w:t>
      </w:r>
    </w:p>
    <w:p w14:paraId="5D984B37"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Another significant responsibility is the promotion of </w:t>
      </w:r>
      <w:r w:rsidRPr="00447F01">
        <w:rPr>
          <w:rFonts w:ascii="Arial" w:hAnsi="Arial" w:cs="Arial"/>
          <w:b/>
          <w:bCs/>
          <w:lang w:val="en-GB"/>
        </w:rPr>
        <w:t>inclusive workplace behaviours</w:t>
      </w:r>
      <w:r w:rsidRPr="00447F01">
        <w:rPr>
          <w:rFonts w:ascii="Arial" w:hAnsi="Arial" w:cs="Arial"/>
          <w:lang w:val="en-GB"/>
        </w:rPr>
        <w:t xml:space="preserve">. Managers are expected to actively support DEI initiatives by addressing discrimination, encouraging diverse perspectives, and fostering an inclusive culture. While this expectation is essential, it assumes that managers possess the necessary awareness and skills. </w:t>
      </w:r>
      <w:proofErr w:type="gramStart"/>
      <w:r w:rsidRPr="00447F01">
        <w:rPr>
          <w:rFonts w:ascii="Arial" w:hAnsi="Arial" w:cs="Arial"/>
          <w:lang w:val="en-GB"/>
        </w:rPr>
        <w:t>In reality, unconscious</w:t>
      </w:r>
      <w:proofErr w:type="gramEnd"/>
      <w:r w:rsidRPr="00447F01">
        <w:rPr>
          <w:rFonts w:ascii="Arial" w:hAnsi="Arial" w:cs="Arial"/>
          <w:lang w:val="en-GB"/>
        </w:rPr>
        <w:t xml:space="preserve"> bias and lack of training can undermine these efforts. Without proper support, managers may unintentionally reinforce existing inequalities rather than challenge them.</w:t>
      </w:r>
    </w:p>
    <w:p w14:paraId="368A5E17"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To ensure the urgent and effective implementation of HR practices, organisations must adopt a more structured approach to managerial accountability. One key method is the introduction of </w:t>
      </w:r>
      <w:r w:rsidRPr="00447F01">
        <w:rPr>
          <w:rFonts w:ascii="Arial" w:hAnsi="Arial" w:cs="Arial"/>
          <w:b/>
          <w:bCs/>
          <w:lang w:val="en-GB"/>
        </w:rPr>
        <w:t>clear performance metrics linked to HR outcomes</w:t>
      </w:r>
      <w:r w:rsidRPr="00447F01">
        <w:rPr>
          <w:rFonts w:ascii="Arial" w:hAnsi="Arial" w:cs="Arial"/>
          <w:lang w:val="en-GB"/>
        </w:rPr>
        <w:t>, such as employee engagement scores, retention rates, and diversity targets. This ensures that people management is prioritised alongside operational performance. However, an over-reliance on metrics may encourage a “tick-box” approach, where managers focus on meeting targets rather than achieving meaningful outcomes.</w:t>
      </w:r>
    </w:p>
    <w:p w14:paraId="75485B6A"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Additionally, organisations should invest in </w:t>
      </w:r>
      <w:r w:rsidRPr="00447F01">
        <w:rPr>
          <w:rFonts w:ascii="Arial" w:hAnsi="Arial" w:cs="Arial"/>
          <w:b/>
          <w:bCs/>
          <w:lang w:val="en-GB"/>
        </w:rPr>
        <w:t>management development programmes</w:t>
      </w:r>
      <w:r w:rsidRPr="00447F01">
        <w:rPr>
          <w:rFonts w:ascii="Arial" w:hAnsi="Arial" w:cs="Arial"/>
          <w:lang w:val="en-GB"/>
        </w:rPr>
        <w:t>, focusing on leadership, communication, and DEI competencies. This can enhance managers’ ability to implement HR practices effectively. Nevertheless, training alone is insufficient if not supported by organisational culture and senior leadership commitment.</w:t>
      </w:r>
    </w:p>
    <w:p w14:paraId="73E7E126" w14:textId="77777777" w:rsidR="00447F01" w:rsidRPr="00447F01" w:rsidRDefault="00447F01" w:rsidP="00447F01">
      <w:pPr>
        <w:jc w:val="both"/>
        <w:rPr>
          <w:rFonts w:ascii="Arial" w:hAnsi="Arial" w:cs="Arial"/>
          <w:lang w:val="en-GB"/>
        </w:rPr>
      </w:pPr>
      <w:r w:rsidRPr="00447F01">
        <w:rPr>
          <w:rFonts w:ascii="Arial" w:hAnsi="Arial" w:cs="Arial"/>
          <w:lang w:val="en-GB"/>
        </w:rPr>
        <w:t xml:space="preserve">Regular </w:t>
      </w:r>
      <w:r w:rsidRPr="00447F01">
        <w:rPr>
          <w:rFonts w:ascii="Arial" w:hAnsi="Arial" w:cs="Arial"/>
          <w:b/>
          <w:bCs/>
          <w:lang w:val="en-GB"/>
        </w:rPr>
        <w:t>monitoring and evaluation mechanisms</w:t>
      </w:r>
      <w:r w:rsidRPr="00447F01">
        <w:rPr>
          <w:rFonts w:ascii="Arial" w:hAnsi="Arial" w:cs="Arial"/>
          <w:lang w:val="en-GB"/>
        </w:rPr>
        <w:t xml:space="preserve"> are also essential. HR departments should track the implementation of policies across departments to identify inconsistencies and address gaps. While this improves accountability, it may also increase administrative burden and reduce managerial autonomy.</w:t>
      </w:r>
    </w:p>
    <w:p w14:paraId="1E2DBCE5" w14:textId="77777777" w:rsidR="009B0CC5" w:rsidRDefault="00447F01" w:rsidP="001A467B">
      <w:pPr>
        <w:jc w:val="both"/>
        <w:rPr>
          <w:rFonts w:ascii="Arial" w:hAnsi="Arial" w:cs="Arial"/>
          <w:lang w:val="en-GB"/>
        </w:rPr>
      </w:pPr>
      <w:r w:rsidRPr="00447F01">
        <w:rPr>
          <w:rFonts w:ascii="Arial" w:hAnsi="Arial" w:cs="Arial"/>
          <w:lang w:val="en-GB"/>
        </w:rPr>
        <w:t>In conclusion, while departmental managers are central to the successful implementation of HR practices, their effectiveness is influenced by multiple factors, including capability, time constraints, and organisational support. Without addressing these challenges, there is a significant risk that well-designed HR strategies will fail at the implementation stage. Therefore, organisations must balance empowerment with accountability to ensure that HR practices are applied consistently and with urgenc</w:t>
      </w:r>
      <w:r w:rsidR="009B0CC5">
        <w:rPr>
          <w:rFonts w:ascii="Arial" w:hAnsi="Arial" w:cs="Arial"/>
          <w:lang w:val="en-GB"/>
        </w:rPr>
        <w:t>y.</w:t>
      </w:r>
    </w:p>
    <w:p w14:paraId="18F0C31F" w14:textId="721EAF08" w:rsidR="001A467B" w:rsidRPr="009B0CC5" w:rsidRDefault="001A467B" w:rsidP="001A467B">
      <w:pPr>
        <w:jc w:val="both"/>
        <w:rPr>
          <w:rFonts w:ascii="Arial" w:hAnsi="Arial" w:cs="Arial"/>
          <w:lang w:val="en-GB"/>
        </w:rPr>
      </w:pPr>
      <w:r w:rsidRPr="001A467B">
        <w:rPr>
          <w:rFonts w:ascii="Arial" w:hAnsi="Arial" w:cs="Arial"/>
          <w:b/>
          <w:bCs/>
          <w:lang w:val="en-GB"/>
        </w:rPr>
        <w:lastRenderedPageBreak/>
        <w:t>Conclusion</w:t>
      </w:r>
    </w:p>
    <w:p w14:paraId="677A4B02" w14:textId="77777777" w:rsidR="001A467B" w:rsidRPr="001A467B" w:rsidRDefault="001A467B" w:rsidP="001A467B">
      <w:pPr>
        <w:jc w:val="both"/>
        <w:rPr>
          <w:rFonts w:ascii="Arial" w:hAnsi="Arial" w:cs="Arial"/>
          <w:lang w:val="en-GB"/>
        </w:rPr>
      </w:pPr>
      <w:r w:rsidRPr="001A467B">
        <w:rPr>
          <w:rFonts w:ascii="Arial" w:hAnsi="Arial" w:cs="Arial"/>
          <w:lang w:val="en-GB"/>
        </w:rPr>
        <w:t>In conclusion, the analysis demonstrates that technological advancement, talent management, and DEI are critical factors shaping modern HRM practices. While organisations such as Tesco have adopted a range of contemporary HR strategies, their effectiveness is largely dependent on consistent and timely implementation.</w:t>
      </w:r>
    </w:p>
    <w:p w14:paraId="599C8842" w14:textId="77777777" w:rsidR="001A467B" w:rsidRPr="001A467B" w:rsidRDefault="001A467B" w:rsidP="001A467B">
      <w:pPr>
        <w:jc w:val="both"/>
        <w:rPr>
          <w:rFonts w:ascii="Arial" w:hAnsi="Arial" w:cs="Arial"/>
          <w:lang w:val="en-GB"/>
        </w:rPr>
      </w:pPr>
      <w:r w:rsidRPr="001A467B">
        <w:rPr>
          <w:rFonts w:ascii="Arial" w:hAnsi="Arial" w:cs="Arial"/>
          <w:lang w:val="en-GB"/>
        </w:rPr>
        <w:t>Technological change requires continuous upskilling and adaptability, while talent acquisition and retention demand a strong focus on employee engagement and development. Similarly, DEI initiatives must go beyond policy to create genuinely inclusive organisational cultures.</w:t>
      </w:r>
    </w:p>
    <w:p w14:paraId="65242178" w14:textId="77777777" w:rsidR="001A467B" w:rsidRPr="001A467B" w:rsidRDefault="001A467B" w:rsidP="001A467B">
      <w:pPr>
        <w:jc w:val="both"/>
        <w:rPr>
          <w:rFonts w:ascii="Arial" w:hAnsi="Arial" w:cs="Arial"/>
          <w:lang w:val="en-GB"/>
        </w:rPr>
      </w:pPr>
      <w:r w:rsidRPr="001A467B">
        <w:rPr>
          <w:rFonts w:ascii="Arial" w:hAnsi="Arial" w:cs="Arial"/>
          <w:lang w:val="en-GB"/>
        </w:rPr>
        <w:t>The role of departmental managers is central in bridging the gap between HR strategy and practice. However, challenges such as lack of training, time constraints, and inconsistent application of policies can limit their effectiveness. Therefore, successful HR management depends not only on well-designed strategies but also on strong leadership and accountability at all organisational levels.</w:t>
      </w:r>
    </w:p>
    <w:p w14:paraId="1620E033" w14:textId="77777777" w:rsidR="00551E5C" w:rsidRDefault="00551E5C" w:rsidP="00447F01">
      <w:pPr>
        <w:jc w:val="both"/>
        <w:rPr>
          <w:rFonts w:ascii="Arial" w:hAnsi="Arial" w:cs="Arial"/>
          <w:lang w:val="en-GB"/>
        </w:rPr>
      </w:pPr>
    </w:p>
    <w:p w14:paraId="3FE0FFCC" w14:textId="77777777" w:rsidR="00551E5C" w:rsidRDefault="00551E5C" w:rsidP="00447F01">
      <w:pPr>
        <w:jc w:val="both"/>
        <w:rPr>
          <w:rFonts w:ascii="Arial" w:hAnsi="Arial" w:cs="Arial"/>
          <w:lang w:val="en-GB"/>
        </w:rPr>
      </w:pPr>
    </w:p>
    <w:p w14:paraId="704E7740" w14:textId="77777777" w:rsidR="00551E5C" w:rsidRDefault="00551E5C" w:rsidP="00447F01">
      <w:pPr>
        <w:jc w:val="both"/>
        <w:rPr>
          <w:rFonts w:ascii="Arial" w:hAnsi="Arial" w:cs="Arial"/>
          <w:lang w:val="en-GB"/>
        </w:rPr>
      </w:pPr>
    </w:p>
    <w:p w14:paraId="2DB58609" w14:textId="77777777" w:rsidR="00551E5C" w:rsidRDefault="00551E5C" w:rsidP="00447F01">
      <w:pPr>
        <w:jc w:val="both"/>
        <w:rPr>
          <w:rFonts w:ascii="Arial" w:hAnsi="Arial" w:cs="Arial"/>
          <w:lang w:val="en-GB"/>
        </w:rPr>
      </w:pPr>
    </w:p>
    <w:p w14:paraId="68C788CE" w14:textId="77777777" w:rsidR="00551E5C" w:rsidRDefault="00551E5C" w:rsidP="00447F01">
      <w:pPr>
        <w:jc w:val="both"/>
        <w:rPr>
          <w:rFonts w:ascii="Arial" w:hAnsi="Arial" w:cs="Arial"/>
          <w:lang w:val="en-GB"/>
        </w:rPr>
      </w:pPr>
    </w:p>
    <w:p w14:paraId="0475B27F" w14:textId="77777777" w:rsidR="00551E5C" w:rsidRDefault="00551E5C" w:rsidP="00447F01">
      <w:pPr>
        <w:jc w:val="both"/>
        <w:rPr>
          <w:rFonts w:ascii="Arial" w:hAnsi="Arial" w:cs="Arial"/>
          <w:lang w:val="en-GB"/>
        </w:rPr>
      </w:pPr>
    </w:p>
    <w:p w14:paraId="5E3D29D6" w14:textId="77777777" w:rsidR="00551E5C" w:rsidRDefault="00551E5C" w:rsidP="00447F01">
      <w:pPr>
        <w:jc w:val="both"/>
        <w:rPr>
          <w:rFonts w:ascii="Arial" w:hAnsi="Arial" w:cs="Arial"/>
          <w:lang w:val="en-GB"/>
        </w:rPr>
      </w:pPr>
    </w:p>
    <w:p w14:paraId="622D8F76" w14:textId="77777777" w:rsidR="00551E5C" w:rsidRDefault="00551E5C" w:rsidP="00447F01">
      <w:pPr>
        <w:jc w:val="both"/>
        <w:rPr>
          <w:rFonts w:ascii="Arial" w:hAnsi="Arial" w:cs="Arial"/>
          <w:lang w:val="en-GB"/>
        </w:rPr>
      </w:pPr>
    </w:p>
    <w:p w14:paraId="6AF4F050" w14:textId="77777777" w:rsidR="00551E5C" w:rsidRDefault="00551E5C" w:rsidP="00447F01">
      <w:pPr>
        <w:jc w:val="both"/>
        <w:rPr>
          <w:rFonts w:ascii="Arial" w:hAnsi="Arial" w:cs="Arial"/>
          <w:lang w:val="en-GB"/>
        </w:rPr>
      </w:pPr>
    </w:p>
    <w:p w14:paraId="086199A5" w14:textId="77777777" w:rsidR="00551E5C" w:rsidRDefault="00551E5C" w:rsidP="00447F01">
      <w:pPr>
        <w:jc w:val="both"/>
        <w:rPr>
          <w:rFonts w:ascii="Arial" w:hAnsi="Arial" w:cs="Arial"/>
          <w:lang w:val="en-GB"/>
        </w:rPr>
      </w:pPr>
    </w:p>
    <w:p w14:paraId="4D8E0AA8" w14:textId="77777777" w:rsidR="00551E5C" w:rsidRDefault="00551E5C" w:rsidP="00447F01">
      <w:pPr>
        <w:jc w:val="both"/>
        <w:rPr>
          <w:rFonts w:ascii="Arial" w:hAnsi="Arial" w:cs="Arial"/>
          <w:lang w:val="en-GB"/>
        </w:rPr>
      </w:pPr>
    </w:p>
    <w:p w14:paraId="56D84D04" w14:textId="77777777" w:rsidR="00551E5C" w:rsidRDefault="00551E5C" w:rsidP="00447F01">
      <w:pPr>
        <w:jc w:val="both"/>
        <w:rPr>
          <w:rFonts w:ascii="Arial" w:hAnsi="Arial" w:cs="Arial"/>
          <w:lang w:val="en-GB"/>
        </w:rPr>
      </w:pPr>
    </w:p>
    <w:p w14:paraId="43A01510" w14:textId="77777777" w:rsidR="00551E5C" w:rsidRDefault="00551E5C" w:rsidP="00447F01">
      <w:pPr>
        <w:jc w:val="both"/>
        <w:rPr>
          <w:rFonts w:ascii="Arial" w:hAnsi="Arial" w:cs="Arial"/>
          <w:lang w:val="en-GB"/>
        </w:rPr>
      </w:pPr>
    </w:p>
    <w:p w14:paraId="0B4BCA51" w14:textId="77777777" w:rsidR="00F50B11" w:rsidRDefault="00F50B11" w:rsidP="00506969">
      <w:pPr>
        <w:jc w:val="both"/>
        <w:rPr>
          <w:rFonts w:ascii="Arial" w:hAnsi="Arial" w:cs="Arial"/>
          <w:lang w:val="en-GB"/>
        </w:rPr>
      </w:pPr>
    </w:p>
    <w:p w14:paraId="2EAD8449" w14:textId="77777777" w:rsidR="00F50B11" w:rsidRDefault="00F50B11" w:rsidP="00506969">
      <w:pPr>
        <w:jc w:val="both"/>
        <w:rPr>
          <w:rFonts w:ascii="Arial" w:hAnsi="Arial" w:cs="Arial"/>
          <w:lang w:val="en-GB"/>
        </w:rPr>
      </w:pPr>
    </w:p>
    <w:p w14:paraId="357D3757" w14:textId="77777777" w:rsidR="00F50B11" w:rsidRDefault="00F50B11" w:rsidP="00506969">
      <w:pPr>
        <w:jc w:val="both"/>
        <w:rPr>
          <w:rFonts w:ascii="Arial" w:hAnsi="Arial" w:cs="Arial"/>
          <w:lang w:val="en-GB"/>
        </w:rPr>
      </w:pPr>
    </w:p>
    <w:p w14:paraId="420EF085" w14:textId="77777777" w:rsidR="00F50B11" w:rsidRDefault="00F50B11" w:rsidP="00506969">
      <w:pPr>
        <w:jc w:val="both"/>
        <w:rPr>
          <w:rFonts w:ascii="Arial" w:hAnsi="Arial" w:cs="Arial"/>
          <w:lang w:val="en-GB"/>
        </w:rPr>
      </w:pPr>
    </w:p>
    <w:p w14:paraId="4B02CC45" w14:textId="77777777" w:rsidR="00F50B11" w:rsidRDefault="00F50B11" w:rsidP="00506969">
      <w:pPr>
        <w:jc w:val="both"/>
        <w:rPr>
          <w:rFonts w:ascii="Arial" w:hAnsi="Arial" w:cs="Arial"/>
          <w:lang w:val="en-GB"/>
        </w:rPr>
      </w:pPr>
    </w:p>
    <w:p w14:paraId="0C4E002F" w14:textId="77777777" w:rsidR="00F50B11" w:rsidRDefault="00F50B11" w:rsidP="00506969">
      <w:pPr>
        <w:jc w:val="both"/>
        <w:rPr>
          <w:rFonts w:ascii="Arial" w:hAnsi="Arial" w:cs="Arial"/>
          <w:lang w:val="en-GB"/>
        </w:rPr>
      </w:pPr>
    </w:p>
    <w:p w14:paraId="1DA085D4" w14:textId="77777777" w:rsidR="00F50B11" w:rsidRDefault="00F50B11" w:rsidP="00506969">
      <w:pPr>
        <w:jc w:val="both"/>
        <w:rPr>
          <w:rFonts w:ascii="Arial" w:hAnsi="Arial" w:cs="Arial"/>
          <w:lang w:val="en-GB"/>
        </w:rPr>
      </w:pPr>
    </w:p>
    <w:p w14:paraId="1883C815" w14:textId="77777777" w:rsidR="00F50B11" w:rsidRDefault="00F50B11" w:rsidP="00506969">
      <w:pPr>
        <w:jc w:val="both"/>
        <w:rPr>
          <w:rFonts w:ascii="Arial" w:hAnsi="Arial" w:cs="Arial"/>
          <w:lang w:val="en-GB"/>
        </w:rPr>
      </w:pPr>
    </w:p>
    <w:p w14:paraId="0B14C6E6" w14:textId="77777777" w:rsidR="00F50B11" w:rsidRDefault="00F50B11" w:rsidP="00506969">
      <w:pPr>
        <w:jc w:val="both"/>
        <w:rPr>
          <w:rFonts w:ascii="Arial" w:hAnsi="Arial" w:cs="Arial"/>
          <w:lang w:val="en-GB"/>
        </w:rPr>
      </w:pPr>
    </w:p>
    <w:p w14:paraId="5A77BE4A" w14:textId="129F79EA" w:rsidR="00506969" w:rsidRPr="00506969" w:rsidRDefault="00506969" w:rsidP="00506969">
      <w:pPr>
        <w:jc w:val="both"/>
        <w:rPr>
          <w:rFonts w:ascii="Arial" w:hAnsi="Arial" w:cs="Arial"/>
          <w:b/>
          <w:bCs/>
          <w:lang w:val="en-GB"/>
        </w:rPr>
      </w:pPr>
      <w:r w:rsidRPr="00506969">
        <w:rPr>
          <w:rFonts w:ascii="Arial" w:hAnsi="Arial" w:cs="Arial"/>
          <w:b/>
          <w:bCs/>
          <w:lang w:val="en-GB"/>
        </w:rPr>
        <w:lastRenderedPageBreak/>
        <w:t>Recommendations</w:t>
      </w:r>
    </w:p>
    <w:p w14:paraId="3ECC01A9" w14:textId="77777777" w:rsidR="00506969" w:rsidRPr="00506969" w:rsidRDefault="00506969" w:rsidP="00506969">
      <w:pPr>
        <w:rPr>
          <w:rFonts w:ascii="Arial" w:hAnsi="Arial" w:cs="Arial"/>
          <w:lang w:val="en-GB"/>
        </w:rPr>
      </w:pPr>
      <w:r w:rsidRPr="00506969">
        <w:rPr>
          <w:rFonts w:ascii="Arial" w:hAnsi="Arial" w:cs="Arial"/>
          <w:lang w:val="en-GB"/>
        </w:rPr>
        <w:t>Based on the analysis, the following recommendations are proposed:</w:t>
      </w:r>
    </w:p>
    <w:p w14:paraId="33689600"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Enhance Digital Training Programmes</w:t>
      </w:r>
      <w:r w:rsidRPr="00506969">
        <w:rPr>
          <w:rFonts w:ascii="Arial" w:hAnsi="Arial" w:cs="Arial"/>
          <w:lang w:val="en-GB"/>
        </w:rPr>
        <w:br/>
        <w:t xml:space="preserve">Organisations should invest in continuous learning initiatives to equip employees with the skills required to adapt to technological changes. </w:t>
      </w:r>
    </w:p>
    <w:p w14:paraId="4E4F3D2A"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Strengthen Career Development Opportunities</w:t>
      </w:r>
      <w:r w:rsidRPr="00506969">
        <w:rPr>
          <w:rFonts w:ascii="Arial" w:hAnsi="Arial" w:cs="Arial"/>
          <w:lang w:val="en-GB"/>
        </w:rPr>
        <w:br/>
        <w:t xml:space="preserve">Clear progression pathways and accessible development programmes should be implemented to improve employee retention. </w:t>
      </w:r>
    </w:p>
    <w:p w14:paraId="50EA52D1"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Improve Managerial Training and Support</w:t>
      </w:r>
      <w:r w:rsidRPr="00506969">
        <w:rPr>
          <w:rFonts w:ascii="Arial" w:hAnsi="Arial" w:cs="Arial"/>
          <w:lang w:val="en-GB"/>
        </w:rPr>
        <w:br/>
        <w:t xml:space="preserve">Managers should receive targeted training in leadership, digital transformation, and inclusive practices to improve implementation of HR strategies. </w:t>
      </w:r>
    </w:p>
    <w:p w14:paraId="4877FE9B"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Adopt Continuous Performance Management</w:t>
      </w:r>
      <w:r w:rsidRPr="00506969">
        <w:rPr>
          <w:rFonts w:ascii="Arial" w:hAnsi="Arial" w:cs="Arial"/>
          <w:lang w:val="en-GB"/>
        </w:rPr>
        <w:br/>
        <w:t xml:space="preserve">Shift from traditional appraisal systems to regular feedback mechanisms to enhance employee engagement and performance. </w:t>
      </w:r>
    </w:p>
    <w:p w14:paraId="3E6F629D"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Increase Accountability for DEI Outcomes</w:t>
      </w:r>
      <w:r w:rsidRPr="00506969">
        <w:rPr>
          <w:rFonts w:ascii="Arial" w:hAnsi="Arial" w:cs="Arial"/>
          <w:lang w:val="en-GB"/>
        </w:rPr>
        <w:br/>
        <w:t xml:space="preserve">Introduce measurable targets and monitoring systems to ensure progress in diversity and inclusion initiatives. </w:t>
      </w:r>
    </w:p>
    <w:p w14:paraId="522706DD" w14:textId="77777777" w:rsidR="00506969" w:rsidRPr="00506969" w:rsidRDefault="00506969" w:rsidP="00506969">
      <w:pPr>
        <w:numPr>
          <w:ilvl w:val="0"/>
          <w:numId w:val="3"/>
        </w:numPr>
        <w:rPr>
          <w:rFonts w:ascii="Arial" w:hAnsi="Arial" w:cs="Arial"/>
          <w:lang w:val="en-GB"/>
        </w:rPr>
      </w:pPr>
      <w:r w:rsidRPr="00506969">
        <w:rPr>
          <w:rFonts w:ascii="Arial" w:hAnsi="Arial" w:cs="Arial"/>
          <w:b/>
          <w:bCs/>
          <w:lang w:val="en-GB"/>
        </w:rPr>
        <w:t>Promote Consistent HR Policy Implementation</w:t>
      </w:r>
      <w:r w:rsidRPr="00506969">
        <w:rPr>
          <w:rFonts w:ascii="Arial" w:hAnsi="Arial" w:cs="Arial"/>
          <w:lang w:val="en-GB"/>
        </w:rPr>
        <w:br/>
        <w:t>HR departments should regularly review and monitor how policies are applied across departments to ensure fairness and consistency.</w:t>
      </w:r>
    </w:p>
    <w:p w14:paraId="1B658EFF" w14:textId="77777777" w:rsidR="00551E5C" w:rsidRDefault="00551E5C" w:rsidP="00447F01">
      <w:pPr>
        <w:jc w:val="both"/>
        <w:rPr>
          <w:rFonts w:ascii="Arial" w:hAnsi="Arial" w:cs="Arial"/>
          <w:lang w:val="en-GB"/>
        </w:rPr>
      </w:pPr>
    </w:p>
    <w:p w14:paraId="7D82004D" w14:textId="77777777" w:rsidR="00551E5C" w:rsidRDefault="00551E5C" w:rsidP="00447F01">
      <w:pPr>
        <w:jc w:val="both"/>
        <w:rPr>
          <w:rFonts w:ascii="Arial" w:hAnsi="Arial" w:cs="Arial"/>
          <w:lang w:val="en-GB"/>
        </w:rPr>
      </w:pPr>
    </w:p>
    <w:p w14:paraId="1D99E5F1" w14:textId="77777777" w:rsidR="00551E5C" w:rsidRDefault="00551E5C" w:rsidP="00447F01">
      <w:pPr>
        <w:jc w:val="both"/>
        <w:rPr>
          <w:rFonts w:ascii="Arial" w:hAnsi="Arial" w:cs="Arial"/>
          <w:lang w:val="en-GB"/>
        </w:rPr>
      </w:pPr>
    </w:p>
    <w:p w14:paraId="7222D34C" w14:textId="77777777" w:rsidR="00551E5C" w:rsidRDefault="00551E5C" w:rsidP="00447F01">
      <w:pPr>
        <w:jc w:val="both"/>
        <w:rPr>
          <w:rFonts w:ascii="Arial" w:hAnsi="Arial" w:cs="Arial"/>
          <w:lang w:val="en-GB"/>
        </w:rPr>
      </w:pPr>
    </w:p>
    <w:p w14:paraId="514EA584" w14:textId="77777777" w:rsidR="00551E5C" w:rsidRDefault="00551E5C" w:rsidP="00447F01">
      <w:pPr>
        <w:jc w:val="both"/>
        <w:rPr>
          <w:rFonts w:ascii="Arial" w:hAnsi="Arial" w:cs="Arial"/>
          <w:lang w:val="en-GB"/>
        </w:rPr>
      </w:pPr>
    </w:p>
    <w:p w14:paraId="515C51D2" w14:textId="77777777" w:rsidR="00551E5C" w:rsidRDefault="00551E5C" w:rsidP="00447F01">
      <w:pPr>
        <w:jc w:val="both"/>
        <w:rPr>
          <w:rFonts w:ascii="Arial" w:hAnsi="Arial" w:cs="Arial"/>
          <w:lang w:val="en-GB"/>
        </w:rPr>
      </w:pPr>
    </w:p>
    <w:p w14:paraId="06E8036E" w14:textId="77777777" w:rsidR="00551E5C" w:rsidRDefault="00551E5C" w:rsidP="00447F01">
      <w:pPr>
        <w:jc w:val="both"/>
        <w:rPr>
          <w:rFonts w:ascii="Arial" w:hAnsi="Arial" w:cs="Arial"/>
          <w:lang w:val="en-GB"/>
        </w:rPr>
      </w:pPr>
    </w:p>
    <w:p w14:paraId="3ED09450" w14:textId="77777777" w:rsidR="00551E5C" w:rsidRDefault="00551E5C" w:rsidP="00447F01">
      <w:pPr>
        <w:jc w:val="both"/>
        <w:rPr>
          <w:rFonts w:ascii="Arial" w:hAnsi="Arial" w:cs="Arial"/>
          <w:lang w:val="en-GB"/>
        </w:rPr>
      </w:pPr>
    </w:p>
    <w:p w14:paraId="42B374E0" w14:textId="77777777" w:rsidR="00551E5C" w:rsidRDefault="00551E5C" w:rsidP="00447F01">
      <w:pPr>
        <w:jc w:val="both"/>
        <w:rPr>
          <w:rFonts w:ascii="Arial" w:hAnsi="Arial" w:cs="Arial"/>
          <w:lang w:val="en-GB"/>
        </w:rPr>
      </w:pPr>
    </w:p>
    <w:p w14:paraId="780BA968" w14:textId="77777777" w:rsidR="00506969" w:rsidRDefault="00506969" w:rsidP="00447F01">
      <w:pPr>
        <w:jc w:val="both"/>
        <w:rPr>
          <w:rFonts w:ascii="Arial" w:hAnsi="Arial" w:cs="Arial"/>
          <w:lang w:val="en-GB"/>
        </w:rPr>
      </w:pPr>
    </w:p>
    <w:p w14:paraId="48A2A887" w14:textId="77777777" w:rsidR="00551E5C" w:rsidRDefault="00551E5C" w:rsidP="00447F01">
      <w:pPr>
        <w:jc w:val="both"/>
        <w:rPr>
          <w:rFonts w:ascii="Arial" w:hAnsi="Arial" w:cs="Arial"/>
          <w:lang w:val="en-GB"/>
        </w:rPr>
      </w:pPr>
    </w:p>
    <w:p w14:paraId="569248A2" w14:textId="77777777" w:rsidR="00551E5C" w:rsidRDefault="00551E5C" w:rsidP="00447F01">
      <w:pPr>
        <w:jc w:val="both"/>
        <w:rPr>
          <w:rFonts w:ascii="Arial" w:hAnsi="Arial" w:cs="Arial"/>
          <w:lang w:val="en-GB"/>
        </w:rPr>
      </w:pPr>
    </w:p>
    <w:p w14:paraId="2AEABA06" w14:textId="77777777" w:rsidR="00551E5C" w:rsidRDefault="00551E5C" w:rsidP="00447F01">
      <w:pPr>
        <w:jc w:val="both"/>
        <w:rPr>
          <w:rFonts w:ascii="Arial" w:hAnsi="Arial" w:cs="Arial"/>
          <w:lang w:val="en-GB"/>
        </w:rPr>
      </w:pPr>
    </w:p>
    <w:p w14:paraId="3D6F5863" w14:textId="77777777" w:rsidR="00551E5C" w:rsidRDefault="00551E5C" w:rsidP="00447F01">
      <w:pPr>
        <w:jc w:val="both"/>
        <w:rPr>
          <w:rFonts w:ascii="Arial" w:hAnsi="Arial" w:cs="Arial"/>
          <w:lang w:val="en-GB"/>
        </w:rPr>
      </w:pPr>
    </w:p>
    <w:p w14:paraId="25344291" w14:textId="77777777" w:rsidR="00551E5C" w:rsidRDefault="00551E5C" w:rsidP="00447F01">
      <w:pPr>
        <w:jc w:val="both"/>
        <w:rPr>
          <w:rFonts w:ascii="Arial" w:hAnsi="Arial" w:cs="Arial"/>
          <w:lang w:val="en-GB"/>
        </w:rPr>
      </w:pPr>
    </w:p>
    <w:p w14:paraId="1E22D564" w14:textId="77777777" w:rsidR="00551E5C" w:rsidRDefault="00551E5C" w:rsidP="00447F01">
      <w:pPr>
        <w:jc w:val="both"/>
        <w:rPr>
          <w:rFonts w:ascii="Arial" w:hAnsi="Arial" w:cs="Arial"/>
          <w:lang w:val="en-GB"/>
        </w:rPr>
      </w:pPr>
    </w:p>
    <w:p w14:paraId="774773B0" w14:textId="77777777" w:rsidR="00551E5C" w:rsidRDefault="00551E5C" w:rsidP="00447F01">
      <w:pPr>
        <w:jc w:val="both"/>
        <w:rPr>
          <w:rFonts w:ascii="Arial" w:hAnsi="Arial" w:cs="Arial"/>
          <w:lang w:val="en-GB"/>
        </w:rPr>
      </w:pPr>
    </w:p>
    <w:p w14:paraId="4EB51E02" w14:textId="71CD82B4" w:rsidR="00A05693" w:rsidRPr="00A05693" w:rsidRDefault="00A05693" w:rsidP="00A05693">
      <w:pPr>
        <w:jc w:val="both"/>
        <w:rPr>
          <w:rFonts w:ascii="Arial" w:hAnsi="Arial" w:cs="Arial"/>
          <w:b/>
          <w:bCs/>
          <w:lang w:val="en-GB"/>
        </w:rPr>
      </w:pPr>
      <w:r w:rsidRPr="00A05693">
        <w:rPr>
          <w:rFonts w:ascii="Arial" w:hAnsi="Arial" w:cs="Arial"/>
          <w:b/>
          <w:bCs/>
          <w:lang w:val="en-GB"/>
        </w:rPr>
        <w:lastRenderedPageBreak/>
        <w:t xml:space="preserve">Reference List </w:t>
      </w:r>
    </w:p>
    <w:p w14:paraId="154D0F57"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Armstrong, M. (2020) </w:t>
      </w:r>
      <w:r w:rsidRPr="00A05693">
        <w:rPr>
          <w:rFonts w:ascii="Arial" w:hAnsi="Arial" w:cs="Arial"/>
          <w:i/>
          <w:iCs/>
          <w:lang w:val="en-GB"/>
        </w:rPr>
        <w:t>Armstrong’s Handbook of Human Resource Management Practice</w:t>
      </w:r>
      <w:r w:rsidRPr="00A05693">
        <w:rPr>
          <w:rFonts w:ascii="Arial" w:hAnsi="Arial" w:cs="Arial"/>
          <w:lang w:val="en-GB"/>
        </w:rPr>
        <w:t xml:space="preserve">. 15th </w:t>
      </w:r>
      <w:proofErr w:type="spellStart"/>
      <w:r w:rsidRPr="00A05693">
        <w:rPr>
          <w:rFonts w:ascii="Arial" w:hAnsi="Arial" w:cs="Arial"/>
          <w:lang w:val="en-GB"/>
        </w:rPr>
        <w:t>edn</w:t>
      </w:r>
      <w:proofErr w:type="spellEnd"/>
      <w:r w:rsidRPr="00A05693">
        <w:rPr>
          <w:rFonts w:ascii="Arial" w:hAnsi="Arial" w:cs="Arial"/>
          <w:lang w:val="en-GB"/>
        </w:rPr>
        <w:t>. London: Kogan Page.</w:t>
      </w:r>
    </w:p>
    <w:p w14:paraId="48524390"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Beardwell, J. and Thompson, A. (2020) </w:t>
      </w:r>
      <w:r w:rsidRPr="00A05693">
        <w:rPr>
          <w:rFonts w:ascii="Arial" w:hAnsi="Arial" w:cs="Arial"/>
          <w:i/>
          <w:iCs/>
          <w:lang w:val="en-GB"/>
        </w:rPr>
        <w:t>Human Resource Management: A Contemporary Approach</w:t>
      </w:r>
      <w:r w:rsidRPr="00A05693">
        <w:rPr>
          <w:rFonts w:ascii="Arial" w:hAnsi="Arial" w:cs="Arial"/>
          <w:lang w:val="en-GB"/>
        </w:rPr>
        <w:t xml:space="preserve">. 9th </w:t>
      </w:r>
      <w:proofErr w:type="spellStart"/>
      <w:r w:rsidRPr="00A05693">
        <w:rPr>
          <w:rFonts w:ascii="Arial" w:hAnsi="Arial" w:cs="Arial"/>
          <w:lang w:val="en-GB"/>
        </w:rPr>
        <w:t>edn</w:t>
      </w:r>
      <w:proofErr w:type="spellEnd"/>
      <w:r w:rsidRPr="00A05693">
        <w:rPr>
          <w:rFonts w:ascii="Arial" w:hAnsi="Arial" w:cs="Arial"/>
          <w:lang w:val="en-GB"/>
        </w:rPr>
        <w:t>. Harlow: Pearson.</w:t>
      </w:r>
    </w:p>
    <w:p w14:paraId="16F6C5AE"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CIPD (2023) </w:t>
      </w:r>
      <w:r w:rsidRPr="00A05693">
        <w:rPr>
          <w:rFonts w:ascii="Arial" w:hAnsi="Arial" w:cs="Arial"/>
          <w:i/>
          <w:iCs/>
          <w:lang w:val="en-GB"/>
        </w:rPr>
        <w:t>Good Work Index 2023</w:t>
      </w:r>
      <w:r w:rsidRPr="00A05693">
        <w:rPr>
          <w:rFonts w:ascii="Arial" w:hAnsi="Arial" w:cs="Arial"/>
          <w:lang w:val="en-GB"/>
        </w:rPr>
        <w:t xml:space="preserve">. London: Chartered Institute of Personnel and Development. Available at: </w:t>
      </w:r>
      <w:hyperlink r:id="rId6" w:tgtFrame="_new" w:history="1">
        <w:r w:rsidRPr="00A05693">
          <w:rPr>
            <w:rStyle w:val="Hiperligao"/>
            <w:rFonts w:ascii="Arial" w:hAnsi="Arial" w:cs="Arial"/>
            <w:lang w:val="en-GB"/>
          </w:rPr>
          <w:t>https://www.cipd.org</w:t>
        </w:r>
      </w:hyperlink>
      <w:r w:rsidRPr="00A05693">
        <w:rPr>
          <w:rFonts w:ascii="Arial" w:hAnsi="Arial" w:cs="Arial"/>
          <w:lang w:val="en-GB"/>
        </w:rPr>
        <w:t xml:space="preserve"> (Accessed: 30 April 2026).</w:t>
      </w:r>
    </w:p>
    <w:p w14:paraId="140A59F0"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CIPD (2022) </w:t>
      </w:r>
      <w:r w:rsidRPr="00A05693">
        <w:rPr>
          <w:rFonts w:ascii="Arial" w:hAnsi="Arial" w:cs="Arial"/>
          <w:i/>
          <w:iCs/>
          <w:lang w:val="en-GB"/>
        </w:rPr>
        <w:t>Learning at Work Report</w:t>
      </w:r>
      <w:r w:rsidRPr="00A05693">
        <w:rPr>
          <w:rFonts w:ascii="Arial" w:hAnsi="Arial" w:cs="Arial"/>
          <w:lang w:val="en-GB"/>
        </w:rPr>
        <w:t>. London: Chartered Institute of Personnel and Development.</w:t>
      </w:r>
    </w:p>
    <w:p w14:paraId="6C2908BA"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Deloitte (2023) </w:t>
      </w:r>
      <w:r w:rsidRPr="00A05693">
        <w:rPr>
          <w:rFonts w:ascii="Arial" w:hAnsi="Arial" w:cs="Arial"/>
          <w:i/>
          <w:iCs/>
          <w:lang w:val="en-GB"/>
        </w:rPr>
        <w:t>Global Human Capital Trends Report</w:t>
      </w:r>
      <w:r w:rsidRPr="00A05693">
        <w:rPr>
          <w:rFonts w:ascii="Arial" w:hAnsi="Arial" w:cs="Arial"/>
          <w:lang w:val="en-GB"/>
        </w:rPr>
        <w:t xml:space="preserve">. Available at: </w:t>
      </w:r>
      <w:hyperlink r:id="rId7" w:tgtFrame="_new" w:history="1">
        <w:r w:rsidRPr="00A05693">
          <w:rPr>
            <w:rStyle w:val="Hiperligao"/>
            <w:rFonts w:ascii="Arial" w:hAnsi="Arial" w:cs="Arial"/>
            <w:lang w:val="en-GB"/>
          </w:rPr>
          <w:t>https://www.deloitte.com</w:t>
        </w:r>
      </w:hyperlink>
      <w:r w:rsidRPr="00A05693">
        <w:rPr>
          <w:rFonts w:ascii="Arial" w:hAnsi="Arial" w:cs="Arial"/>
          <w:lang w:val="en-GB"/>
        </w:rPr>
        <w:t xml:space="preserve"> (Accessed: 30 April 2026).</w:t>
      </w:r>
    </w:p>
    <w:p w14:paraId="7D40BEC7"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Guest, D. (2017) ‘Human resource management and employee well-being: Towards a new analytic framework’, </w:t>
      </w:r>
      <w:r w:rsidRPr="00A05693">
        <w:rPr>
          <w:rFonts w:ascii="Arial" w:hAnsi="Arial" w:cs="Arial"/>
          <w:i/>
          <w:iCs/>
          <w:lang w:val="en-GB"/>
        </w:rPr>
        <w:t>Human Resource Management Journal</w:t>
      </w:r>
      <w:r w:rsidRPr="00A05693">
        <w:rPr>
          <w:rFonts w:ascii="Arial" w:hAnsi="Arial" w:cs="Arial"/>
          <w:lang w:val="en-GB"/>
        </w:rPr>
        <w:t>, 27(1), pp. 22–38.</w:t>
      </w:r>
    </w:p>
    <w:p w14:paraId="37E3D832"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Noe, R. A. (2020) </w:t>
      </w:r>
      <w:r w:rsidRPr="00A05693">
        <w:rPr>
          <w:rFonts w:ascii="Arial" w:hAnsi="Arial" w:cs="Arial"/>
          <w:i/>
          <w:iCs/>
          <w:lang w:val="en-GB"/>
        </w:rPr>
        <w:t>Employee Training and Development</w:t>
      </w:r>
      <w:r w:rsidRPr="00A05693">
        <w:rPr>
          <w:rFonts w:ascii="Arial" w:hAnsi="Arial" w:cs="Arial"/>
          <w:lang w:val="en-GB"/>
        </w:rPr>
        <w:t xml:space="preserve">. 8th </w:t>
      </w:r>
      <w:proofErr w:type="spellStart"/>
      <w:r w:rsidRPr="00A05693">
        <w:rPr>
          <w:rFonts w:ascii="Arial" w:hAnsi="Arial" w:cs="Arial"/>
          <w:lang w:val="en-GB"/>
        </w:rPr>
        <w:t>edn</w:t>
      </w:r>
      <w:proofErr w:type="spellEnd"/>
      <w:r w:rsidRPr="00A05693">
        <w:rPr>
          <w:rFonts w:ascii="Arial" w:hAnsi="Arial" w:cs="Arial"/>
          <w:lang w:val="en-GB"/>
        </w:rPr>
        <w:t>. New York: McGraw-Hill.</w:t>
      </w:r>
    </w:p>
    <w:p w14:paraId="3AE9D267"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Roberson, Q. (2019) ‘Diversity in the workplace: A review, synthesis, and future research agenda’, </w:t>
      </w:r>
      <w:r w:rsidRPr="00A05693">
        <w:rPr>
          <w:rFonts w:ascii="Arial" w:hAnsi="Arial" w:cs="Arial"/>
          <w:i/>
          <w:iCs/>
          <w:lang w:val="en-GB"/>
        </w:rPr>
        <w:t xml:space="preserve">Annual Review of Organizational Psychology and Organizational </w:t>
      </w:r>
      <w:proofErr w:type="spellStart"/>
      <w:r w:rsidRPr="00A05693">
        <w:rPr>
          <w:rFonts w:ascii="Arial" w:hAnsi="Arial" w:cs="Arial"/>
          <w:i/>
          <w:iCs/>
          <w:lang w:val="en-GB"/>
        </w:rPr>
        <w:t>Behavior</w:t>
      </w:r>
      <w:proofErr w:type="spellEnd"/>
      <w:r w:rsidRPr="00A05693">
        <w:rPr>
          <w:rFonts w:ascii="Arial" w:hAnsi="Arial" w:cs="Arial"/>
          <w:lang w:val="en-GB"/>
        </w:rPr>
        <w:t>, 6, pp. 69–88.</w:t>
      </w:r>
    </w:p>
    <w:p w14:paraId="373983E6"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Storey, J. (2016) </w:t>
      </w:r>
      <w:r w:rsidRPr="00A05693">
        <w:rPr>
          <w:rFonts w:ascii="Arial" w:hAnsi="Arial" w:cs="Arial"/>
          <w:i/>
          <w:iCs/>
          <w:lang w:val="en-GB"/>
        </w:rPr>
        <w:t>Human Resource Management: A Critical Text</w:t>
      </w:r>
      <w:r w:rsidRPr="00A05693">
        <w:rPr>
          <w:rFonts w:ascii="Arial" w:hAnsi="Arial" w:cs="Arial"/>
          <w:lang w:val="en-GB"/>
        </w:rPr>
        <w:t xml:space="preserve">. 5th </w:t>
      </w:r>
      <w:proofErr w:type="spellStart"/>
      <w:r w:rsidRPr="00A05693">
        <w:rPr>
          <w:rFonts w:ascii="Arial" w:hAnsi="Arial" w:cs="Arial"/>
          <w:lang w:val="en-GB"/>
        </w:rPr>
        <w:t>edn</w:t>
      </w:r>
      <w:proofErr w:type="spellEnd"/>
      <w:r w:rsidRPr="00A05693">
        <w:rPr>
          <w:rFonts w:ascii="Arial" w:hAnsi="Arial" w:cs="Arial"/>
          <w:lang w:val="en-GB"/>
        </w:rPr>
        <w:t>. London: Routledge.</w:t>
      </w:r>
    </w:p>
    <w:p w14:paraId="3485D729" w14:textId="77777777" w:rsidR="00A05693" w:rsidRPr="00A05693" w:rsidRDefault="00A05693" w:rsidP="00A05693">
      <w:pPr>
        <w:jc w:val="both"/>
        <w:rPr>
          <w:rFonts w:ascii="Arial" w:hAnsi="Arial" w:cs="Arial"/>
          <w:lang w:val="en-GB"/>
        </w:rPr>
      </w:pPr>
      <w:r w:rsidRPr="00A05693">
        <w:rPr>
          <w:rFonts w:ascii="Arial" w:hAnsi="Arial" w:cs="Arial"/>
          <w:lang w:val="en-GB"/>
        </w:rPr>
        <w:t xml:space="preserve">Tesco plc (2024) </w:t>
      </w:r>
      <w:r w:rsidRPr="00A05693">
        <w:rPr>
          <w:rFonts w:ascii="Arial" w:hAnsi="Arial" w:cs="Arial"/>
          <w:i/>
          <w:iCs/>
          <w:lang w:val="en-GB"/>
        </w:rPr>
        <w:t>Annual Report and Financial Statements 2024</w:t>
      </w:r>
      <w:r w:rsidRPr="00A05693">
        <w:rPr>
          <w:rFonts w:ascii="Arial" w:hAnsi="Arial" w:cs="Arial"/>
          <w:lang w:val="en-GB"/>
        </w:rPr>
        <w:t xml:space="preserve">. Available at: </w:t>
      </w:r>
      <w:hyperlink r:id="rId8" w:tgtFrame="_new" w:history="1">
        <w:r w:rsidRPr="00A05693">
          <w:rPr>
            <w:rStyle w:val="Hiperligao"/>
            <w:rFonts w:ascii="Arial" w:hAnsi="Arial" w:cs="Arial"/>
            <w:lang w:val="en-GB"/>
          </w:rPr>
          <w:t>https://www.tescoplc.com</w:t>
        </w:r>
      </w:hyperlink>
      <w:r w:rsidRPr="00A05693">
        <w:rPr>
          <w:rFonts w:ascii="Arial" w:hAnsi="Arial" w:cs="Arial"/>
          <w:lang w:val="en-GB"/>
        </w:rPr>
        <w:t xml:space="preserve"> (Accessed: 30 April 2026).</w:t>
      </w:r>
    </w:p>
    <w:p w14:paraId="0B280F71" w14:textId="77777777" w:rsidR="003565CA" w:rsidRPr="001828C7" w:rsidRDefault="003565CA" w:rsidP="001828C7">
      <w:pPr>
        <w:jc w:val="both"/>
        <w:rPr>
          <w:rFonts w:ascii="Arial" w:hAnsi="Arial" w:cs="Arial"/>
          <w:lang w:val="en-GB"/>
        </w:rPr>
      </w:pPr>
    </w:p>
    <w:p w14:paraId="1D65C085" w14:textId="77777777" w:rsidR="001828C7" w:rsidRPr="00B22AAF" w:rsidRDefault="001828C7" w:rsidP="00B22AAF">
      <w:pPr>
        <w:jc w:val="both"/>
        <w:rPr>
          <w:rFonts w:ascii="Arial" w:hAnsi="Arial" w:cs="Arial"/>
          <w:lang w:val="en-GB"/>
        </w:rPr>
      </w:pPr>
    </w:p>
    <w:p w14:paraId="3890EC85" w14:textId="77777777" w:rsidR="00A41721" w:rsidRDefault="00A41721" w:rsidP="00595498">
      <w:pPr>
        <w:jc w:val="both"/>
        <w:rPr>
          <w:rFonts w:ascii="Arial" w:hAnsi="Arial" w:cs="Arial"/>
        </w:rPr>
      </w:pPr>
    </w:p>
    <w:p w14:paraId="6E076187" w14:textId="77777777" w:rsidR="00B22AAF" w:rsidRPr="009D069A" w:rsidRDefault="00B22AAF" w:rsidP="00595498">
      <w:pPr>
        <w:jc w:val="both"/>
        <w:rPr>
          <w:rFonts w:ascii="Arial" w:hAnsi="Arial" w:cs="Arial"/>
        </w:rPr>
      </w:pPr>
    </w:p>
    <w:p w14:paraId="50792F74" w14:textId="77777777" w:rsidR="00B77133" w:rsidRPr="00B77133" w:rsidRDefault="00B77133" w:rsidP="00595498">
      <w:pPr>
        <w:jc w:val="both"/>
        <w:rPr>
          <w:rFonts w:ascii="Arial" w:hAnsi="Arial" w:cs="Arial"/>
        </w:rPr>
      </w:pPr>
    </w:p>
    <w:sectPr w:rsidR="00B77133" w:rsidRPr="00B77133">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97A14"/>
    <w:multiLevelType w:val="multilevel"/>
    <w:tmpl w:val="2F125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E40F2B"/>
    <w:multiLevelType w:val="multilevel"/>
    <w:tmpl w:val="546C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A262E5"/>
    <w:multiLevelType w:val="multilevel"/>
    <w:tmpl w:val="7826D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8F5770"/>
    <w:multiLevelType w:val="multilevel"/>
    <w:tmpl w:val="3114133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9996039">
    <w:abstractNumId w:val="2"/>
  </w:num>
  <w:num w:numId="2" w16cid:durableId="1186598443">
    <w:abstractNumId w:val="1"/>
  </w:num>
  <w:num w:numId="3" w16cid:durableId="1812673638">
    <w:abstractNumId w:val="0"/>
  </w:num>
  <w:num w:numId="4" w16cid:durableId="16070822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04A"/>
    <w:rsid w:val="00023D2D"/>
    <w:rsid w:val="000F4284"/>
    <w:rsid w:val="001828C7"/>
    <w:rsid w:val="001A467B"/>
    <w:rsid w:val="002F5A98"/>
    <w:rsid w:val="003565CA"/>
    <w:rsid w:val="00386F12"/>
    <w:rsid w:val="003C304A"/>
    <w:rsid w:val="00447F01"/>
    <w:rsid w:val="0045136C"/>
    <w:rsid w:val="00506969"/>
    <w:rsid w:val="00551E5C"/>
    <w:rsid w:val="00595498"/>
    <w:rsid w:val="005D5F45"/>
    <w:rsid w:val="006075B3"/>
    <w:rsid w:val="00635ECF"/>
    <w:rsid w:val="00775A2C"/>
    <w:rsid w:val="00783399"/>
    <w:rsid w:val="0094382D"/>
    <w:rsid w:val="009B0CC5"/>
    <w:rsid w:val="009B7F93"/>
    <w:rsid w:val="009D05C9"/>
    <w:rsid w:val="00A00272"/>
    <w:rsid w:val="00A05693"/>
    <w:rsid w:val="00A41721"/>
    <w:rsid w:val="00B1413D"/>
    <w:rsid w:val="00B22AAF"/>
    <w:rsid w:val="00B77133"/>
    <w:rsid w:val="00E67D6B"/>
    <w:rsid w:val="00E97CB8"/>
    <w:rsid w:val="00EC713F"/>
    <w:rsid w:val="00F50B11"/>
    <w:rsid w:val="00F54CB1"/>
    <w:rsid w:val="00FB5C15"/>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A4ED"/>
  <w15:chartTrackingRefBased/>
  <w15:docId w15:val="{61BADD47-B87A-4A43-8C1A-F62C9A762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3"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2"/>
    <w:qFormat/>
    <w:rsid w:val="003C30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ter"/>
    <w:uiPriority w:val="3"/>
    <w:unhideWhenUsed/>
    <w:qFormat/>
    <w:rsid w:val="003C30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ter"/>
    <w:uiPriority w:val="9"/>
    <w:semiHidden/>
    <w:unhideWhenUsed/>
    <w:qFormat/>
    <w:rsid w:val="003C304A"/>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ter"/>
    <w:uiPriority w:val="9"/>
    <w:semiHidden/>
    <w:unhideWhenUsed/>
    <w:qFormat/>
    <w:rsid w:val="003C304A"/>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ter"/>
    <w:uiPriority w:val="9"/>
    <w:semiHidden/>
    <w:unhideWhenUsed/>
    <w:qFormat/>
    <w:rsid w:val="003C304A"/>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ter"/>
    <w:uiPriority w:val="9"/>
    <w:semiHidden/>
    <w:unhideWhenUsed/>
    <w:qFormat/>
    <w:rsid w:val="003C304A"/>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3C304A"/>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3C304A"/>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3C304A"/>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2"/>
    <w:rsid w:val="003C304A"/>
    <w:rPr>
      <w:rFonts w:asciiTheme="majorHAnsi" w:eastAsiaTheme="majorEastAsia" w:hAnsiTheme="majorHAnsi" w:cstheme="majorBidi"/>
      <w:color w:val="2F5496" w:themeColor="accent1" w:themeShade="BF"/>
      <w:sz w:val="40"/>
      <w:szCs w:val="40"/>
    </w:rPr>
  </w:style>
  <w:style w:type="character" w:customStyle="1" w:styleId="Ttulo2Carter">
    <w:name w:val="Título 2 Caráter"/>
    <w:basedOn w:val="Tipodeletrapredefinidodopargrafo"/>
    <w:link w:val="Ttulo2"/>
    <w:uiPriority w:val="3"/>
    <w:rsid w:val="003C304A"/>
    <w:rPr>
      <w:rFonts w:asciiTheme="majorHAnsi" w:eastAsiaTheme="majorEastAsia" w:hAnsiTheme="majorHAnsi" w:cstheme="majorBidi"/>
      <w:color w:val="2F5496" w:themeColor="accent1" w:themeShade="BF"/>
      <w:sz w:val="32"/>
      <w:szCs w:val="32"/>
    </w:rPr>
  </w:style>
  <w:style w:type="character" w:customStyle="1" w:styleId="Ttulo3Carter">
    <w:name w:val="Título 3 Caráter"/>
    <w:basedOn w:val="Tipodeletrapredefinidodopargrafo"/>
    <w:link w:val="Ttulo3"/>
    <w:uiPriority w:val="9"/>
    <w:semiHidden/>
    <w:rsid w:val="003C304A"/>
    <w:rPr>
      <w:rFonts w:eastAsiaTheme="majorEastAsia" w:cstheme="majorBidi"/>
      <w:color w:val="2F5496" w:themeColor="accent1" w:themeShade="BF"/>
      <w:sz w:val="28"/>
      <w:szCs w:val="28"/>
    </w:rPr>
  </w:style>
  <w:style w:type="character" w:customStyle="1" w:styleId="Ttulo4Carter">
    <w:name w:val="Título 4 Caráter"/>
    <w:basedOn w:val="Tipodeletrapredefinidodopargrafo"/>
    <w:link w:val="Ttulo4"/>
    <w:uiPriority w:val="9"/>
    <w:semiHidden/>
    <w:rsid w:val="003C304A"/>
    <w:rPr>
      <w:rFonts w:eastAsiaTheme="majorEastAsia" w:cstheme="majorBidi"/>
      <w:i/>
      <w:iCs/>
      <w:color w:val="2F5496" w:themeColor="accent1" w:themeShade="BF"/>
    </w:rPr>
  </w:style>
  <w:style w:type="character" w:customStyle="1" w:styleId="Ttulo5Carter">
    <w:name w:val="Título 5 Caráter"/>
    <w:basedOn w:val="Tipodeletrapredefinidodopargrafo"/>
    <w:link w:val="Ttulo5"/>
    <w:uiPriority w:val="9"/>
    <w:semiHidden/>
    <w:rsid w:val="003C304A"/>
    <w:rPr>
      <w:rFonts w:eastAsiaTheme="majorEastAsia" w:cstheme="majorBidi"/>
      <w:color w:val="2F5496" w:themeColor="accent1" w:themeShade="BF"/>
    </w:rPr>
  </w:style>
  <w:style w:type="character" w:customStyle="1" w:styleId="Ttulo6Carter">
    <w:name w:val="Título 6 Caráter"/>
    <w:basedOn w:val="Tipodeletrapredefinidodopargrafo"/>
    <w:link w:val="Ttulo6"/>
    <w:uiPriority w:val="9"/>
    <w:semiHidden/>
    <w:rsid w:val="003C304A"/>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3C304A"/>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3C304A"/>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3C304A"/>
    <w:rPr>
      <w:rFonts w:eastAsiaTheme="majorEastAsia" w:cstheme="majorBidi"/>
      <w:color w:val="272727" w:themeColor="text1" w:themeTint="D8"/>
    </w:rPr>
  </w:style>
  <w:style w:type="paragraph" w:styleId="Ttulo">
    <w:name w:val="Title"/>
    <w:basedOn w:val="Normal"/>
    <w:next w:val="Normal"/>
    <w:link w:val="TtuloCarter"/>
    <w:qFormat/>
    <w:rsid w:val="003C3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rsid w:val="003C304A"/>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
    <w:qFormat/>
    <w:rsid w:val="003C304A"/>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
    <w:rsid w:val="003C304A"/>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3C304A"/>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3C304A"/>
    <w:rPr>
      <w:i/>
      <w:iCs/>
      <w:color w:val="404040" w:themeColor="text1" w:themeTint="BF"/>
    </w:rPr>
  </w:style>
  <w:style w:type="paragraph" w:styleId="PargrafodaLista">
    <w:name w:val="List Paragraph"/>
    <w:basedOn w:val="Normal"/>
    <w:uiPriority w:val="34"/>
    <w:qFormat/>
    <w:rsid w:val="003C304A"/>
    <w:pPr>
      <w:ind w:left="720"/>
      <w:contextualSpacing/>
    </w:pPr>
  </w:style>
  <w:style w:type="character" w:styleId="nfaseIntensa">
    <w:name w:val="Intense Emphasis"/>
    <w:basedOn w:val="Tipodeletrapredefinidodopargrafo"/>
    <w:uiPriority w:val="21"/>
    <w:qFormat/>
    <w:rsid w:val="003C304A"/>
    <w:rPr>
      <w:i/>
      <w:iCs/>
      <w:color w:val="2F5496" w:themeColor="accent1" w:themeShade="BF"/>
    </w:rPr>
  </w:style>
  <w:style w:type="paragraph" w:styleId="CitaoIntensa">
    <w:name w:val="Intense Quote"/>
    <w:basedOn w:val="Normal"/>
    <w:next w:val="Normal"/>
    <w:link w:val="CitaoIntensaCarter"/>
    <w:uiPriority w:val="30"/>
    <w:qFormat/>
    <w:rsid w:val="003C30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arter">
    <w:name w:val="Citação Intensa Caráter"/>
    <w:basedOn w:val="Tipodeletrapredefinidodopargrafo"/>
    <w:link w:val="CitaoIntensa"/>
    <w:uiPriority w:val="30"/>
    <w:rsid w:val="003C304A"/>
    <w:rPr>
      <w:i/>
      <w:iCs/>
      <w:color w:val="2F5496" w:themeColor="accent1" w:themeShade="BF"/>
    </w:rPr>
  </w:style>
  <w:style w:type="character" w:styleId="RefernciaIntensa">
    <w:name w:val="Intense Reference"/>
    <w:basedOn w:val="Tipodeletrapredefinidodopargrafo"/>
    <w:uiPriority w:val="32"/>
    <w:qFormat/>
    <w:rsid w:val="003C304A"/>
    <w:rPr>
      <w:b/>
      <w:bCs/>
      <w:smallCaps/>
      <w:color w:val="2F5496" w:themeColor="accent1" w:themeShade="BF"/>
      <w:spacing w:val="5"/>
    </w:rPr>
  </w:style>
  <w:style w:type="table" w:styleId="TabelacomGrelha">
    <w:name w:val="Table Grid"/>
    <w:basedOn w:val="Tabelanormal"/>
    <w:uiPriority w:val="39"/>
    <w:rsid w:val="000F4284"/>
    <w:pPr>
      <w:spacing w:after="0" w:line="240" w:lineRule="auto"/>
    </w:pPr>
    <w:rPr>
      <w:kern w:val="0"/>
      <w:sz w:val="24"/>
      <w:szCs w:val="24"/>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Left">
    <w:name w:val="TextLeft"/>
    <w:basedOn w:val="Normal"/>
    <w:next w:val="Normal"/>
    <w:uiPriority w:val="4"/>
    <w:qFormat/>
    <w:rsid w:val="000F4284"/>
    <w:pPr>
      <w:spacing w:after="0" w:line="288" w:lineRule="auto"/>
      <w:jc w:val="right"/>
    </w:pPr>
    <w:rPr>
      <w:rFonts w:ascii="Arial" w:hAnsi="Arial" w:cs="Arial"/>
      <w:color w:val="404040" w:themeColor="text1" w:themeTint="BF"/>
      <w:kern w:val="0"/>
      <w:szCs w:val="24"/>
      <w:lang w:val="en-US" w:bidi="ar-SA"/>
      <w14:ligatures w14:val="none"/>
    </w:rPr>
  </w:style>
  <w:style w:type="paragraph" w:customStyle="1" w:styleId="SmallText">
    <w:name w:val="SmallText"/>
    <w:basedOn w:val="Normal"/>
    <w:next w:val="Normal"/>
    <w:uiPriority w:val="6"/>
    <w:qFormat/>
    <w:rsid w:val="000F4284"/>
    <w:pPr>
      <w:spacing w:after="0" w:line="240" w:lineRule="auto"/>
    </w:pPr>
    <w:rPr>
      <w:rFonts w:ascii="Arial" w:hAnsi="Arial" w:cs="Arial"/>
      <w:i/>
      <w:color w:val="404040" w:themeColor="text1" w:themeTint="BF"/>
      <w:kern w:val="0"/>
      <w:sz w:val="20"/>
      <w:szCs w:val="24"/>
      <w:lang w:val="en-US" w:bidi="ar-SA"/>
      <w14:ligatures w14:val="none"/>
    </w:rPr>
  </w:style>
  <w:style w:type="paragraph" w:customStyle="1" w:styleId="TextRight">
    <w:name w:val="TextRight"/>
    <w:basedOn w:val="Normal"/>
    <w:next w:val="Normal"/>
    <w:uiPriority w:val="5"/>
    <w:qFormat/>
    <w:rsid w:val="000F4284"/>
    <w:pPr>
      <w:spacing w:after="0" w:line="288" w:lineRule="auto"/>
    </w:pPr>
    <w:rPr>
      <w:rFonts w:ascii="Arial" w:hAnsi="Arial" w:cs="Arial"/>
      <w:color w:val="404040" w:themeColor="text1" w:themeTint="BF"/>
      <w:kern w:val="0"/>
      <w:szCs w:val="24"/>
      <w:lang w:val="en-US" w:bidi="ar-SA"/>
      <w14:ligatures w14:val="none"/>
    </w:rPr>
  </w:style>
  <w:style w:type="character" w:styleId="nfase">
    <w:name w:val="Emphasis"/>
    <w:uiPriority w:val="20"/>
    <w:qFormat/>
    <w:rsid w:val="000F4284"/>
    <w:rPr>
      <w:rFonts w:ascii="Arial" w:hAnsi="Arial" w:cs="Arial"/>
      <w:color w:val="5B9BD5" w:themeColor="accent5"/>
    </w:rPr>
  </w:style>
  <w:style w:type="character" w:styleId="Hiperligao">
    <w:name w:val="Hyperlink"/>
    <w:basedOn w:val="Tipodeletrapredefinidodopargrafo"/>
    <w:uiPriority w:val="99"/>
    <w:unhideWhenUsed/>
    <w:rsid w:val="00A05693"/>
    <w:rPr>
      <w:color w:val="0563C1" w:themeColor="hyperlink"/>
      <w:u w:val="single"/>
    </w:rPr>
  </w:style>
  <w:style w:type="character" w:styleId="MenoNoResolvida">
    <w:name w:val="Unresolved Mention"/>
    <w:basedOn w:val="Tipodeletrapredefinidodopargrafo"/>
    <w:uiPriority w:val="99"/>
    <w:semiHidden/>
    <w:unhideWhenUsed/>
    <w:rsid w:val="00A056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hyperlink" Target="https://www.deloitt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3118</Words>
  <Characters>17775</Characters>
  <Application>Microsoft Office Word</Application>
  <DocSecurity>0</DocSecurity>
  <Lines>148</Lines>
  <Paragraphs>41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Filipa</dc:creator>
  <cp:keywords/>
  <dc:description/>
  <cp:lastModifiedBy>larafriends27@gmail.com</cp:lastModifiedBy>
  <cp:revision>2</cp:revision>
  <dcterms:created xsi:type="dcterms:W3CDTF">2026-04-30T22:30:00Z</dcterms:created>
  <dcterms:modified xsi:type="dcterms:W3CDTF">2026-04-30T22:30:00Z</dcterms:modified>
</cp:coreProperties>
</file>