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7B8" w:rsidRDefault="00E92D99">
      <w:r>
        <w:t>Scholarly Reply</w:t>
      </w:r>
      <w:r w:rsidR="000844D2">
        <w:t>:</w:t>
      </w:r>
    </w:p>
    <w:p w:rsidR="000844D2" w:rsidRDefault="000844D2">
      <w:r w:rsidRPr="000844D2">
        <w:rPr>
          <w:i/>
        </w:rPr>
        <w:t xml:space="preserve">Hunter, J. H. 2005. 'Pericles' Cavalry Strategy', </w:t>
      </w:r>
      <w:proofErr w:type="spellStart"/>
      <w:r w:rsidRPr="000844D2">
        <w:rPr>
          <w:i/>
        </w:rPr>
        <w:t>Quaderni</w:t>
      </w:r>
      <w:proofErr w:type="spellEnd"/>
      <w:r w:rsidRPr="000844D2">
        <w:rPr>
          <w:i/>
        </w:rPr>
        <w:t xml:space="preserve"> </w:t>
      </w:r>
      <w:proofErr w:type="spellStart"/>
      <w:r w:rsidRPr="000844D2">
        <w:rPr>
          <w:i/>
        </w:rPr>
        <w:t>Urbinati</w:t>
      </w:r>
      <w:proofErr w:type="spellEnd"/>
      <w:r w:rsidRPr="000844D2">
        <w:rPr>
          <w:i/>
        </w:rPr>
        <w:t xml:space="preserve"> di </w:t>
      </w:r>
      <w:proofErr w:type="spellStart"/>
      <w:r w:rsidRPr="000844D2">
        <w:rPr>
          <w:i/>
        </w:rPr>
        <w:t>Cultura</w:t>
      </w:r>
      <w:proofErr w:type="spellEnd"/>
      <w:r w:rsidRPr="000844D2">
        <w:rPr>
          <w:i/>
        </w:rPr>
        <w:t xml:space="preserve"> Classica, 81, 3, 101-108</w:t>
      </w:r>
      <w:r w:rsidRPr="000844D2">
        <w:t>.</w:t>
      </w:r>
    </w:p>
    <w:p w:rsidR="000844D2" w:rsidRDefault="000844D2"/>
    <w:p w:rsidR="00C13D55" w:rsidRDefault="00C13D55">
      <w:r>
        <w:t>Hunter’s article itself is a reply to another article, ‘Pericles and the Defence of Attica during the Peloponnesian War’ and book, ‘The Cavalry of Classical Greece’, written by Ian Spence. In the article Hunter states that whilst Spence provides a good discussion on the topic of the u</w:t>
      </w:r>
      <w:r w:rsidR="009C0BF7">
        <w:t>se of cavalry in Ancient Greece. However Spence argues there is ‘no general concept of military strategy’ in Ancient Greece and with specific reference to the defence of Attica he doesn’t give Pericles his due credit with his use of cavalry.</w:t>
      </w:r>
      <w:r w:rsidR="009C0BF7">
        <w:rPr>
          <w:rStyle w:val="FootnoteReference"/>
        </w:rPr>
        <w:footnoteReference w:id="1"/>
      </w:r>
      <w:r w:rsidR="009C0BF7">
        <w:t xml:space="preserve"> Hunter goes about countering the points made by Spence reasonably well with logical conclusions but he pigeonholes the evidence to fit his arguments</w:t>
      </w:r>
      <w:r w:rsidR="009E4D6C">
        <w:t>. That being said he does agree with Spence on his tactical analysis he just disagrees with the interpretation of Pericles he gives.</w:t>
      </w:r>
    </w:p>
    <w:p w:rsidR="0065121A" w:rsidRDefault="00A55362">
      <w:r>
        <w:t xml:space="preserve">Hunter writes that Pericles is a ‘cavalry strategist’, this is not an accurate statement, firstly because the name implies that Pericles was only adept in using cavalry which is clearly not the case because the Periklean Strategy for which he is most well-known was a combination of coastal raids, cavalry harassment of invaders </w:t>
      </w:r>
      <w:r w:rsidR="00605D31">
        <w:t>and denying Sparta the battlefield confrontation they sought</w:t>
      </w:r>
      <w:r w:rsidR="0035775D">
        <w:t xml:space="preserve"> whilst using the Athenian navy to supply Athens with food and other necessities</w:t>
      </w:r>
      <w:r w:rsidR="00605D31">
        <w:t>.</w:t>
      </w:r>
      <w:r w:rsidR="00605D31">
        <w:rPr>
          <w:rStyle w:val="FootnoteReference"/>
        </w:rPr>
        <w:footnoteReference w:id="2"/>
      </w:r>
      <w:r w:rsidR="00605D31">
        <w:t xml:space="preserve"> The use of cavalry in this way is presented, by Hunter, as new and uncharacteristic of Greek warfare in the classical world and whilst this is true for the most part for Attica and the Peloponnese due to the topography and terrain, this cannot be said of the Greeks of Thessaly which has more flat land which cavalr</w:t>
      </w:r>
      <w:r w:rsidR="003630E6">
        <w:t>y can utilize with greater ease.</w:t>
      </w:r>
      <w:r w:rsidR="003630E6">
        <w:rPr>
          <w:rStyle w:val="FootnoteReference"/>
        </w:rPr>
        <w:footnoteReference w:id="3"/>
      </w:r>
      <w:r w:rsidR="003630E6">
        <w:t xml:space="preserve"> Thucydides does actually mention an expedition of the Athenians into Thessaly in 455BC which is defeated due to the army camp coming under attack of the Thessalian cavalry and being forced to retreat which is used as </w:t>
      </w:r>
      <w:r w:rsidR="00683FE6">
        <w:t>a key factor in the new use of cavalry in the defence of Attica</w:t>
      </w:r>
      <w:r w:rsidR="00777F77">
        <w:t>.</w:t>
      </w:r>
      <w:r w:rsidR="00777F77">
        <w:rPr>
          <w:rStyle w:val="FootnoteReference"/>
        </w:rPr>
        <w:footnoteReference w:id="4"/>
      </w:r>
      <w:r w:rsidR="00777F77">
        <w:t xml:space="preserve"> </w:t>
      </w:r>
    </w:p>
    <w:p w:rsidR="007E382C" w:rsidRDefault="00777F77">
      <w:r>
        <w:t xml:space="preserve">We know that Athens had </w:t>
      </w:r>
      <w:r w:rsidR="00126D3E">
        <w:t>a semi-regular body of cavalry</w:t>
      </w:r>
      <w:r>
        <w:t xml:space="preserve"> </w:t>
      </w:r>
      <w:r w:rsidR="00126D3E">
        <w:t xml:space="preserve">in its Hippies, what is less </w:t>
      </w:r>
      <w:r w:rsidR="001B3B0C">
        <w:t>clear is how they fought as there is both reference to skirmishing and line cavalry activity</w:t>
      </w:r>
      <w:r w:rsidR="00126D3E">
        <w:t>.</w:t>
      </w:r>
      <w:r w:rsidR="00126D3E">
        <w:rPr>
          <w:rStyle w:val="FootnoteReference"/>
        </w:rPr>
        <w:footnoteReference w:id="5"/>
      </w:r>
      <w:r w:rsidR="00126D3E">
        <w:t xml:space="preserve"> Xenophon in his work ‘On the Cavalry Commander’ makes explicit mention of throwing javelins and how regularly this should be drilled, and places emphasis on speed and mobility which would lead us to believe that the Athenian Cavalry followed more of a skirmishing and harassing role.</w:t>
      </w:r>
      <w:r w:rsidR="00126D3E">
        <w:rPr>
          <w:rStyle w:val="FootnoteReference"/>
        </w:rPr>
        <w:footnoteReference w:id="6"/>
      </w:r>
      <w:r w:rsidR="00126D3E">
        <w:t xml:space="preserve"> On the other hand the example used by Hunter </w:t>
      </w:r>
      <w:r w:rsidR="0035775D">
        <w:t>in the a</w:t>
      </w:r>
      <w:r w:rsidR="00126D3E">
        <w:t xml:space="preserve">rticle </w:t>
      </w:r>
      <w:r w:rsidR="0035775D">
        <w:t>is when Thucydides describes how the Spartans reacted after pushing back the Athenian Cavalry, as the ‘light troops’ – nominally the ones doing the pillaging and foraging – would not leave the main army for their own protection.</w:t>
      </w:r>
      <w:r w:rsidR="0035775D">
        <w:rPr>
          <w:rStyle w:val="FootnoteReference"/>
        </w:rPr>
        <w:footnoteReference w:id="7"/>
      </w:r>
      <w:r w:rsidR="0035775D">
        <w:t xml:space="preserve"> Now this could be referring to any type of cavalry, however we are later told that the Spartans </w:t>
      </w:r>
      <w:r w:rsidR="001B3B0C">
        <w:t xml:space="preserve">after defeating the Athenian Cavalry at </w:t>
      </w:r>
      <w:proofErr w:type="spellStart"/>
      <w:r w:rsidR="001B3B0C">
        <w:t>Rheiti</w:t>
      </w:r>
      <w:proofErr w:type="spellEnd"/>
      <w:r w:rsidR="001B3B0C">
        <w:t xml:space="preserve"> in 431BC they kept Mt. </w:t>
      </w:r>
      <w:proofErr w:type="spellStart"/>
      <w:r w:rsidR="001B3B0C">
        <w:t>Aegaleus</w:t>
      </w:r>
      <w:proofErr w:type="spellEnd"/>
      <w:r w:rsidR="001B3B0C">
        <w:t xml:space="preserve"> on their right, which Hunter takes to mean that the Cavalry dealt some kind of psychological blow to the Spartans as they began to cover their exposed right flank protected.</w:t>
      </w:r>
      <w:r w:rsidR="001B3B0C">
        <w:rPr>
          <w:rStyle w:val="FootnoteReference"/>
        </w:rPr>
        <w:footnoteReference w:id="8"/>
      </w:r>
      <w:r w:rsidR="001B3B0C">
        <w:t xml:space="preserve"> Now this could be a reaction to having the cavalry attack them, however the formation </w:t>
      </w:r>
      <w:r w:rsidR="001B3B0C">
        <w:lastRenderedPageBreak/>
        <w:t>was supposedly made up of 500 javelin horsemen and 100 horse archers</w:t>
      </w:r>
      <w:r w:rsidR="0065121A">
        <w:t>, meaning that they would have opted to use their range on the Spartans, which possibly means that the exposed right flank of a phalanx could have been a target or if the reference to javelin armed horsemen refers to what we would think of as medium cavalry then a flanking charge was also a possible threat to the Spartans, unlikely but still there.</w:t>
      </w:r>
      <w:r w:rsidR="0065121A">
        <w:rPr>
          <w:rStyle w:val="FootnoteReference"/>
        </w:rPr>
        <w:footnoteReference w:id="9"/>
      </w:r>
      <w:r w:rsidR="0065121A">
        <w:t xml:space="preserve"> Whilst it is possible this engagement, despite emerging victorious, the Spartans were paranoid about coming under such an attack again and chose to keep the mountain on their weak flank</w:t>
      </w:r>
      <w:r w:rsidR="007E382C">
        <w:t xml:space="preserve">, however at the same token there could be a myriad of other reasons for this. Mt. </w:t>
      </w:r>
      <w:proofErr w:type="spellStart"/>
      <w:r w:rsidR="007E382C">
        <w:t>Aegeleus</w:t>
      </w:r>
      <w:proofErr w:type="spellEnd"/>
      <w:r w:rsidR="007E382C">
        <w:t xml:space="preserve"> is located just north of Athens, a besieging army setting up camp wants to be able to protect itself as it becomes a target in itself one way to mitigate this is to deploy next to a mountain or other such land formation as it means you now only have to expect attack from 3 rather than 4 sides thus making it easier to defend the camp, or it could have provided the camp shelter from the weather. As mentioned earlier this is an example of where Hunter adapts the evidence to his argument as he’s not exactly wrong in what he says but he ignores other possible factors that can contribute to strategic decisions. </w:t>
      </w:r>
      <w:r w:rsidR="00D2153E">
        <w:t>Using Xenophon to back this argument here could be an issue as he primarily writes in the 4</w:t>
      </w:r>
      <w:r w:rsidR="00D2153E" w:rsidRPr="00D2153E">
        <w:rPr>
          <w:vertAlign w:val="superscript"/>
        </w:rPr>
        <w:t>th</w:t>
      </w:r>
      <w:r w:rsidR="00D2153E">
        <w:t xml:space="preserve"> century BC whilst Thucydides writes in the 5</w:t>
      </w:r>
      <w:r w:rsidR="00D2153E" w:rsidRPr="00D2153E">
        <w:rPr>
          <w:vertAlign w:val="superscript"/>
        </w:rPr>
        <w:t>th</w:t>
      </w:r>
      <w:r w:rsidR="00D2153E">
        <w:t xml:space="preserve"> century BC meaning that Xenophon could have had a different understanding of how Athenians used cavalry due to the time difference. However it is unlikely the role of cavalry on a battle field changed that drastically in the Greek world in the time gap as it is only much later with the Macedonians do we see cavalry becoming more prevalent on the battlefield.</w:t>
      </w:r>
      <w:r w:rsidR="00D2153E">
        <w:rPr>
          <w:rStyle w:val="FootnoteReference"/>
        </w:rPr>
        <w:footnoteReference w:id="10"/>
      </w:r>
    </w:p>
    <w:p w:rsidR="000A6B22" w:rsidRDefault="00D2153E" w:rsidP="000A6B22">
      <w:r>
        <w:t xml:space="preserve">Going </w:t>
      </w:r>
      <w:r w:rsidR="000A6B22">
        <w:t>back, the term ‘Cavalry Strategist’ does not make sense. A strategist is, ‘a</w:t>
      </w:r>
      <w:r w:rsidR="000A6B22" w:rsidRPr="000A6B22">
        <w:t xml:space="preserve"> person skilled in planning action or policy</w:t>
      </w:r>
      <w:r w:rsidR="000A6B22">
        <w:t>, especially in war or politics’.</w:t>
      </w:r>
      <w:r w:rsidR="000A6B22">
        <w:rPr>
          <w:rStyle w:val="FootnoteReference"/>
        </w:rPr>
        <w:footnoteReference w:id="11"/>
      </w:r>
      <w:r w:rsidR="000A6B22">
        <w:t xml:space="preserve"> Cavalry is one of many tools of a strategist but they are not the only tool of a strategist, take the Periclean Strategy for example, it is not the Athenian cavalry that is the focus, it is the navy, that’s what allows Athens to raid the Peloponnese and take in all the grain required to feed the entire Polis when it retreats behind the long walls it’s the loss of the navy that ultimately brings down Athens’ defeat in the second Peloponnesian war</w:t>
      </w:r>
      <w:r w:rsidR="00AE203C">
        <w:t>.</w:t>
      </w:r>
      <w:r w:rsidR="00AE203C">
        <w:rPr>
          <w:rStyle w:val="FootnoteReference"/>
        </w:rPr>
        <w:footnoteReference w:id="12"/>
      </w:r>
      <w:r w:rsidR="00AE203C">
        <w:t xml:space="preserve"> The role of the cavalry is purely as a part of this mobile defence designed to take advantage of the lack of supply routes of armies in this period by keeping the encampments from sending out foragers and to harass the Spartan Hoplites from a far.</w:t>
      </w:r>
      <w:r w:rsidR="00AE203C">
        <w:rPr>
          <w:rStyle w:val="FootnoteReference"/>
        </w:rPr>
        <w:footnoteReference w:id="13"/>
      </w:r>
      <w:r w:rsidR="00AE203C">
        <w:t xml:space="preserve"> Whilst they play an important role it is not as much of an innovation as Hunter puts forward, as mentioned previously he refers to the an Athenian expedition in Thessaly prior to the second Peloponnesian war where they were forced back due to being on the receiving end of a similar tactic.</w:t>
      </w:r>
      <w:r w:rsidR="00AE203C">
        <w:rPr>
          <w:rStyle w:val="FootnoteReference"/>
        </w:rPr>
        <w:footnoteReference w:id="14"/>
      </w:r>
      <w:r w:rsidR="008454C5">
        <w:t xml:space="preserve"> Nor is it a tactic they learn from as the Athenian army is caught out by the </w:t>
      </w:r>
      <w:proofErr w:type="spellStart"/>
      <w:r w:rsidR="008454C5">
        <w:t>Syracusan</w:t>
      </w:r>
      <w:proofErr w:type="spellEnd"/>
      <w:r w:rsidR="008454C5">
        <w:t xml:space="preserve"> cavalry in a similar manner during the Sicilian expedition, though this may be due to the myriad of tactical blunders that happen during the expedition</w:t>
      </w:r>
      <w:r w:rsidR="00A26E0E">
        <w:t xml:space="preserve"> resulting in the situation becoming impossible to maintain rather than tactical negligence.</w:t>
      </w:r>
      <w:r w:rsidR="00EF3F89">
        <w:rPr>
          <w:rStyle w:val="FootnoteReference"/>
        </w:rPr>
        <w:footnoteReference w:id="15"/>
      </w:r>
      <w:r w:rsidR="00A26E0E">
        <w:t xml:space="preserve"> In addition to this the cavalry provided a situation where the invading party would be stuck in siege camp </w:t>
      </w:r>
      <w:r w:rsidR="004539E8">
        <w:t xml:space="preserve">unable to retreat or pillage the nearby lands </w:t>
      </w:r>
      <w:r w:rsidR="00643EC4">
        <w:t xml:space="preserve">to support themselves </w:t>
      </w:r>
      <w:r w:rsidR="00A26E0E">
        <w:t>whilst the navy conducts raids to destabilize</w:t>
      </w:r>
      <w:r w:rsidR="004539E8">
        <w:t xml:space="preserve"> Sparta’s economy</w:t>
      </w:r>
      <w:r w:rsidR="00643EC4">
        <w:t xml:space="preserve">. So as mentioned the cavalry do play an important role and their use was innovative for the time, however it was not the sole focus of the Periclean strategy </w:t>
      </w:r>
      <w:r w:rsidR="00DB69CF">
        <w:t xml:space="preserve">as Hunter implies </w:t>
      </w:r>
      <w:r w:rsidR="00DB69CF">
        <w:lastRenderedPageBreak/>
        <w:t>in the article, rather it is part of the strategy that allowed the main focu</w:t>
      </w:r>
      <w:r w:rsidR="00DF7F21">
        <w:t>s of avoiding a hoplite on</w:t>
      </w:r>
      <w:r w:rsidR="00DB69CF">
        <w:t xml:space="preserve"> hoplite </w:t>
      </w:r>
      <w:r w:rsidR="00DF7F21">
        <w:t>battle that Sparta wanted.</w:t>
      </w:r>
      <w:r w:rsidR="00DF7F21">
        <w:rPr>
          <w:rStyle w:val="FootnoteReference"/>
        </w:rPr>
        <w:footnoteReference w:id="16"/>
      </w:r>
    </w:p>
    <w:p w:rsidR="00A05DA8" w:rsidRDefault="00A05DA8" w:rsidP="000A6B22">
      <w:r>
        <w:t xml:space="preserve">Hunter then uses a Speech delivered by Hippocrates in 424BC to </w:t>
      </w:r>
      <w:r w:rsidR="00B13199">
        <w:t>emphasise the effect the of Pericles’ use of cavalry revolutionising Greek warfare, and that because Hippocrates states that by ‘removing the Boeotian cavalry the Peloponnesians would be unable to invade Attica again’ he goes on to make the claim that the Cavalry were the key factor to win the war</w:t>
      </w:r>
      <w:r w:rsidR="0006574E">
        <w:t>, even making the claim that the individual hoplites of the Athenian army knew this</w:t>
      </w:r>
      <w:r w:rsidR="00B13199">
        <w:t>.</w:t>
      </w:r>
      <w:r w:rsidR="00B13199">
        <w:rPr>
          <w:rStyle w:val="FootnoteReference"/>
        </w:rPr>
        <w:footnoteReference w:id="17"/>
      </w:r>
      <w:r w:rsidR="0006574E">
        <w:t xml:space="preserve"> Hunter states that Spence acknowledges this but does not appreciate its strategic importance, and when Spence argues that Thucydides focuses on the avoidance of battles on the ground because of how ‘un-Greek’ it is, he fails to take into account of the speech </w:t>
      </w:r>
      <w:r w:rsidR="00353D5C">
        <w:t>made by Hippocrates, claiming that Thucydides uses Hippocrates to show how well spread this strategic knowledge was.</w:t>
      </w:r>
      <w:r w:rsidR="00353D5C">
        <w:rPr>
          <w:rStyle w:val="FootnoteReference"/>
        </w:rPr>
        <w:footnoteReference w:id="18"/>
      </w:r>
      <w:r w:rsidR="00353D5C">
        <w:t xml:space="preserve"> The first problem with this is that the cavalry were not the key factor as to who would win the war, it was the navy, and specifically it was the decline of the Athenian navy combined with the Spartans being bought a new navy by Persia.</w:t>
      </w:r>
      <w:r w:rsidR="00353D5C">
        <w:rPr>
          <w:rStyle w:val="FootnoteReference"/>
        </w:rPr>
        <w:footnoteReference w:id="19"/>
      </w:r>
      <w:r w:rsidR="00353D5C">
        <w:t xml:space="preserve"> Again as stated previously hunter over glorifies the role of the cavalry in the Peloponnesian war </w:t>
      </w:r>
      <w:r w:rsidR="008E1604">
        <w:t xml:space="preserve">they were a useful stratagem, especially under Pericles but they weren’t the linch pin of the strategy they were a pinning force to give the raiding parties more freedom in the Peloponnese and to mitigate damages to their property in Attica. </w:t>
      </w:r>
      <w:r w:rsidR="00461E37">
        <w:t xml:space="preserve">The other point Hunter makes here about Hippocrates’ speech is also mostly incorrect, firstly the loss of the Boeotian cavalry would not mean the end of the war. Despite being just prior to the Peace of Nicias in 421BC the loss of the cavalry would not have stopped hostile activity, in fact the cavalry had no, if not a minor, part to play in the peace as the treaty was signed because the Athenians had lost Amphipolis, where they got most of the timber to maintain their navy, and the Spartans had several Spartiates </w:t>
      </w:r>
      <w:r w:rsidR="004904D5">
        <w:t>captured at the Battle of Sphacteria in an attempt to blockade Athens, both of these had little impact of cavalry.</w:t>
      </w:r>
      <w:r w:rsidR="004904D5">
        <w:rPr>
          <w:rStyle w:val="FootnoteReference"/>
        </w:rPr>
        <w:footnoteReference w:id="20"/>
      </w:r>
      <w:r w:rsidR="004904D5">
        <w:t xml:space="preserve"> Hunter also goes on to say that the loss of the cavalry being the key to victory was ‘common knowledge, too basic to warrant repeating’.</w:t>
      </w:r>
      <w:r w:rsidR="004904D5">
        <w:rPr>
          <w:rStyle w:val="FootnoteReference"/>
        </w:rPr>
        <w:footnoteReference w:id="21"/>
      </w:r>
      <w:r w:rsidR="004904D5">
        <w:t xml:space="preserve"> But surely if this was the case Hippocrates wouldn’t mention it so clearly in his speech</w:t>
      </w:r>
      <w:r w:rsidR="004D1D80">
        <w:t xml:space="preserve">, so by the fact Hippocrates had to mention it means that the strategy of using cavalry was not known to every hoplite in the army and clearly not all of his troops ‘knew that </w:t>
      </w:r>
      <w:r w:rsidR="00491877">
        <w:t>the cavalry was the key to winning the war</w:t>
      </w:r>
      <w:r w:rsidR="00044D52">
        <w:t>. His argument about the cavalry being important in the conflict isn’t wrong, they are important but Hunter puts far too much credit towards them.</w:t>
      </w:r>
    </w:p>
    <w:p w:rsidR="00044D52" w:rsidRDefault="00E37F73" w:rsidP="000A6B22">
      <w:r>
        <w:t>On the Page previous to the last point Hunter compares Pericles to Hannibal saying that they should be ranked in a similar category of strategist due to their use of cavalry.</w:t>
      </w:r>
      <w:r>
        <w:rPr>
          <w:rStyle w:val="FootnoteReference"/>
        </w:rPr>
        <w:footnoteReference w:id="22"/>
      </w:r>
      <w:r>
        <w:t xml:space="preserve"> Now here one can assume Hunter is referring to the battle of Cannae where the Carthaginian Cavalry encircled and destroyed the Roman army sent to meet him.</w:t>
      </w:r>
      <w:r>
        <w:rPr>
          <w:rStyle w:val="FootnoteReference"/>
        </w:rPr>
        <w:footnoteReference w:id="23"/>
      </w:r>
      <w:r>
        <w:t xml:space="preserve"> Now compared to Pericles, Hannibal had a lot more cavalry, Hannibal supposedly had around 10,450 mounted troops, compared to the 600 present at the battle of </w:t>
      </w:r>
      <w:proofErr w:type="spellStart"/>
      <w:r>
        <w:t>Rheiti</w:t>
      </w:r>
      <w:proofErr w:type="spellEnd"/>
      <w:r w:rsidR="00EE2A76">
        <w:t>.</w:t>
      </w:r>
      <w:r w:rsidR="00EE2A76">
        <w:rPr>
          <w:rStyle w:val="FootnoteReference"/>
        </w:rPr>
        <w:footnoteReference w:id="24"/>
      </w:r>
      <w:r w:rsidR="00EE2A76">
        <w:t xml:space="preserve"> Given that the Carthaginian army was largely made up of mercenaries varying in type from medium to light cavalry and that the army at </w:t>
      </w:r>
      <w:proofErr w:type="spellStart"/>
      <w:r w:rsidR="00EE2A76">
        <w:t>Rheiti</w:t>
      </w:r>
      <w:proofErr w:type="spellEnd"/>
      <w:r w:rsidR="00EE2A76">
        <w:t xml:space="preserve"> was largely light cavalry it’s reasonable to </w:t>
      </w:r>
      <w:r w:rsidR="00EE2A76">
        <w:lastRenderedPageBreak/>
        <w:t>assume that both generals would have used these differently. The cavalry at Cannae was deployed at both wings of the Carthaginian line managing to push back their weaker Roman counterpart and encircle the infantry defeating them, these were main battle line cavalry, not like the light, skirmisher type cavalry used by Pericles to defend Attica.</w:t>
      </w:r>
      <w:r w:rsidR="00EE2A76">
        <w:rPr>
          <w:rStyle w:val="FootnoteReference"/>
        </w:rPr>
        <w:footnoteReference w:id="25"/>
      </w:r>
      <w:r w:rsidR="00EE2A76">
        <w:t xml:space="preserve"> Hannibal’s cavalry had a direct used on the battlefield claiming a decisive victory and in part played a major part of the strategy, though they were only able to do what they did because they were able to break the Roman flanks.</w:t>
      </w:r>
      <w:r w:rsidR="00EE2A76">
        <w:rPr>
          <w:rStyle w:val="FootnoteReference"/>
        </w:rPr>
        <w:footnoteReference w:id="26"/>
      </w:r>
      <w:r w:rsidR="00554FDC">
        <w:t xml:space="preserve"> As shown earlier Pericles uses the cavalry as a skirmishing line to delay and harass the Spartans rather than directly engage them. Both are effective uses of cavalry but unlike Hunters claim they are not similar at all, primarily due to the scale of the battle. He also states that these two are some of the first to implement a cavalry based strategy, for Hannibal this is fair enough, weather he planned for his cavalry to do what they did at Cannae or not is another question but they played a significant role in the outcome of the battle. Hunter however keeps making the assertion that the light cavalry played a crucial role in the Periklean strategy, they weren’t</w:t>
      </w:r>
      <w:r w:rsidR="00906618">
        <w:t xml:space="preserve">; </w:t>
      </w:r>
      <w:r w:rsidR="00554FDC">
        <w:t>the crucial fac</w:t>
      </w:r>
      <w:r w:rsidR="00906618">
        <w:t>tor was the Athenian Navy, the cavalry played a supporting role, they supplemented and assisted the navy by harassing invading and besieging armies in Attica allowing the raids on Peloponnesian territory to happen with less hindrance.</w:t>
      </w:r>
      <w:r w:rsidR="00906618">
        <w:rPr>
          <w:rStyle w:val="FootnoteReference"/>
        </w:rPr>
        <w:footnoteReference w:id="27"/>
      </w:r>
    </w:p>
    <w:p w:rsidR="00906618" w:rsidRDefault="00906618" w:rsidP="000A6B22">
      <w:r>
        <w:t>Hunter concludes that Pericles is a master of strategy, which is accurate as he effectively neutralized the main Spartan advantage, having superior hoplites, by not engaging them on the battle field instead deciding to utilise the Athenian’s greatest strength, its navy.</w:t>
      </w:r>
      <w:r>
        <w:rPr>
          <w:rStyle w:val="FootnoteReference"/>
        </w:rPr>
        <w:footnoteReference w:id="28"/>
      </w:r>
      <w:r>
        <w:t xml:space="preserve"> Pericles also uses cavalry very effectively in order to supplement the navy’s role they were a harassing and pinning force, causing invading armies to either make camp or retreat due to </w:t>
      </w:r>
      <w:r w:rsidR="00573A4C">
        <w:t xml:space="preserve">an inability to get supplies or due to naval raids on the Peloponnese coastline. </w:t>
      </w:r>
      <w:r>
        <w:t xml:space="preserve">However Hunter places too much of an emphasis on the cavalry, </w:t>
      </w:r>
      <w:r w:rsidR="00573A4C">
        <w:t>stating several times that they were the key to the whole strategy, whilst most certainly they were important and their use was definitely innovative for the time, having an impact on later strategies employed by generals of Poleis, it was not the focus of the Periclean strategy. Whilst Hunters conclusions are sound, the arguments put forward by Westlake regarding the navy being the primary focus of the Periclean strategy makes more sense given that Athens’ strength was its navy.</w:t>
      </w:r>
    </w:p>
    <w:p w:rsidR="00573A4C" w:rsidRDefault="00573A4C" w:rsidP="000A6B22"/>
    <w:p w:rsidR="00573A4C" w:rsidRDefault="00573A4C" w:rsidP="000A6B22">
      <w:r>
        <w:t>Bibliography:</w:t>
      </w:r>
    </w:p>
    <w:p w:rsidR="00573A4C" w:rsidRDefault="00573A4C" w:rsidP="00573A4C">
      <w:pPr>
        <w:pStyle w:val="ListParagraph"/>
        <w:numPr>
          <w:ilvl w:val="0"/>
          <w:numId w:val="3"/>
        </w:numPr>
      </w:pPr>
      <w:proofErr w:type="spellStart"/>
      <w:r>
        <w:t>Caralampo</w:t>
      </w:r>
      <w:proofErr w:type="spellEnd"/>
      <w:r>
        <w:t xml:space="preserve"> F.</w:t>
      </w:r>
      <w:r w:rsidRPr="00390705">
        <w:t xml:space="preserve"> Transport Issues and</w:t>
      </w:r>
      <w:r>
        <w:t xml:space="preserve"> Problems i</w:t>
      </w:r>
      <w:r w:rsidRPr="00390705">
        <w:t xml:space="preserve">n </w:t>
      </w:r>
      <w:proofErr w:type="spellStart"/>
      <w:r w:rsidRPr="00390705">
        <w:t>Southeastern</w:t>
      </w:r>
      <w:proofErr w:type="spellEnd"/>
      <w:r w:rsidRPr="00390705">
        <w:t xml:space="preserve"> Europe. </w:t>
      </w:r>
      <w:r>
        <w:t xml:space="preserve">(Farnham, </w:t>
      </w:r>
      <w:proofErr w:type="spellStart"/>
      <w:r>
        <w:t>Ashgate</w:t>
      </w:r>
      <w:proofErr w:type="spellEnd"/>
      <w:r>
        <w:t xml:space="preserve"> Publishing, Ltd, 2004)</w:t>
      </w:r>
    </w:p>
    <w:p w:rsidR="00573A4C" w:rsidRDefault="00573A4C" w:rsidP="00573A4C">
      <w:pPr>
        <w:pStyle w:val="ListParagraph"/>
        <w:numPr>
          <w:ilvl w:val="0"/>
          <w:numId w:val="3"/>
        </w:numPr>
      </w:pPr>
      <w:r w:rsidRPr="00573A4C">
        <w:t>Chaplin, J. Livy's Exemplary History, (Oxford, Oxford University press, 2000)</w:t>
      </w:r>
    </w:p>
    <w:p w:rsidR="00573A4C" w:rsidRDefault="00573A4C" w:rsidP="00573A4C">
      <w:pPr>
        <w:pStyle w:val="ListParagraph"/>
        <w:numPr>
          <w:ilvl w:val="0"/>
          <w:numId w:val="3"/>
        </w:numPr>
      </w:pPr>
      <w:r>
        <w:t>Connolly, P</w:t>
      </w:r>
      <w:r w:rsidRPr="00126D3E">
        <w:t xml:space="preserve">. Greece and Rome at War. </w:t>
      </w:r>
      <w:r>
        <w:t xml:space="preserve">(London, </w:t>
      </w:r>
      <w:r w:rsidRPr="00126D3E">
        <w:t>Greenhill Books,</w:t>
      </w:r>
      <w:r>
        <w:t xml:space="preserve"> 2006)</w:t>
      </w:r>
    </w:p>
    <w:p w:rsidR="00573A4C" w:rsidRDefault="00573A4C" w:rsidP="00573A4C">
      <w:pPr>
        <w:pStyle w:val="ListParagraph"/>
        <w:numPr>
          <w:ilvl w:val="0"/>
          <w:numId w:val="3"/>
        </w:numPr>
      </w:pPr>
      <w:r>
        <w:t>Cottrell, L</w:t>
      </w:r>
      <w:r w:rsidRPr="00554FDC">
        <w:t xml:space="preserve">. </w:t>
      </w:r>
      <w:r>
        <w:t>Enemy of Rome. (London, Evans Bros, 1965)</w:t>
      </w:r>
      <w:r w:rsidRPr="00554FDC">
        <w:t>.</w:t>
      </w:r>
    </w:p>
    <w:p w:rsidR="00573A4C" w:rsidRDefault="00573A4C" w:rsidP="00573A4C">
      <w:pPr>
        <w:pStyle w:val="ListParagraph"/>
        <w:numPr>
          <w:ilvl w:val="0"/>
          <w:numId w:val="3"/>
        </w:numPr>
      </w:pPr>
      <w:r>
        <w:t>Daly, G</w:t>
      </w:r>
      <w:r w:rsidRPr="00EE2A76">
        <w:t>. Cannae: The Experience of Battle in the Second Punic War,</w:t>
      </w:r>
      <w:r>
        <w:t xml:space="preserve"> (London, Routledge, 2005)</w:t>
      </w:r>
    </w:p>
    <w:p w:rsidR="00573A4C" w:rsidRDefault="00573A4C" w:rsidP="00573A4C">
      <w:pPr>
        <w:pStyle w:val="ListParagraph"/>
        <w:numPr>
          <w:ilvl w:val="0"/>
          <w:numId w:val="3"/>
        </w:numPr>
      </w:pPr>
      <w:r w:rsidRPr="00573A4C">
        <w:t>Fine.</w:t>
      </w:r>
      <w:r>
        <w:t xml:space="preserve"> J.</w:t>
      </w:r>
      <w:r w:rsidRPr="00573A4C">
        <w:t xml:space="preserve"> The ancient Greeks: a critical history. (Cambridge, Harvard University Press, 1985)</w:t>
      </w:r>
    </w:p>
    <w:p w:rsidR="00573A4C" w:rsidRDefault="00573A4C" w:rsidP="00573A4C">
      <w:pPr>
        <w:pStyle w:val="ListParagraph"/>
        <w:numPr>
          <w:ilvl w:val="0"/>
          <w:numId w:val="3"/>
        </w:numPr>
      </w:pPr>
      <w:proofErr w:type="spellStart"/>
      <w:r w:rsidRPr="00535804">
        <w:t>Kagan</w:t>
      </w:r>
      <w:proofErr w:type="spellEnd"/>
      <w:r w:rsidRPr="00535804">
        <w:t>,</w:t>
      </w:r>
      <w:r>
        <w:t xml:space="preserve"> D.</w:t>
      </w:r>
      <w:r w:rsidRPr="00535804">
        <w:t xml:space="preserve"> The Peloponnesian War, </w:t>
      </w:r>
      <w:r>
        <w:t>(London, Penguin Books, 2004)</w:t>
      </w:r>
    </w:p>
    <w:p w:rsidR="00573A4C" w:rsidRDefault="00573A4C" w:rsidP="00573A4C">
      <w:pPr>
        <w:pStyle w:val="ListParagraph"/>
        <w:numPr>
          <w:ilvl w:val="0"/>
          <w:numId w:val="3"/>
        </w:numPr>
      </w:pPr>
      <w:r w:rsidRPr="00573A4C">
        <w:t>Ray, F. Land Battles in 5th Century BC Greece: A History and Analysis of 173 Engagements( Jefferson, McFarland, 2011)</w:t>
      </w:r>
    </w:p>
    <w:p w:rsidR="00573A4C" w:rsidRDefault="00573A4C" w:rsidP="00573A4C">
      <w:r>
        <w:lastRenderedPageBreak/>
        <w:t>Primary Sources:</w:t>
      </w:r>
    </w:p>
    <w:p w:rsidR="00573A4C" w:rsidRDefault="00573A4C" w:rsidP="00783436">
      <w:pPr>
        <w:pStyle w:val="ListParagraph"/>
        <w:numPr>
          <w:ilvl w:val="0"/>
          <w:numId w:val="4"/>
        </w:numPr>
      </w:pPr>
      <w:r>
        <w:t>Thuc</w:t>
      </w:r>
      <w:r w:rsidR="00783436">
        <w:t xml:space="preserve">ydides, </w:t>
      </w:r>
      <w:proofErr w:type="gramStart"/>
      <w:r w:rsidR="00783436" w:rsidRPr="00783436">
        <w:t>The</w:t>
      </w:r>
      <w:proofErr w:type="gramEnd"/>
      <w:r w:rsidR="00783436" w:rsidRPr="00783436">
        <w:t xml:space="preserve"> History of the Peloponnesian War</w:t>
      </w:r>
      <w:r w:rsidR="00783436">
        <w:t xml:space="preserve">, Tr. R. Warner, M. Finley, (London, Penguin Classics, 2000). </w:t>
      </w:r>
    </w:p>
    <w:p w:rsidR="00573A4C" w:rsidRDefault="00573A4C" w:rsidP="00783436">
      <w:pPr>
        <w:pStyle w:val="ListParagraph"/>
        <w:numPr>
          <w:ilvl w:val="0"/>
          <w:numId w:val="4"/>
        </w:numPr>
      </w:pPr>
      <w:r>
        <w:t>Xen</w:t>
      </w:r>
      <w:r w:rsidR="00783436">
        <w:t xml:space="preserve">ophon, On the Cavalry Commander, Tr. E. C. Marchant, G. W. </w:t>
      </w:r>
      <w:proofErr w:type="spellStart"/>
      <w:r w:rsidR="00783436">
        <w:t>Bowersock</w:t>
      </w:r>
      <w:proofErr w:type="spellEnd"/>
      <w:r w:rsidR="00783436">
        <w:t xml:space="preserve"> </w:t>
      </w:r>
      <w:hyperlink r:id="rId8" w:history="1">
        <w:r w:rsidR="00783436" w:rsidRPr="00132773">
          <w:rPr>
            <w:rStyle w:val="Hyperlink"/>
          </w:rPr>
          <w:t>http://www.perseus.tufts.edu/hopper/text?doc=Perseus%3Atext%3A1999.01.0210%3Atext%3DCav</w:t>
        </w:r>
      </w:hyperlink>
      <w:r w:rsidR="00783436" w:rsidRPr="00783436">
        <w:t>.</w:t>
      </w:r>
      <w:r w:rsidR="00783436">
        <w:t xml:space="preserve"> Accessed: 8/03/18</w:t>
      </w:r>
    </w:p>
    <w:p w:rsidR="00573A4C" w:rsidRDefault="00783436" w:rsidP="00573A4C">
      <w:pPr>
        <w:pStyle w:val="ListParagraph"/>
        <w:numPr>
          <w:ilvl w:val="0"/>
          <w:numId w:val="4"/>
        </w:numPr>
      </w:pPr>
      <w:r>
        <w:t xml:space="preserve">Xenophon, Hellenica, Tr. R. Warner, G. </w:t>
      </w:r>
      <w:proofErr w:type="spellStart"/>
      <w:r>
        <w:t>Cawkwell</w:t>
      </w:r>
      <w:proofErr w:type="spellEnd"/>
      <w:r>
        <w:t>, (London, Penguin Classics, 1979).</w:t>
      </w:r>
      <w:bookmarkStart w:id="0" w:name="_GoBack"/>
      <w:bookmarkEnd w:id="0"/>
    </w:p>
    <w:p w:rsidR="00573A4C" w:rsidRDefault="00573A4C" w:rsidP="000A6B22">
      <w:r>
        <w:t>Articles:</w:t>
      </w:r>
    </w:p>
    <w:p w:rsidR="00573A4C" w:rsidRDefault="00573A4C" w:rsidP="00573A4C">
      <w:pPr>
        <w:pStyle w:val="ListParagraph"/>
        <w:numPr>
          <w:ilvl w:val="0"/>
          <w:numId w:val="2"/>
        </w:numPr>
      </w:pPr>
      <w:r w:rsidRPr="004904D5">
        <w:t xml:space="preserve">Hunter, J. H. 2005. 'Pericles' Cavalry Strategy', </w:t>
      </w:r>
      <w:proofErr w:type="spellStart"/>
      <w:r w:rsidRPr="004904D5">
        <w:t>Quaderni</w:t>
      </w:r>
      <w:proofErr w:type="spellEnd"/>
      <w:r w:rsidRPr="004904D5">
        <w:t xml:space="preserve"> </w:t>
      </w:r>
      <w:proofErr w:type="spellStart"/>
      <w:r w:rsidRPr="004904D5">
        <w:t>Urbinati</w:t>
      </w:r>
      <w:proofErr w:type="spellEnd"/>
      <w:r w:rsidRPr="004904D5">
        <w:t xml:space="preserve"> di</w:t>
      </w:r>
      <w:r>
        <w:t xml:space="preserve"> </w:t>
      </w:r>
      <w:proofErr w:type="spellStart"/>
      <w:r>
        <w:t>Cultura</w:t>
      </w:r>
      <w:proofErr w:type="spellEnd"/>
      <w:r>
        <w:t xml:space="preserve"> Classica, 81, 3</w:t>
      </w:r>
    </w:p>
    <w:p w:rsidR="00573A4C" w:rsidRDefault="00573A4C" w:rsidP="00573A4C">
      <w:pPr>
        <w:pStyle w:val="ListParagraph"/>
        <w:numPr>
          <w:ilvl w:val="0"/>
          <w:numId w:val="2"/>
        </w:numPr>
      </w:pPr>
      <w:r>
        <w:t>Westlake, H. D, Seaborne Raids in Periclean Strategy, Class. Quart. 39, 1945, 75</w:t>
      </w:r>
    </w:p>
    <w:p w:rsidR="00573A4C" w:rsidRDefault="00573A4C" w:rsidP="000A6B22">
      <w:r>
        <w:t>Websites:</w:t>
      </w:r>
    </w:p>
    <w:p w:rsidR="00573A4C" w:rsidRDefault="00573A4C" w:rsidP="00573A4C">
      <w:pPr>
        <w:pStyle w:val="FootnoteText"/>
        <w:numPr>
          <w:ilvl w:val="0"/>
          <w:numId w:val="1"/>
        </w:numPr>
      </w:pPr>
      <w:r>
        <w:t xml:space="preserve">Oxford Dictionary, </w:t>
      </w:r>
      <w:hyperlink r:id="rId9" w:history="1">
        <w:r w:rsidRPr="00132773">
          <w:rPr>
            <w:rStyle w:val="Hyperlink"/>
          </w:rPr>
          <w:t>https://en.oxforddictionaries.com/definition/strategist</w:t>
        </w:r>
      </w:hyperlink>
      <w:r>
        <w:t xml:space="preserve"> Accessed 8/03/18</w:t>
      </w:r>
    </w:p>
    <w:p w:rsidR="000A6B22" w:rsidRDefault="000A6B22" w:rsidP="000A6B22">
      <w:pPr>
        <w:jc w:val="center"/>
      </w:pPr>
    </w:p>
    <w:p w:rsidR="000A6B22" w:rsidRDefault="000A6B22"/>
    <w:sectPr w:rsidR="000A6B2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4BB" w:rsidRDefault="001174BB" w:rsidP="00E92D99">
      <w:pPr>
        <w:spacing w:after="0" w:line="240" w:lineRule="auto"/>
      </w:pPr>
      <w:r>
        <w:separator/>
      </w:r>
    </w:p>
  </w:endnote>
  <w:endnote w:type="continuationSeparator" w:id="0">
    <w:p w:rsidR="001174BB" w:rsidRDefault="001174BB" w:rsidP="00E92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4BB" w:rsidRDefault="001174BB" w:rsidP="00E92D99">
      <w:pPr>
        <w:spacing w:after="0" w:line="240" w:lineRule="auto"/>
      </w:pPr>
      <w:r>
        <w:separator/>
      </w:r>
    </w:p>
  </w:footnote>
  <w:footnote w:type="continuationSeparator" w:id="0">
    <w:p w:rsidR="001174BB" w:rsidRDefault="001174BB" w:rsidP="00E92D99">
      <w:pPr>
        <w:spacing w:after="0" w:line="240" w:lineRule="auto"/>
      </w:pPr>
      <w:r>
        <w:continuationSeparator/>
      </w:r>
    </w:p>
  </w:footnote>
  <w:footnote w:id="1">
    <w:p w:rsidR="009C0BF7" w:rsidRDefault="009C0BF7">
      <w:pPr>
        <w:pStyle w:val="FootnoteText"/>
      </w:pPr>
      <w:r>
        <w:rPr>
          <w:rStyle w:val="FootnoteReference"/>
        </w:rPr>
        <w:footnoteRef/>
      </w:r>
      <w:r>
        <w:t xml:space="preserve"> </w:t>
      </w:r>
      <w:r w:rsidR="00DF7F21" w:rsidRPr="00DF7F21">
        <w:t xml:space="preserve">Hunter, J. H. 2005. 'Pericles' Cavalry Strategy', </w:t>
      </w:r>
      <w:proofErr w:type="spellStart"/>
      <w:r w:rsidR="00DF7F21" w:rsidRPr="00DF7F21">
        <w:t>Quaderni</w:t>
      </w:r>
      <w:proofErr w:type="spellEnd"/>
      <w:r w:rsidR="00DF7F21" w:rsidRPr="00DF7F21">
        <w:t xml:space="preserve"> </w:t>
      </w:r>
      <w:proofErr w:type="spellStart"/>
      <w:r w:rsidR="00DF7F21" w:rsidRPr="00DF7F21">
        <w:t>Urbinati</w:t>
      </w:r>
      <w:proofErr w:type="spellEnd"/>
      <w:r w:rsidR="00DF7F21" w:rsidRPr="00DF7F21">
        <w:t xml:space="preserve"> di </w:t>
      </w:r>
      <w:proofErr w:type="spellStart"/>
      <w:r w:rsidR="00DF7F21" w:rsidRPr="00DF7F21">
        <w:t>Cultura</w:t>
      </w:r>
      <w:proofErr w:type="spellEnd"/>
      <w:r w:rsidR="00DF7F21" w:rsidRPr="00DF7F21">
        <w:t xml:space="preserve"> Classica, 81, 3, </w:t>
      </w:r>
      <w:r w:rsidR="00DF7F21">
        <w:t xml:space="preserve">P. </w:t>
      </w:r>
      <w:r w:rsidR="00DF7F21" w:rsidRPr="00DF7F21">
        <w:t>101</w:t>
      </w:r>
    </w:p>
  </w:footnote>
  <w:footnote w:id="2">
    <w:p w:rsidR="00605D31" w:rsidRDefault="00605D31">
      <w:pPr>
        <w:pStyle w:val="FootnoteText"/>
      </w:pPr>
      <w:r>
        <w:rPr>
          <w:rStyle w:val="FootnoteReference"/>
        </w:rPr>
        <w:footnoteRef/>
      </w:r>
      <w:r>
        <w:t xml:space="preserve"> </w:t>
      </w:r>
      <w:proofErr w:type="spellStart"/>
      <w:r w:rsidR="00DF7F21">
        <w:t>Thuc</w:t>
      </w:r>
      <w:proofErr w:type="spellEnd"/>
      <w:r w:rsidR="00DF7F21">
        <w:t>. 2.22</w:t>
      </w:r>
    </w:p>
  </w:footnote>
  <w:footnote w:id="3">
    <w:p w:rsidR="003630E6" w:rsidRDefault="003630E6">
      <w:pPr>
        <w:pStyle w:val="FootnoteText"/>
      </w:pPr>
      <w:r>
        <w:rPr>
          <w:rStyle w:val="FootnoteReference"/>
        </w:rPr>
        <w:footnoteRef/>
      </w:r>
      <w:r>
        <w:t xml:space="preserve"> </w:t>
      </w:r>
      <w:proofErr w:type="spellStart"/>
      <w:r w:rsidR="00390705">
        <w:t>Caralampo</w:t>
      </w:r>
      <w:proofErr w:type="spellEnd"/>
      <w:r w:rsidR="00390705">
        <w:t xml:space="preserve"> F.</w:t>
      </w:r>
      <w:r w:rsidR="00390705" w:rsidRPr="00390705">
        <w:t xml:space="preserve"> Transport Issues and</w:t>
      </w:r>
      <w:r w:rsidR="00390705">
        <w:t xml:space="preserve"> Problems i</w:t>
      </w:r>
      <w:r w:rsidR="00390705" w:rsidRPr="00390705">
        <w:t xml:space="preserve">n </w:t>
      </w:r>
      <w:proofErr w:type="spellStart"/>
      <w:r w:rsidR="00390705" w:rsidRPr="00390705">
        <w:t>Southeastern</w:t>
      </w:r>
      <w:proofErr w:type="spellEnd"/>
      <w:r w:rsidR="00390705" w:rsidRPr="00390705">
        <w:t xml:space="preserve"> Europe. </w:t>
      </w:r>
      <w:r w:rsidR="00390705">
        <w:t xml:space="preserve">(Farnham, </w:t>
      </w:r>
      <w:proofErr w:type="spellStart"/>
      <w:r w:rsidR="00390705">
        <w:t>Ashgate</w:t>
      </w:r>
      <w:proofErr w:type="spellEnd"/>
      <w:r w:rsidR="00390705">
        <w:t xml:space="preserve"> Publishing, Ltd, 2004)</w:t>
      </w:r>
      <w:r w:rsidR="00390705" w:rsidRPr="00390705">
        <w:t xml:space="preserve"> p. 114.</w:t>
      </w:r>
    </w:p>
  </w:footnote>
  <w:footnote w:id="4">
    <w:p w:rsidR="00777F77" w:rsidRDefault="00777F77">
      <w:pPr>
        <w:pStyle w:val="FootnoteText"/>
      </w:pPr>
      <w:r>
        <w:rPr>
          <w:rStyle w:val="FootnoteReference"/>
        </w:rPr>
        <w:footnoteRef/>
      </w:r>
      <w:r>
        <w:t xml:space="preserve"> </w:t>
      </w:r>
      <w:proofErr w:type="spellStart"/>
      <w:r w:rsidR="00390705">
        <w:t>Thuc</w:t>
      </w:r>
      <w:proofErr w:type="spellEnd"/>
      <w:r w:rsidR="00390705">
        <w:t xml:space="preserve"> 1.111.1</w:t>
      </w:r>
    </w:p>
  </w:footnote>
  <w:footnote w:id="5">
    <w:p w:rsidR="00126D3E" w:rsidRDefault="00126D3E">
      <w:pPr>
        <w:pStyle w:val="FootnoteText"/>
      </w:pPr>
      <w:r>
        <w:rPr>
          <w:rStyle w:val="FootnoteReference"/>
        </w:rPr>
        <w:footnoteRef/>
      </w:r>
      <w:r>
        <w:t xml:space="preserve"> </w:t>
      </w:r>
      <w:r w:rsidR="00A05DA8">
        <w:t>Connolly, P</w:t>
      </w:r>
      <w:r w:rsidRPr="00126D3E">
        <w:t xml:space="preserve">. Greece and Rome at War. </w:t>
      </w:r>
      <w:r w:rsidR="00A05DA8">
        <w:t xml:space="preserve">(London, </w:t>
      </w:r>
      <w:r w:rsidRPr="00126D3E">
        <w:t>Greenhill Books,</w:t>
      </w:r>
      <w:r w:rsidR="00A05DA8">
        <w:t xml:space="preserve"> 2006)</w:t>
      </w:r>
      <w:r w:rsidRPr="00126D3E">
        <w:t xml:space="preserve"> p. 40.</w:t>
      </w:r>
    </w:p>
  </w:footnote>
  <w:footnote w:id="6">
    <w:p w:rsidR="00126D3E" w:rsidRDefault="00126D3E">
      <w:pPr>
        <w:pStyle w:val="FootnoteText"/>
      </w:pPr>
      <w:r>
        <w:rPr>
          <w:rStyle w:val="FootnoteReference"/>
        </w:rPr>
        <w:footnoteRef/>
      </w:r>
      <w:r>
        <w:t xml:space="preserve"> </w:t>
      </w:r>
      <w:r w:rsidRPr="00126D3E">
        <w:t>Xen. Cav. 1.2</w:t>
      </w:r>
      <w:r>
        <w:t>1</w:t>
      </w:r>
    </w:p>
  </w:footnote>
  <w:footnote w:id="7">
    <w:p w:rsidR="0035775D" w:rsidRDefault="0035775D">
      <w:pPr>
        <w:pStyle w:val="FootnoteText"/>
      </w:pPr>
      <w:r>
        <w:rPr>
          <w:rStyle w:val="FootnoteReference"/>
        </w:rPr>
        <w:footnoteRef/>
      </w:r>
      <w:r>
        <w:t xml:space="preserve"> </w:t>
      </w:r>
      <w:proofErr w:type="spellStart"/>
      <w:r>
        <w:t>Thuc</w:t>
      </w:r>
      <w:proofErr w:type="spellEnd"/>
      <w:r>
        <w:t>. 2.22.2</w:t>
      </w:r>
    </w:p>
  </w:footnote>
  <w:footnote w:id="8">
    <w:p w:rsidR="001B3B0C" w:rsidRDefault="001B3B0C">
      <w:pPr>
        <w:pStyle w:val="FootnoteText"/>
      </w:pPr>
      <w:r>
        <w:rPr>
          <w:rStyle w:val="FootnoteReference"/>
        </w:rPr>
        <w:footnoteRef/>
      </w:r>
      <w:r>
        <w:t xml:space="preserve"> </w:t>
      </w:r>
      <w:proofErr w:type="spellStart"/>
      <w:r w:rsidR="0065121A">
        <w:t>Thuc</w:t>
      </w:r>
      <w:proofErr w:type="spellEnd"/>
      <w:r w:rsidR="0065121A">
        <w:t xml:space="preserve"> .2.19.2</w:t>
      </w:r>
    </w:p>
  </w:footnote>
  <w:footnote w:id="9">
    <w:p w:rsidR="0065121A" w:rsidRDefault="0065121A">
      <w:pPr>
        <w:pStyle w:val="FootnoteText"/>
      </w:pPr>
      <w:r>
        <w:rPr>
          <w:rStyle w:val="FootnoteReference"/>
        </w:rPr>
        <w:footnoteRef/>
      </w:r>
      <w:r>
        <w:t xml:space="preserve"> </w:t>
      </w:r>
      <w:r w:rsidR="00535804">
        <w:t xml:space="preserve">Ray, F. </w:t>
      </w:r>
      <w:r w:rsidR="007E382C" w:rsidRPr="007E382C">
        <w:t>Land Battles in 5th Century BC Greece: A History and Analysis of 173 Engagements</w:t>
      </w:r>
      <w:r w:rsidR="00535804">
        <w:t>( Jefferson, McFarland, 2011)</w:t>
      </w:r>
      <w:r w:rsidR="007E382C">
        <w:t xml:space="preserve"> P.152</w:t>
      </w:r>
    </w:p>
  </w:footnote>
  <w:footnote w:id="10">
    <w:p w:rsidR="00D2153E" w:rsidRDefault="00D2153E">
      <w:pPr>
        <w:pStyle w:val="FootnoteText"/>
      </w:pPr>
      <w:r>
        <w:rPr>
          <w:rStyle w:val="FootnoteReference"/>
        </w:rPr>
        <w:footnoteRef/>
      </w:r>
      <w:r>
        <w:t xml:space="preserve"> </w:t>
      </w:r>
      <w:r w:rsidR="00535804" w:rsidRPr="00535804">
        <w:t>Fine.</w:t>
      </w:r>
      <w:r w:rsidR="00573A4C">
        <w:t xml:space="preserve"> J.</w:t>
      </w:r>
      <w:r w:rsidR="00535804" w:rsidRPr="00535804">
        <w:t xml:space="preserve"> The ancient Greeks: a critical history. </w:t>
      </w:r>
      <w:r w:rsidR="00535804">
        <w:t>(Cambridge, Harvard University Press, 1985</w:t>
      </w:r>
      <w:proofErr w:type="gramStart"/>
      <w:r w:rsidR="00535804">
        <w:t>)</w:t>
      </w:r>
      <w:r w:rsidR="00535804" w:rsidRPr="00535804">
        <w:t>p</w:t>
      </w:r>
      <w:proofErr w:type="gramEnd"/>
      <w:r w:rsidR="00535804" w:rsidRPr="00535804">
        <w:t xml:space="preserve"> 612.</w:t>
      </w:r>
    </w:p>
  </w:footnote>
  <w:footnote w:id="11">
    <w:p w:rsidR="000A6B22" w:rsidRDefault="000A6B22">
      <w:pPr>
        <w:pStyle w:val="FootnoteText"/>
      </w:pPr>
      <w:r>
        <w:rPr>
          <w:rStyle w:val="FootnoteReference"/>
        </w:rPr>
        <w:footnoteRef/>
      </w:r>
      <w:r>
        <w:t xml:space="preserve"> Oxford Dictionary, </w:t>
      </w:r>
      <w:hyperlink r:id="rId1" w:history="1">
        <w:r w:rsidRPr="00132773">
          <w:rPr>
            <w:rStyle w:val="Hyperlink"/>
          </w:rPr>
          <w:t>https://en.oxforddictionaries.com/definition/strategist</w:t>
        </w:r>
      </w:hyperlink>
      <w:r>
        <w:t xml:space="preserve"> Accessed 8/03/18</w:t>
      </w:r>
    </w:p>
  </w:footnote>
  <w:footnote w:id="12">
    <w:p w:rsidR="00AE203C" w:rsidRDefault="00AE203C">
      <w:pPr>
        <w:pStyle w:val="FootnoteText"/>
      </w:pPr>
      <w:r>
        <w:rPr>
          <w:rStyle w:val="FootnoteReference"/>
        </w:rPr>
        <w:footnoteRef/>
      </w:r>
      <w:r>
        <w:t xml:space="preserve"> </w:t>
      </w:r>
      <w:proofErr w:type="spellStart"/>
      <w:r w:rsidR="00535804" w:rsidRPr="00535804">
        <w:t>Kagan</w:t>
      </w:r>
      <w:proofErr w:type="spellEnd"/>
      <w:r w:rsidR="00535804" w:rsidRPr="00535804">
        <w:t>,</w:t>
      </w:r>
      <w:r w:rsidR="00535804">
        <w:t xml:space="preserve"> D.</w:t>
      </w:r>
      <w:r w:rsidR="00535804" w:rsidRPr="00535804">
        <w:t xml:space="preserve"> The Peloponnesian War, </w:t>
      </w:r>
      <w:r w:rsidR="00535804">
        <w:t>(London, Penguin Books, 2004</w:t>
      </w:r>
      <w:proofErr w:type="gramStart"/>
      <w:r w:rsidR="00535804">
        <w:t>)P</w:t>
      </w:r>
      <w:proofErr w:type="gramEnd"/>
      <w:r w:rsidR="00535804">
        <w:t>.</w:t>
      </w:r>
      <w:r w:rsidR="00535804" w:rsidRPr="00535804">
        <w:t xml:space="preserve"> xxiii–xxiv.</w:t>
      </w:r>
    </w:p>
  </w:footnote>
  <w:footnote w:id="13">
    <w:p w:rsidR="00AE203C" w:rsidRDefault="00AE203C">
      <w:pPr>
        <w:pStyle w:val="FootnoteText"/>
      </w:pPr>
      <w:r>
        <w:rPr>
          <w:rStyle w:val="FootnoteReference"/>
        </w:rPr>
        <w:footnoteRef/>
      </w:r>
      <w:r>
        <w:t xml:space="preserve"> </w:t>
      </w:r>
      <w:r w:rsidR="00535804">
        <w:t xml:space="preserve">Ray, F. </w:t>
      </w:r>
      <w:r w:rsidR="00535804" w:rsidRPr="007E382C">
        <w:t>Land Battles in 5th Century BC Greece: A History and Analysis of 173 Engagements</w:t>
      </w:r>
      <w:r w:rsidR="00535804">
        <w:t>( Jefferson, McFarland, 2011)</w:t>
      </w:r>
      <w:r w:rsidR="00535804">
        <w:t xml:space="preserve"> P. 160</w:t>
      </w:r>
    </w:p>
  </w:footnote>
  <w:footnote w:id="14">
    <w:p w:rsidR="00AE203C" w:rsidRDefault="00AE203C">
      <w:pPr>
        <w:pStyle w:val="FootnoteText"/>
      </w:pPr>
      <w:r>
        <w:rPr>
          <w:rStyle w:val="FootnoteReference"/>
        </w:rPr>
        <w:footnoteRef/>
      </w:r>
      <w:r>
        <w:t xml:space="preserve"> </w:t>
      </w:r>
      <w:r w:rsidR="00EF3F89">
        <w:t xml:space="preserve">Ray, F. </w:t>
      </w:r>
      <w:r w:rsidR="00EF3F89" w:rsidRPr="007E382C">
        <w:t>Land Battles in 5th Century BC Greece: A History and Analysis of 173 Engagements</w:t>
      </w:r>
      <w:r w:rsidR="00EF3F89">
        <w:t>( Jefferson, McFarland, 2011) P. 160</w:t>
      </w:r>
    </w:p>
  </w:footnote>
  <w:footnote w:id="15">
    <w:p w:rsidR="00EF3F89" w:rsidRDefault="00EF3F89">
      <w:pPr>
        <w:pStyle w:val="FootnoteText"/>
      </w:pPr>
      <w:r>
        <w:rPr>
          <w:rStyle w:val="FootnoteReference"/>
        </w:rPr>
        <w:footnoteRef/>
      </w:r>
      <w:r>
        <w:t xml:space="preserve"> </w:t>
      </w:r>
      <w:proofErr w:type="spellStart"/>
      <w:r>
        <w:t>Thuc</w:t>
      </w:r>
      <w:proofErr w:type="spellEnd"/>
      <w:r>
        <w:t xml:space="preserve"> 6.8.</w:t>
      </w:r>
    </w:p>
  </w:footnote>
  <w:footnote w:id="16">
    <w:p w:rsidR="00DF7F21" w:rsidRDefault="00DF7F21">
      <w:pPr>
        <w:pStyle w:val="FootnoteText"/>
      </w:pPr>
      <w:r>
        <w:rPr>
          <w:rStyle w:val="FootnoteReference"/>
        </w:rPr>
        <w:footnoteRef/>
      </w:r>
      <w:r>
        <w:t xml:space="preserve"> </w:t>
      </w:r>
      <w:proofErr w:type="spellStart"/>
      <w:r w:rsidR="00A05DA8">
        <w:t>Thuc</w:t>
      </w:r>
      <w:proofErr w:type="spellEnd"/>
      <w:r w:rsidR="00A05DA8">
        <w:t xml:space="preserve"> 2.14</w:t>
      </w:r>
    </w:p>
  </w:footnote>
  <w:footnote w:id="17">
    <w:p w:rsidR="00B13199" w:rsidRDefault="00B13199">
      <w:pPr>
        <w:pStyle w:val="FootnoteText"/>
      </w:pPr>
      <w:r>
        <w:rPr>
          <w:rStyle w:val="FootnoteReference"/>
        </w:rPr>
        <w:footnoteRef/>
      </w:r>
      <w:r>
        <w:t xml:space="preserve"> </w:t>
      </w:r>
      <w:r w:rsidRPr="00B13199">
        <w:t xml:space="preserve">Hunter, J. H. 2005. 'Pericles' Cavalry Strategy', </w:t>
      </w:r>
      <w:proofErr w:type="spellStart"/>
      <w:r w:rsidRPr="00B13199">
        <w:t>Quaderni</w:t>
      </w:r>
      <w:proofErr w:type="spellEnd"/>
      <w:r w:rsidRPr="00B13199">
        <w:t xml:space="preserve"> </w:t>
      </w:r>
      <w:proofErr w:type="spellStart"/>
      <w:r w:rsidRPr="00B13199">
        <w:t>Urbinati</w:t>
      </w:r>
      <w:proofErr w:type="spellEnd"/>
      <w:r w:rsidRPr="00B13199">
        <w:t xml:space="preserve"> di</w:t>
      </w:r>
      <w:r>
        <w:t xml:space="preserve"> </w:t>
      </w:r>
      <w:proofErr w:type="spellStart"/>
      <w:r>
        <w:t>Cultura</w:t>
      </w:r>
      <w:proofErr w:type="spellEnd"/>
      <w:r>
        <w:t xml:space="preserve"> Classica, 81, 3, P. 107</w:t>
      </w:r>
    </w:p>
  </w:footnote>
  <w:footnote w:id="18">
    <w:p w:rsidR="00353D5C" w:rsidRDefault="00353D5C">
      <w:pPr>
        <w:pStyle w:val="FootnoteText"/>
      </w:pPr>
      <w:r>
        <w:rPr>
          <w:rStyle w:val="FootnoteReference"/>
        </w:rPr>
        <w:footnoteRef/>
      </w:r>
      <w:r>
        <w:t xml:space="preserve"> </w:t>
      </w:r>
      <w:r w:rsidRPr="00B13199">
        <w:t xml:space="preserve">Hunter, J. H. 2005. 'Pericles' Cavalry Strategy', </w:t>
      </w:r>
      <w:proofErr w:type="spellStart"/>
      <w:r w:rsidRPr="00B13199">
        <w:t>Quaderni</w:t>
      </w:r>
      <w:proofErr w:type="spellEnd"/>
      <w:r w:rsidRPr="00B13199">
        <w:t xml:space="preserve"> </w:t>
      </w:r>
      <w:proofErr w:type="spellStart"/>
      <w:r w:rsidRPr="00B13199">
        <w:t>Urbinati</w:t>
      </w:r>
      <w:proofErr w:type="spellEnd"/>
      <w:r w:rsidRPr="00B13199">
        <w:t xml:space="preserve"> di</w:t>
      </w:r>
      <w:r>
        <w:t xml:space="preserve"> </w:t>
      </w:r>
      <w:proofErr w:type="spellStart"/>
      <w:r>
        <w:t>Cultura</w:t>
      </w:r>
      <w:proofErr w:type="spellEnd"/>
      <w:r>
        <w:t xml:space="preserve"> Classica, 81, 3, P. 107</w:t>
      </w:r>
    </w:p>
  </w:footnote>
  <w:footnote w:id="19">
    <w:p w:rsidR="00353D5C" w:rsidRDefault="00353D5C">
      <w:pPr>
        <w:pStyle w:val="FootnoteText"/>
      </w:pPr>
      <w:r>
        <w:rPr>
          <w:rStyle w:val="FootnoteReference"/>
        </w:rPr>
        <w:footnoteRef/>
      </w:r>
      <w:r>
        <w:t xml:space="preserve"> Xen, Hel</w:t>
      </w:r>
      <w:r w:rsidRPr="00353D5C">
        <w:t>, 2.2.20</w:t>
      </w:r>
    </w:p>
  </w:footnote>
  <w:footnote w:id="20">
    <w:p w:rsidR="004904D5" w:rsidRDefault="004904D5">
      <w:pPr>
        <w:pStyle w:val="FootnoteText"/>
      </w:pPr>
      <w:r>
        <w:rPr>
          <w:rStyle w:val="FootnoteReference"/>
        </w:rPr>
        <w:footnoteRef/>
      </w:r>
      <w:r>
        <w:t xml:space="preserve"> </w:t>
      </w:r>
      <w:proofErr w:type="spellStart"/>
      <w:r>
        <w:t>Thuc</w:t>
      </w:r>
      <w:proofErr w:type="spellEnd"/>
      <w:r>
        <w:t xml:space="preserve"> 5.43</w:t>
      </w:r>
    </w:p>
  </w:footnote>
  <w:footnote w:id="21">
    <w:p w:rsidR="004904D5" w:rsidRDefault="004904D5">
      <w:pPr>
        <w:pStyle w:val="FootnoteText"/>
      </w:pPr>
      <w:r>
        <w:rPr>
          <w:rStyle w:val="FootnoteReference"/>
        </w:rPr>
        <w:footnoteRef/>
      </w:r>
      <w:r>
        <w:t xml:space="preserve"> </w:t>
      </w:r>
      <w:r w:rsidRPr="004904D5">
        <w:t xml:space="preserve">Hunter, J. H. 2005. 'Pericles' Cavalry Strategy', </w:t>
      </w:r>
      <w:proofErr w:type="spellStart"/>
      <w:r w:rsidRPr="004904D5">
        <w:t>Quaderni</w:t>
      </w:r>
      <w:proofErr w:type="spellEnd"/>
      <w:r w:rsidRPr="004904D5">
        <w:t xml:space="preserve"> </w:t>
      </w:r>
      <w:proofErr w:type="spellStart"/>
      <w:r w:rsidRPr="004904D5">
        <w:t>Urbinati</w:t>
      </w:r>
      <w:proofErr w:type="spellEnd"/>
      <w:r w:rsidRPr="004904D5">
        <w:t xml:space="preserve"> di </w:t>
      </w:r>
      <w:proofErr w:type="spellStart"/>
      <w:r w:rsidRPr="004904D5">
        <w:t>Cultura</w:t>
      </w:r>
      <w:proofErr w:type="spellEnd"/>
      <w:r w:rsidRPr="004904D5">
        <w:t xml:space="preserve"> Classica, 81, 3, P. 107</w:t>
      </w:r>
    </w:p>
  </w:footnote>
  <w:footnote w:id="22">
    <w:p w:rsidR="00E37F73" w:rsidRDefault="00E37F73">
      <w:pPr>
        <w:pStyle w:val="FootnoteText"/>
      </w:pPr>
      <w:r>
        <w:rPr>
          <w:rStyle w:val="FootnoteReference"/>
        </w:rPr>
        <w:footnoteRef/>
      </w:r>
      <w:r>
        <w:t xml:space="preserve"> </w:t>
      </w:r>
      <w:r w:rsidRPr="004904D5">
        <w:t xml:space="preserve">Hunter, J. H. 2005. 'Pericles' Cavalry Strategy', </w:t>
      </w:r>
      <w:proofErr w:type="spellStart"/>
      <w:r w:rsidRPr="004904D5">
        <w:t>Quaderni</w:t>
      </w:r>
      <w:proofErr w:type="spellEnd"/>
      <w:r w:rsidRPr="004904D5">
        <w:t xml:space="preserve"> </w:t>
      </w:r>
      <w:proofErr w:type="spellStart"/>
      <w:r w:rsidRPr="004904D5">
        <w:t>Urbinati</w:t>
      </w:r>
      <w:proofErr w:type="spellEnd"/>
      <w:r w:rsidRPr="004904D5">
        <w:t xml:space="preserve"> di</w:t>
      </w:r>
      <w:r>
        <w:t xml:space="preserve"> </w:t>
      </w:r>
      <w:proofErr w:type="spellStart"/>
      <w:r>
        <w:t>Cultura</w:t>
      </w:r>
      <w:proofErr w:type="spellEnd"/>
      <w:r>
        <w:t xml:space="preserve"> Classica, 81, 3, P. 106</w:t>
      </w:r>
    </w:p>
  </w:footnote>
  <w:footnote w:id="23">
    <w:p w:rsidR="00E37F73" w:rsidRDefault="00E37F73">
      <w:pPr>
        <w:pStyle w:val="FootnoteText"/>
      </w:pPr>
      <w:r>
        <w:rPr>
          <w:rStyle w:val="FootnoteReference"/>
        </w:rPr>
        <w:footnoteRef/>
      </w:r>
      <w:r>
        <w:t xml:space="preserve"> Chaplin, J.</w:t>
      </w:r>
      <w:r w:rsidRPr="00E37F73">
        <w:t xml:space="preserve"> Livy's Exemplary History, </w:t>
      </w:r>
      <w:r>
        <w:t xml:space="preserve">(Oxford, Oxford University press, 2000) </w:t>
      </w:r>
      <w:r w:rsidRPr="00E37F73">
        <w:t>p. 66</w:t>
      </w:r>
    </w:p>
  </w:footnote>
  <w:footnote w:id="24">
    <w:p w:rsidR="00EE2A76" w:rsidRDefault="00EE2A76">
      <w:pPr>
        <w:pStyle w:val="FootnoteText"/>
      </w:pPr>
      <w:r>
        <w:rPr>
          <w:rStyle w:val="FootnoteReference"/>
        </w:rPr>
        <w:footnoteRef/>
      </w:r>
      <w:r>
        <w:t xml:space="preserve"> </w:t>
      </w:r>
      <w:r w:rsidRPr="00EE2A76">
        <w:t>Daly, Gregory. Cannae: The Experience of Battle in the Sec</w:t>
      </w:r>
      <w:r>
        <w:t xml:space="preserve">ond Punic War. (London, </w:t>
      </w:r>
      <w:r w:rsidRPr="00EE2A76">
        <w:t>Routledge, 2002</w:t>
      </w:r>
      <w:r>
        <w:t>)</w:t>
      </w:r>
      <w:r w:rsidRPr="00EE2A76">
        <w:t xml:space="preserve"> p</w:t>
      </w:r>
      <w:r>
        <w:t xml:space="preserve">. </w:t>
      </w:r>
      <w:r w:rsidRPr="00EE2A76">
        <w:t>81–112</w:t>
      </w:r>
    </w:p>
  </w:footnote>
  <w:footnote w:id="25">
    <w:p w:rsidR="00EE2A76" w:rsidRDefault="00EE2A76">
      <w:pPr>
        <w:pStyle w:val="FootnoteText"/>
      </w:pPr>
      <w:r>
        <w:rPr>
          <w:rStyle w:val="FootnoteReference"/>
        </w:rPr>
        <w:footnoteRef/>
      </w:r>
      <w:r>
        <w:t xml:space="preserve"> </w:t>
      </w:r>
      <w:r w:rsidR="00554FDC">
        <w:t>Daly, G</w:t>
      </w:r>
      <w:r w:rsidRPr="00EE2A76">
        <w:t>. Cannae: The Experience of Battle in the Second Punic War,</w:t>
      </w:r>
      <w:r w:rsidR="00554FDC">
        <w:t xml:space="preserve"> (London, Routledge, 2005)</w:t>
      </w:r>
      <w:r w:rsidRPr="00EE2A76">
        <w:t xml:space="preserve"> p. 89</w:t>
      </w:r>
    </w:p>
  </w:footnote>
  <w:footnote w:id="26">
    <w:p w:rsidR="00EE2A76" w:rsidRDefault="00EE2A76">
      <w:pPr>
        <w:pStyle w:val="FootnoteText"/>
      </w:pPr>
      <w:r>
        <w:rPr>
          <w:rStyle w:val="FootnoteReference"/>
        </w:rPr>
        <w:footnoteRef/>
      </w:r>
      <w:r>
        <w:t xml:space="preserve"> </w:t>
      </w:r>
      <w:r w:rsidR="00554FDC">
        <w:t>Cottrell, L</w:t>
      </w:r>
      <w:r w:rsidR="00554FDC" w:rsidRPr="00554FDC">
        <w:t xml:space="preserve">. </w:t>
      </w:r>
      <w:r w:rsidR="00554FDC">
        <w:t>Enemy of Rome. (London, Evans Bros, 1965)</w:t>
      </w:r>
      <w:r w:rsidR="00554FDC" w:rsidRPr="00554FDC">
        <w:t>. p99</w:t>
      </w:r>
    </w:p>
  </w:footnote>
  <w:footnote w:id="27">
    <w:p w:rsidR="00906618" w:rsidRDefault="00906618">
      <w:pPr>
        <w:pStyle w:val="FootnoteText"/>
      </w:pPr>
      <w:r>
        <w:rPr>
          <w:rStyle w:val="FootnoteReference"/>
        </w:rPr>
        <w:footnoteRef/>
      </w:r>
      <w:r>
        <w:t xml:space="preserve"> Westlake, H. D, Seaborne Raids in Periclean Strategy, Class. Quart. 39, 1945, 75</w:t>
      </w:r>
    </w:p>
  </w:footnote>
  <w:footnote w:id="28">
    <w:p w:rsidR="00906618" w:rsidRDefault="00906618">
      <w:pPr>
        <w:pStyle w:val="FootnoteText"/>
      </w:pPr>
      <w:r>
        <w:rPr>
          <w:rStyle w:val="FootnoteReference"/>
        </w:rPr>
        <w:footnoteRef/>
      </w:r>
      <w:r>
        <w:t xml:space="preserve"> </w:t>
      </w:r>
      <w:r w:rsidRPr="004904D5">
        <w:t xml:space="preserve">Hunter, J. H. 2005. 'Pericles' Cavalry Strategy', </w:t>
      </w:r>
      <w:proofErr w:type="spellStart"/>
      <w:r w:rsidRPr="004904D5">
        <w:t>Quaderni</w:t>
      </w:r>
      <w:proofErr w:type="spellEnd"/>
      <w:r w:rsidRPr="004904D5">
        <w:t xml:space="preserve"> </w:t>
      </w:r>
      <w:proofErr w:type="spellStart"/>
      <w:r w:rsidRPr="004904D5">
        <w:t>Urbinati</w:t>
      </w:r>
      <w:proofErr w:type="spellEnd"/>
      <w:r w:rsidRPr="004904D5">
        <w:t xml:space="preserve"> di</w:t>
      </w:r>
      <w:r>
        <w:t xml:space="preserve"> </w:t>
      </w:r>
      <w:proofErr w:type="spellStart"/>
      <w:r>
        <w:t>Cultura</w:t>
      </w:r>
      <w:proofErr w:type="spellEnd"/>
      <w:r>
        <w:t xml:space="preserve"> Classica, 81, 3, P. 10</w:t>
      </w:r>
      <w:r>
        <w:t>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2D99" w:rsidRDefault="00E92D99">
    <w:pPr>
      <w:pStyle w:val="Header"/>
    </w:pPr>
    <w:r>
      <w:t>Alex Elliott</w:t>
    </w:r>
  </w:p>
  <w:p w:rsidR="00E92D99" w:rsidRDefault="00E92D99">
    <w:pPr>
      <w:pStyle w:val="Header"/>
    </w:pPr>
    <w:r>
      <w:t>1500087</w:t>
    </w:r>
  </w:p>
  <w:p w:rsidR="00E92D99" w:rsidRDefault="00E92D99">
    <w:pPr>
      <w:pStyle w:val="Header"/>
    </w:pPr>
    <w:r>
      <w:t>CLAH6003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31845"/>
    <w:multiLevelType w:val="hybridMultilevel"/>
    <w:tmpl w:val="AAC28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36788"/>
    <w:multiLevelType w:val="hybridMultilevel"/>
    <w:tmpl w:val="2FBE0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44243D"/>
    <w:multiLevelType w:val="hybridMultilevel"/>
    <w:tmpl w:val="D43C9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8A2875"/>
    <w:multiLevelType w:val="hybridMultilevel"/>
    <w:tmpl w:val="3E72E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D99"/>
    <w:rsid w:val="00044D52"/>
    <w:rsid w:val="0006574E"/>
    <w:rsid w:val="000844D2"/>
    <w:rsid w:val="000A6B22"/>
    <w:rsid w:val="001174BB"/>
    <w:rsid w:val="00126D3E"/>
    <w:rsid w:val="001B3B0C"/>
    <w:rsid w:val="00353D5C"/>
    <w:rsid w:val="0035775D"/>
    <w:rsid w:val="003630E6"/>
    <w:rsid w:val="00390705"/>
    <w:rsid w:val="004539E8"/>
    <w:rsid w:val="00461E37"/>
    <w:rsid w:val="004904D5"/>
    <w:rsid w:val="00491877"/>
    <w:rsid w:val="004D1D80"/>
    <w:rsid w:val="00535804"/>
    <w:rsid w:val="00554FDC"/>
    <w:rsid w:val="00573A4C"/>
    <w:rsid w:val="00605D31"/>
    <w:rsid w:val="00643EC4"/>
    <w:rsid w:val="0065121A"/>
    <w:rsid w:val="00683FE6"/>
    <w:rsid w:val="00723857"/>
    <w:rsid w:val="00777F77"/>
    <w:rsid w:val="00783436"/>
    <w:rsid w:val="007E382C"/>
    <w:rsid w:val="008454C5"/>
    <w:rsid w:val="008E1604"/>
    <w:rsid w:val="00906618"/>
    <w:rsid w:val="009C0BF7"/>
    <w:rsid w:val="009E4D6C"/>
    <w:rsid w:val="00A05DA8"/>
    <w:rsid w:val="00A26E0E"/>
    <w:rsid w:val="00A55362"/>
    <w:rsid w:val="00A877B8"/>
    <w:rsid w:val="00AE203C"/>
    <w:rsid w:val="00B13199"/>
    <w:rsid w:val="00C13D55"/>
    <w:rsid w:val="00D2153E"/>
    <w:rsid w:val="00DB69CF"/>
    <w:rsid w:val="00DF7F21"/>
    <w:rsid w:val="00E37F73"/>
    <w:rsid w:val="00E92D99"/>
    <w:rsid w:val="00EE2A76"/>
    <w:rsid w:val="00EF3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CA8217-441F-486E-AD01-FACBCF1C3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2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D99"/>
  </w:style>
  <w:style w:type="paragraph" w:styleId="Footer">
    <w:name w:val="footer"/>
    <w:basedOn w:val="Normal"/>
    <w:link w:val="FooterChar"/>
    <w:uiPriority w:val="99"/>
    <w:unhideWhenUsed/>
    <w:rsid w:val="00E92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D99"/>
  </w:style>
  <w:style w:type="paragraph" w:styleId="FootnoteText">
    <w:name w:val="footnote text"/>
    <w:basedOn w:val="Normal"/>
    <w:link w:val="FootnoteTextChar"/>
    <w:uiPriority w:val="99"/>
    <w:unhideWhenUsed/>
    <w:rsid w:val="009C0BF7"/>
    <w:pPr>
      <w:spacing w:after="0" w:line="240" w:lineRule="auto"/>
    </w:pPr>
    <w:rPr>
      <w:sz w:val="20"/>
      <w:szCs w:val="20"/>
    </w:rPr>
  </w:style>
  <w:style w:type="character" w:customStyle="1" w:styleId="FootnoteTextChar">
    <w:name w:val="Footnote Text Char"/>
    <w:basedOn w:val="DefaultParagraphFont"/>
    <w:link w:val="FootnoteText"/>
    <w:uiPriority w:val="99"/>
    <w:rsid w:val="009C0BF7"/>
    <w:rPr>
      <w:sz w:val="20"/>
      <w:szCs w:val="20"/>
    </w:rPr>
  </w:style>
  <w:style w:type="character" w:styleId="FootnoteReference">
    <w:name w:val="footnote reference"/>
    <w:basedOn w:val="DefaultParagraphFont"/>
    <w:uiPriority w:val="99"/>
    <w:semiHidden/>
    <w:unhideWhenUsed/>
    <w:rsid w:val="009C0BF7"/>
    <w:rPr>
      <w:vertAlign w:val="superscript"/>
    </w:rPr>
  </w:style>
  <w:style w:type="paragraph" w:styleId="ListParagraph">
    <w:name w:val="List Paragraph"/>
    <w:basedOn w:val="Normal"/>
    <w:uiPriority w:val="34"/>
    <w:qFormat/>
    <w:rsid w:val="000A6B22"/>
    <w:pPr>
      <w:ind w:left="720"/>
      <w:contextualSpacing/>
    </w:pPr>
  </w:style>
  <w:style w:type="character" w:styleId="Hyperlink">
    <w:name w:val="Hyperlink"/>
    <w:basedOn w:val="DefaultParagraphFont"/>
    <w:uiPriority w:val="99"/>
    <w:unhideWhenUsed/>
    <w:rsid w:val="000A6B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1999.01.0210%3Atext%3DCa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oxforddictionaries.com/definition/strategis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n.oxforddictionaries.com/definition/strateg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551FC-9732-4DF3-B868-51B0A09B9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2168</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Elliott</dc:creator>
  <cp:keywords/>
  <dc:description/>
  <cp:lastModifiedBy>Simon Elliott</cp:lastModifiedBy>
  <cp:revision>2</cp:revision>
  <dcterms:created xsi:type="dcterms:W3CDTF">2018-03-15T22:32:00Z</dcterms:created>
  <dcterms:modified xsi:type="dcterms:W3CDTF">2018-03-15T22:32:00Z</dcterms:modified>
</cp:coreProperties>
</file>