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B6DC0" w14:textId="4BE0E227" w:rsidR="000A4D98" w:rsidRPr="000A4D98" w:rsidRDefault="000A4D98" w:rsidP="000A4D98">
      <w:pPr>
        <w:spacing w:line="240" w:lineRule="auto"/>
        <w:rPr>
          <w:rFonts w:ascii="Times New Roman" w:hAnsi="Times New Roman" w:cs="Times New Roman"/>
          <w:b/>
          <w:bCs/>
        </w:rPr>
      </w:pPr>
      <w:r w:rsidRPr="000A4D98">
        <w:rPr>
          <w:rFonts w:ascii="Times New Roman" w:hAnsi="Times New Roman" w:cs="Times New Roman"/>
          <w:b/>
          <w:bCs/>
        </w:rPr>
        <w:t>Student name:</w:t>
      </w:r>
      <w:r>
        <w:rPr>
          <w:rFonts w:ascii="Times New Roman" w:hAnsi="Times New Roman" w:cs="Times New Roman"/>
          <w:b/>
          <w:bCs/>
        </w:rPr>
        <w:t xml:space="preserve"> Madalina Denisa Dumitru</w:t>
      </w:r>
      <w:r w:rsidRPr="000A4D98">
        <w:rPr>
          <w:rFonts w:ascii="Times New Roman" w:hAnsi="Times New Roman" w:cs="Times New Roman"/>
          <w:b/>
          <w:bCs/>
        </w:rPr>
        <w:tab/>
        <w:t xml:space="preserve">     </w:t>
      </w:r>
    </w:p>
    <w:p w14:paraId="2FAC7AC0" w14:textId="56A0E651" w:rsidR="000A4D98" w:rsidRPr="000A4D98" w:rsidRDefault="000A4D98" w:rsidP="000A4D98">
      <w:pPr>
        <w:spacing w:line="240" w:lineRule="auto"/>
        <w:rPr>
          <w:rFonts w:ascii="Times New Roman" w:hAnsi="Times New Roman" w:cs="Times New Roman"/>
          <w:b/>
          <w:bCs/>
        </w:rPr>
      </w:pPr>
      <w:r w:rsidRPr="000A4D98">
        <w:rPr>
          <w:rFonts w:ascii="Times New Roman" w:hAnsi="Times New Roman" w:cs="Times New Roman"/>
          <w:b/>
          <w:bCs/>
        </w:rPr>
        <w:t>Module:</w:t>
      </w:r>
      <w:r>
        <w:rPr>
          <w:rFonts w:ascii="Times New Roman" w:hAnsi="Times New Roman" w:cs="Times New Roman"/>
          <w:b/>
          <w:bCs/>
        </w:rPr>
        <w:t xml:space="preserve"> </w:t>
      </w:r>
      <w:r w:rsidRPr="000A4D98">
        <w:rPr>
          <w:rFonts w:ascii="Times New Roman" w:hAnsi="Times New Roman" w:cs="Times New Roman"/>
          <w:b/>
          <w:bCs/>
        </w:rPr>
        <w:t xml:space="preserve">Financial Management </w:t>
      </w:r>
      <w:r w:rsidRPr="000A4D98">
        <w:rPr>
          <w:rFonts w:ascii="Times New Roman" w:hAnsi="Times New Roman" w:cs="Times New Roman"/>
          <w:b/>
          <w:bCs/>
        </w:rPr>
        <w:t>for</w:t>
      </w:r>
      <w:r w:rsidRPr="000A4D98">
        <w:rPr>
          <w:rFonts w:ascii="Times New Roman" w:hAnsi="Times New Roman" w:cs="Times New Roman"/>
          <w:b/>
          <w:bCs/>
        </w:rPr>
        <w:t xml:space="preserve"> Business Sustainability</w:t>
      </w:r>
    </w:p>
    <w:p w14:paraId="06EDED19" w14:textId="77777777" w:rsidR="000A4D98" w:rsidRPr="000A4D98" w:rsidRDefault="000A4D98" w:rsidP="000A4D98">
      <w:pPr>
        <w:spacing w:line="240" w:lineRule="auto"/>
        <w:rPr>
          <w:rFonts w:ascii="Times New Roman" w:hAnsi="Times New Roman" w:cs="Times New Roman"/>
          <w:b/>
          <w:bCs/>
        </w:rPr>
      </w:pPr>
      <w:r w:rsidRPr="000A4D98">
        <w:rPr>
          <w:rFonts w:ascii="Times New Roman" w:hAnsi="Times New Roman" w:cs="Times New Roman"/>
          <w:b/>
          <w:bCs/>
        </w:rPr>
        <w:t>Module code:</w:t>
      </w:r>
      <w:r w:rsidRPr="000A4D98">
        <w:rPr>
          <w:rFonts w:ascii="Times New Roman" w:hAnsi="Times New Roman" w:cs="Times New Roman"/>
          <w:b/>
          <w:bCs/>
        </w:rPr>
        <w:tab/>
        <w:t>BMSP4011D</w:t>
      </w:r>
    </w:p>
    <w:p w14:paraId="433D4017" w14:textId="7BAF3BB1" w:rsidR="000A4D98" w:rsidRDefault="000A4D98" w:rsidP="000A4D98">
      <w:pPr>
        <w:spacing w:line="240" w:lineRule="auto"/>
        <w:rPr>
          <w:rFonts w:ascii="Times New Roman" w:hAnsi="Times New Roman" w:cs="Times New Roman"/>
          <w:b/>
          <w:bCs/>
        </w:rPr>
      </w:pPr>
      <w:r w:rsidRPr="000A4D98">
        <w:rPr>
          <w:rFonts w:ascii="Times New Roman" w:hAnsi="Times New Roman" w:cs="Times New Roman"/>
          <w:b/>
          <w:bCs/>
        </w:rPr>
        <w:t>Lecturer:</w:t>
      </w:r>
      <w:r>
        <w:rPr>
          <w:rFonts w:ascii="Times New Roman" w:hAnsi="Times New Roman" w:cs="Times New Roman"/>
          <w:b/>
          <w:bCs/>
        </w:rPr>
        <w:t xml:space="preserve"> </w:t>
      </w:r>
      <w:r w:rsidRPr="000A4D98">
        <w:rPr>
          <w:rFonts w:ascii="Times New Roman" w:hAnsi="Times New Roman" w:cs="Times New Roman"/>
          <w:b/>
          <w:bCs/>
        </w:rPr>
        <w:t>Navdeep Randhawa</w:t>
      </w:r>
    </w:p>
    <w:p w14:paraId="4962CBEA" w14:textId="77777777" w:rsidR="000A4D98" w:rsidRDefault="000A4D98" w:rsidP="000A4D98">
      <w:pPr>
        <w:spacing w:line="240" w:lineRule="auto"/>
        <w:rPr>
          <w:rFonts w:ascii="Times New Roman" w:hAnsi="Times New Roman" w:cs="Times New Roman"/>
          <w:b/>
          <w:bCs/>
        </w:rPr>
      </w:pPr>
    </w:p>
    <w:p w14:paraId="1C659423" w14:textId="77777777" w:rsidR="000A4D98" w:rsidRDefault="000A4D98" w:rsidP="006F2C94">
      <w:pPr>
        <w:spacing w:line="480" w:lineRule="auto"/>
        <w:rPr>
          <w:rFonts w:ascii="Times New Roman" w:hAnsi="Times New Roman" w:cs="Times New Roman"/>
          <w:b/>
          <w:bCs/>
        </w:rPr>
      </w:pPr>
    </w:p>
    <w:p w14:paraId="4FC6D044" w14:textId="77777777" w:rsidR="000A4D98" w:rsidRDefault="000A4D98" w:rsidP="006F2C94">
      <w:pPr>
        <w:spacing w:line="480" w:lineRule="auto"/>
        <w:rPr>
          <w:rFonts w:ascii="Times New Roman" w:hAnsi="Times New Roman" w:cs="Times New Roman"/>
          <w:b/>
          <w:bCs/>
        </w:rPr>
      </w:pPr>
    </w:p>
    <w:p w14:paraId="7A5A8482" w14:textId="77777777" w:rsidR="000A4D98" w:rsidRDefault="000A4D98" w:rsidP="006F2C94">
      <w:pPr>
        <w:spacing w:line="480" w:lineRule="auto"/>
        <w:rPr>
          <w:rFonts w:ascii="Times New Roman" w:hAnsi="Times New Roman" w:cs="Times New Roman"/>
          <w:b/>
          <w:bCs/>
        </w:rPr>
      </w:pPr>
    </w:p>
    <w:p w14:paraId="26BD7736" w14:textId="77777777" w:rsidR="000A4D98" w:rsidRDefault="000A4D98" w:rsidP="006F2C94">
      <w:pPr>
        <w:spacing w:line="480" w:lineRule="auto"/>
        <w:rPr>
          <w:rFonts w:ascii="Times New Roman" w:hAnsi="Times New Roman" w:cs="Times New Roman"/>
          <w:b/>
          <w:bCs/>
        </w:rPr>
      </w:pPr>
    </w:p>
    <w:p w14:paraId="21541F3B" w14:textId="77777777" w:rsidR="000A4D98" w:rsidRDefault="000A4D98" w:rsidP="006F2C94">
      <w:pPr>
        <w:spacing w:line="480" w:lineRule="auto"/>
        <w:rPr>
          <w:rFonts w:ascii="Times New Roman" w:hAnsi="Times New Roman" w:cs="Times New Roman"/>
          <w:b/>
          <w:bCs/>
        </w:rPr>
      </w:pPr>
    </w:p>
    <w:p w14:paraId="0E5993B2" w14:textId="77777777" w:rsidR="000A4D98" w:rsidRDefault="000A4D98" w:rsidP="006F2C94">
      <w:pPr>
        <w:spacing w:line="480" w:lineRule="auto"/>
        <w:rPr>
          <w:rFonts w:ascii="Times New Roman" w:hAnsi="Times New Roman" w:cs="Times New Roman"/>
          <w:b/>
          <w:bCs/>
        </w:rPr>
      </w:pPr>
    </w:p>
    <w:p w14:paraId="63D1BDDE" w14:textId="77777777" w:rsidR="000A4D98" w:rsidRDefault="000A4D98" w:rsidP="006F2C94">
      <w:pPr>
        <w:spacing w:line="480" w:lineRule="auto"/>
        <w:rPr>
          <w:rFonts w:ascii="Times New Roman" w:hAnsi="Times New Roman" w:cs="Times New Roman"/>
          <w:b/>
          <w:bCs/>
        </w:rPr>
      </w:pPr>
    </w:p>
    <w:p w14:paraId="12F1A564" w14:textId="77777777" w:rsidR="000A4D98" w:rsidRDefault="000A4D98" w:rsidP="006F2C94">
      <w:pPr>
        <w:spacing w:line="480" w:lineRule="auto"/>
        <w:rPr>
          <w:rFonts w:ascii="Times New Roman" w:hAnsi="Times New Roman" w:cs="Times New Roman"/>
          <w:b/>
          <w:bCs/>
        </w:rPr>
      </w:pPr>
    </w:p>
    <w:p w14:paraId="710DA406" w14:textId="77777777" w:rsidR="000A4D98" w:rsidRDefault="000A4D98" w:rsidP="006F2C94">
      <w:pPr>
        <w:spacing w:line="480" w:lineRule="auto"/>
        <w:rPr>
          <w:rFonts w:ascii="Times New Roman" w:hAnsi="Times New Roman" w:cs="Times New Roman"/>
          <w:b/>
          <w:bCs/>
        </w:rPr>
      </w:pPr>
    </w:p>
    <w:p w14:paraId="1E854D01" w14:textId="7CA438B4" w:rsidR="000A4D98" w:rsidRPr="000A4D98" w:rsidRDefault="000A4D98" w:rsidP="000A4D98">
      <w:pPr>
        <w:jc w:val="center"/>
        <w:rPr>
          <w:rFonts w:ascii="Times New Roman" w:hAnsi="Times New Roman" w:cs="Times New Roman"/>
          <w:b/>
          <w:bCs/>
          <w:sz w:val="72"/>
          <w:szCs w:val="72"/>
          <w:u w:val="double"/>
        </w:rPr>
      </w:pPr>
      <w:r w:rsidRPr="000A4D98">
        <w:rPr>
          <w:rFonts w:ascii="Times New Roman" w:hAnsi="Times New Roman" w:cs="Times New Roman"/>
          <w:b/>
          <w:bCs/>
          <w:sz w:val="72"/>
          <w:szCs w:val="72"/>
          <w:u w:val="double"/>
        </w:rPr>
        <w:t>Financial Analysis of TESCO for the 2023 - 2024</w:t>
      </w:r>
      <w:r w:rsidRPr="000A4D98">
        <w:rPr>
          <w:rFonts w:ascii="Times New Roman" w:hAnsi="Times New Roman" w:cs="Times New Roman"/>
          <w:b/>
          <w:bCs/>
          <w:sz w:val="72"/>
          <w:szCs w:val="72"/>
          <w:u w:val="double"/>
        </w:rPr>
        <w:br w:type="page"/>
      </w:r>
    </w:p>
    <w:p w14:paraId="6151D3DD" w14:textId="1FD08B86" w:rsidR="006F2C94" w:rsidRPr="008D1958" w:rsidRDefault="006F2C94" w:rsidP="006F2C94">
      <w:pPr>
        <w:spacing w:line="480" w:lineRule="auto"/>
        <w:rPr>
          <w:rFonts w:ascii="Times New Roman" w:hAnsi="Times New Roman" w:cs="Times New Roman"/>
          <w:b/>
          <w:bCs/>
        </w:rPr>
      </w:pPr>
      <w:r w:rsidRPr="008D1958">
        <w:rPr>
          <w:rFonts w:ascii="Times New Roman" w:hAnsi="Times New Roman" w:cs="Times New Roman"/>
          <w:b/>
          <w:bCs/>
        </w:rPr>
        <w:lastRenderedPageBreak/>
        <w:t>Ratio Calculations</w:t>
      </w:r>
    </w:p>
    <w:p w14:paraId="0EBF6799" w14:textId="099489F1" w:rsidR="006F2C94" w:rsidRPr="008D1958" w:rsidRDefault="006F2C94" w:rsidP="006F2C94">
      <w:pPr>
        <w:pStyle w:val="ListParagraph"/>
        <w:numPr>
          <w:ilvl w:val="0"/>
          <w:numId w:val="1"/>
        </w:numPr>
        <w:spacing w:line="480" w:lineRule="auto"/>
        <w:rPr>
          <w:rFonts w:ascii="Times New Roman" w:hAnsi="Times New Roman" w:cs="Times New Roman"/>
          <w:b/>
          <w:bCs/>
        </w:rPr>
      </w:pPr>
      <w:r w:rsidRPr="008D1958">
        <w:rPr>
          <w:rFonts w:ascii="Times New Roman" w:hAnsi="Times New Roman" w:cs="Times New Roman"/>
          <w:b/>
          <w:bCs/>
        </w:rPr>
        <w:t>Profitability Ratios</w:t>
      </w:r>
    </w:p>
    <w:p w14:paraId="7FEE2DF3" w14:textId="77777777" w:rsidR="006F2C94" w:rsidRPr="008D1958" w:rsidRDefault="006F2C94" w:rsidP="008D1958">
      <w:pPr>
        <w:pStyle w:val="ListParagraph"/>
        <w:numPr>
          <w:ilvl w:val="0"/>
          <w:numId w:val="2"/>
        </w:numPr>
        <w:spacing w:line="480" w:lineRule="auto"/>
        <w:rPr>
          <w:rFonts w:ascii="Times New Roman" w:hAnsi="Times New Roman" w:cs="Times New Roman"/>
          <w:b/>
          <w:bCs/>
        </w:rPr>
      </w:pPr>
      <w:r w:rsidRPr="008D1958">
        <w:rPr>
          <w:rFonts w:ascii="Times New Roman" w:hAnsi="Times New Roman" w:cs="Times New Roman"/>
          <w:b/>
          <w:bCs/>
        </w:rPr>
        <w:t>Gross Profit Margin</w:t>
      </w:r>
    </w:p>
    <w:p w14:paraId="2E9BB0E9" w14:textId="47F4D2E6"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2023: £4,690m/£65,762m </w:t>
      </w:r>
      <w:r w:rsidR="008D1958">
        <w:rPr>
          <w:rFonts w:ascii="Times New Roman" w:hAnsi="Times New Roman" w:cs="Times New Roman"/>
        </w:rPr>
        <w:t>x</w:t>
      </w:r>
      <w:r w:rsidRPr="006F2C94">
        <w:rPr>
          <w:rFonts w:ascii="Times New Roman" w:hAnsi="Times New Roman" w:cs="Times New Roman"/>
        </w:rPr>
        <w:t xml:space="preserve"> 100 = 7.13% </w:t>
      </w:r>
    </w:p>
    <w:p w14:paraId="6B06D2FE" w14:textId="6EA65713"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2024: £4,853m/£68,187m </w:t>
      </w:r>
      <w:r w:rsidR="008D1958">
        <w:rPr>
          <w:rFonts w:ascii="Times New Roman" w:hAnsi="Times New Roman" w:cs="Times New Roman"/>
        </w:rPr>
        <w:t>x</w:t>
      </w:r>
      <w:r w:rsidRPr="006F2C94">
        <w:rPr>
          <w:rFonts w:ascii="Times New Roman" w:hAnsi="Times New Roman" w:cs="Times New Roman"/>
        </w:rPr>
        <w:t xml:space="preserve"> 100 = 7.12% </w:t>
      </w:r>
    </w:p>
    <w:p w14:paraId="4FA7951F" w14:textId="77777777" w:rsidR="006F2C94" w:rsidRPr="008D1958" w:rsidRDefault="006F2C94" w:rsidP="008D1958">
      <w:pPr>
        <w:pStyle w:val="ListParagraph"/>
        <w:numPr>
          <w:ilvl w:val="0"/>
          <w:numId w:val="3"/>
        </w:numPr>
        <w:spacing w:line="480" w:lineRule="auto"/>
        <w:rPr>
          <w:rFonts w:ascii="Times New Roman" w:hAnsi="Times New Roman" w:cs="Times New Roman"/>
          <w:b/>
          <w:bCs/>
        </w:rPr>
      </w:pPr>
      <w:r w:rsidRPr="008D1958">
        <w:rPr>
          <w:rFonts w:ascii="Times New Roman" w:hAnsi="Times New Roman" w:cs="Times New Roman"/>
          <w:b/>
          <w:bCs/>
        </w:rPr>
        <w:t>Statutory Operating Profit Margin</w:t>
      </w:r>
    </w:p>
    <w:p w14:paraId="7614AB8C" w14:textId="2914B17E"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2023: £1,525m</w:t>
      </w:r>
      <w:r w:rsidR="008D1958">
        <w:rPr>
          <w:rFonts w:ascii="Times New Roman" w:hAnsi="Times New Roman" w:cs="Times New Roman"/>
        </w:rPr>
        <w:t>/</w:t>
      </w:r>
      <w:r w:rsidRPr="006F2C94">
        <w:rPr>
          <w:rFonts w:ascii="Times New Roman" w:hAnsi="Times New Roman" w:cs="Times New Roman"/>
        </w:rPr>
        <w:t xml:space="preserve">£57,700m </w:t>
      </w:r>
      <w:r w:rsidR="008D1958">
        <w:rPr>
          <w:rFonts w:ascii="Times New Roman" w:hAnsi="Times New Roman" w:cs="Times New Roman"/>
        </w:rPr>
        <w:t>x</w:t>
      </w:r>
      <w:r w:rsidRPr="006F2C94">
        <w:rPr>
          <w:rFonts w:ascii="Times New Roman" w:hAnsi="Times New Roman" w:cs="Times New Roman"/>
        </w:rPr>
        <w:t xml:space="preserve"> 100 = 2.64% </w:t>
      </w:r>
    </w:p>
    <w:p w14:paraId="0EE92C26" w14:textId="77777777"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2024: £2,821m/£61,500m × 100 = 4.59% </w:t>
      </w:r>
    </w:p>
    <w:p w14:paraId="5C2863BF" w14:textId="77777777" w:rsidR="006F2C94" w:rsidRPr="008D1958" w:rsidRDefault="006F2C94" w:rsidP="008D1958">
      <w:pPr>
        <w:pStyle w:val="ListParagraph"/>
        <w:numPr>
          <w:ilvl w:val="0"/>
          <w:numId w:val="3"/>
        </w:numPr>
        <w:spacing w:line="480" w:lineRule="auto"/>
        <w:rPr>
          <w:rFonts w:ascii="Times New Roman" w:hAnsi="Times New Roman" w:cs="Times New Roman"/>
          <w:b/>
          <w:bCs/>
        </w:rPr>
      </w:pPr>
      <w:r w:rsidRPr="008D1958">
        <w:rPr>
          <w:rFonts w:ascii="Times New Roman" w:hAnsi="Times New Roman" w:cs="Times New Roman"/>
          <w:b/>
          <w:bCs/>
        </w:rPr>
        <w:t>Adjusted Operating Profit Margin</w:t>
      </w:r>
    </w:p>
    <w:p w14:paraId="2DA9730F" w14:textId="77777777"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2023: £2,630m/£57,700m × 100 = 4.56% </w:t>
      </w:r>
    </w:p>
    <w:p w14:paraId="6C567E69" w14:textId="77777777"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2024: £2,829m/£61,500m × 100 = 4.60% </w:t>
      </w:r>
    </w:p>
    <w:p w14:paraId="20737AC8" w14:textId="77777777" w:rsidR="006F2C94" w:rsidRPr="008D1958" w:rsidRDefault="006F2C94" w:rsidP="008D1958">
      <w:pPr>
        <w:pStyle w:val="ListParagraph"/>
        <w:numPr>
          <w:ilvl w:val="0"/>
          <w:numId w:val="3"/>
        </w:numPr>
        <w:spacing w:line="480" w:lineRule="auto"/>
        <w:rPr>
          <w:rFonts w:ascii="Times New Roman" w:hAnsi="Times New Roman" w:cs="Times New Roman"/>
          <w:b/>
          <w:bCs/>
        </w:rPr>
      </w:pPr>
      <w:r w:rsidRPr="008D1958">
        <w:rPr>
          <w:rFonts w:ascii="Times New Roman" w:hAnsi="Times New Roman" w:cs="Times New Roman"/>
          <w:b/>
          <w:bCs/>
        </w:rPr>
        <w:t>Net Profit Margin (Continuing Operations)</w:t>
      </w:r>
    </w:p>
    <w:p w14:paraId="11AEC654" w14:textId="77777777"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2023: £753m/£65,762m × 100 = 1.15% </w:t>
      </w:r>
    </w:p>
    <w:p w14:paraId="583B4178" w14:textId="77777777"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2024: £1,764m/£68,187m × 100 = 2.59% </w:t>
      </w:r>
    </w:p>
    <w:p w14:paraId="11C1AC57" w14:textId="77777777" w:rsidR="006F2C94" w:rsidRPr="008D1958" w:rsidRDefault="006F2C94" w:rsidP="008D1958">
      <w:pPr>
        <w:pStyle w:val="ListParagraph"/>
        <w:numPr>
          <w:ilvl w:val="0"/>
          <w:numId w:val="3"/>
        </w:numPr>
        <w:spacing w:line="480" w:lineRule="auto"/>
        <w:rPr>
          <w:rFonts w:ascii="Times New Roman" w:hAnsi="Times New Roman" w:cs="Times New Roman"/>
          <w:b/>
          <w:bCs/>
        </w:rPr>
      </w:pPr>
      <w:r w:rsidRPr="008D1958">
        <w:rPr>
          <w:rFonts w:ascii="Times New Roman" w:hAnsi="Times New Roman" w:cs="Times New Roman"/>
          <w:b/>
          <w:bCs/>
        </w:rPr>
        <w:t>Return on Equity (ROE)</w:t>
      </w:r>
    </w:p>
    <w:p w14:paraId="05083D60" w14:textId="77777777"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2023: £744m/[(£15,648m+£12,236m)/2] × 100 = 5.34% </w:t>
      </w:r>
    </w:p>
    <w:p w14:paraId="68384F22" w14:textId="3F91616A"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 2024: £1,188m/[(£12,236m+£11,665m)/2] × 100 = 9.95% </w:t>
      </w:r>
    </w:p>
    <w:p w14:paraId="66A12644" w14:textId="77777777" w:rsidR="006F2C94" w:rsidRDefault="006F2C94" w:rsidP="006F2C94">
      <w:pPr>
        <w:spacing w:line="480" w:lineRule="auto"/>
        <w:rPr>
          <w:rFonts w:ascii="Times New Roman" w:hAnsi="Times New Roman" w:cs="Times New Roman"/>
        </w:rPr>
      </w:pPr>
    </w:p>
    <w:p w14:paraId="45C4DBD7" w14:textId="77777777" w:rsidR="006F2C94" w:rsidRDefault="006F2C94" w:rsidP="006F2C94">
      <w:pPr>
        <w:spacing w:line="480" w:lineRule="auto"/>
        <w:rPr>
          <w:rFonts w:ascii="Times New Roman" w:hAnsi="Times New Roman" w:cs="Times New Roman"/>
        </w:rPr>
      </w:pPr>
    </w:p>
    <w:p w14:paraId="5CF83ACC" w14:textId="77777777" w:rsidR="006F2C94" w:rsidRDefault="006F2C94" w:rsidP="006F2C94">
      <w:pPr>
        <w:spacing w:line="480" w:lineRule="auto"/>
        <w:rPr>
          <w:rFonts w:ascii="Times New Roman" w:hAnsi="Times New Roman" w:cs="Times New Roman"/>
        </w:rPr>
      </w:pPr>
    </w:p>
    <w:p w14:paraId="17BE2D48" w14:textId="58F79B4D" w:rsidR="006F2C94" w:rsidRPr="008D1958" w:rsidRDefault="006F2C94" w:rsidP="006F2C94">
      <w:pPr>
        <w:pStyle w:val="ListParagraph"/>
        <w:numPr>
          <w:ilvl w:val="0"/>
          <w:numId w:val="1"/>
        </w:numPr>
        <w:spacing w:line="480" w:lineRule="auto"/>
        <w:rPr>
          <w:rFonts w:ascii="Times New Roman" w:hAnsi="Times New Roman" w:cs="Times New Roman"/>
          <w:b/>
          <w:bCs/>
        </w:rPr>
      </w:pPr>
      <w:r w:rsidRPr="008D1958">
        <w:rPr>
          <w:rFonts w:ascii="Times New Roman" w:hAnsi="Times New Roman" w:cs="Times New Roman"/>
          <w:b/>
          <w:bCs/>
        </w:rPr>
        <w:lastRenderedPageBreak/>
        <w:t>Liquidity and Solvency Ratios</w:t>
      </w:r>
    </w:p>
    <w:p w14:paraId="0FF93D2E" w14:textId="77777777" w:rsidR="006F2C94" w:rsidRPr="008D1958" w:rsidRDefault="006F2C94" w:rsidP="008D1958">
      <w:pPr>
        <w:pStyle w:val="ListParagraph"/>
        <w:numPr>
          <w:ilvl w:val="0"/>
          <w:numId w:val="3"/>
        </w:numPr>
        <w:spacing w:line="480" w:lineRule="auto"/>
        <w:rPr>
          <w:rFonts w:ascii="Times New Roman" w:hAnsi="Times New Roman" w:cs="Times New Roman"/>
          <w:b/>
          <w:bCs/>
        </w:rPr>
      </w:pPr>
      <w:r w:rsidRPr="008D1958">
        <w:rPr>
          <w:rFonts w:ascii="Times New Roman" w:hAnsi="Times New Roman" w:cs="Times New Roman"/>
          <w:b/>
          <w:bCs/>
        </w:rPr>
        <w:t>Current Ratio</w:t>
      </w:r>
    </w:p>
    <w:p w14:paraId="6920243F" w14:textId="77777777"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2023: £12,515m/£17,721m = 0.71 </w:t>
      </w:r>
    </w:p>
    <w:p w14:paraId="64807B0C" w14:textId="77777777"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2024: £8,823m/£13,350m = 0.66 </w:t>
      </w:r>
    </w:p>
    <w:p w14:paraId="2801B170" w14:textId="77777777" w:rsidR="006F2C94" w:rsidRPr="008D1958" w:rsidRDefault="006F2C94" w:rsidP="008D1958">
      <w:pPr>
        <w:pStyle w:val="ListParagraph"/>
        <w:numPr>
          <w:ilvl w:val="0"/>
          <w:numId w:val="3"/>
        </w:numPr>
        <w:spacing w:line="480" w:lineRule="auto"/>
        <w:rPr>
          <w:rFonts w:ascii="Times New Roman" w:hAnsi="Times New Roman" w:cs="Times New Roman"/>
          <w:b/>
          <w:bCs/>
        </w:rPr>
      </w:pPr>
      <w:r w:rsidRPr="008D1958">
        <w:rPr>
          <w:rFonts w:ascii="Times New Roman" w:hAnsi="Times New Roman" w:cs="Times New Roman"/>
          <w:b/>
          <w:bCs/>
        </w:rPr>
        <w:t>Quick Ratio</w:t>
      </w:r>
    </w:p>
    <w:p w14:paraId="10C438CF" w14:textId="77777777"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2023: (£2,465m+£1,315m)/£17,721m = 0.22 </w:t>
      </w:r>
    </w:p>
    <w:p w14:paraId="45C399E6" w14:textId="77777777"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2024: (£2,340m+£1,349m)/£13,350m = 0.27 </w:t>
      </w:r>
    </w:p>
    <w:p w14:paraId="59642522" w14:textId="77777777" w:rsidR="006F2C94" w:rsidRPr="00AC0156" w:rsidRDefault="006F2C94" w:rsidP="00AC0156">
      <w:pPr>
        <w:pStyle w:val="ListParagraph"/>
        <w:numPr>
          <w:ilvl w:val="0"/>
          <w:numId w:val="3"/>
        </w:numPr>
        <w:spacing w:line="480" w:lineRule="auto"/>
        <w:rPr>
          <w:rFonts w:ascii="Times New Roman" w:hAnsi="Times New Roman" w:cs="Times New Roman"/>
          <w:b/>
          <w:bCs/>
        </w:rPr>
      </w:pPr>
      <w:r w:rsidRPr="00AC0156">
        <w:rPr>
          <w:rFonts w:ascii="Times New Roman" w:hAnsi="Times New Roman" w:cs="Times New Roman"/>
          <w:b/>
          <w:bCs/>
        </w:rPr>
        <w:t>Gearing (Net Debt/Equity)</w:t>
      </w:r>
    </w:p>
    <w:p w14:paraId="588D7166" w14:textId="77777777"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2023: (£10,493m)/£12,236m = –85.8% </w:t>
      </w:r>
    </w:p>
    <w:p w14:paraId="7AC2F693" w14:textId="77777777" w:rsid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2024: (£9,764m)/£11,665m = –83.7% </w:t>
      </w:r>
    </w:p>
    <w:p w14:paraId="6CEFD552" w14:textId="210BA1ED" w:rsidR="006F2C94" w:rsidRPr="00AC0156" w:rsidRDefault="006F2C94" w:rsidP="006F2C94">
      <w:pPr>
        <w:pStyle w:val="ListParagraph"/>
        <w:numPr>
          <w:ilvl w:val="0"/>
          <w:numId w:val="1"/>
        </w:numPr>
        <w:spacing w:line="480" w:lineRule="auto"/>
        <w:rPr>
          <w:rFonts w:ascii="Times New Roman" w:hAnsi="Times New Roman" w:cs="Times New Roman"/>
          <w:b/>
          <w:bCs/>
        </w:rPr>
      </w:pPr>
      <w:r w:rsidRPr="00AC0156">
        <w:rPr>
          <w:rFonts w:ascii="Times New Roman" w:hAnsi="Times New Roman" w:cs="Times New Roman"/>
          <w:b/>
          <w:bCs/>
        </w:rPr>
        <w:t>Efficiency Ratios</w:t>
      </w:r>
    </w:p>
    <w:p w14:paraId="35A85C8A" w14:textId="77777777" w:rsidR="006F2C94" w:rsidRPr="00AC0156" w:rsidRDefault="006F2C94" w:rsidP="00AC0156">
      <w:pPr>
        <w:pStyle w:val="ListParagraph"/>
        <w:numPr>
          <w:ilvl w:val="0"/>
          <w:numId w:val="3"/>
        </w:numPr>
        <w:spacing w:line="480" w:lineRule="auto"/>
        <w:rPr>
          <w:rFonts w:ascii="Times New Roman" w:hAnsi="Times New Roman" w:cs="Times New Roman"/>
          <w:b/>
          <w:bCs/>
        </w:rPr>
      </w:pPr>
      <w:r w:rsidRPr="00AC0156">
        <w:rPr>
          <w:rFonts w:ascii="Times New Roman" w:hAnsi="Times New Roman" w:cs="Times New Roman"/>
          <w:b/>
          <w:bCs/>
        </w:rPr>
        <w:t>Asset Turnover (Sales/Avg. Total Assets)</w:t>
      </w:r>
    </w:p>
    <w:p w14:paraId="7F89A004" w14:textId="77777777"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2023: £57,700m/£45,793m = 1.26 times </w:t>
      </w:r>
    </w:p>
    <w:p w14:paraId="5B41C3AB" w14:textId="1C5C5B66"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2024: £61,500m/£46,565m = 1.32 times </w:t>
      </w:r>
    </w:p>
    <w:p w14:paraId="2CD17872" w14:textId="4CD1815B" w:rsidR="006F2C94" w:rsidRPr="00AC0156" w:rsidRDefault="006F2C94" w:rsidP="00AC0156">
      <w:pPr>
        <w:pStyle w:val="ListParagraph"/>
        <w:numPr>
          <w:ilvl w:val="0"/>
          <w:numId w:val="3"/>
        </w:numPr>
        <w:spacing w:line="480" w:lineRule="auto"/>
        <w:rPr>
          <w:rFonts w:ascii="Times New Roman" w:hAnsi="Times New Roman" w:cs="Times New Roman"/>
          <w:b/>
          <w:bCs/>
        </w:rPr>
      </w:pPr>
      <w:r w:rsidRPr="00AC0156">
        <w:rPr>
          <w:rFonts w:ascii="Times New Roman" w:hAnsi="Times New Roman" w:cs="Times New Roman"/>
          <w:b/>
          <w:bCs/>
        </w:rPr>
        <w:t>Earnings per Share (EPS)</w:t>
      </w:r>
    </w:p>
    <w:p w14:paraId="4015ED1C" w14:textId="77777777"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2023: 10.08 pence </w:t>
      </w:r>
    </w:p>
    <w:p w14:paraId="4D67680D" w14:textId="77777777"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2024: 24.53 pence </w:t>
      </w:r>
    </w:p>
    <w:p w14:paraId="5B388227" w14:textId="77777777" w:rsidR="006F2C94" w:rsidRPr="00AC0156" w:rsidRDefault="006F2C94" w:rsidP="00AC0156">
      <w:pPr>
        <w:pStyle w:val="ListParagraph"/>
        <w:numPr>
          <w:ilvl w:val="0"/>
          <w:numId w:val="3"/>
        </w:numPr>
        <w:spacing w:line="480" w:lineRule="auto"/>
        <w:rPr>
          <w:rFonts w:ascii="Times New Roman" w:hAnsi="Times New Roman" w:cs="Times New Roman"/>
          <w:b/>
          <w:bCs/>
        </w:rPr>
      </w:pPr>
      <w:r w:rsidRPr="00AC0156">
        <w:rPr>
          <w:rFonts w:ascii="Times New Roman" w:hAnsi="Times New Roman" w:cs="Times New Roman"/>
          <w:b/>
          <w:bCs/>
        </w:rPr>
        <w:t>Dividend per Share</w:t>
      </w:r>
    </w:p>
    <w:p w14:paraId="0C0C20DE" w14:textId="77777777" w:rsidR="006F2C94" w:rsidRPr="006F2C94" w:rsidRDefault="006F2C94" w:rsidP="006F2C94">
      <w:pPr>
        <w:spacing w:line="480" w:lineRule="auto"/>
        <w:rPr>
          <w:rFonts w:ascii="Times New Roman" w:hAnsi="Times New Roman" w:cs="Times New Roman"/>
        </w:rPr>
      </w:pPr>
      <w:r w:rsidRPr="006F2C94">
        <w:rPr>
          <w:rFonts w:ascii="Times New Roman" w:hAnsi="Times New Roman" w:cs="Times New Roman"/>
        </w:rPr>
        <w:t xml:space="preserve">2023: 10.90 pence </w:t>
      </w:r>
    </w:p>
    <w:p w14:paraId="6F8468BF" w14:textId="18CABD81" w:rsidR="006F2C94" w:rsidRDefault="006F2C94" w:rsidP="006F2C94">
      <w:pPr>
        <w:spacing w:line="480" w:lineRule="auto"/>
        <w:rPr>
          <w:rFonts w:ascii="Times New Roman" w:hAnsi="Times New Roman" w:cs="Times New Roman"/>
        </w:rPr>
      </w:pPr>
      <w:r w:rsidRPr="006F2C94">
        <w:rPr>
          <w:rFonts w:ascii="Times New Roman" w:hAnsi="Times New Roman" w:cs="Times New Roman"/>
        </w:rPr>
        <w:t>2024: 12.10 pence</w:t>
      </w:r>
    </w:p>
    <w:p w14:paraId="62588E6C" w14:textId="77777777" w:rsidR="001C0F7B" w:rsidRPr="00AC0156" w:rsidRDefault="001C0F7B" w:rsidP="001C0F7B">
      <w:pPr>
        <w:spacing w:line="480" w:lineRule="auto"/>
        <w:rPr>
          <w:rFonts w:ascii="Times New Roman" w:hAnsi="Times New Roman" w:cs="Times New Roman"/>
          <w:b/>
          <w:bCs/>
        </w:rPr>
      </w:pPr>
      <w:r w:rsidRPr="00AC0156">
        <w:rPr>
          <w:rFonts w:ascii="Times New Roman" w:hAnsi="Times New Roman" w:cs="Times New Roman"/>
          <w:b/>
          <w:bCs/>
        </w:rPr>
        <w:lastRenderedPageBreak/>
        <w:t>Comparative and Performance Drivers</w:t>
      </w:r>
    </w:p>
    <w:p w14:paraId="7A5CC296" w14:textId="6413CBFD" w:rsidR="001C0F7B" w:rsidRPr="00AC0156" w:rsidRDefault="001C0F7B" w:rsidP="00AC0156">
      <w:pPr>
        <w:pStyle w:val="ListParagraph"/>
        <w:numPr>
          <w:ilvl w:val="0"/>
          <w:numId w:val="4"/>
        </w:numPr>
        <w:spacing w:line="480" w:lineRule="auto"/>
        <w:rPr>
          <w:rFonts w:ascii="Times New Roman" w:hAnsi="Times New Roman" w:cs="Times New Roman"/>
          <w:b/>
          <w:bCs/>
        </w:rPr>
      </w:pPr>
      <w:r w:rsidRPr="00AC0156">
        <w:rPr>
          <w:rFonts w:ascii="Times New Roman" w:hAnsi="Times New Roman" w:cs="Times New Roman"/>
          <w:b/>
          <w:bCs/>
        </w:rPr>
        <w:t>Profitability</w:t>
      </w:r>
    </w:p>
    <w:p w14:paraId="53A1F046" w14:textId="77777777" w:rsidR="001C0F7B" w:rsidRPr="001C0F7B" w:rsidRDefault="001C0F7B" w:rsidP="001C0F7B">
      <w:pPr>
        <w:spacing w:line="480" w:lineRule="auto"/>
        <w:rPr>
          <w:rFonts w:ascii="Times New Roman" w:hAnsi="Times New Roman" w:cs="Times New Roman"/>
        </w:rPr>
      </w:pPr>
      <w:r w:rsidRPr="001C0F7B">
        <w:rPr>
          <w:rFonts w:ascii="Times New Roman" w:hAnsi="Times New Roman" w:cs="Times New Roman"/>
        </w:rPr>
        <w:t>The statutory operating margin of Tesco increased sharply from 2.64% in FY 2023 to 4.59% in FY 2024, which is almost a doubling of operating profitability. This increase has been led by a very strong cost management dollar programme which was aimed at procurement and in-store operating costs. Cost savings were captured from value perm through renegotiated supplier contracts (including volume discounts and extended payment terms) and from the streamlining of its store network (through reducing overheads of underperforming chain stores). Tesco evaluated management cost savings to provide marginal protection as it influences the marginal profitability of each sales dollar despite inflationary pressures (Attrill &amp; McLaney, 2015).</w:t>
      </w:r>
    </w:p>
    <w:p w14:paraId="43A1971D" w14:textId="77777777" w:rsidR="001C0F7B" w:rsidRPr="001C0F7B" w:rsidRDefault="001C0F7B" w:rsidP="001C0F7B">
      <w:pPr>
        <w:spacing w:line="480" w:lineRule="auto"/>
        <w:rPr>
          <w:rFonts w:ascii="Times New Roman" w:hAnsi="Times New Roman" w:cs="Times New Roman"/>
        </w:rPr>
      </w:pPr>
      <w:r w:rsidRPr="001C0F7B">
        <w:rPr>
          <w:rFonts w:ascii="Times New Roman" w:hAnsi="Times New Roman" w:cs="Times New Roman"/>
        </w:rPr>
        <w:t xml:space="preserve">Furthermore, the adjusted operating margin, which excludes non-regular restructuring expenses and disposals of property, land and buildings increased from 4.56% to 4.60% indicating the resilience of Tesco’s core businesses and services of retailing (Agustina &amp; </w:t>
      </w:r>
      <w:proofErr w:type="spellStart"/>
      <w:r w:rsidRPr="001C0F7B">
        <w:rPr>
          <w:rFonts w:ascii="Times New Roman" w:hAnsi="Times New Roman" w:cs="Times New Roman"/>
        </w:rPr>
        <w:t>Suprayitno</w:t>
      </w:r>
      <w:proofErr w:type="spellEnd"/>
      <w:r w:rsidRPr="001C0F7B">
        <w:rPr>
          <w:rFonts w:ascii="Times New Roman" w:hAnsi="Times New Roman" w:cs="Times New Roman"/>
        </w:rPr>
        <w:t>, 2020). This also evidence by increasing the usage and investment in actual demand forecasting tool accuracy and better supply chain logistics to reduce shrinkage and stock holding costs to keep inventory closer to the instant actual shopper demand pattern (Rashid, 2018). Nevertheless, support growth in non-food higher margin offerings, especially from Tesco Bank's insurance and credit card businesses, provided a diversified stream of profits to support grocery profitability declining margins (Vu, 2016).</w:t>
      </w:r>
    </w:p>
    <w:p w14:paraId="08264485" w14:textId="77AD01CC" w:rsidR="001C0F7B" w:rsidRPr="00AC0156" w:rsidRDefault="001C0F7B" w:rsidP="00AC0156">
      <w:pPr>
        <w:pStyle w:val="ListParagraph"/>
        <w:numPr>
          <w:ilvl w:val="0"/>
          <w:numId w:val="4"/>
        </w:numPr>
        <w:spacing w:line="480" w:lineRule="auto"/>
        <w:rPr>
          <w:rFonts w:ascii="Times New Roman" w:hAnsi="Times New Roman" w:cs="Times New Roman"/>
          <w:b/>
          <w:bCs/>
        </w:rPr>
      </w:pPr>
      <w:r w:rsidRPr="00AC0156">
        <w:rPr>
          <w:rFonts w:ascii="Times New Roman" w:hAnsi="Times New Roman" w:cs="Times New Roman"/>
          <w:b/>
          <w:bCs/>
        </w:rPr>
        <w:t>Net Profitability and ROE</w:t>
      </w:r>
    </w:p>
    <w:p w14:paraId="3F1F538B" w14:textId="04B16F48" w:rsidR="001C0F7B" w:rsidRPr="001C0F7B" w:rsidRDefault="001C0F7B" w:rsidP="001C0F7B">
      <w:pPr>
        <w:spacing w:line="480" w:lineRule="auto"/>
        <w:rPr>
          <w:rFonts w:ascii="Times New Roman" w:hAnsi="Times New Roman" w:cs="Times New Roman"/>
        </w:rPr>
      </w:pPr>
      <w:r w:rsidRPr="001C0F7B">
        <w:rPr>
          <w:rFonts w:ascii="Times New Roman" w:hAnsi="Times New Roman" w:cs="Times New Roman"/>
        </w:rPr>
        <w:t>Net profit margin increased more than twofold from 1.15% to 2.59%, indicating sufficient improvement in underlying operating profit growth and decrease in finance costs relatively, as Tesco refinanced debt at lower interest rates and optimised its capital structure (</w:t>
      </w:r>
      <w:proofErr w:type="spellStart"/>
      <w:r w:rsidRPr="001C0F7B">
        <w:rPr>
          <w:rFonts w:ascii="Times New Roman" w:hAnsi="Times New Roman" w:cs="Times New Roman"/>
        </w:rPr>
        <w:t>Asiani</w:t>
      </w:r>
      <w:proofErr w:type="spellEnd"/>
      <w:r w:rsidRPr="001C0F7B">
        <w:rPr>
          <w:rFonts w:ascii="Times New Roman" w:hAnsi="Times New Roman" w:cs="Times New Roman"/>
        </w:rPr>
        <w:t xml:space="preserve"> &amp; </w:t>
      </w:r>
      <w:r w:rsidRPr="001C0F7B">
        <w:rPr>
          <w:rFonts w:ascii="Times New Roman" w:hAnsi="Times New Roman" w:cs="Times New Roman"/>
        </w:rPr>
        <w:lastRenderedPageBreak/>
        <w:t xml:space="preserve">Rahayu, 2024). Net profit margin </w:t>
      </w:r>
      <w:r>
        <w:rPr>
          <w:rFonts w:ascii="Times New Roman" w:hAnsi="Times New Roman" w:cs="Times New Roman"/>
        </w:rPr>
        <w:t>increase</w:t>
      </w:r>
      <w:r w:rsidRPr="001C0F7B">
        <w:rPr>
          <w:rFonts w:ascii="Times New Roman" w:hAnsi="Times New Roman" w:cs="Times New Roman"/>
        </w:rPr>
        <w:t xml:space="preserve"> from 5.34% to 9.95% ROE was patently due to increased retained profits and a tighter control on equity through share buyback programmes.</w:t>
      </w:r>
      <w:r>
        <w:rPr>
          <w:rFonts w:ascii="Times New Roman" w:hAnsi="Times New Roman" w:cs="Times New Roman"/>
        </w:rPr>
        <w:t xml:space="preserve"> </w:t>
      </w:r>
      <w:r w:rsidRPr="001C0F7B">
        <w:rPr>
          <w:rFonts w:ascii="Times New Roman" w:hAnsi="Times New Roman" w:cs="Times New Roman"/>
        </w:rPr>
        <w:t xml:space="preserve">This increase in ROE indicates that Tesco achieved much greater returns for shareholders on the same equity base and demonstrates capital effective management in conjunction with profitability improvements (Nasution &amp; </w:t>
      </w:r>
      <w:proofErr w:type="spellStart"/>
      <w:r w:rsidRPr="001C0F7B">
        <w:rPr>
          <w:rFonts w:ascii="Times New Roman" w:hAnsi="Times New Roman" w:cs="Times New Roman"/>
        </w:rPr>
        <w:t>Yusleny</w:t>
      </w:r>
      <w:proofErr w:type="spellEnd"/>
      <w:r w:rsidRPr="001C0F7B">
        <w:rPr>
          <w:rFonts w:ascii="Times New Roman" w:hAnsi="Times New Roman" w:cs="Times New Roman"/>
        </w:rPr>
        <w:t>, 2023).</w:t>
      </w:r>
    </w:p>
    <w:p w14:paraId="14FA5F8B" w14:textId="629EF0FE" w:rsidR="001C0F7B" w:rsidRPr="00AC0156" w:rsidRDefault="001C0F7B" w:rsidP="00AC0156">
      <w:pPr>
        <w:pStyle w:val="ListParagraph"/>
        <w:numPr>
          <w:ilvl w:val="0"/>
          <w:numId w:val="4"/>
        </w:numPr>
        <w:spacing w:line="480" w:lineRule="auto"/>
        <w:rPr>
          <w:rFonts w:ascii="Times New Roman" w:hAnsi="Times New Roman" w:cs="Times New Roman"/>
          <w:b/>
          <w:bCs/>
        </w:rPr>
      </w:pPr>
      <w:r w:rsidRPr="00AC0156">
        <w:rPr>
          <w:rFonts w:ascii="Times New Roman" w:hAnsi="Times New Roman" w:cs="Times New Roman"/>
          <w:b/>
          <w:bCs/>
        </w:rPr>
        <w:t>Efficiency</w:t>
      </w:r>
    </w:p>
    <w:p w14:paraId="64301A7B" w14:textId="6ED5A86D" w:rsidR="001C0F7B" w:rsidRPr="001C0F7B" w:rsidRDefault="001C0F7B" w:rsidP="001C0F7B">
      <w:pPr>
        <w:spacing w:line="480" w:lineRule="auto"/>
        <w:rPr>
          <w:rFonts w:ascii="Times New Roman" w:hAnsi="Times New Roman" w:cs="Times New Roman"/>
        </w:rPr>
      </w:pPr>
      <w:r w:rsidRPr="001C0F7B">
        <w:rPr>
          <w:rFonts w:ascii="Times New Roman" w:hAnsi="Times New Roman" w:cs="Times New Roman"/>
        </w:rPr>
        <w:t>Asset turnover improved from 1.26</w:t>
      </w:r>
      <w:r>
        <w:rPr>
          <w:rFonts w:ascii="Times New Roman" w:hAnsi="Times New Roman" w:cs="Times New Roman"/>
        </w:rPr>
        <w:t xml:space="preserve"> times</w:t>
      </w:r>
      <w:r w:rsidRPr="001C0F7B">
        <w:rPr>
          <w:rFonts w:ascii="Times New Roman" w:hAnsi="Times New Roman" w:cs="Times New Roman"/>
        </w:rPr>
        <w:t xml:space="preserve"> to 1.32</w:t>
      </w:r>
      <w:r>
        <w:rPr>
          <w:rFonts w:ascii="Times New Roman" w:hAnsi="Times New Roman" w:cs="Times New Roman"/>
        </w:rPr>
        <w:t xml:space="preserve"> times</w:t>
      </w:r>
      <w:r w:rsidRPr="001C0F7B">
        <w:rPr>
          <w:rFonts w:ascii="Times New Roman" w:hAnsi="Times New Roman" w:cs="Times New Roman"/>
        </w:rPr>
        <w:t>, an improvement in the extent to which total assets were used to deliver sales (Rashid, 2018). This was achieved in two ways; the first being faster rollout of smaller convenience-format shops which had a lower capital requirement per square foot of revenue generated, while the second refers to more effective use of distribution capacity. the improved EPS (rising from 10.08 p to 24.53 p) combined with increased dividend per share (from 10.90 p to 12.10 p) is further evidence that Tesco converted efficiency into benefits for the investor (Wood, 2015).</w:t>
      </w:r>
    </w:p>
    <w:p w14:paraId="2F5D9EBF" w14:textId="7D7F2763" w:rsidR="001C0F7B" w:rsidRPr="00AC0156" w:rsidRDefault="001C0F7B" w:rsidP="00AC0156">
      <w:pPr>
        <w:pStyle w:val="ListParagraph"/>
        <w:numPr>
          <w:ilvl w:val="0"/>
          <w:numId w:val="4"/>
        </w:numPr>
        <w:spacing w:line="480" w:lineRule="auto"/>
        <w:rPr>
          <w:rFonts w:ascii="Times New Roman" w:hAnsi="Times New Roman" w:cs="Times New Roman"/>
          <w:b/>
          <w:bCs/>
        </w:rPr>
      </w:pPr>
      <w:r w:rsidRPr="00AC0156">
        <w:rPr>
          <w:rFonts w:ascii="Times New Roman" w:hAnsi="Times New Roman" w:cs="Times New Roman"/>
          <w:b/>
          <w:bCs/>
        </w:rPr>
        <w:t>Liquidity and Solvency</w:t>
      </w:r>
    </w:p>
    <w:p w14:paraId="359FD470" w14:textId="5EE6227C" w:rsidR="001C0F7B" w:rsidRPr="001C0F7B" w:rsidRDefault="001C0F7B" w:rsidP="001C0F7B">
      <w:pPr>
        <w:spacing w:line="480" w:lineRule="auto"/>
        <w:rPr>
          <w:rFonts w:ascii="Times New Roman" w:hAnsi="Times New Roman" w:cs="Times New Roman"/>
        </w:rPr>
      </w:pPr>
      <w:r w:rsidRPr="001C0F7B">
        <w:rPr>
          <w:rFonts w:ascii="Times New Roman" w:hAnsi="Times New Roman" w:cs="Times New Roman"/>
        </w:rPr>
        <w:t>However, liquidity ratios slipped deeper below the 1:1 benchmark, with the current ratio slipping from 0.71 to 0.66. This reflected the working-capital lock-up, as Tesco extended supplier payment terms to finance inventories and promotional stock to progress the value-led pricing strategy (Drury, n.d.; Lucey, 2009). The quick ratio improved slightly (0.22 to 0.27</w:t>
      </w:r>
      <w:r w:rsidR="00131F88" w:rsidRPr="001C0F7B">
        <w:rPr>
          <w:rFonts w:ascii="Times New Roman" w:hAnsi="Times New Roman" w:cs="Times New Roman"/>
        </w:rPr>
        <w:t>) but</w:t>
      </w:r>
      <w:r w:rsidRPr="001C0F7B">
        <w:rPr>
          <w:rFonts w:ascii="Times New Roman" w:hAnsi="Times New Roman" w:cs="Times New Roman"/>
        </w:rPr>
        <w:t xml:space="preserve"> still reflected near-term liquidity concerns. Tesco's strong generation of free cash flow and negative net-debt position (Gearing -83.7%) give margin for expected short-term cash pressures.</w:t>
      </w:r>
    </w:p>
    <w:p w14:paraId="4FA5985D" w14:textId="77777777" w:rsidR="001C0F7B" w:rsidRPr="001C0F7B" w:rsidRDefault="001C0F7B" w:rsidP="001C0F7B">
      <w:pPr>
        <w:spacing w:line="480" w:lineRule="auto"/>
        <w:rPr>
          <w:rFonts w:ascii="Times New Roman" w:hAnsi="Times New Roman" w:cs="Times New Roman"/>
        </w:rPr>
      </w:pPr>
    </w:p>
    <w:p w14:paraId="7B0385BD" w14:textId="77777777" w:rsidR="00216CA6" w:rsidRDefault="00216CA6" w:rsidP="001C0F7B">
      <w:pPr>
        <w:spacing w:line="480" w:lineRule="auto"/>
        <w:rPr>
          <w:rFonts w:ascii="Times New Roman" w:hAnsi="Times New Roman" w:cs="Times New Roman"/>
        </w:rPr>
      </w:pPr>
    </w:p>
    <w:p w14:paraId="1ED31329" w14:textId="2127480B" w:rsidR="001C0F7B" w:rsidRPr="00AC0156" w:rsidRDefault="001C0F7B" w:rsidP="001C0F7B">
      <w:pPr>
        <w:spacing w:line="480" w:lineRule="auto"/>
        <w:rPr>
          <w:rFonts w:ascii="Times New Roman" w:hAnsi="Times New Roman" w:cs="Times New Roman"/>
          <w:b/>
          <w:bCs/>
        </w:rPr>
      </w:pPr>
      <w:r w:rsidRPr="00AC0156">
        <w:rPr>
          <w:rFonts w:ascii="Times New Roman" w:hAnsi="Times New Roman" w:cs="Times New Roman"/>
          <w:b/>
          <w:bCs/>
        </w:rPr>
        <w:lastRenderedPageBreak/>
        <w:t>Sustainability and recommendations</w:t>
      </w:r>
    </w:p>
    <w:p w14:paraId="2292CA89" w14:textId="512EA942" w:rsidR="001C0F7B" w:rsidRPr="001C0F7B" w:rsidRDefault="001C0F7B" w:rsidP="001C0F7B">
      <w:pPr>
        <w:spacing w:line="480" w:lineRule="auto"/>
        <w:rPr>
          <w:rFonts w:ascii="Times New Roman" w:hAnsi="Times New Roman" w:cs="Times New Roman"/>
        </w:rPr>
      </w:pPr>
      <w:r w:rsidRPr="001C0F7B">
        <w:rPr>
          <w:rFonts w:ascii="Times New Roman" w:hAnsi="Times New Roman" w:cs="Times New Roman"/>
        </w:rPr>
        <w:t>Tesco has made ambitious pledges in relation to its social and environmental impact, including a 61% reduction in operational greenhouse-gas emissions, the rollout of over 2,000 electric-vehicle delivery vans since 2015, and the retrofitting of hundreds of stores using energy-saving LED lighting and refrigeration units.</w:t>
      </w:r>
      <w:r w:rsidR="00216CA6">
        <w:rPr>
          <w:rFonts w:ascii="Times New Roman" w:hAnsi="Times New Roman" w:cs="Times New Roman"/>
        </w:rPr>
        <w:t xml:space="preserve"> </w:t>
      </w:r>
      <w:r w:rsidRPr="001C0F7B">
        <w:rPr>
          <w:rFonts w:ascii="Times New Roman" w:hAnsi="Times New Roman" w:cs="Times New Roman"/>
        </w:rPr>
        <w:t xml:space="preserve">Additionally, they have committed to achieving net-zero supply-chain emissions by 2050, and to removing difficult-to-recycle plastics from their own-brand packaging (Teji, 2016; Sangwa, 2017). </w:t>
      </w:r>
    </w:p>
    <w:p w14:paraId="7470BDE9" w14:textId="375C6FC6" w:rsidR="001C0F7B" w:rsidRPr="001C0F7B" w:rsidRDefault="001C0F7B" w:rsidP="001C0F7B">
      <w:pPr>
        <w:spacing w:line="480" w:lineRule="auto"/>
        <w:rPr>
          <w:rFonts w:ascii="Times New Roman" w:hAnsi="Times New Roman" w:cs="Times New Roman"/>
        </w:rPr>
      </w:pPr>
      <w:r w:rsidRPr="001C0F7B">
        <w:rPr>
          <w:rFonts w:ascii="Times New Roman" w:hAnsi="Times New Roman" w:cs="Times New Roman"/>
        </w:rPr>
        <w:t xml:space="preserve">To help facilitate these commitments and to commercialise sustainability to deliver value, </w:t>
      </w:r>
      <w:r w:rsidR="00216CA6">
        <w:rPr>
          <w:rFonts w:ascii="Times New Roman" w:hAnsi="Times New Roman" w:cs="Times New Roman"/>
        </w:rPr>
        <w:t xml:space="preserve">use the following </w:t>
      </w:r>
      <w:r w:rsidRPr="001C0F7B">
        <w:rPr>
          <w:rFonts w:ascii="Times New Roman" w:hAnsi="Times New Roman" w:cs="Times New Roman"/>
        </w:rPr>
        <w:t>suggest</w:t>
      </w:r>
      <w:r w:rsidR="00216CA6">
        <w:rPr>
          <w:rFonts w:ascii="Times New Roman" w:hAnsi="Times New Roman" w:cs="Times New Roman"/>
        </w:rPr>
        <w:t>ions</w:t>
      </w:r>
      <w:r w:rsidRPr="001C0F7B">
        <w:rPr>
          <w:rFonts w:ascii="Times New Roman" w:hAnsi="Times New Roman" w:cs="Times New Roman"/>
        </w:rPr>
        <w:t xml:space="preserve">: </w:t>
      </w:r>
    </w:p>
    <w:p w14:paraId="2432932D" w14:textId="63F88F92" w:rsidR="001C0F7B" w:rsidRPr="00AC0156" w:rsidRDefault="001C0F7B" w:rsidP="00AC0156">
      <w:pPr>
        <w:pStyle w:val="ListParagraph"/>
        <w:numPr>
          <w:ilvl w:val="0"/>
          <w:numId w:val="6"/>
        </w:numPr>
        <w:spacing w:line="480" w:lineRule="auto"/>
        <w:rPr>
          <w:rFonts w:ascii="Times New Roman" w:hAnsi="Times New Roman" w:cs="Times New Roman"/>
          <w:b/>
          <w:bCs/>
        </w:rPr>
      </w:pPr>
      <w:r w:rsidRPr="00AC0156">
        <w:rPr>
          <w:rFonts w:ascii="Times New Roman" w:hAnsi="Times New Roman" w:cs="Times New Roman"/>
          <w:b/>
          <w:bCs/>
        </w:rPr>
        <w:t>Deepening Adoption of Renewable Energy</w:t>
      </w:r>
    </w:p>
    <w:p w14:paraId="7CB27FE5" w14:textId="77777777" w:rsidR="00216CA6" w:rsidRPr="00AC0156" w:rsidRDefault="001C0F7B" w:rsidP="00AC0156">
      <w:pPr>
        <w:pStyle w:val="ListParagraph"/>
        <w:numPr>
          <w:ilvl w:val="0"/>
          <w:numId w:val="3"/>
        </w:numPr>
        <w:spacing w:line="480" w:lineRule="auto"/>
        <w:rPr>
          <w:rFonts w:ascii="Times New Roman" w:hAnsi="Times New Roman" w:cs="Times New Roman"/>
        </w:rPr>
      </w:pPr>
      <w:r w:rsidRPr="00AC0156">
        <w:rPr>
          <w:rFonts w:ascii="Times New Roman" w:hAnsi="Times New Roman" w:cs="Times New Roman"/>
        </w:rPr>
        <w:t>Action: Install solar PV panels and on-site batteries at high-footfall locations.</w:t>
      </w:r>
    </w:p>
    <w:p w14:paraId="4424DDFA" w14:textId="66E1719F" w:rsidR="001C0F7B" w:rsidRPr="00AC0156" w:rsidRDefault="001C0F7B" w:rsidP="00AC0156">
      <w:pPr>
        <w:pStyle w:val="ListParagraph"/>
        <w:numPr>
          <w:ilvl w:val="0"/>
          <w:numId w:val="3"/>
        </w:numPr>
        <w:spacing w:line="480" w:lineRule="auto"/>
        <w:rPr>
          <w:rFonts w:ascii="Times New Roman" w:hAnsi="Times New Roman" w:cs="Times New Roman"/>
        </w:rPr>
      </w:pPr>
      <w:r w:rsidRPr="00AC0156">
        <w:rPr>
          <w:rFonts w:ascii="Times New Roman" w:hAnsi="Times New Roman" w:cs="Times New Roman"/>
        </w:rPr>
        <w:t>Rationale: Reduction in reliance on the grid to provide electricity, and a means of mitigating the volatility in electricity prices. Plus, if stores generate more energy than they can use, they can sell it back to the grid and earn an additional source of revenue (Teji, 2016).</w:t>
      </w:r>
    </w:p>
    <w:p w14:paraId="5564A8CB" w14:textId="5FB20AA3" w:rsidR="001C0F7B" w:rsidRPr="00AC0156" w:rsidRDefault="001C0F7B" w:rsidP="00AC0156">
      <w:pPr>
        <w:pStyle w:val="ListParagraph"/>
        <w:numPr>
          <w:ilvl w:val="0"/>
          <w:numId w:val="6"/>
        </w:numPr>
        <w:spacing w:line="480" w:lineRule="auto"/>
        <w:rPr>
          <w:rFonts w:ascii="Times New Roman" w:hAnsi="Times New Roman" w:cs="Times New Roman"/>
          <w:b/>
          <w:bCs/>
        </w:rPr>
      </w:pPr>
      <w:r w:rsidRPr="00AC0156">
        <w:rPr>
          <w:rFonts w:ascii="Times New Roman" w:hAnsi="Times New Roman" w:cs="Times New Roman"/>
          <w:b/>
          <w:bCs/>
        </w:rPr>
        <w:t>Decarbonising the Supply Chain</w:t>
      </w:r>
    </w:p>
    <w:p w14:paraId="11AC5FF2" w14:textId="6FFAF2F5" w:rsidR="001C0F7B" w:rsidRPr="00AC0156" w:rsidRDefault="001C0F7B" w:rsidP="00AC0156">
      <w:pPr>
        <w:pStyle w:val="ListParagraph"/>
        <w:numPr>
          <w:ilvl w:val="0"/>
          <w:numId w:val="7"/>
        </w:numPr>
        <w:spacing w:line="480" w:lineRule="auto"/>
        <w:rPr>
          <w:rFonts w:ascii="Times New Roman" w:hAnsi="Times New Roman" w:cs="Times New Roman"/>
        </w:rPr>
      </w:pPr>
      <w:r w:rsidRPr="00AC0156">
        <w:rPr>
          <w:rFonts w:ascii="Times New Roman" w:hAnsi="Times New Roman" w:cs="Times New Roman"/>
        </w:rPr>
        <w:t>Action: Expand regenerative-agriculture trials with large produce suppliers and the testing of low-carbon fertilisers, as well as soil health.</w:t>
      </w:r>
    </w:p>
    <w:p w14:paraId="1CE9857B" w14:textId="1CB837BA" w:rsidR="001C0F7B" w:rsidRPr="00AC0156" w:rsidRDefault="001C0F7B" w:rsidP="00AC0156">
      <w:pPr>
        <w:pStyle w:val="ListParagraph"/>
        <w:numPr>
          <w:ilvl w:val="0"/>
          <w:numId w:val="7"/>
        </w:numPr>
        <w:spacing w:line="480" w:lineRule="auto"/>
        <w:rPr>
          <w:rFonts w:ascii="Times New Roman" w:hAnsi="Times New Roman" w:cs="Times New Roman"/>
        </w:rPr>
      </w:pPr>
      <w:r w:rsidRPr="00AC0156">
        <w:rPr>
          <w:rFonts w:ascii="Times New Roman" w:hAnsi="Times New Roman" w:cs="Times New Roman"/>
        </w:rPr>
        <w:t>Rationale: Regenerative practices will likely sequester carbon; and over time, produce lower input costs, and improve the brand-values and reputational equity among sustainability-focused consumers (Sangwa, 2017).</w:t>
      </w:r>
    </w:p>
    <w:p w14:paraId="2450DA16" w14:textId="77777777" w:rsidR="00AC0156" w:rsidRDefault="00AC0156" w:rsidP="001C0F7B">
      <w:pPr>
        <w:spacing w:line="480" w:lineRule="auto"/>
        <w:rPr>
          <w:rFonts w:ascii="Times New Roman" w:hAnsi="Times New Roman" w:cs="Times New Roman"/>
        </w:rPr>
      </w:pPr>
    </w:p>
    <w:p w14:paraId="2AF91179" w14:textId="77777777" w:rsidR="00AC0156" w:rsidRDefault="00AC0156" w:rsidP="001C0F7B">
      <w:pPr>
        <w:spacing w:line="480" w:lineRule="auto"/>
        <w:rPr>
          <w:rFonts w:ascii="Times New Roman" w:hAnsi="Times New Roman" w:cs="Times New Roman"/>
        </w:rPr>
      </w:pPr>
    </w:p>
    <w:p w14:paraId="5AF840BB" w14:textId="77777777" w:rsidR="00AC0156" w:rsidRDefault="00AC0156" w:rsidP="001C0F7B">
      <w:pPr>
        <w:spacing w:line="480" w:lineRule="auto"/>
        <w:rPr>
          <w:rFonts w:ascii="Times New Roman" w:hAnsi="Times New Roman" w:cs="Times New Roman"/>
        </w:rPr>
      </w:pPr>
    </w:p>
    <w:p w14:paraId="4840791F" w14:textId="3F093E85" w:rsidR="00AC0156" w:rsidRPr="00AC0156" w:rsidRDefault="001C0F7B" w:rsidP="00AC0156">
      <w:pPr>
        <w:pStyle w:val="ListParagraph"/>
        <w:numPr>
          <w:ilvl w:val="0"/>
          <w:numId w:val="6"/>
        </w:numPr>
        <w:spacing w:line="480" w:lineRule="auto"/>
        <w:rPr>
          <w:rFonts w:ascii="Times New Roman" w:hAnsi="Times New Roman" w:cs="Times New Roman"/>
          <w:b/>
          <w:bCs/>
        </w:rPr>
      </w:pPr>
      <w:r w:rsidRPr="00AC0156">
        <w:rPr>
          <w:rFonts w:ascii="Times New Roman" w:hAnsi="Times New Roman" w:cs="Times New Roman"/>
          <w:b/>
          <w:bCs/>
        </w:rPr>
        <w:lastRenderedPageBreak/>
        <w:t>Scaling up Circular Packaging Initiatives</w:t>
      </w:r>
    </w:p>
    <w:p w14:paraId="6DD2B135" w14:textId="3B5BB521" w:rsidR="001C0F7B" w:rsidRPr="00AC0156" w:rsidRDefault="001C0F7B" w:rsidP="00AC0156">
      <w:pPr>
        <w:pStyle w:val="ListParagraph"/>
        <w:numPr>
          <w:ilvl w:val="0"/>
          <w:numId w:val="8"/>
        </w:numPr>
        <w:spacing w:line="480" w:lineRule="auto"/>
        <w:rPr>
          <w:rFonts w:ascii="Times New Roman" w:hAnsi="Times New Roman" w:cs="Times New Roman"/>
        </w:rPr>
      </w:pPr>
      <w:r w:rsidRPr="00AC0156">
        <w:rPr>
          <w:rFonts w:ascii="Times New Roman" w:hAnsi="Times New Roman" w:cs="Times New Roman"/>
        </w:rPr>
        <w:t>Action: Implement refills or bulk-stations for staples (e.g. grains or detergents) in the larger stores, along with reverse-logistics collaborations so that customers can return their containers or bottles.</w:t>
      </w:r>
    </w:p>
    <w:p w14:paraId="46E51D90" w14:textId="6B9D6DE1" w:rsidR="001C0F7B" w:rsidRPr="00AC0156" w:rsidRDefault="001C0F7B" w:rsidP="00AC0156">
      <w:pPr>
        <w:pStyle w:val="ListParagraph"/>
        <w:numPr>
          <w:ilvl w:val="0"/>
          <w:numId w:val="8"/>
        </w:numPr>
        <w:spacing w:line="480" w:lineRule="auto"/>
        <w:rPr>
          <w:rFonts w:ascii="Times New Roman" w:hAnsi="Times New Roman" w:cs="Times New Roman"/>
        </w:rPr>
      </w:pPr>
      <w:r w:rsidRPr="00AC0156">
        <w:rPr>
          <w:rFonts w:ascii="Times New Roman" w:hAnsi="Times New Roman" w:cs="Times New Roman"/>
        </w:rPr>
        <w:t xml:space="preserve">Rationale: Minimising single-use packaging should assist in decreasing waste-disposal costs and, for this type of </w:t>
      </w:r>
      <w:r w:rsidR="00216CA6" w:rsidRPr="00AC0156">
        <w:rPr>
          <w:rFonts w:ascii="Times New Roman" w:hAnsi="Times New Roman" w:cs="Times New Roman"/>
        </w:rPr>
        <w:t>environmentally minded</w:t>
      </w:r>
      <w:r w:rsidRPr="00AC0156">
        <w:rPr>
          <w:rFonts w:ascii="Times New Roman" w:hAnsi="Times New Roman" w:cs="Times New Roman"/>
        </w:rPr>
        <w:t xml:space="preserve"> shopper, even the possibility or rationale for a small price premium for products (Wood, 2015). </w:t>
      </w:r>
    </w:p>
    <w:p w14:paraId="5EABF8F3" w14:textId="02F3A4C5" w:rsidR="001C0F7B" w:rsidRPr="00AC0156" w:rsidRDefault="001C0F7B" w:rsidP="00AC0156">
      <w:pPr>
        <w:pStyle w:val="ListParagraph"/>
        <w:numPr>
          <w:ilvl w:val="0"/>
          <w:numId w:val="6"/>
        </w:numPr>
        <w:spacing w:line="480" w:lineRule="auto"/>
        <w:rPr>
          <w:rFonts w:ascii="Times New Roman" w:hAnsi="Times New Roman" w:cs="Times New Roman"/>
          <w:b/>
          <w:bCs/>
        </w:rPr>
      </w:pPr>
      <w:r w:rsidRPr="00AC0156">
        <w:rPr>
          <w:rFonts w:ascii="Times New Roman" w:hAnsi="Times New Roman" w:cs="Times New Roman"/>
          <w:b/>
          <w:bCs/>
        </w:rPr>
        <w:t>Optimising Working Capital Management</w:t>
      </w:r>
    </w:p>
    <w:p w14:paraId="067A61BD" w14:textId="2B14CF57" w:rsidR="001C0F7B" w:rsidRPr="00AC0156" w:rsidRDefault="001C0F7B" w:rsidP="00AC0156">
      <w:pPr>
        <w:pStyle w:val="ListParagraph"/>
        <w:numPr>
          <w:ilvl w:val="0"/>
          <w:numId w:val="9"/>
        </w:numPr>
        <w:spacing w:line="480" w:lineRule="auto"/>
        <w:rPr>
          <w:rFonts w:ascii="Times New Roman" w:hAnsi="Times New Roman" w:cs="Times New Roman"/>
        </w:rPr>
      </w:pPr>
      <w:r w:rsidRPr="00AC0156">
        <w:rPr>
          <w:rFonts w:ascii="Times New Roman" w:hAnsi="Times New Roman" w:cs="Times New Roman"/>
        </w:rPr>
        <w:t xml:space="preserve">Action: Implement dynamic discounting programmes with preferred suppliers to balance the financial benefit of deliberate extended payables against the possible financial disadvantages of encouraging early payments, as well as the implementation of AI-led inventory-replenishment so that stock levels stay optimal. </w:t>
      </w:r>
    </w:p>
    <w:p w14:paraId="5C2C18CC" w14:textId="77777777" w:rsidR="00216CA6" w:rsidRPr="00AC0156" w:rsidRDefault="001C0F7B" w:rsidP="00AC0156">
      <w:pPr>
        <w:pStyle w:val="ListParagraph"/>
        <w:numPr>
          <w:ilvl w:val="0"/>
          <w:numId w:val="9"/>
        </w:numPr>
        <w:spacing w:line="480" w:lineRule="auto"/>
        <w:rPr>
          <w:rFonts w:ascii="Times New Roman" w:hAnsi="Times New Roman" w:cs="Times New Roman"/>
        </w:rPr>
      </w:pPr>
      <w:r w:rsidRPr="00AC0156">
        <w:rPr>
          <w:rFonts w:ascii="Times New Roman" w:hAnsi="Times New Roman" w:cs="Times New Roman"/>
        </w:rPr>
        <w:t xml:space="preserve">Rationale: Better control over balances on trade accounts payable and shorter lead times on stock inventories will assist in reducing the cash-conversion-cycle; and help to diffuse the short-term liquidity pressures of maintaining working capital without jeopardising margin protection on trades (Agustina &amp; </w:t>
      </w:r>
      <w:proofErr w:type="spellStart"/>
      <w:r w:rsidRPr="00AC0156">
        <w:rPr>
          <w:rFonts w:ascii="Times New Roman" w:hAnsi="Times New Roman" w:cs="Times New Roman"/>
        </w:rPr>
        <w:t>Suprayitno</w:t>
      </w:r>
      <w:proofErr w:type="spellEnd"/>
      <w:r w:rsidRPr="00AC0156">
        <w:rPr>
          <w:rFonts w:ascii="Times New Roman" w:hAnsi="Times New Roman" w:cs="Times New Roman"/>
        </w:rPr>
        <w:t>, 2020).</w:t>
      </w:r>
    </w:p>
    <w:p w14:paraId="200452E0" w14:textId="3CAD5B94" w:rsidR="001C0F7B" w:rsidRPr="00AC0156" w:rsidRDefault="001C0F7B" w:rsidP="00AC0156">
      <w:pPr>
        <w:pStyle w:val="ListParagraph"/>
        <w:numPr>
          <w:ilvl w:val="0"/>
          <w:numId w:val="6"/>
        </w:numPr>
        <w:spacing w:line="480" w:lineRule="auto"/>
        <w:rPr>
          <w:rFonts w:ascii="Times New Roman" w:hAnsi="Times New Roman" w:cs="Times New Roman"/>
          <w:b/>
          <w:bCs/>
        </w:rPr>
      </w:pPr>
      <w:r w:rsidRPr="00AC0156">
        <w:rPr>
          <w:rFonts w:ascii="Times New Roman" w:hAnsi="Times New Roman" w:cs="Times New Roman"/>
          <w:b/>
          <w:bCs/>
        </w:rPr>
        <w:t>Utili</w:t>
      </w:r>
      <w:r w:rsidR="00216CA6" w:rsidRPr="00AC0156">
        <w:rPr>
          <w:rFonts w:ascii="Times New Roman" w:hAnsi="Times New Roman" w:cs="Times New Roman"/>
          <w:b/>
          <w:bCs/>
        </w:rPr>
        <w:t>s</w:t>
      </w:r>
      <w:r w:rsidRPr="00AC0156">
        <w:rPr>
          <w:rFonts w:ascii="Times New Roman" w:hAnsi="Times New Roman" w:cs="Times New Roman"/>
          <w:b/>
          <w:bCs/>
        </w:rPr>
        <w:t>ing Digital Channels for Revenue Enhancement</w:t>
      </w:r>
    </w:p>
    <w:p w14:paraId="1FA2E781" w14:textId="77777777" w:rsidR="00884AA6" w:rsidRPr="00AC0156" w:rsidRDefault="001C0F7B" w:rsidP="00AC0156">
      <w:pPr>
        <w:pStyle w:val="ListParagraph"/>
        <w:numPr>
          <w:ilvl w:val="0"/>
          <w:numId w:val="10"/>
        </w:numPr>
        <w:spacing w:line="480" w:lineRule="auto"/>
        <w:rPr>
          <w:rFonts w:ascii="Times New Roman" w:hAnsi="Times New Roman" w:cs="Times New Roman"/>
        </w:rPr>
      </w:pPr>
      <w:r w:rsidRPr="00AC0156">
        <w:rPr>
          <w:rFonts w:ascii="Times New Roman" w:hAnsi="Times New Roman" w:cs="Times New Roman"/>
        </w:rPr>
        <w:t xml:space="preserve">Action: Ramp up growth of expedited delivery service “Whoosh,” bundle telecom with Clubcard (i.e., Tesco Mobile + broadband), and personalize cross sell offers utilizing analytics from dunnhumby. </w:t>
      </w:r>
    </w:p>
    <w:p w14:paraId="0F151725" w14:textId="77777777" w:rsidR="00884AA6" w:rsidRPr="00AC0156" w:rsidRDefault="001C0F7B" w:rsidP="00AC0156">
      <w:pPr>
        <w:pStyle w:val="ListParagraph"/>
        <w:numPr>
          <w:ilvl w:val="0"/>
          <w:numId w:val="10"/>
        </w:numPr>
        <w:spacing w:line="480" w:lineRule="auto"/>
        <w:rPr>
          <w:rFonts w:ascii="Times New Roman" w:hAnsi="Times New Roman" w:cs="Times New Roman"/>
        </w:rPr>
      </w:pPr>
      <w:r w:rsidRPr="00AC0156">
        <w:rPr>
          <w:rFonts w:ascii="Times New Roman" w:hAnsi="Times New Roman" w:cs="Times New Roman"/>
        </w:rPr>
        <w:t>Rationale: Multichannel integration increases incremental basket sizes, frequency of purchase, and margin capture from digital channels (</w:t>
      </w:r>
      <w:proofErr w:type="spellStart"/>
      <w:r w:rsidRPr="00AC0156">
        <w:rPr>
          <w:rFonts w:ascii="Times New Roman" w:hAnsi="Times New Roman" w:cs="Times New Roman"/>
        </w:rPr>
        <w:t>Lokanan</w:t>
      </w:r>
      <w:proofErr w:type="spellEnd"/>
      <w:r w:rsidRPr="00AC0156">
        <w:rPr>
          <w:rFonts w:ascii="Times New Roman" w:hAnsi="Times New Roman" w:cs="Times New Roman"/>
        </w:rPr>
        <w:t>, 2021; Vu, 2016).</w:t>
      </w:r>
    </w:p>
    <w:p w14:paraId="0B48B2D7" w14:textId="3A54C99C" w:rsidR="001C0F7B" w:rsidRPr="001C0F7B" w:rsidRDefault="001C0F7B" w:rsidP="001C0F7B">
      <w:pPr>
        <w:spacing w:line="480" w:lineRule="auto"/>
        <w:rPr>
          <w:rFonts w:ascii="Times New Roman" w:hAnsi="Times New Roman" w:cs="Times New Roman"/>
        </w:rPr>
      </w:pPr>
      <w:r w:rsidRPr="001C0F7B">
        <w:rPr>
          <w:rFonts w:ascii="Times New Roman" w:hAnsi="Times New Roman" w:cs="Times New Roman"/>
        </w:rPr>
        <w:t xml:space="preserve">Integrating these sustainability-focussed initiatives into the main financial strategy, helps Tesco to build competitive differentiation, alleviate future regulatory and reputational risk, create new revenue streams while </w:t>
      </w:r>
      <w:r w:rsidR="00884AA6" w:rsidRPr="001C0F7B">
        <w:rPr>
          <w:rFonts w:ascii="Times New Roman" w:hAnsi="Times New Roman" w:cs="Times New Roman"/>
        </w:rPr>
        <w:t>catalysing</w:t>
      </w:r>
      <w:r w:rsidRPr="001C0F7B">
        <w:rPr>
          <w:rFonts w:ascii="Times New Roman" w:hAnsi="Times New Roman" w:cs="Times New Roman"/>
        </w:rPr>
        <w:t xml:space="preserve"> lower operational costs.</w:t>
      </w:r>
    </w:p>
    <w:p w14:paraId="3D0A5742" w14:textId="77777777" w:rsidR="001C0F7B" w:rsidRPr="00AC0156" w:rsidRDefault="001C0F7B" w:rsidP="001C0F7B">
      <w:pPr>
        <w:spacing w:line="480" w:lineRule="auto"/>
        <w:rPr>
          <w:rFonts w:ascii="Times New Roman" w:hAnsi="Times New Roman" w:cs="Times New Roman"/>
          <w:b/>
          <w:bCs/>
        </w:rPr>
      </w:pPr>
      <w:r w:rsidRPr="00AC0156">
        <w:rPr>
          <w:rFonts w:ascii="Times New Roman" w:hAnsi="Times New Roman" w:cs="Times New Roman"/>
          <w:b/>
          <w:bCs/>
        </w:rPr>
        <w:lastRenderedPageBreak/>
        <w:t xml:space="preserve">Conclusion </w:t>
      </w:r>
    </w:p>
    <w:p w14:paraId="21688B4C" w14:textId="77777777" w:rsidR="00884AA6" w:rsidRDefault="001C0F7B" w:rsidP="001C0F7B">
      <w:pPr>
        <w:spacing w:line="480" w:lineRule="auto"/>
        <w:rPr>
          <w:rFonts w:ascii="Times New Roman" w:hAnsi="Times New Roman" w:cs="Times New Roman"/>
        </w:rPr>
      </w:pPr>
      <w:r w:rsidRPr="001C0F7B">
        <w:rPr>
          <w:rFonts w:ascii="Times New Roman" w:hAnsi="Times New Roman" w:cs="Times New Roman"/>
        </w:rPr>
        <w:t>The two-year ratio analysis of Tesco PLC from FY 2023 to FY 2024 have shown significant improvement in general financial health, and position. Statutory operating margins increased nearly twofold from 2.64% to 4.59%, suggesting the effect of enhanced cost-control, more efficient procurement, and a sound retail core (Attrill &amp; McLaney, 2015). That this improvement yielded a doubling of net profit margin</w:t>
      </w:r>
      <w:r w:rsidR="00884AA6">
        <w:rPr>
          <w:rFonts w:ascii="Times New Roman" w:hAnsi="Times New Roman" w:cs="Times New Roman"/>
        </w:rPr>
        <w:t xml:space="preserve">, </w:t>
      </w:r>
      <w:r w:rsidRPr="001C0F7B">
        <w:rPr>
          <w:rFonts w:ascii="Times New Roman" w:hAnsi="Times New Roman" w:cs="Times New Roman"/>
        </w:rPr>
        <w:t xml:space="preserve">increasing from 2.59% to 1.15% - as operational leverage kicked in, and net finance costs were maintained </w:t>
      </w:r>
      <w:r w:rsidR="00884AA6" w:rsidRPr="001C0F7B">
        <w:rPr>
          <w:rFonts w:ascii="Times New Roman" w:hAnsi="Times New Roman" w:cs="Times New Roman"/>
        </w:rPr>
        <w:t>because of</w:t>
      </w:r>
      <w:r w:rsidRPr="001C0F7B">
        <w:rPr>
          <w:rFonts w:ascii="Times New Roman" w:hAnsi="Times New Roman" w:cs="Times New Roman"/>
        </w:rPr>
        <w:t xml:space="preserve"> timely debt refinancing and restructuring. Even more, return on equity increased from 5.34% to 9.95%, indicating improved generated earnings, and effective capital management, including share buybacks </w:t>
      </w:r>
      <w:r w:rsidR="00884AA6" w:rsidRPr="001C0F7B">
        <w:rPr>
          <w:rFonts w:ascii="Times New Roman" w:hAnsi="Times New Roman" w:cs="Times New Roman"/>
        </w:rPr>
        <w:t>to</w:t>
      </w:r>
      <w:r w:rsidRPr="001C0F7B">
        <w:rPr>
          <w:rFonts w:ascii="Times New Roman" w:hAnsi="Times New Roman" w:cs="Times New Roman"/>
        </w:rPr>
        <w:t xml:space="preserve"> optimi</w:t>
      </w:r>
      <w:r w:rsidR="00884AA6">
        <w:rPr>
          <w:rFonts w:ascii="Times New Roman" w:hAnsi="Times New Roman" w:cs="Times New Roman"/>
        </w:rPr>
        <w:t>s</w:t>
      </w:r>
      <w:r w:rsidRPr="001C0F7B">
        <w:rPr>
          <w:rFonts w:ascii="Times New Roman" w:hAnsi="Times New Roman" w:cs="Times New Roman"/>
        </w:rPr>
        <w:t xml:space="preserve">e the equity base (Nasution &amp; </w:t>
      </w:r>
      <w:proofErr w:type="spellStart"/>
      <w:r w:rsidRPr="001C0F7B">
        <w:rPr>
          <w:rFonts w:ascii="Times New Roman" w:hAnsi="Times New Roman" w:cs="Times New Roman"/>
        </w:rPr>
        <w:t>Yusleny</w:t>
      </w:r>
      <w:proofErr w:type="spellEnd"/>
      <w:r w:rsidRPr="001C0F7B">
        <w:rPr>
          <w:rFonts w:ascii="Times New Roman" w:hAnsi="Times New Roman" w:cs="Times New Roman"/>
        </w:rPr>
        <w:t>, 2023).</w:t>
      </w:r>
    </w:p>
    <w:p w14:paraId="180B7D40" w14:textId="40486D7F" w:rsidR="001C0F7B" w:rsidRPr="001C0F7B" w:rsidRDefault="001C0F7B" w:rsidP="001C0F7B">
      <w:pPr>
        <w:spacing w:line="480" w:lineRule="auto"/>
        <w:rPr>
          <w:rFonts w:ascii="Times New Roman" w:hAnsi="Times New Roman" w:cs="Times New Roman"/>
        </w:rPr>
      </w:pPr>
      <w:r w:rsidRPr="001C0F7B">
        <w:rPr>
          <w:rFonts w:ascii="Times New Roman" w:hAnsi="Times New Roman" w:cs="Times New Roman"/>
        </w:rPr>
        <w:t>Asset turnover improved from 1.26</w:t>
      </w:r>
      <w:r w:rsidR="00884AA6">
        <w:rPr>
          <w:rFonts w:ascii="Times New Roman" w:hAnsi="Times New Roman" w:cs="Times New Roman"/>
        </w:rPr>
        <w:t xml:space="preserve"> times</w:t>
      </w:r>
      <w:r w:rsidRPr="001C0F7B">
        <w:rPr>
          <w:rFonts w:ascii="Times New Roman" w:hAnsi="Times New Roman" w:cs="Times New Roman"/>
        </w:rPr>
        <w:t xml:space="preserve"> to 1.32</w:t>
      </w:r>
      <w:r w:rsidR="00884AA6">
        <w:rPr>
          <w:rFonts w:ascii="Times New Roman" w:hAnsi="Times New Roman" w:cs="Times New Roman"/>
        </w:rPr>
        <w:t xml:space="preserve"> times</w:t>
      </w:r>
      <w:r w:rsidRPr="001C0F7B">
        <w:rPr>
          <w:rFonts w:ascii="Times New Roman" w:hAnsi="Times New Roman" w:cs="Times New Roman"/>
        </w:rPr>
        <w:t xml:space="preserve"> indicating improved deployment of distribution </w:t>
      </w:r>
      <w:r w:rsidR="00AC0156" w:rsidRPr="001C0F7B">
        <w:rPr>
          <w:rFonts w:ascii="Times New Roman" w:hAnsi="Times New Roman" w:cs="Times New Roman"/>
        </w:rPr>
        <w:t>assets and</w:t>
      </w:r>
      <w:r w:rsidRPr="001C0F7B">
        <w:rPr>
          <w:rFonts w:ascii="Times New Roman" w:hAnsi="Times New Roman" w:cs="Times New Roman"/>
        </w:rPr>
        <w:t xml:space="preserve"> accelerating deployment of lighter capital convenience formats (Drury, n.d.). Earnings per share more than doubled allowing for increases in dividends to balance shareholder returns and re-investment. Liquidity ratios continue to ease below the traditional one-to-one measure with current ratio decreasing from 0.71 to 0.66, which is a result of managing promotional inventory by a trade off in liquidity for operational benefits (Lucey, 2009). Finally, Tesco's strong free cashflow generation ability and continued strong net cash position (gearing of -83.7%) means it has coverage for continued investment.</w:t>
      </w:r>
    </w:p>
    <w:p w14:paraId="4C63A30A" w14:textId="77777777" w:rsidR="00884AA6" w:rsidRDefault="001C0F7B" w:rsidP="001C0F7B">
      <w:pPr>
        <w:spacing w:line="480" w:lineRule="auto"/>
        <w:rPr>
          <w:rFonts w:ascii="Times New Roman" w:hAnsi="Times New Roman" w:cs="Times New Roman"/>
        </w:rPr>
      </w:pPr>
      <w:r w:rsidRPr="001C0F7B">
        <w:rPr>
          <w:rFonts w:ascii="Times New Roman" w:hAnsi="Times New Roman" w:cs="Times New Roman"/>
        </w:rPr>
        <w:t>In addition to measuring performance change, ratio analysis has surfaced strategic trade-offs in terms of growth, liquidity, and sustainability measures. The rational that extended payables reduce margin but reduced current liquidity, and the impact of investments in demand-forecasting has improved margins without negatively impacting service levels (Rashid, 2018). Now that there is an improved understanding of the trade-offs, management can clearly prioriti</w:t>
      </w:r>
      <w:r w:rsidR="00884AA6">
        <w:rPr>
          <w:rFonts w:ascii="Times New Roman" w:hAnsi="Times New Roman" w:cs="Times New Roman"/>
        </w:rPr>
        <w:t>s</w:t>
      </w:r>
      <w:r w:rsidRPr="001C0F7B">
        <w:rPr>
          <w:rFonts w:ascii="Times New Roman" w:hAnsi="Times New Roman" w:cs="Times New Roman"/>
        </w:rPr>
        <w:t xml:space="preserve">e initiatives to broaden the agenda to include initiatives like renewable energy </w:t>
      </w:r>
      <w:r w:rsidRPr="001C0F7B">
        <w:rPr>
          <w:rFonts w:ascii="Times New Roman" w:hAnsi="Times New Roman" w:cs="Times New Roman"/>
        </w:rPr>
        <w:lastRenderedPageBreak/>
        <w:t>adoption to reduce operating costs, adopt circular economy packaging at the mass-market consumer level to build distinction, and use dynamic working capital finance solutions to reduce the cash-conversion cycle out of resources. These also align with strategies to enhance ESG (Choi &amp; Wang, 2009).</w:t>
      </w:r>
    </w:p>
    <w:p w14:paraId="72EB985D" w14:textId="77777777" w:rsidR="00AC0156" w:rsidRDefault="00AC0156" w:rsidP="001C0F7B">
      <w:pPr>
        <w:spacing w:line="480" w:lineRule="auto"/>
        <w:rPr>
          <w:rFonts w:ascii="Times New Roman" w:hAnsi="Times New Roman" w:cs="Times New Roman"/>
        </w:rPr>
      </w:pPr>
    </w:p>
    <w:p w14:paraId="048593CC" w14:textId="77777777" w:rsidR="00AC0156" w:rsidRDefault="00AC0156" w:rsidP="001C0F7B">
      <w:pPr>
        <w:spacing w:line="480" w:lineRule="auto"/>
        <w:rPr>
          <w:rFonts w:ascii="Times New Roman" w:hAnsi="Times New Roman" w:cs="Times New Roman"/>
        </w:rPr>
      </w:pPr>
    </w:p>
    <w:p w14:paraId="3EA8DAD8" w14:textId="77777777" w:rsidR="00AC0156" w:rsidRDefault="00AC0156" w:rsidP="001C0F7B">
      <w:pPr>
        <w:spacing w:line="480" w:lineRule="auto"/>
        <w:rPr>
          <w:rFonts w:ascii="Times New Roman" w:hAnsi="Times New Roman" w:cs="Times New Roman"/>
        </w:rPr>
      </w:pPr>
    </w:p>
    <w:p w14:paraId="31EB0F6A" w14:textId="77777777" w:rsidR="00AC0156" w:rsidRDefault="00AC0156" w:rsidP="001C0F7B">
      <w:pPr>
        <w:spacing w:line="480" w:lineRule="auto"/>
        <w:rPr>
          <w:rFonts w:ascii="Times New Roman" w:hAnsi="Times New Roman" w:cs="Times New Roman"/>
        </w:rPr>
      </w:pPr>
    </w:p>
    <w:p w14:paraId="261CAF1C" w14:textId="77777777" w:rsidR="00AC0156" w:rsidRDefault="00AC0156" w:rsidP="001C0F7B">
      <w:pPr>
        <w:spacing w:line="480" w:lineRule="auto"/>
        <w:rPr>
          <w:rFonts w:ascii="Times New Roman" w:hAnsi="Times New Roman" w:cs="Times New Roman"/>
        </w:rPr>
      </w:pPr>
    </w:p>
    <w:p w14:paraId="1D9A82FF" w14:textId="77777777" w:rsidR="00AC0156" w:rsidRDefault="00AC0156" w:rsidP="001C0F7B">
      <w:pPr>
        <w:spacing w:line="480" w:lineRule="auto"/>
        <w:rPr>
          <w:rFonts w:ascii="Times New Roman" w:hAnsi="Times New Roman" w:cs="Times New Roman"/>
        </w:rPr>
      </w:pPr>
    </w:p>
    <w:p w14:paraId="5AAA31CA" w14:textId="77777777" w:rsidR="00AC0156" w:rsidRDefault="00AC0156" w:rsidP="001C0F7B">
      <w:pPr>
        <w:spacing w:line="480" w:lineRule="auto"/>
        <w:rPr>
          <w:rFonts w:ascii="Times New Roman" w:hAnsi="Times New Roman" w:cs="Times New Roman"/>
        </w:rPr>
      </w:pPr>
    </w:p>
    <w:p w14:paraId="4909ABA2" w14:textId="77777777" w:rsidR="00AC0156" w:rsidRDefault="00AC0156" w:rsidP="001C0F7B">
      <w:pPr>
        <w:spacing w:line="480" w:lineRule="auto"/>
        <w:rPr>
          <w:rFonts w:ascii="Times New Roman" w:hAnsi="Times New Roman" w:cs="Times New Roman"/>
        </w:rPr>
      </w:pPr>
    </w:p>
    <w:p w14:paraId="0A31C6E0" w14:textId="77777777" w:rsidR="00AC0156" w:rsidRDefault="00AC0156" w:rsidP="001C0F7B">
      <w:pPr>
        <w:spacing w:line="480" w:lineRule="auto"/>
        <w:rPr>
          <w:rFonts w:ascii="Times New Roman" w:hAnsi="Times New Roman" w:cs="Times New Roman"/>
        </w:rPr>
      </w:pPr>
    </w:p>
    <w:p w14:paraId="5298EF67" w14:textId="77777777" w:rsidR="00AC0156" w:rsidRDefault="00AC0156" w:rsidP="001C0F7B">
      <w:pPr>
        <w:spacing w:line="480" w:lineRule="auto"/>
        <w:rPr>
          <w:rFonts w:ascii="Times New Roman" w:hAnsi="Times New Roman" w:cs="Times New Roman"/>
        </w:rPr>
      </w:pPr>
    </w:p>
    <w:p w14:paraId="3B2CDC7A" w14:textId="77777777" w:rsidR="00AC0156" w:rsidRDefault="00AC0156" w:rsidP="001C0F7B">
      <w:pPr>
        <w:spacing w:line="480" w:lineRule="auto"/>
        <w:rPr>
          <w:rFonts w:ascii="Times New Roman" w:hAnsi="Times New Roman" w:cs="Times New Roman"/>
        </w:rPr>
      </w:pPr>
    </w:p>
    <w:p w14:paraId="4B4CE100" w14:textId="77777777" w:rsidR="00AC0156" w:rsidRDefault="00AC0156" w:rsidP="001C0F7B">
      <w:pPr>
        <w:spacing w:line="480" w:lineRule="auto"/>
        <w:rPr>
          <w:rFonts w:ascii="Times New Roman" w:hAnsi="Times New Roman" w:cs="Times New Roman"/>
        </w:rPr>
      </w:pPr>
    </w:p>
    <w:p w14:paraId="174E0A5E" w14:textId="77777777" w:rsidR="00AC0156" w:rsidRDefault="00AC0156" w:rsidP="001C0F7B">
      <w:pPr>
        <w:spacing w:line="480" w:lineRule="auto"/>
        <w:rPr>
          <w:rFonts w:ascii="Times New Roman" w:hAnsi="Times New Roman" w:cs="Times New Roman"/>
        </w:rPr>
      </w:pPr>
    </w:p>
    <w:p w14:paraId="4E26E1BE" w14:textId="77777777" w:rsidR="00AC0156" w:rsidRDefault="00AC0156" w:rsidP="001C0F7B">
      <w:pPr>
        <w:spacing w:line="480" w:lineRule="auto"/>
        <w:rPr>
          <w:rFonts w:ascii="Times New Roman" w:hAnsi="Times New Roman" w:cs="Times New Roman"/>
        </w:rPr>
      </w:pPr>
    </w:p>
    <w:p w14:paraId="0DB243EC" w14:textId="77777777" w:rsidR="00AC0156" w:rsidRDefault="00AC0156" w:rsidP="001C0F7B">
      <w:pPr>
        <w:spacing w:line="480" w:lineRule="auto"/>
        <w:rPr>
          <w:rFonts w:ascii="Times New Roman" w:hAnsi="Times New Roman" w:cs="Times New Roman"/>
        </w:rPr>
      </w:pPr>
    </w:p>
    <w:p w14:paraId="78AF6394" w14:textId="77777777" w:rsidR="00AC0156" w:rsidRDefault="00AC0156" w:rsidP="001C0F7B">
      <w:pPr>
        <w:spacing w:line="480" w:lineRule="auto"/>
        <w:rPr>
          <w:rFonts w:ascii="Times New Roman" w:hAnsi="Times New Roman" w:cs="Times New Roman"/>
        </w:rPr>
      </w:pPr>
    </w:p>
    <w:p w14:paraId="4828AA39" w14:textId="66AC4A87" w:rsidR="00AC0156" w:rsidRPr="000A4D98" w:rsidRDefault="00AC0156" w:rsidP="001C0F7B">
      <w:pPr>
        <w:spacing w:line="480" w:lineRule="auto"/>
        <w:rPr>
          <w:rFonts w:ascii="Times New Roman" w:hAnsi="Times New Roman" w:cs="Times New Roman"/>
          <w:b/>
          <w:bCs/>
        </w:rPr>
      </w:pPr>
      <w:r w:rsidRPr="000A4D98">
        <w:rPr>
          <w:rFonts w:ascii="Times New Roman" w:hAnsi="Times New Roman" w:cs="Times New Roman"/>
          <w:b/>
          <w:bCs/>
        </w:rPr>
        <w:lastRenderedPageBreak/>
        <w:t xml:space="preserve">References </w:t>
      </w:r>
    </w:p>
    <w:p w14:paraId="50C325C2" w14:textId="77777777" w:rsidR="00AC0156" w:rsidRPr="00AC0156" w:rsidRDefault="00AC0156" w:rsidP="00AC0156">
      <w:pPr>
        <w:spacing w:line="480" w:lineRule="auto"/>
        <w:rPr>
          <w:rFonts w:ascii="Times New Roman" w:hAnsi="Times New Roman" w:cs="Times New Roman"/>
        </w:rPr>
      </w:pPr>
      <w:r w:rsidRPr="00AC0156">
        <w:rPr>
          <w:rFonts w:ascii="Times New Roman" w:hAnsi="Times New Roman" w:cs="Times New Roman"/>
        </w:rPr>
        <w:t xml:space="preserve">Agustina, Y. N., &amp; </w:t>
      </w:r>
      <w:proofErr w:type="spellStart"/>
      <w:r w:rsidRPr="00AC0156">
        <w:rPr>
          <w:rFonts w:ascii="Times New Roman" w:hAnsi="Times New Roman" w:cs="Times New Roman"/>
        </w:rPr>
        <w:t>Suprayitno</w:t>
      </w:r>
      <w:proofErr w:type="spellEnd"/>
      <w:r w:rsidRPr="00AC0156">
        <w:rPr>
          <w:rFonts w:ascii="Times New Roman" w:hAnsi="Times New Roman" w:cs="Times New Roman"/>
        </w:rPr>
        <w:t xml:space="preserve">, H. (2020). Analysis of financial statements using liquidity ratio to measure financial performance in 2017–2019. </w:t>
      </w:r>
      <w:r w:rsidRPr="000A4D98">
        <w:rPr>
          <w:rFonts w:ascii="Times New Roman" w:hAnsi="Times New Roman" w:cs="Times New Roman"/>
          <w:i/>
          <w:iCs/>
        </w:rPr>
        <w:t>JOSAR (Journal of Students Academic Research), 5(</w:t>
      </w:r>
      <w:r w:rsidRPr="00AC0156">
        <w:rPr>
          <w:rFonts w:ascii="Times New Roman" w:hAnsi="Times New Roman" w:cs="Times New Roman"/>
        </w:rPr>
        <w:t>2), 32–39.</w:t>
      </w:r>
    </w:p>
    <w:p w14:paraId="698C5B11" w14:textId="77777777" w:rsidR="00AC0156" w:rsidRPr="00AC0156" w:rsidRDefault="00AC0156" w:rsidP="00AC0156">
      <w:pPr>
        <w:spacing w:line="480" w:lineRule="auto"/>
        <w:rPr>
          <w:rFonts w:ascii="Times New Roman" w:hAnsi="Times New Roman" w:cs="Times New Roman"/>
        </w:rPr>
      </w:pPr>
      <w:proofErr w:type="spellStart"/>
      <w:r w:rsidRPr="00AC0156">
        <w:rPr>
          <w:rFonts w:ascii="Times New Roman" w:hAnsi="Times New Roman" w:cs="Times New Roman"/>
        </w:rPr>
        <w:t>Asiani</w:t>
      </w:r>
      <w:proofErr w:type="spellEnd"/>
      <w:r w:rsidRPr="00AC0156">
        <w:rPr>
          <w:rFonts w:ascii="Times New Roman" w:hAnsi="Times New Roman" w:cs="Times New Roman"/>
        </w:rPr>
        <w:t xml:space="preserve">, N. T., &amp; Rahayu, N. P. W. (2024). Analysis of liquidity ratios and profitability ratios to assess financial performance. </w:t>
      </w:r>
      <w:r w:rsidRPr="000A4D98">
        <w:rPr>
          <w:rFonts w:ascii="Times New Roman" w:hAnsi="Times New Roman" w:cs="Times New Roman"/>
          <w:i/>
          <w:iCs/>
        </w:rPr>
        <w:t>International Journal of Accounting, Management, Economics and Social Sciences (IJAMESC), 2(</w:t>
      </w:r>
      <w:r w:rsidRPr="00AC0156">
        <w:rPr>
          <w:rFonts w:ascii="Times New Roman" w:hAnsi="Times New Roman" w:cs="Times New Roman"/>
        </w:rPr>
        <w:t>4), 1385–1401.</w:t>
      </w:r>
    </w:p>
    <w:p w14:paraId="488E81FA" w14:textId="77777777" w:rsidR="00AC0156" w:rsidRPr="00AC0156" w:rsidRDefault="00AC0156" w:rsidP="00AC0156">
      <w:pPr>
        <w:spacing w:line="480" w:lineRule="auto"/>
        <w:rPr>
          <w:rFonts w:ascii="Times New Roman" w:hAnsi="Times New Roman" w:cs="Times New Roman"/>
        </w:rPr>
      </w:pPr>
      <w:r w:rsidRPr="00AC0156">
        <w:rPr>
          <w:rFonts w:ascii="Times New Roman" w:hAnsi="Times New Roman" w:cs="Times New Roman"/>
        </w:rPr>
        <w:t xml:space="preserve">Attrill, P., &amp; McLaney, E. (2015). </w:t>
      </w:r>
      <w:r w:rsidRPr="000A4D98">
        <w:rPr>
          <w:rFonts w:ascii="Times New Roman" w:hAnsi="Times New Roman" w:cs="Times New Roman"/>
          <w:i/>
          <w:iCs/>
        </w:rPr>
        <w:t>Management accounting for decision makers</w:t>
      </w:r>
      <w:r w:rsidRPr="00AC0156">
        <w:rPr>
          <w:rFonts w:ascii="Times New Roman" w:hAnsi="Times New Roman" w:cs="Times New Roman"/>
        </w:rPr>
        <w:t xml:space="preserve"> (8th ed.). Cengage Learning.</w:t>
      </w:r>
    </w:p>
    <w:p w14:paraId="1E1D35C1" w14:textId="77777777" w:rsidR="00AC0156" w:rsidRPr="00AC0156" w:rsidRDefault="00AC0156" w:rsidP="00AC0156">
      <w:pPr>
        <w:spacing w:line="480" w:lineRule="auto"/>
        <w:rPr>
          <w:rFonts w:ascii="Times New Roman" w:hAnsi="Times New Roman" w:cs="Times New Roman"/>
        </w:rPr>
      </w:pPr>
      <w:r w:rsidRPr="00AC0156">
        <w:rPr>
          <w:rFonts w:ascii="Times New Roman" w:hAnsi="Times New Roman" w:cs="Times New Roman"/>
        </w:rPr>
        <w:t xml:space="preserve">Choi, J., &amp; Wang, H. (2009). Stakeholder relations and the persistence of corporate financial performance. </w:t>
      </w:r>
      <w:r w:rsidRPr="000A4D98">
        <w:rPr>
          <w:rFonts w:ascii="Times New Roman" w:hAnsi="Times New Roman" w:cs="Times New Roman"/>
          <w:i/>
          <w:iCs/>
        </w:rPr>
        <w:t>Strategic Management Journal, 30(</w:t>
      </w:r>
      <w:r w:rsidRPr="00AC0156">
        <w:rPr>
          <w:rFonts w:ascii="Times New Roman" w:hAnsi="Times New Roman" w:cs="Times New Roman"/>
        </w:rPr>
        <w:t>8), 895–907.</w:t>
      </w:r>
    </w:p>
    <w:p w14:paraId="61A3F019" w14:textId="77777777" w:rsidR="00AC0156" w:rsidRPr="00AC0156" w:rsidRDefault="00AC0156" w:rsidP="00AC0156">
      <w:pPr>
        <w:spacing w:line="480" w:lineRule="auto"/>
        <w:rPr>
          <w:rFonts w:ascii="Times New Roman" w:hAnsi="Times New Roman" w:cs="Times New Roman"/>
        </w:rPr>
      </w:pPr>
      <w:r w:rsidRPr="00AC0156">
        <w:rPr>
          <w:rFonts w:ascii="Times New Roman" w:hAnsi="Times New Roman" w:cs="Times New Roman"/>
        </w:rPr>
        <w:t xml:space="preserve">Drury, J. (n.d.). </w:t>
      </w:r>
      <w:r w:rsidRPr="000A4D98">
        <w:rPr>
          <w:rFonts w:ascii="Times New Roman" w:hAnsi="Times New Roman" w:cs="Times New Roman"/>
          <w:i/>
          <w:iCs/>
        </w:rPr>
        <w:t>Management and cost accounting</w:t>
      </w:r>
      <w:r w:rsidRPr="00AC0156">
        <w:rPr>
          <w:rFonts w:ascii="Times New Roman" w:hAnsi="Times New Roman" w:cs="Times New Roman"/>
        </w:rPr>
        <w:t xml:space="preserve"> (9th ed.). Cengage Learning.</w:t>
      </w:r>
    </w:p>
    <w:p w14:paraId="693ED7C1" w14:textId="77777777" w:rsidR="00AC0156" w:rsidRPr="00AC0156" w:rsidRDefault="00AC0156" w:rsidP="00AC0156">
      <w:pPr>
        <w:spacing w:line="480" w:lineRule="auto"/>
        <w:rPr>
          <w:rFonts w:ascii="Times New Roman" w:hAnsi="Times New Roman" w:cs="Times New Roman"/>
        </w:rPr>
      </w:pPr>
      <w:proofErr w:type="spellStart"/>
      <w:r w:rsidRPr="00AC0156">
        <w:rPr>
          <w:rFonts w:ascii="Times New Roman" w:hAnsi="Times New Roman" w:cs="Times New Roman"/>
        </w:rPr>
        <w:t>Lokanan</w:t>
      </w:r>
      <w:proofErr w:type="spellEnd"/>
      <w:r w:rsidRPr="00AC0156">
        <w:rPr>
          <w:rFonts w:ascii="Times New Roman" w:hAnsi="Times New Roman" w:cs="Times New Roman"/>
        </w:rPr>
        <w:t>, M. (2021). Applying four quantitative prediction techniques to detect fraud in financial statements</w:t>
      </w:r>
      <w:r w:rsidRPr="000A4D98">
        <w:rPr>
          <w:rFonts w:ascii="Times New Roman" w:hAnsi="Times New Roman" w:cs="Times New Roman"/>
          <w:i/>
          <w:iCs/>
        </w:rPr>
        <w:t>. Journal of Forensic and Investigative Accounting, 13(</w:t>
      </w:r>
      <w:r w:rsidRPr="00AC0156">
        <w:rPr>
          <w:rFonts w:ascii="Times New Roman" w:hAnsi="Times New Roman" w:cs="Times New Roman"/>
        </w:rPr>
        <w:t>2), 362–383.</w:t>
      </w:r>
    </w:p>
    <w:p w14:paraId="2AE7FDCD" w14:textId="77777777" w:rsidR="00AC0156" w:rsidRPr="00AC0156" w:rsidRDefault="00AC0156" w:rsidP="00AC0156">
      <w:pPr>
        <w:spacing w:line="480" w:lineRule="auto"/>
        <w:rPr>
          <w:rFonts w:ascii="Times New Roman" w:hAnsi="Times New Roman" w:cs="Times New Roman"/>
        </w:rPr>
      </w:pPr>
      <w:r w:rsidRPr="00AC0156">
        <w:rPr>
          <w:rFonts w:ascii="Times New Roman" w:hAnsi="Times New Roman" w:cs="Times New Roman"/>
        </w:rPr>
        <w:t xml:space="preserve">Lucey, T. (2009). </w:t>
      </w:r>
      <w:r w:rsidRPr="000A4D98">
        <w:rPr>
          <w:rFonts w:ascii="Times New Roman" w:hAnsi="Times New Roman" w:cs="Times New Roman"/>
          <w:i/>
          <w:iCs/>
        </w:rPr>
        <w:t>Costing</w:t>
      </w:r>
      <w:r w:rsidRPr="00AC0156">
        <w:rPr>
          <w:rFonts w:ascii="Times New Roman" w:hAnsi="Times New Roman" w:cs="Times New Roman"/>
        </w:rPr>
        <w:t xml:space="preserve"> (7th ed.). Cengage Learning.</w:t>
      </w:r>
    </w:p>
    <w:p w14:paraId="21007086" w14:textId="77777777" w:rsidR="00AC0156" w:rsidRPr="00AC0156" w:rsidRDefault="00AC0156" w:rsidP="00AC0156">
      <w:pPr>
        <w:spacing w:line="480" w:lineRule="auto"/>
        <w:rPr>
          <w:rFonts w:ascii="Times New Roman" w:hAnsi="Times New Roman" w:cs="Times New Roman"/>
        </w:rPr>
      </w:pPr>
      <w:r w:rsidRPr="00AC0156">
        <w:rPr>
          <w:rFonts w:ascii="Times New Roman" w:hAnsi="Times New Roman" w:cs="Times New Roman"/>
        </w:rPr>
        <w:t xml:space="preserve">Nasution, Y. A., &amp; </w:t>
      </w:r>
      <w:proofErr w:type="spellStart"/>
      <w:r w:rsidRPr="00AC0156">
        <w:rPr>
          <w:rFonts w:ascii="Times New Roman" w:hAnsi="Times New Roman" w:cs="Times New Roman"/>
        </w:rPr>
        <w:t>Yusleny</w:t>
      </w:r>
      <w:proofErr w:type="spellEnd"/>
      <w:r w:rsidRPr="00AC0156">
        <w:rPr>
          <w:rFonts w:ascii="Times New Roman" w:hAnsi="Times New Roman" w:cs="Times New Roman"/>
        </w:rPr>
        <w:t xml:space="preserve">, Y. (2023, February). </w:t>
      </w:r>
      <w:r w:rsidRPr="000A4D98">
        <w:rPr>
          <w:rFonts w:ascii="Times New Roman" w:hAnsi="Times New Roman" w:cs="Times New Roman"/>
          <w:i/>
          <w:iCs/>
        </w:rPr>
        <w:t xml:space="preserve">Financial performance measurement using profitability ratios and liquidity ratios. In Proceedings of the Medan International Conference on Economic and Business </w:t>
      </w:r>
      <w:r w:rsidRPr="00AC0156">
        <w:rPr>
          <w:rFonts w:ascii="Times New Roman" w:hAnsi="Times New Roman" w:cs="Times New Roman"/>
        </w:rPr>
        <w:t>(Vol. 1, pp. 1730–1741).</w:t>
      </w:r>
    </w:p>
    <w:p w14:paraId="28E9905C" w14:textId="77777777" w:rsidR="00AC0156" w:rsidRPr="00AC0156" w:rsidRDefault="00AC0156" w:rsidP="00AC0156">
      <w:pPr>
        <w:spacing w:line="480" w:lineRule="auto"/>
        <w:rPr>
          <w:rFonts w:ascii="Times New Roman" w:hAnsi="Times New Roman" w:cs="Times New Roman"/>
        </w:rPr>
      </w:pPr>
      <w:r w:rsidRPr="00AC0156">
        <w:rPr>
          <w:rFonts w:ascii="Times New Roman" w:hAnsi="Times New Roman" w:cs="Times New Roman"/>
        </w:rPr>
        <w:t xml:space="preserve">Rashid, C. A. (2018). Efficiency of financial ratios analysis for evaluating companies’ liquidity. </w:t>
      </w:r>
      <w:r w:rsidRPr="000A4D98">
        <w:rPr>
          <w:rFonts w:ascii="Times New Roman" w:hAnsi="Times New Roman" w:cs="Times New Roman"/>
          <w:i/>
          <w:iCs/>
        </w:rPr>
        <w:t>International Journal of Social Sciences &amp; Educational Studies, 4(</w:t>
      </w:r>
      <w:r w:rsidRPr="00AC0156">
        <w:rPr>
          <w:rFonts w:ascii="Times New Roman" w:hAnsi="Times New Roman" w:cs="Times New Roman"/>
        </w:rPr>
        <w:t>4), 110–123.</w:t>
      </w:r>
    </w:p>
    <w:p w14:paraId="2353DE6F" w14:textId="190D5DFC" w:rsidR="00AC0156" w:rsidRPr="00AC0156" w:rsidRDefault="00AC0156" w:rsidP="00AC0156">
      <w:pPr>
        <w:spacing w:line="480" w:lineRule="auto"/>
        <w:rPr>
          <w:rFonts w:ascii="Times New Roman" w:hAnsi="Times New Roman" w:cs="Times New Roman"/>
        </w:rPr>
      </w:pPr>
      <w:r w:rsidRPr="00AC0156">
        <w:rPr>
          <w:rFonts w:ascii="Times New Roman" w:hAnsi="Times New Roman" w:cs="Times New Roman"/>
        </w:rPr>
        <w:t xml:space="preserve">Sangwa, D. S. (2017). </w:t>
      </w:r>
      <w:r w:rsidRPr="000A4D98">
        <w:rPr>
          <w:rFonts w:ascii="Times New Roman" w:hAnsi="Times New Roman" w:cs="Times New Roman"/>
          <w:i/>
          <w:iCs/>
        </w:rPr>
        <w:t>Corporate strategic financial analysis: Tesco and Benedict Co.</w:t>
      </w:r>
      <w:r w:rsidRPr="00AC0156">
        <w:rPr>
          <w:rFonts w:ascii="Times New Roman" w:hAnsi="Times New Roman" w:cs="Times New Roman"/>
        </w:rPr>
        <w:t xml:space="preserve"> Retrieved from </w:t>
      </w:r>
      <w:hyperlink r:id="rId5" w:history="1">
        <w:r w:rsidR="000A4D98" w:rsidRPr="007672A4">
          <w:rPr>
            <w:rStyle w:val="Hyperlink"/>
            <w:rFonts w:ascii="Times New Roman" w:hAnsi="Times New Roman" w:cs="Times New Roman"/>
          </w:rPr>
          <w:t>https://doi.org/10.2139/ssrn.3890897</w:t>
        </w:r>
      </w:hyperlink>
      <w:r w:rsidR="000A4D98">
        <w:rPr>
          <w:rFonts w:ascii="Times New Roman" w:hAnsi="Times New Roman" w:cs="Times New Roman"/>
        </w:rPr>
        <w:t xml:space="preserve"> </w:t>
      </w:r>
    </w:p>
    <w:p w14:paraId="638906F6" w14:textId="77777777" w:rsidR="00AC0156" w:rsidRPr="000A4D98" w:rsidRDefault="00AC0156" w:rsidP="00AC0156">
      <w:pPr>
        <w:spacing w:line="480" w:lineRule="auto"/>
        <w:rPr>
          <w:rFonts w:ascii="Times New Roman" w:hAnsi="Times New Roman" w:cs="Times New Roman"/>
          <w:i/>
          <w:iCs/>
        </w:rPr>
      </w:pPr>
      <w:r w:rsidRPr="00AC0156">
        <w:rPr>
          <w:rFonts w:ascii="Times New Roman" w:hAnsi="Times New Roman" w:cs="Times New Roman"/>
        </w:rPr>
        <w:lastRenderedPageBreak/>
        <w:t xml:space="preserve">Sangwa, S. (2021). </w:t>
      </w:r>
      <w:r w:rsidRPr="000A4D98">
        <w:rPr>
          <w:rFonts w:ascii="Times New Roman" w:hAnsi="Times New Roman" w:cs="Times New Roman"/>
          <w:i/>
          <w:iCs/>
        </w:rPr>
        <w:t>Research and economics.</w:t>
      </w:r>
    </w:p>
    <w:p w14:paraId="1ADD05E1" w14:textId="77777777" w:rsidR="00AC0156" w:rsidRPr="00AC0156" w:rsidRDefault="00AC0156" w:rsidP="00AC0156">
      <w:pPr>
        <w:spacing w:line="480" w:lineRule="auto"/>
        <w:rPr>
          <w:rFonts w:ascii="Times New Roman" w:hAnsi="Times New Roman" w:cs="Times New Roman"/>
        </w:rPr>
      </w:pPr>
      <w:r w:rsidRPr="00AC0156">
        <w:rPr>
          <w:rFonts w:ascii="Times New Roman" w:hAnsi="Times New Roman" w:cs="Times New Roman"/>
        </w:rPr>
        <w:t xml:space="preserve">Teji, T. N. (2016). </w:t>
      </w:r>
      <w:r w:rsidRPr="000A4D98">
        <w:rPr>
          <w:rFonts w:ascii="Times New Roman" w:hAnsi="Times New Roman" w:cs="Times New Roman"/>
          <w:i/>
          <w:iCs/>
        </w:rPr>
        <w:t>Accounting for UK retailers’ success: Key metrics for success and failure.</w:t>
      </w:r>
      <w:r w:rsidRPr="00AC0156">
        <w:rPr>
          <w:rFonts w:ascii="Times New Roman" w:hAnsi="Times New Roman" w:cs="Times New Roman"/>
        </w:rPr>
        <w:t xml:space="preserve"> The University of Manchester.</w:t>
      </w:r>
    </w:p>
    <w:p w14:paraId="2C373B8B" w14:textId="77777777" w:rsidR="00AC0156" w:rsidRPr="000A4D98" w:rsidRDefault="00AC0156" w:rsidP="00AC0156">
      <w:pPr>
        <w:spacing w:line="480" w:lineRule="auto"/>
        <w:rPr>
          <w:rFonts w:ascii="Times New Roman" w:hAnsi="Times New Roman" w:cs="Times New Roman"/>
          <w:i/>
          <w:iCs/>
        </w:rPr>
      </w:pPr>
      <w:r w:rsidRPr="00AC0156">
        <w:rPr>
          <w:rFonts w:ascii="Times New Roman" w:hAnsi="Times New Roman" w:cs="Times New Roman"/>
        </w:rPr>
        <w:t xml:space="preserve">Vu, M. (2016). </w:t>
      </w:r>
      <w:r w:rsidRPr="000A4D98">
        <w:rPr>
          <w:rFonts w:ascii="Times New Roman" w:hAnsi="Times New Roman" w:cs="Times New Roman"/>
          <w:i/>
          <w:iCs/>
        </w:rPr>
        <w:t>Is the balanced scorecard useful in a competitive industry? Using Tesco PLC as a case study in the UK grocery retail industry [Unpublished manuscript].</w:t>
      </w:r>
    </w:p>
    <w:p w14:paraId="5DF3FCD1" w14:textId="77777777" w:rsidR="00AC0156" w:rsidRPr="00AC0156" w:rsidRDefault="00AC0156" w:rsidP="00AC0156">
      <w:pPr>
        <w:spacing w:line="480" w:lineRule="auto"/>
        <w:rPr>
          <w:rFonts w:ascii="Times New Roman" w:hAnsi="Times New Roman" w:cs="Times New Roman"/>
        </w:rPr>
      </w:pPr>
      <w:r w:rsidRPr="00AC0156">
        <w:rPr>
          <w:rFonts w:ascii="Times New Roman" w:hAnsi="Times New Roman" w:cs="Times New Roman"/>
        </w:rPr>
        <w:t xml:space="preserve">Wood, F. (2015). </w:t>
      </w:r>
      <w:r w:rsidRPr="000A4D98">
        <w:rPr>
          <w:rFonts w:ascii="Times New Roman" w:hAnsi="Times New Roman" w:cs="Times New Roman"/>
          <w:i/>
          <w:iCs/>
        </w:rPr>
        <w:t xml:space="preserve">Frank Wood’s business accounting 1 </w:t>
      </w:r>
      <w:r w:rsidRPr="00AC0156">
        <w:rPr>
          <w:rFonts w:ascii="Times New Roman" w:hAnsi="Times New Roman" w:cs="Times New Roman"/>
        </w:rPr>
        <w:t>(13th ed.). FT Pitman Publications.</w:t>
      </w:r>
    </w:p>
    <w:p w14:paraId="7436B60A" w14:textId="77777777" w:rsidR="00AC0156" w:rsidRPr="00AC0156" w:rsidRDefault="00AC0156" w:rsidP="00AC0156">
      <w:pPr>
        <w:spacing w:line="480" w:lineRule="auto"/>
        <w:rPr>
          <w:rFonts w:ascii="Times New Roman" w:hAnsi="Times New Roman" w:cs="Times New Roman"/>
        </w:rPr>
      </w:pPr>
    </w:p>
    <w:p w14:paraId="71F28ED9" w14:textId="36814A67" w:rsidR="00AC0156" w:rsidRPr="00AC0156" w:rsidRDefault="000A4D98" w:rsidP="00AC0156">
      <w:pPr>
        <w:spacing w:line="480" w:lineRule="auto"/>
        <w:rPr>
          <w:rFonts w:ascii="Times New Roman" w:hAnsi="Times New Roman" w:cs="Times New Roman"/>
        </w:rPr>
      </w:pPr>
      <w:r>
        <w:rPr>
          <w:rFonts w:ascii="Times New Roman" w:hAnsi="Times New Roman" w:cs="Times New Roman"/>
        </w:rPr>
        <w:object w:dxaOrig="1504" w:dyaOrig="980" w14:anchorId="191016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pt;height:49pt" o:ole="">
            <v:imagedata r:id="rId6" o:title=""/>
          </v:shape>
          <o:OLEObject Type="Embed" ProgID="Package" ShapeID="_x0000_i1026" DrawAspect="Icon" ObjectID="_1813660720" r:id="rId7"/>
        </w:object>
      </w:r>
    </w:p>
    <w:p w14:paraId="3EDBA226" w14:textId="622C1B9B" w:rsidR="00AC0156" w:rsidRDefault="000A4D98" w:rsidP="001C0F7B">
      <w:pPr>
        <w:spacing w:line="480" w:lineRule="auto"/>
        <w:rPr>
          <w:rFonts w:ascii="Times New Roman" w:hAnsi="Times New Roman" w:cs="Times New Roman"/>
        </w:rPr>
      </w:pPr>
      <w:r>
        <w:rPr>
          <w:rFonts w:ascii="Times New Roman" w:hAnsi="Times New Roman" w:cs="Times New Roman"/>
        </w:rPr>
        <w:object w:dxaOrig="1504" w:dyaOrig="980" w14:anchorId="512C0517">
          <v:shape id="_x0000_i1025" type="#_x0000_t75" style="width:75pt;height:49pt" o:ole="">
            <v:imagedata r:id="rId8" o:title=""/>
          </v:shape>
          <o:OLEObject Type="Embed" ProgID="Package" ShapeID="_x0000_i1025" DrawAspect="Icon" ObjectID="_1813660721" r:id="rId9"/>
        </w:object>
      </w:r>
    </w:p>
    <w:p w14:paraId="76D03645" w14:textId="25728383" w:rsidR="006F2C94" w:rsidRPr="006F2C94" w:rsidRDefault="006F2C94" w:rsidP="001C0F7B">
      <w:pPr>
        <w:spacing w:line="480" w:lineRule="auto"/>
        <w:rPr>
          <w:rFonts w:ascii="Times New Roman" w:hAnsi="Times New Roman" w:cs="Times New Roman"/>
        </w:rPr>
      </w:pPr>
    </w:p>
    <w:sectPr w:rsidR="006F2C94" w:rsidRPr="006F2C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84250"/>
    <w:multiLevelType w:val="hybridMultilevel"/>
    <w:tmpl w:val="90C43D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A290E"/>
    <w:multiLevelType w:val="hybridMultilevel"/>
    <w:tmpl w:val="3CF62D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A15F0"/>
    <w:multiLevelType w:val="hybridMultilevel"/>
    <w:tmpl w:val="A06E46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7C23CF"/>
    <w:multiLevelType w:val="hybridMultilevel"/>
    <w:tmpl w:val="81BC6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360EEF"/>
    <w:multiLevelType w:val="hybridMultilevel"/>
    <w:tmpl w:val="F2565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2A6350"/>
    <w:multiLevelType w:val="hybridMultilevel"/>
    <w:tmpl w:val="66C64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1D1B68"/>
    <w:multiLevelType w:val="hybridMultilevel"/>
    <w:tmpl w:val="D13C8D0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358532E"/>
    <w:multiLevelType w:val="hybridMultilevel"/>
    <w:tmpl w:val="8E4449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8E61D2"/>
    <w:multiLevelType w:val="hybridMultilevel"/>
    <w:tmpl w:val="62E8E0D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7B41334"/>
    <w:multiLevelType w:val="hybridMultilevel"/>
    <w:tmpl w:val="BAF034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6892588">
    <w:abstractNumId w:val="3"/>
  </w:num>
  <w:num w:numId="2" w16cid:durableId="1820030970">
    <w:abstractNumId w:val="1"/>
  </w:num>
  <w:num w:numId="3" w16cid:durableId="152381607">
    <w:abstractNumId w:val="6"/>
  </w:num>
  <w:num w:numId="4" w16cid:durableId="1226911169">
    <w:abstractNumId w:val="4"/>
  </w:num>
  <w:num w:numId="5" w16cid:durableId="1855143277">
    <w:abstractNumId w:val="8"/>
  </w:num>
  <w:num w:numId="6" w16cid:durableId="1985161886">
    <w:abstractNumId w:val="5"/>
  </w:num>
  <w:num w:numId="7" w16cid:durableId="1890216899">
    <w:abstractNumId w:val="9"/>
  </w:num>
  <w:num w:numId="8" w16cid:durableId="516188672">
    <w:abstractNumId w:val="7"/>
  </w:num>
  <w:num w:numId="9" w16cid:durableId="459348966">
    <w:abstractNumId w:val="0"/>
  </w:num>
  <w:num w:numId="10" w16cid:durableId="7418785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C94"/>
    <w:rsid w:val="000A4D98"/>
    <w:rsid w:val="00131F88"/>
    <w:rsid w:val="001C0F7B"/>
    <w:rsid w:val="00216CA6"/>
    <w:rsid w:val="006F2C94"/>
    <w:rsid w:val="00884AA6"/>
    <w:rsid w:val="008D1958"/>
    <w:rsid w:val="008F6BEE"/>
    <w:rsid w:val="00AC0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948DE"/>
  <w15:chartTrackingRefBased/>
  <w15:docId w15:val="{A08C5B2C-D713-4BE1-8237-20482708A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C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2C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2C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2C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2C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2C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2C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2C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2C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C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2C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2C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2C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2C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2C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2C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2C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2C94"/>
    <w:rPr>
      <w:rFonts w:eastAsiaTheme="majorEastAsia" w:cstheme="majorBidi"/>
      <w:color w:val="272727" w:themeColor="text1" w:themeTint="D8"/>
    </w:rPr>
  </w:style>
  <w:style w:type="paragraph" w:styleId="Title">
    <w:name w:val="Title"/>
    <w:basedOn w:val="Normal"/>
    <w:next w:val="Normal"/>
    <w:link w:val="TitleChar"/>
    <w:uiPriority w:val="10"/>
    <w:qFormat/>
    <w:rsid w:val="006F2C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C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2C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2C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2C94"/>
    <w:pPr>
      <w:spacing w:before="160"/>
      <w:jc w:val="center"/>
    </w:pPr>
    <w:rPr>
      <w:i/>
      <w:iCs/>
      <w:color w:val="404040" w:themeColor="text1" w:themeTint="BF"/>
    </w:rPr>
  </w:style>
  <w:style w:type="character" w:customStyle="1" w:styleId="QuoteChar">
    <w:name w:val="Quote Char"/>
    <w:basedOn w:val="DefaultParagraphFont"/>
    <w:link w:val="Quote"/>
    <w:uiPriority w:val="29"/>
    <w:rsid w:val="006F2C94"/>
    <w:rPr>
      <w:i/>
      <w:iCs/>
      <w:color w:val="404040" w:themeColor="text1" w:themeTint="BF"/>
    </w:rPr>
  </w:style>
  <w:style w:type="paragraph" w:styleId="ListParagraph">
    <w:name w:val="List Paragraph"/>
    <w:basedOn w:val="Normal"/>
    <w:uiPriority w:val="34"/>
    <w:qFormat/>
    <w:rsid w:val="006F2C94"/>
    <w:pPr>
      <w:ind w:left="720"/>
      <w:contextualSpacing/>
    </w:pPr>
  </w:style>
  <w:style w:type="character" w:styleId="IntenseEmphasis">
    <w:name w:val="Intense Emphasis"/>
    <w:basedOn w:val="DefaultParagraphFont"/>
    <w:uiPriority w:val="21"/>
    <w:qFormat/>
    <w:rsid w:val="006F2C94"/>
    <w:rPr>
      <w:i/>
      <w:iCs/>
      <w:color w:val="0F4761" w:themeColor="accent1" w:themeShade="BF"/>
    </w:rPr>
  </w:style>
  <w:style w:type="paragraph" w:styleId="IntenseQuote">
    <w:name w:val="Intense Quote"/>
    <w:basedOn w:val="Normal"/>
    <w:next w:val="Normal"/>
    <w:link w:val="IntenseQuoteChar"/>
    <w:uiPriority w:val="30"/>
    <w:qFormat/>
    <w:rsid w:val="006F2C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2C94"/>
    <w:rPr>
      <w:i/>
      <w:iCs/>
      <w:color w:val="0F4761" w:themeColor="accent1" w:themeShade="BF"/>
    </w:rPr>
  </w:style>
  <w:style w:type="character" w:styleId="IntenseReference">
    <w:name w:val="Intense Reference"/>
    <w:basedOn w:val="DefaultParagraphFont"/>
    <w:uiPriority w:val="32"/>
    <w:qFormat/>
    <w:rsid w:val="006F2C94"/>
    <w:rPr>
      <w:b/>
      <w:bCs/>
      <w:smallCaps/>
      <w:color w:val="0F4761" w:themeColor="accent1" w:themeShade="BF"/>
      <w:spacing w:val="5"/>
    </w:rPr>
  </w:style>
  <w:style w:type="character" w:styleId="Hyperlink">
    <w:name w:val="Hyperlink"/>
    <w:basedOn w:val="DefaultParagraphFont"/>
    <w:uiPriority w:val="99"/>
    <w:unhideWhenUsed/>
    <w:rsid w:val="000A4D98"/>
    <w:rPr>
      <w:color w:val="467886" w:themeColor="hyperlink"/>
      <w:u w:val="single"/>
    </w:rPr>
  </w:style>
  <w:style w:type="character" w:styleId="UnresolvedMention">
    <w:name w:val="Unresolved Mention"/>
    <w:basedOn w:val="DefaultParagraphFont"/>
    <w:uiPriority w:val="99"/>
    <w:semiHidden/>
    <w:unhideWhenUsed/>
    <w:rsid w:val="000A4D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hyperlink" Target="https://doi.org/10.2139/ssrn.3890897"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115</TotalTime>
  <Pages>11</Pages>
  <Words>1882</Words>
  <Characters>10730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Voican (1907947)</dc:creator>
  <cp:keywords/>
  <dc:description/>
  <cp:lastModifiedBy>Mirabela Voican (1907947)</cp:lastModifiedBy>
  <cp:revision>1</cp:revision>
  <dcterms:created xsi:type="dcterms:W3CDTF">2025-07-10T10:53:00Z</dcterms:created>
  <dcterms:modified xsi:type="dcterms:W3CDTF">2025-07-10T12:51:00Z</dcterms:modified>
</cp:coreProperties>
</file>