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A4E38">
      <w:pPr>
        <w:ind w:firstLine="0"/>
        <w:jc w:val="center"/>
        <w:rPr>
          <w:rFonts w:eastAsia="Times New Roman"/>
        </w:rPr>
      </w:pPr>
    </w:p>
    <w:p w14:paraId="3C9AFA06">
      <w:pPr>
        <w:ind w:firstLine="0"/>
        <w:jc w:val="center"/>
        <w:rPr>
          <w:rFonts w:eastAsia="Times New Roman"/>
        </w:rPr>
      </w:pPr>
      <w:r>
        <w:rPr>
          <w:rFonts w:eastAsia="Times New Roman"/>
        </w:rPr>
        <w:drawing>
          <wp:inline distT="0" distB="0" distL="0" distR="0">
            <wp:extent cx="1810385" cy="72517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810385" cy="725170"/>
                    </a:xfrm>
                    <a:prstGeom prst="rect">
                      <a:avLst/>
                    </a:prstGeom>
                    <a:noFill/>
                  </pic:spPr>
                </pic:pic>
              </a:graphicData>
            </a:graphic>
          </wp:inline>
        </w:drawing>
      </w:r>
    </w:p>
    <w:p w14:paraId="4F2D3B59">
      <w:pPr>
        <w:ind w:firstLine="0"/>
        <w:rPr>
          <w:rFonts w:eastAsia="Times New Roman"/>
        </w:rPr>
      </w:pPr>
    </w:p>
    <w:p w14:paraId="1EFFA292">
      <w:pPr>
        <w:ind w:firstLine="0"/>
        <w:jc w:val="center"/>
        <w:rPr>
          <w:rFonts w:eastAsia="Times New Roman"/>
        </w:rPr>
      </w:pPr>
    </w:p>
    <w:p w14:paraId="068A1038">
      <w:pPr>
        <w:ind w:firstLine="0"/>
        <w:jc w:val="center"/>
        <w:rPr>
          <w:rFonts w:eastAsia="Times New Roman"/>
        </w:rPr>
      </w:pPr>
    </w:p>
    <w:p w14:paraId="4BD81736">
      <w:pPr>
        <w:ind w:firstLine="0"/>
        <w:jc w:val="center"/>
        <w:rPr>
          <w:rFonts w:eastAsia="Times New Roman"/>
        </w:rPr>
      </w:pPr>
      <w:r>
        <w:rPr>
          <w:rFonts w:eastAsia="Times New Roman"/>
        </w:rPr>
        <w:t xml:space="preserve"> </w:t>
      </w:r>
    </w:p>
    <w:p w14:paraId="04F2C915">
      <w:pPr>
        <w:ind w:firstLine="3480" w:firstLineChars="1450"/>
        <w:jc w:val="both"/>
        <w:rPr>
          <w:rFonts w:eastAsia="Times New Roman"/>
        </w:rPr>
      </w:pPr>
      <w:r>
        <w:rPr>
          <w:rFonts w:eastAsia="Times New Roman"/>
        </w:rPr>
        <w:t xml:space="preserve">LEVEL </w:t>
      </w:r>
      <w:r>
        <w:rPr>
          <w:rFonts w:hint="default" w:eastAsia="Times New Roman"/>
          <w:lang w:val="en-IN"/>
        </w:rPr>
        <w:t xml:space="preserve">7 </w:t>
      </w:r>
      <w:r>
        <w:rPr>
          <w:rFonts w:eastAsia="Times New Roman"/>
        </w:rPr>
        <w:t xml:space="preserve">ASSESSMENT </w:t>
      </w:r>
      <w:bookmarkStart w:id="31" w:name="_GoBack"/>
      <w:bookmarkEnd w:id="31"/>
    </w:p>
    <w:p w14:paraId="54635BF0">
      <w:pPr>
        <w:ind w:firstLine="0"/>
        <w:jc w:val="center"/>
        <w:rPr>
          <w:rFonts w:eastAsia="Times New Roman"/>
        </w:rPr>
      </w:pPr>
    </w:p>
    <w:p w14:paraId="7A841299">
      <w:pPr>
        <w:ind w:firstLine="0"/>
        <w:jc w:val="center"/>
        <w:rPr>
          <w:rFonts w:hint="default" w:eastAsia="Times New Roman"/>
          <w:bCs/>
          <w:lang w:val="en-IN"/>
        </w:rPr>
      </w:pPr>
      <w:r>
        <w:rPr>
          <w:rFonts w:hint="default" w:eastAsia="Times New Roman"/>
          <w:bCs/>
          <w:lang w:val="en-IN"/>
        </w:rPr>
        <w:t xml:space="preserve">Resourcing Financial Management For Project </w:t>
      </w:r>
    </w:p>
    <w:p w14:paraId="0006C60A">
      <w:pPr>
        <w:ind w:firstLine="0"/>
        <w:jc w:val="center"/>
        <w:rPr>
          <w:rFonts w:hint="default" w:eastAsia="Times New Roman"/>
          <w:bCs/>
          <w:lang w:val="en-IN"/>
        </w:rPr>
      </w:pPr>
      <w:r>
        <w:rPr>
          <w:rFonts w:eastAsia="Times New Roman"/>
          <w:bCs/>
        </w:rPr>
        <w:t>ACHA 7</w:t>
      </w:r>
      <w:r>
        <w:rPr>
          <w:rFonts w:hint="default" w:eastAsia="Times New Roman"/>
          <w:bCs/>
          <w:lang w:val="en-IN"/>
        </w:rPr>
        <w:t>028</w:t>
      </w:r>
    </w:p>
    <w:p w14:paraId="4455D2AF">
      <w:pPr>
        <w:ind w:firstLine="0"/>
        <w:jc w:val="center"/>
        <w:rPr>
          <w:rFonts w:hint="default" w:eastAsia="Times New Roman"/>
          <w:bCs/>
          <w:lang w:val="en-IN"/>
        </w:rPr>
      </w:pPr>
    </w:p>
    <w:p w14:paraId="26E001E0">
      <w:pPr>
        <w:ind w:firstLine="0"/>
        <w:jc w:val="center"/>
        <w:rPr>
          <w:rFonts w:hint="default" w:eastAsia="Times New Roman"/>
          <w:bCs/>
          <w:lang w:val="en-IN"/>
        </w:rPr>
      </w:pPr>
      <w:r>
        <w:rPr>
          <w:rFonts w:hint="default" w:eastAsia="Times New Roman"/>
          <w:bCs/>
          <w:lang w:val="en-IN"/>
        </w:rPr>
        <w:t xml:space="preserve">Durgesh Sunil Badhe </w:t>
      </w:r>
    </w:p>
    <w:p w14:paraId="58202FC1">
      <w:pPr>
        <w:ind w:firstLine="0"/>
        <w:jc w:val="center"/>
        <w:rPr>
          <w:rFonts w:hint="default" w:eastAsia="Times New Roman"/>
          <w:bCs/>
          <w:lang w:val="en-IN"/>
        </w:rPr>
      </w:pPr>
    </w:p>
    <w:p w14:paraId="6BBB4DA1">
      <w:pPr>
        <w:ind w:firstLine="0"/>
        <w:jc w:val="center"/>
        <w:rPr>
          <w:rFonts w:hint="default" w:eastAsia="Times New Roman"/>
          <w:bCs/>
          <w:lang w:val="en-IN"/>
        </w:rPr>
      </w:pPr>
      <w:r>
        <w:rPr>
          <w:rFonts w:hint="default" w:eastAsia="Times New Roman"/>
          <w:bCs/>
          <w:lang w:val="en-IN"/>
        </w:rPr>
        <w:t>Student NO - 2506741</w:t>
      </w:r>
    </w:p>
    <w:p w14:paraId="65E71D50">
      <w:pPr>
        <w:jc w:val="center"/>
        <w:rPr>
          <w:rFonts w:eastAsia="Times New Roman"/>
        </w:rPr>
      </w:pPr>
    </w:p>
    <w:p w14:paraId="6B8CB36C">
      <w:pPr>
        <w:jc w:val="center"/>
        <w:rPr>
          <w:rFonts w:eastAsia="Times New Roman"/>
        </w:rPr>
      </w:pPr>
    </w:p>
    <w:p w14:paraId="2326F3ED">
      <w:pPr>
        <w:jc w:val="center"/>
        <w:rPr>
          <w:rFonts w:eastAsia="Times New Roman"/>
        </w:rPr>
      </w:pPr>
    </w:p>
    <w:p w14:paraId="0E69C543">
      <w:pPr>
        <w:jc w:val="center"/>
        <w:rPr>
          <w:rFonts w:eastAsia="Times New Roman"/>
        </w:rPr>
      </w:pPr>
    </w:p>
    <w:p w14:paraId="3310CF96">
      <w:pPr>
        <w:jc w:val="center"/>
        <w:rPr>
          <w:rFonts w:eastAsia="Times New Roman"/>
        </w:rPr>
      </w:pPr>
    </w:p>
    <w:p w14:paraId="231CCB37">
      <w:pPr>
        <w:jc w:val="center"/>
        <w:rPr>
          <w:rFonts w:eastAsia="Times New Roman"/>
        </w:rPr>
      </w:pPr>
    </w:p>
    <w:p w14:paraId="66E7DA96">
      <w:pPr>
        <w:jc w:val="center"/>
        <w:rPr>
          <w:rFonts w:eastAsia="Times New Roman"/>
        </w:rPr>
      </w:pPr>
    </w:p>
    <w:p w14:paraId="536EF6B6">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00141CBA">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1DF07910">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1401F818">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772C386A">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0170D8D9">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49028BBF">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1F3A19E7">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6BCBC918">
      <w:pPr>
        <w:spacing w:after="0" w:line="240" w:lineRule="auto"/>
        <w:ind w:firstLine="600" w:firstLineChars="250"/>
        <w:jc w:val="both"/>
        <w:textAlignment w:val="baseline"/>
        <w:rPr>
          <w:rFonts w:ascii="Arial" w:hAnsi="Arial" w:eastAsia="Arial" w:cs="Arial"/>
          <w:b/>
          <w:bCs/>
          <w:color w:val="000000" w:themeColor="text1"/>
          <w14:textFill>
            <w14:solidFill>
              <w14:schemeClr w14:val="tx1"/>
            </w14:solidFill>
          </w14:textFill>
        </w:rPr>
      </w:pPr>
    </w:p>
    <w:p w14:paraId="47636D88">
      <w:pPr>
        <w:spacing w:after="0" w:line="240" w:lineRule="auto"/>
        <w:ind w:firstLine="600" w:firstLineChars="250"/>
        <w:jc w:val="both"/>
        <w:textAlignment w:val="baseline"/>
        <w:rPr>
          <w:rFonts w:ascii="Arial" w:hAnsi="Arial" w:eastAsia="Arial" w:cs="Arial"/>
          <w:color w:val="000000" w:themeColor="text1"/>
          <w14:textFill>
            <w14:solidFill>
              <w14:schemeClr w14:val="tx1"/>
            </w14:solidFill>
          </w14:textFill>
        </w:rPr>
      </w:pPr>
      <w:r>
        <w:rPr>
          <w:rFonts w:ascii="Arial" w:hAnsi="Arial" w:eastAsia="Arial" w:cs="Arial"/>
          <w:b/>
          <w:bCs/>
          <w:color w:val="000000" w:themeColor="text1"/>
          <w14:textFill>
            <w14:solidFill>
              <w14:schemeClr w14:val="tx1"/>
            </w14:solidFill>
          </w14:textFill>
        </w:rPr>
        <w:t>Use of Generative AI in Assessment </w:t>
      </w:r>
      <w:r>
        <w:rPr>
          <w:rFonts w:ascii="Arial" w:hAnsi="Arial" w:eastAsia="Arial" w:cs="Arial"/>
          <w:color w:val="000000" w:themeColor="text1"/>
          <w14:textFill>
            <w14:solidFill>
              <w14:schemeClr w14:val="tx1"/>
            </w14:solidFill>
          </w14:textFill>
        </w:rPr>
        <w:t> </w:t>
      </w:r>
    </w:p>
    <w:p w14:paraId="6F760D63">
      <w:pPr>
        <w:spacing w:after="0" w:line="240" w:lineRule="auto"/>
        <w:ind w:firstLine="8640"/>
        <w:textAlignment w:val="baseline"/>
        <w:rPr>
          <w:rFonts w:ascii="Times New Roman" w:hAnsi="Times New Roman" w:eastAsia="Times New Roman" w:cs="Times New Roman"/>
          <w:color w:val="000000" w:themeColor="text1"/>
          <w:sz w:val="20"/>
          <w:szCs w:val="20"/>
          <w14:textFill>
            <w14:solidFill>
              <w14:schemeClr w14:val="tx1"/>
            </w14:solidFill>
          </w14:textFill>
        </w:rPr>
      </w:pPr>
      <w:r>
        <w:rPr>
          <w:rFonts w:ascii="Times New Roman" w:hAnsi="Times New Roman" w:eastAsia="Times New Roman" w:cs="Times New Roman"/>
          <w:color w:val="000000" w:themeColor="text1"/>
          <w:sz w:val="20"/>
          <w:szCs w:val="20"/>
          <w14:textFill>
            <w14:solidFill>
              <w14:schemeClr w14:val="tx1"/>
            </w14:solidFill>
          </w14:textFill>
        </w:rPr>
        <w:t>  </w:t>
      </w:r>
    </w:p>
    <w:p w14:paraId="51EEB09A">
      <w:pPr>
        <w:spacing w:after="0" w:line="240" w:lineRule="auto"/>
        <w:textAlignment w:val="baseline"/>
        <w:rPr>
          <w:rFonts w:ascii="Times New Roman" w:hAnsi="Times New Roman" w:eastAsia="Times New Roman" w:cs="Times New Roman"/>
          <w:color w:val="000000" w:themeColor="text1"/>
          <w:sz w:val="20"/>
          <w:szCs w:val="20"/>
          <w14:textFill>
            <w14:solidFill>
              <w14:schemeClr w14:val="tx1"/>
            </w14:solidFill>
          </w14:textFill>
        </w:rPr>
      </w:pPr>
    </w:p>
    <w:tbl>
      <w:tblPr>
        <w:tblStyle w:val="12"/>
        <w:tblW w:w="0" w:type="auto"/>
        <w:tblInd w:w="60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108" w:type="dxa"/>
          <w:bottom w:w="0" w:type="dxa"/>
          <w:right w:w="108" w:type="dxa"/>
        </w:tblCellMar>
      </w:tblPr>
      <w:tblGrid>
        <w:gridCol w:w="2291"/>
        <w:gridCol w:w="4935"/>
        <w:gridCol w:w="1260"/>
      </w:tblGrid>
      <w:tr w14:paraId="5F77EDD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auto" w:sz="6" w:space="0"/>
              <w:left w:val="single" w:color="auto" w:sz="6" w:space="0"/>
              <w:bottom w:val="single" w:color="000000" w:themeColor="text1" w:sz="6" w:space="0"/>
              <w:right w:val="single" w:color="000000" w:themeColor="text1" w:sz="6" w:space="0"/>
            </w:tcBorders>
            <w:tcMar>
              <w:left w:w="105" w:type="dxa"/>
              <w:right w:w="105" w:type="dxa"/>
            </w:tcMar>
          </w:tcPr>
          <w:p w14:paraId="7C75143B">
            <w:pPr>
              <w:spacing w:after="0" w:line="240" w:lineRule="auto"/>
              <w:rPr>
                <w:rFonts w:ascii="Arial" w:hAnsi="Arial" w:eastAsia="Arial" w:cs="Arial"/>
              </w:rPr>
            </w:pPr>
            <w:r>
              <w:rPr>
                <w:rFonts w:ascii="Arial" w:hAnsi="Arial" w:eastAsia="Arial" w:cs="Arial"/>
              </w:rPr>
              <w:t>RESEARCH  </w:t>
            </w:r>
          </w:p>
        </w:tc>
        <w:tc>
          <w:tcPr>
            <w:tcW w:w="4935" w:type="dxa"/>
            <w:tcBorders>
              <w:top w:val="single" w:color="auto"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719C084E">
            <w:pPr>
              <w:spacing w:after="0" w:line="240" w:lineRule="auto"/>
              <w:rPr>
                <w:rFonts w:ascii="Arial" w:hAnsi="Arial" w:eastAsia="Arial" w:cs="Arial"/>
              </w:rPr>
            </w:pPr>
            <w:r>
              <w:rPr>
                <w:rFonts w:ascii="Arial" w:hAnsi="Arial" w:eastAsia="Arial" w:cs="Arial"/>
              </w:rPr>
              <w:t>For this assessment, you can use Generative AI to support you in research, including searching for bibliography, using tools to summarise, compare and interrogate materials.  </w:t>
            </w:r>
          </w:p>
        </w:tc>
        <w:tc>
          <w:tcPr>
            <w:tcW w:w="126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14:paraId="1060F0F9">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7B50347B">
            <w:pPr>
              <w:spacing w:after="0" w:line="240" w:lineRule="auto"/>
              <w:rPr>
                <w:rFonts w:ascii="Arial" w:hAnsi="Arial" w:eastAsia="Arial" w:cs="Arial"/>
              </w:rPr>
            </w:pPr>
            <w:r>
              <w:rPr>
                <w:rFonts w:ascii="Arial" w:hAnsi="Arial" w:eastAsia="Arial" w:cs="Arial"/>
              </w:rPr>
              <w:t>  </w:t>
            </w:r>
          </w:p>
          <w:p w14:paraId="143DA1B1">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r w14:paraId="5D7A311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03ED2116">
            <w:pPr>
              <w:spacing w:after="0" w:line="240" w:lineRule="auto"/>
              <w:rPr>
                <w:rFonts w:ascii="Arial" w:hAnsi="Arial" w:eastAsia="Arial" w:cs="Arial"/>
              </w:rPr>
            </w:pPr>
            <w:r>
              <w:rPr>
                <w:rFonts w:ascii="Arial" w:hAnsi="Arial" w:eastAsia="Arial" w:cs="Arial"/>
              </w:rPr>
              <w:t>STRUCTURE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22F6FDCB">
            <w:pPr>
              <w:spacing w:after="0" w:line="240" w:lineRule="auto"/>
              <w:rPr>
                <w:rFonts w:ascii="Arial" w:hAnsi="Arial" w:eastAsia="Arial" w:cs="Arial"/>
              </w:rPr>
            </w:pPr>
            <w:r>
              <w:rPr>
                <w:rFonts w:ascii="Arial" w:hAnsi="Arial" w:eastAsia="Arial" w:cs="Arial"/>
              </w:rPr>
              <w:t>For this assessment, you can use Generative AI to support you in structuring your submission, including creating a draft argument structure, identifying parts and headings, etc.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23BE1218">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15316EC4">
            <w:pPr>
              <w:spacing w:after="0" w:line="240" w:lineRule="auto"/>
              <w:rPr>
                <w:rFonts w:ascii="Arial" w:hAnsi="Arial" w:eastAsia="Arial" w:cs="Arial"/>
              </w:rPr>
            </w:pPr>
            <w:r>
              <w:rPr>
                <w:rFonts w:ascii="Arial" w:hAnsi="Arial" w:eastAsia="Arial" w:cs="Arial"/>
              </w:rPr>
              <w:t>  </w:t>
            </w:r>
          </w:p>
          <w:p w14:paraId="4D815BC3">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r w14:paraId="4F5F556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25357779">
            <w:pPr>
              <w:spacing w:after="0" w:line="240" w:lineRule="auto"/>
              <w:rPr>
                <w:rFonts w:ascii="Arial" w:hAnsi="Arial" w:eastAsia="Arial" w:cs="Arial"/>
              </w:rPr>
            </w:pPr>
            <w:r>
              <w:rPr>
                <w:rFonts w:ascii="Arial" w:hAnsi="Arial" w:eastAsia="Arial" w:cs="Arial"/>
              </w:rPr>
              <w:t>PROOFREADING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2891DD53">
            <w:pPr>
              <w:spacing w:after="0" w:line="240" w:lineRule="auto"/>
              <w:rPr>
                <w:rFonts w:ascii="Arial" w:hAnsi="Arial" w:eastAsia="Arial" w:cs="Arial"/>
              </w:rPr>
            </w:pPr>
            <w:r>
              <w:rPr>
                <w:rFonts w:ascii="Arial" w:hAnsi="Arial" w:eastAsia="Arial" w:cs="Arial"/>
              </w:rPr>
              <w:t>For this assessment, you can use Generative AI to check your own text/creation for grammatical and syntactical mistakes, including rephrasing of your own work within specific standards.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6B2DAFF4">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4DDEC335">
            <w:pPr>
              <w:spacing w:after="0" w:line="240" w:lineRule="auto"/>
              <w:rPr>
                <w:rFonts w:ascii="Arial" w:hAnsi="Arial" w:eastAsia="Arial" w:cs="Arial"/>
              </w:rPr>
            </w:pPr>
            <w:r>
              <w:rPr>
                <w:rFonts w:ascii="Arial" w:hAnsi="Arial" w:eastAsia="Arial" w:cs="Arial"/>
              </w:rPr>
              <w:t>  </w:t>
            </w:r>
          </w:p>
          <w:p w14:paraId="4AE00E53">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r w14:paraId="0DDCAE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741B7570">
            <w:pPr>
              <w:spacing w:after="0" w:line="240" w:lineRule="auto"/>
              <w:rPr>
                <w:rFonts w:ascii="Arial" w:hAnsi="Arial" w:eastAsia="Arial" w:cs="Arial"/>
              </w:rPr>
            </w:pPr>
            <w:r>
              <w:rPr>
                <w:rFonts w:ascii="Arial" w:hAnsi="Arial" w:eastAsia="Arial" w:cs="Arial"/>
              </w:rPr>
              <w:t>WRITING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7327383D">
            <w:pPr>
              <w:spacing w:after="0" w:line="240" w:lineRule="auto"/>
              <w:rPr>
                <w:rFonts w:ascii="Arial" w:hAnsi="Arial" w:eastAsia="Arial" w:cs="Arial"/>
              </w:rPr>
            </w:pPr>
            <w:r>
              <w:rPr>
                <w:rFonts w:ascii="Arial" w:hAnsi="Arial" w:eastAsia="Arial" w:cs="Arial"/>
              </w:rPr>
              <w:t>For this assessment, you can use Generative AI to create text for submission.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51047D3E">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554E8798">
            <w:pPr>
              <w:spacing w:after="0" w:line="240" w:lineRule="auto"/>
              <w:rPr>
                <w:rFonts w:ascii="Arial" w:hAnsi="Arial" w:eastAsia="Arial" w:cs="Arial"/>
              </w:rPr>
            </w:pPr>
            <w:r>
              <w:rPr>
                <w:rFonts w:ascii="Arial" w:hAnsi="Arial" w:eastAsia="Arial" w:cs="Arial"/>
              </w:rPr>
              <w:t>  </w:t>
            </w:r>
          </w:p>
          <w:p w14:paraId="3736FD4E">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r w14:paraId="055CFC7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4C865685">
            <w:pPr>
              <w:spacing w:after="0" w:line="240" w:lineRule="auto"/>
              <w:rPr>
                <w:rFonts w:ascii="Arial" w:hAnsi="Arial" w:eastAsia="Arial" w:cs="Arial"/>
              </w:rPr>
            </w:pPr>
            <w:r>
              <w:rPr>
                <w:rFonts w:ascii="Arial" w:hAnsi="Arial" w:eastAsia="Arial" w:cs="Arial"/>
              </w:rPr>
              <w:t>CREATIVE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6533A440">
            <w:pPr>
              <w:spacing w:after="0" w:line="240" w:lineRule="auto"/>
              <w:rPr>
                <w:rFonts w:ascii="Arial" w:hAnsi="Arial" w:eastAsia="Arial" w:cs="Arial"/>
              </w:rPr>
            </w:pPr>
            <w:r>
              <w:rPr>
                <w:rFonts w:ascii="Arial" w:hAnsi="Arial" w:eastAsia="Arial" w:cs="Arial"/>
              </w:rPr>
              <w:t>For this assessment, you can use Generative AI to create creative materials, such as images.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51BA4E57">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4786B172">
            <w:pPr>
              <w:spacing w:after="0" w:line="240" w:lineRule="auto"/>
              <w:rPr>
                <w:rFonts w:ascii="Arial" w:hAnsi="Arial" w:eastAsia="Arial" w:cs="Arial"/>
              </w:rPr>
            </w:pPr>
            <w:r>
              <w:rPr>
                <w:rFonts w:ascii="Arial" w:hAnsi="Arial" w:eastAsia="Arial" w:cs="Arial"/>
              </w:rPr>
              <w:t>  </w:t>
            </w:r>
          </w:p>
          <w:p w14:paraId="5A51A5B5">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r w14:paraId="28D6EB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388C2823">
            <w:pPr>
              <w:spacing w:after="0" w:line="240" w:lineRule="auto"/>
              <w:rPr>
                <w:rFonts w:ascii="Arial" w:hAnsi="Arial" w:eastAsia="Arial" w:cs="Arial"/>
              </w:rPr>
            </w:pPr>
            <w:r>
              <w:rPr>
                <w:rFonts w:ascii="Arial" w:hAnsi="Arial" w:eastAsia="Arial" w:cs="Arial"/>
              </w:rPr>
              <w:t>PROGRAMING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1B992125">
            <w:pPr>
              <w:spacing w:after="0" w:line="240" w:lineRule="auto"/>
              <w:rPr>
                <w:rFonts w:ascii="Arial" w:hAnsi="Arial" w:eastAsia="Arial" w:cs="Arial"/>
              </w:rPr>
            </w:pPr>
            <w:r>
              <w:rPr>
                <w:rFonts w:ascii="Arial" w:hAnsi="Arial" w:eastAsia="Arial" w:cs="Arial"/>
              </w:rPr>
              <w:t>For this assessment, you can use Generative AI to create and check code.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08AA82C2">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4C5E0692">
            <w:pPr>
              <w:spacing w:after="0" w:line="240" w:lineRule="auto"/>
              <w:rPr>
                <w:rFonts w:ascii="Arial" w:hAnsi="Arial" w:eastAsia="Arial" w:cs="Arial"/>
              </w:rPr>
            </w:pPr>
            <w:r>
              <w:rPr>
                <w:rFonts w:ascii="Arial" w:hAnsi="Arial" w:eastAsia="Arial" w:cs="Arial"/>
              </w:rPr>
              <w:t>  </w:t>
            </w:r>
          </w:p>
          <w:p w14:paraId="331CB117">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r w14:paraId="70908F6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auto" w:sz="6" w:space="0"/>
              <w:right w:val="single" w:color="000000" w:themeColor="text1" w:sz="6" w:space="0"/>
            </w:tcBorders>
            <w:tcMar>
              <w:left w:w="105" w:type="dxa"/>
              <w:right w:w="105" w:type="dxa"/>
            </w:tcMar>
          </w:tcPr>
          <w:p w14:paraId="39F8F5C7">
            <w:pPr>
              <w:spacing w:after="0" w:line="240" w:lineRule="auto"/>
              <w:rPr>
                <w:rFonts w:ascii="Arial" w:hAnsi="Arial" w:eastAsia="Arial" w:cs="Arial"/>
              </w:rPr>
            </w:pPr>
            <w:r>
              <w:rPr>
                <w:rFonts w:ascii="Arial" w:hAnsi="Arial" w:eastAsia="Arial" w:cs="Arial"/>
              </w:rPr>
              <w:t>NONE  </w:t>
            </w:r>
          </w:p>
        </w:tc>
        <w:tc>
          <w:tcPr>
            <w:tcW w:w="4935" w:type="dxa"/>
            <w:tcBorders>
              <w:top w:val="single" w:color="000000" w:themeColor="text1" w:sz="6" w:space="0"/>
              <w:left w:val="single" w:color="000000" w:themeColor="text1" w:sz="6" w:space="0"/>
              <w:bottom w:val="single" w:color="auto" w:sz="6" w:space="0"/>
              <w:right w:val="single" w:color="000000" w:themeColor="text1" w:sz="6" w:space="0"/>
            </w:tcBorders>
            <w:tcMar>
              <w:left w:w="105" w:type="dxa"/>
              <w:right w:w="105" w:type="dxa"/>
            </w:tcMar>
          </w:tcPr>
          <w:p w14:paraId="051F8F0D">
            <w:pPr>
              <w:spacing w:after="0" w:line="240" w:lineRule="auto"/>
              <w:rPr>
                <w:rFonts w:ascii="Arial" w:hAnsi="Arial" w:eastAsia="Arial" w:cs="Arial"/>
              </w:rPr>
            </w:pPr>
            <w:r>
              <w:rPr>
                <w:rFonts w:ascii="Arial" w:hAnsi="Arial" w:eastAsia="Arial" w:cs="Arial"/>
              </w:rPr>
              <w:t xml:space="preserve">For this assessment, you are not allowed to use </w:t>
            </w:r>
            <w:r>
              <w:rPr>
                <w:rFonts w:ascii="Arial" w:hAnsi="Arial" w:eastAsia="Arial" w:cs="Arial"/>
                <w:b/>
                <w:bCs/>
              </w:rPr>
              <w:t>any</w:t>
            </w:r>
            <w:r>
              <w:rPr>
                <w:rFonts w:ascii="Arial" w:hAnsi="Arial" w:eastAsia="Arial" w:cs="Arial"/>
              </w:rPr>
              <w:t xml:space="preserve"> type of Generative AI support. This includes research support, structure support, writing/proofreading support and creative support.  </w:t>
            </w:r>
          </w:p>
        </w:tc>
        <w:tc>
          <w:tcPr>
            <w:tcW w:w="126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14:paraId="67E08AE1">
            <w:pPr>
              <w:spacing w:after="0" w:line="240" w:lineRule="auto"/>
              <w:rPr>
                <w:rFonts w:ascii="Arial" w:hAnsi="Arial" w:eastAsia="Arial" w:cs="Arial"/>
              </w:rPr>
            </w:pPr>
            <w:r>
              <w:rPr>
                <w:rFonts w:ascii="Arial" w:hAnsi="Arial" w:eastAsia="Arial" w:cs="Arial"/>
              </w:rPr>
              <w:t xml:space="preserve">Yes </w:t>
            </w:r>
            <w:r>
              <w:rPr>
                <w:rFonts w:ascii="MS Gothic" w:hAnsi="MS Gothic" w:eastAsia="MS Gothic" w:cs="MS Gothic"/>
              </w:rPr>
              <w:t>☐</w:t>
            </w:r>
            <w:r>
              <w:rPr>
                <w:rFonts w:ascii="Arial" w:hAnsi="Arial" w:eastAsia="Arial" w:cs="Arial"/>
              </w:rPr>
              <w:t xml:space="preserve">   </w:t>
            </w:r>
          </w:p>
          <w:p w14:paraId="440F205E">
            <w:pPr>
              <w:spacing w:after="0" w:line="240" w:lineRule="auto"/>
              <w:rPr>
                <w:rFonts w:ascii="Arial" w:hAnsi="Arial" w:eastAsia="Arial" w:cs="Arial"/>
              </w:rPr>
            </w:pPr>
            <w:r>
              <w:rPr>
                <w:rFonts w:ascii="Arial" w:hAnsi="Arial" w:eastAsia="Arial" w:cs="Arial"/>
              </w:rPr>
              <w:t>  </w:t>
            </w:r>
          </w:p>
          <w:p w14:paraId="481E3A00">
            <w:pPr>
              <w:spacing w:after="0" w:line="240" w:lineRule="auto"/>
              <w:rPr>
                <w:rFonts w:ascii="Arial" w:hAnsi="Arial" w:eastAsia="Arial" w:cs="Arial"/>
              </w:rPr>
            </w:pPr>
            <w:r>
              <w:rPr>
                <w:rFonts w:ascii="Arial" w:hAnsi="Arial" w:eastAsia="Arial" w:cs="Arial"/>
              </w:rPr>
              <w:t xml:space="preserve">No  </w:t>
            </w:r>
            <w:r>
              <w:rPr>
                <w:rFonts w:ascii="MS Gothic" w:hAnsi="MS Gothic" w:eastAsia="MS Gothic" w:cs="MS Gothic"/>
              </w:rPr>
              <w:t>☒</w:t>
            </w:r>
            <w:r>
              <w:rPr>
                <w:rFonts w:ascii="Arial" w:hAnsi="Arial" w:eastAsia="Arial" w:cs="Arial"/>
              </w:rPr>
              <w:t xml:space="preserve">   </w:t>
            </w:r>
          </w:p>
        </w:tc>
      </w:tr>
    </w:tbl>
    <w:p w14:paraId="286CFC0B">
      <w:pPr>
        <w:spacing w:after="0" w:line="240" w:lineRule="auto"/>
        <w:textAlignment w:val="baseline"/>
        <w:rPr>
          <w:rFonts w:ascii="Arial" w:hAnsi="Arial" w:eastAsia="Times New Roman" w:cs="Arial"/>
          <w:kern w:val="0"/>
          <w:sz w:val="24"/>
          <w:szCs w:val="24"/>
          <w14:ligatures w14:val="none"/>
        </w:rPr>
      </w:pPr>
      <w:r>
        <w:rPr>
          <w:rFonts w:ascii="Arial" w:hAnsi="Arial" w:eastAsia="Times New Roman" w:cs="Arial"/>
          <w:kern w:val="0"/>
          <w:sz w:val="24"/>
          <w:szCs w:val="24"/>
          <w14:ligatures w14:val="none"/>
        </w:rPr>
        <w:t xml:space="preserve">           AI Acknowledgement </w:t>
      </w:r>
    </w:p>
    <w:p w14:paraId="4A9328D3">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w:t>
      </w:r>
    </w:p>
    <w:p w14:paraId="0A91FC73">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I confirm that I have not present any AI-generated materials as my own work in this portfolio. </w:t>
      </w:r>
    </w:p>
    <w:p w14:paraId="1D8E7A6E">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w:t>
      </w:r>
    </w:p>
    <w:p w14:paraId="7DFB9FB4">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However, I acknowledge that I have used or may have used the AI in the research and proofreading of my portfolio. </w:t>
      </w:r>
    </w:p>
    <w:p w14:paraId="392AC31D">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w:t>
      </w:r>
    </w:p>
    <w:p w14:paraId="388BF9CA">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Name:</w:t>
      </w:r>
      <w:r>
        <w:rPr>
          <w:rFonts w:hint="default" w:ascii="Arial" w:hAnsi="Arial" w:eastAsia="Times New Roman" w:cs="Arial"/>
          <w:kern w:val="0"/>
          <w:sz w:val="24"/>
          <w:szCs w:val="24"/>
          <w:lang w:val="en-IN"/>
          <w14:ligatures w14:val="none"/>
        </w:rPr>
        <w:t xml:space="preserve">Durgesh Sunil Badhe </w:t>
      </w:r>
      <w:r>
        <w:rPr>
          <w:rFonts w:ascii="Arial" w:hAnsi="Arial" w:eastAsia="Times New Roman" w:cs="Arial"/>
          <w:kern w:val="0"/>
          <w:sz w:val="24"/>
          <w:szCs w:val="24"/>
          <w14:ligatures w14:val="none"/>
        </w:rPr>
        <w:t>............ </w:t>
      </w:r>
    </w:p>
    <w:p w14:paraId="6CFA9472">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Student ID</w:t>
      </w:r>
      <w:r>
        <w:rPr>
          <w:rFonts w:hint="default" w:ascii="Arial" w:hAnsi="Arial" w:eastAsia="Times New Roman" w:cs="Arial"/>
          <w:kern w:val="0"/>
          <w:sz w:val="24"/>
          <w:szCs w:val="24"/>
          <w:lang w:val="en-IN"/>
          <w14:ligatures w14:val="none"/>
        </w:rPr>
        <w:t xml:space="preserve">  S2506741</w:t>
      </w:r>
      <w:r>
        <w:rPr>
          <w:rFonts w:ascii="Arial" w:hAnsi="Arial" w:eastAsia="Times New Roman" w:cs="Arial"/>
          <w:kern w:val="0"/>
          <w:sz w:val="24"/>
          <w:szCs w:val="24"/>
          <w14:ligatures w14:val="none"/>
        </w:rPr>
        <w:t>.............. </w:t>
      </w:r>
    </w:p>
    <w:p w14:paraId="0C144C1A">
      <w:pPr>
        <w:spacing w:after="0" w:line="240" w:lineRule="auto"/>
        <w:ind w:left="720"/>
        <w:jc w:val="center"/>
        <w:rPr>
          <w:b/>
          <w:bCs/>
          <w:sz w:val="28"/>
          <w:szCs w:val="28"/>
          <w:u w:val="single"/>
        </w:rPr>
      </w:pPr>
    </w:p>
    <w:p w14:paraId="5E3ACCB1">
      <w:pPr>
        <w:pStyle w:val="2"/>
        <w:spacing w:line="360" w:lineRule="auto"/>
        <w:jc w:val="both"/>
        <w:rPr>
          <w:rFonts w:ascii="Times New Roman" w:hAnsi="Times New Roman" w:cs="Times New Roman"/>
          <w:sz w:val="24"/>
          <w:szCs w:val="24"/>
          <w:highlight w:val="none"/>
        </w:rPr>
      </w:pPr>
      <w:bookmarkStart w:id="0" w:name="_Toc223130526"/>
      <w:r>
        <w:rPr>
          <w:rFonts w:ascii="Times New Roman" w:hAnsi="Times New Roman" w:cs="Times New Roman"/>
          <w:sz w:val="24"/>
          <w:szCs w:val="24"/>
          <w:highlight w:val="none"/>
        </w:rPr>
        <w:t>Executive Summary:</w:t>
      </w:r>
      <w:bookmarkEnd w:id="0"/>
    </w:p>
    <w:p w14:paraId="7298F900">
      <w:pPr>
        <w:spacing w:line="360" w:lineRule="auto"/>
        <w:jc w:val="both"/>
        <w:rPr>
          <w:rFonts w:ascii="Times New Roman" w:hAnsi="Times New Roman" w:cs="Times New Roman"/>
          <w:highlight w:val="none"/>
        </w:rPr>
      </w:pPr>
      <w:r>
        <w:rPr>
          <w:rFonts w:ascii="Times New Roman" w:hAnsi="Times New Roman" w:cs="Times New Roman"/>
          <w:highlight w:val="none"/>
        </w:rPr>
        <w:t>The report appraises the financial viability and financial management structure of a planned development of a £50 million NHS Dental Clinic in Birmingham that aims to enhance access to NHS dental services and shorten the waiting time by patients.</w:t>
      </w:r>
    </w:p>
    <w:p w14:paraId="0C7C2C20">
      <w:pPr>
        <w:spacing w:line="360" w:lineRule="auto"/>
        <w:jc w:val="both"/>
        <w:rPr>
          <w:rFonts w:ascii="Times New Roman" w:hAnsi="Times New Roman" w:cs="Times New Roman"/>
          <w:highlight w:val="none"/>
        </w:rPr>
      </w:pPr>
      <w:r>
        <w:rPr>
          <w:rFonts w:ascii="Times New Roman" w:hAnsi="Times New Roman" w:cs="Times New Roman"/>
          <w:highlight w:val="none"/>
        </w:rPr>
        <w:t>Three sources of finance were examined, and these are direct government funding, public- private partnership (PPP), and government bond funding. The analysis has shown that the lowest cost of capital is offered by government funding or sovereign borrowing and that it also maintains public ownership whereas PPP structures can raise long-term costs even through transferring part of the project risks.</w:t>
      </w:r>
    </w:p>
    <w:p w14:paraId="586B58AB">
      <w:pPr>
        <w:spacing w:line="360" w:lineRule="auto"/>
        <w:jc w:val="both"/>
        <w:rPr>
          <w:rFonts w:ascii="Times New Roman" w:hAnsi="Times New Roman" w:cs="Times New Roman"/>
          <w:highlight w:val="none"/>
        </w:rPr>
      </w:pPr>
      <w:r>
        <w:rPr>
          <w:rFonts w:ascii="Times New Roman" w:hAnsi="Times New Roman" w:cs="Times New Roman"/>
          <w:highlight w:val="none"/>
        </w:rPr>
        <w:t>The NPV, IRR, Payback Period and Profitability Index capital investment appraisal indicate that the project is viable in terms of finance based on the base-case assumptions. Nevertheless, scenario analysis indicates sensitivity to revenue decreases and price increases.</w:t>
      </w:r>
    </w:p>
    <w:p w14:paraId="017446F8">
      <w:pPr>
        <w:spacing w:line="360" w:lineRule="auto"/>
        <w:jc w:val="both"/>
        <w:rPr>
          <w:rFonts w:ascii="Times New Roman" w:hAnsi="Times New Roman" w:cs="Times New Roman"/>
          <w:highlight w:val="none"/>
        </w:rPr>
      </w:pPr>
      <w:r>
        <w:rPr>
          <w:rFonts w:ascii="Times New Roman" w:hAnsi="Times New Roman" w:cs="Times New Roman"/>
          <w:highlight w:val="none"/>
        </w:rPr>
        <w:t>The report suggests an elaborate financial control system, which consists of contingency budgeting, Earned Value Management (EVM), procurement controls and risk management systems to address these risks. It also proposes a well-organized financial reporting system, governance, KPI, and digital reporting systems to guarantee transparency and accountability as well as proper long-term financial management.</w:t>
      </w:r>
    </w:p>
    <w:p w14:paraId="51469B26">
      <w:pPr>
        <w:spacing w:line="360" w:lineRule="auto"/>
        <w:jc w:val="both"/>
        <w:rPr>
          <w:rFonts w:ascii="Times New Roman" w:hAnsi="Times New Roman" w:cs="Times New Roman"/>
          <w:highlight w:val="none"/>
        </w:rPr>
      </w:pPr>
    </w:p>
    <w:p w14:paraId="0833E40A">
      <w:pPr>
        <w:spacing w:line="360" w:lineRule="auto"/>
        <w:jc w:val="both"/>
        <w:rPr>
          <w:rFonts w:ascii="Times New Roman" w:hAnsi="Times New Roman" w:cs="Times New Roman"/>
          <w:highlight w:val="none"/>
        </w:rPr>
      </w:pPr>
    </w:p>
    <w:p w14:paraId="693EF36D">
      <w:pPr>
        <w:spacing w:line="360" w:lineRule="auto"/>
        <w:jc w:val="both"/>
        <w:rPr>
          <w:rFonts w:ascii="Times New Roman" w:hAnsi="Times New Roman" w:cs="Times New Roman"/>
          <w:highlight w:val="none"/>
        </w:rPr>
      </w:pPr>
    </w:p>
    <w:sdt>
      <w:sdtPr>
        <w:rPr>
          <w:rFonts w:ascii="Times New Roman" w:hAnsi="Times New Roman" w:cs="Times New Roman" w:eastAsiaTheme="minorHAnsi"/>
          <w:color w:val="auto"/>
          <w:kern w:val="2"/>
          <w:sz w:val="24"/>
          <w:szCs w:val="24"/>
          <w:highlight w:val="none"/>
          <w14:ligatures w14:val="standardContextual"/>
        </w:rPr>
        <w:id w:val="1816518760"/>
        <w:docPartObj>
          <w:docPartGallery w:val="Table of Contents"/>
          <w:docPartUnique/>
        </w:docPartObj>
      </w:sdtPr>
      <w:sdtEndPr>
        <w:rPr>
          <w:rFonts w:ascii="Times New Roman" w:hAnsi="Times New Roman" w:cs="Times New Roman" w:eastAsiaTheme="minorHAnsi"/>
          <w:b/>
          <w:bCs/>
          <w:color w:val="auto"/>
          <w:kern w:val="2"/>
          <w:sz w:val="24"/>
          <w:szCs w:val="24"/>
          <w:highlight w:val="none"/>
          <w14:ligatures w14:val="standardContextual"/>
        </w:rPr>
      </w:sdtEndPr>
      <w:sdtContent>
        <w:p w14:paraId="31A7AA1D">
          <w:pPr>
            <w:pStyle w:val="43"/>
            <w:spacing w:line="360" w:lineRule="auto"/>
            <w:jc w:val="both"/>
            <w:rPr>
              <w:rFonts w:ascii="Times New Roman" w:hAnsi="Times New Roman" w:cs="Times New Roman" w:eastAsiaTheme="minorHAnsi"/>
              <w:color w:val="auto"/>
              <w:kern w:val="2"/>
              <w:sz w:val="24"/>
              <w:szCs w:val="24"/>
              <w:highlight w:val="none"/>
              <w14:ligatures w14:val="standardContextual"/>
            </w:rPr>
          </w:pPr>
        </w:p>
        <w:p w14:paraId="5183383B">
          <w:pPr>
            <w:pStyle w:val="43"/>
            <w:spacing w:line="360" w:lineRule="auto"/>
            <w:jc w:val="both"/>
            <w:rPr>
              <w:rFonts w:ascii="Times New Roman" w:hAnsi="Times New Roman" w:cs="Times New Roman" w:eastAsiaTheme="minorHAnsi"/>
              <w:color w:val="auto"/>
              <w:kern w:val="2"/>
              <w:sz w:val="24"/>
              <w:szCs w:val="24"/>
              <w:highlight w:val="none"/>
              <w14:ligatures w14:val="standardContextual"/>
            </w:rPr>
          </w:pPr>
        </w:p>
        <w:p w14:paraId="60A264C9">
          <w:pPr>
            <w:pStyle w:val="43"/>
            <w:spacing w:line="360" w:lineRule="auto"/>
            <w:jc w:val="both"/>
            <w:rPr>
              <w:rFonts w:ascii="Times New Roman" w:hAnsi="Times New Roman" w:cs="Times New Roman" w:eastAsiaTheme="minorHAnsi"/>
              <w:color w:val="auto"/>
              <w:kern w:val="2"/>
              <w:sz w:val="24"/>
              <w:szCs w:val="24"/>
              <w:highlight w:val="none"/>
              <w14:ligatures w14:val="standardContextual"/>
            </w:rPr>
          </w:pPr>
        </w:p>
        <w:p w14:paraId="1DAF69BA">
          <w:pPr>
            <w:pStyle w:val="43"/>
            <w:spacing w:line="360" w:lineRule="auto"/>
            <w:jc w:val="both"/>
            <w:rPr>
              <w:rFonts w:ascii="Times New Roman" w:hAnsi="Times New Roman" w:cs="Times New Roman"/>
              <w:sz w:val="24"/>
              <w:szCs w:val="24"/>
              <w:highlight w:val="none"/>
            </w:rPr>
          </w:pPr>
        </w:p>
        <w:p w14:paraId="72B1E13F"/>
        <w:p w14:paraId="35F1A927">
          <w:pPr>
            <w:pStyle w:val="43"/>
            <w:spacing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Contents</w:t>
          </w:r>
        </w:p>
        <w:p w14:paraId="1ED0774B">
          <w:pPr>
            <w:pStyle w:val="20"/>
            <w:tabs>
              <w:tab w:val="right" w:leader="dot" w:pos="9350"/>
            </w:tabs>
            <w:spacing w:line="360" w:lineRule="auto"/>
            <w:jc w:val="both"/>
            <w:rPr>
              <w:rFonts w:ascii="Times New Roman" w:hAnsi="Times New Roman" w:cs="Times New Roman"/>
              <w:highlight w:val="none"/>
            </w:rPr>
          </w:pPr>
          <w:r>
            <w:rPr>
              <w:rFonts w:ascii="Times New Roman" w:hAnsi="Times New Roman" w:cs="Times New Roman"/>
              <w:highlight w:val="none"/>
            </w:rPr>
            <w:fldChar w:fldCharType="begin"/>
          </w:r>
          <w:r>
            <w:rPr>
              <w:rFonts w:ascii="Times New Roman" w:hAnsi="Times New Roman" w:cs="Times New Roman"/>
              <w:highlight w:val="none"/>
            </w:rPr>
            <w:instrText xml:space="preserve"> TOC \o "1-3" \h \z \u </w:instrText>
          </w:r>
          <w:r>
            <w:rPr>
              <w:rFonts w:ascii="Times New Roman" w:hAnsi="Times New Roman" w:cs="Times New Roman"/>
              <w:highlight w:val="none"/>
            </w:rPr>
            <w:fldChar w:fldCharType="separate"/>
          </w:r>
          <w:r>
            <w:rPr>
              <w:highlight w:val="none"/>
            </w:rPr>
            <w:fldChar w:fldCharType="begin"/>
          </w:r>
          <w:r>
            <w:rPr>
              <w:highlight w:val="none"/>
            </w:rPr>
            <w:instrText xml:space="preserve"> HYPERLINK \l "_Toc223130526" </w:instrText>
          </w:r>
          <w:r>
            <w:rPr>
              <w:highlight w:val="none"/>
            </w:rPr>
            <w:fldChar w:fldCharType="separate"/>
          </w:r>
          <w:r>
            <w:rPr>
              <w:rStyle w:val="15"/>
              <w:rFonts w:ascii="Times New Roman" w:hAnsi="Times New Roman" w:cs="Times New Roman"/>
              <w:highlight w:val="none"/>
            </w:rPr>
            <w:t>Executive Summary:</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_Toc223130526 \h </w:instrText>
          </w:r>
          <w:r>
            <w:rPr>
              <w:rFonts w:ascii="Times New Roman" w:hAnsi="Times New Roman" w:cs="Times New Roman"/>
              <w:highlight w:val="none"/>
            </w:rPr>
            <w:fldChar w:fldCharType="separate"/>
          </w:r>
          <w:r>
            <w:rPr>
              <w:rFonts w:ascii="Times New Roman" w:hAnsi="Times New Roman" w:cs="Times New Roman"/>
              <w:highlight w:val="none"/>
            </w:rPr>
            <w:t>1</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3E7D2FC5">
          <w:pPr>
            <w:pStyle w:val="20"/>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"_Toc223130527" </w:instrText>
          </w:r>
          <w:r>
            <w:rPr>
              <w:highlight w:val="none"/>
            </w:rPr>
            <w:fldChar w:fldCharType="separate"/>
          </w:r>
          <w:r>
            <w:rPr>
              <w:rStyle w:val="15"/>
              <w:rFonts w:ascii="Times New Roman" w:hAnsi="Times New Roman" w:cs="Times New Roman"/>
              <w:highlight w:val="none"/>
            </w:rPr>
            <w:t>Introduction and Project Overview</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_Toc223130527 \h </w:instrText>
          </w:r>
          <w:r>
            <w:rPr>
              <w:rFonts w:ascii="Times New Roman" w:hAnsi="Times New Roman" w:cs="Times New Roman"/>
              <w:highlight w:val="none"/>
            </w:rPr>
            <w:fldChar w:fldCharType="separate"/>
          </w:r>
          <w:r>
            <w:rPr>
              <w:rFonts w:ascii="Times New Roman" w:hAnsi="Times New Roman" w:cs="Times New Roman"/>
              <w:highlight w:val="none"/>
            </w:rPr>
            <w:t>2</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639E62E5">
          <w:pPr>
            <w:pStyle w:val="20"/>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"_Toc223130528" </w:instrText>
          </w:r>
          <w:r>
            <w:rPr>
              <w:highlight w:val="none"/>
            </w:rPr>
            <w:fldChar w:fldCharType="separate"/>
          </w:r>
          <w:r>
            <w:rPr>
              <w:rStyle w:val="15"/>
              <w:rFonts w:ascii="Times New Roman" w:hAnsi="Times New Roman" w:cs="Times New Roman"/>
              <w:highlight w:val="none"/>
            </w:rPr>
            <w:t>Section A – Sources of Financing</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_Toc223130528 \h </w:instrText>
          </w:r>
          <w:r>
            <w:rPr>
              <w:rFonts w:ascii="Times New Roman" w:hAnsi="Times New Roman" w:cs="Times New Roman"/>
              <w:highlight w:val="none"/>
            </w:rPr>
            <w:fldChar w:fldCharType="separate"/>
          </w:r>
          <w:r>
            <w:rPr>
              <w:rFonts w:ascii="Times New Roman" w:hAnsi="Times New Roman" w:cs="Times New Roman"/>
              <w:highlight w:val="none"/>
            </w:rPr>
            <w:t>2</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4E44CC39">
          <w:pPr>
            <w:pStyle w:val="20"/>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"_Toc223130529" </w:instrText>
          </w:r>
          <w:r>
            <w:rPr>
              <w:highlight w:val="none"/>
            </w:rPr>
            <w:fldChar w:fldCharType="separate"/>
          </w:r>
          <w:r>
            <w:rPr>
              <w:rStyle w:val="15"/>
              <w:rFonts w:ascii="Times New Roman" w:hAnsi="Times New Roman" w:cs="Times New Roman"/>
              <w:highlight w:val="none"/>
            </w:rPr>
            <w:t>Section B – Capital Investment Appraisal</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_Toc223130529 \h </w:instrText>
          </w:r>
          <w:r>
            <w:rPr>
              <w:rFonts w:ascii="Times New Roman" w:hAnsi="Times New Roman" w:cs="Times New Roman"/>
              <w:highlight w:val="none"/>
            </w:rPr>
            <w:fldChar w:fldCharType="separate"/>
          </w:r>
          <w:r>
            <w:rPr>
              <w:rFonts w:ascii="Times New Roman" w:hAnsi="Times New Roman" w:cs="Times New Roman"/>
              <w:highlight w:val="none"/>
            </w:rPr>
            <w:t>3</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405B892A">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"_Toc223130530" </w:instrText>
          </w:r>
          <w:r>
            <w:rPr>
              <w:highlight w:val="none"/>
            </w:rPr>
            <w:fldChar w:fldCharType="separate"/>
          </w:r>
          <w:r>
            <w:rPr>
              <w:rStyle w:val="15"/>
              <w:rFonts w:ascii="Times New Roman" w:hAnsi="Times New Roman" w:cs="Times New Roman"/>
              <w:highlight w:val="none"/>
            </w:rPr>
            <w:t>Assumptions and Appraisal Framework.</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_Toc223130530 \h </w:instrText>
          </w:r>
          <w:r>
            <w:rPr>
              <w:rFonts w:ascii="Times New Roman" w:hAnsi="Times New Roman" w:cs="Times New Roman"/>
              <w:highlight w:val="none"/>
            </w:rPr>
            <w:fldChar w:fldCharType="separate"/>
          </w:r>
          <w:r>
            <w:rPr>
              <w:rFonts w:ascii="Times New Roman" w:hAnsi="Times New Roman" w:cs="Times New Roman"/>
              <w:highlight w:val="none"/>
            </w:rPr>
            <w:t>3</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2A9DDA9">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"_Toc223130531" </w:instrText>
          </w:r>
          <w:r>
            <w:rPr>
              <w:highlight w:val="none"/>
            </w:rPr>
            <w:fldChar w:fldCharType="separate"/>
          </w:r>
          <w:r>
            <w:rPr>
              <w:rStyle w:val="15"/>
              <w:rFonts w:ascii="Times New Roman" w:hAnsi="Times New Roman" w:cs="Times New Roman"/>
              <w:highlight w:val="none"/>
            </w:rPr>
            <w:t>Base Case Analysis</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_Toc223130531 \h </w:instrText>
          </w:r>
          <w:r>
            <w:rPr>
              <w:rFonts w:ascii="Times New Roman" w:hAnsi="Times New Roman" w:cs="Times New Roman"/>
              <w:highlight w:val="none"/>
            </w:rPr>
            <w:fldChar w:fldCharType="separate"/>
          </w:r>
          <w:r>
            <w:rPr>
              <w:rFonts w:ascii="Times New Roman" w:hAnsi="Times New Roman" w:cs="Times New Roman"/>
              <w:highlight w:val="none"/>
            </w:rPr>
            <w:t>4</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9A9683A">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"_Toc223130532" </w:instrText>
          </w:r>
          <w:r>
            <w:rPr>
              <w:highlight w:val="none"/>
            </w:rPr>
            <w:fldChar w:fldCharType="separate"/>
          </w:r>
          <w:r>
            <w:rPr>
              <w:rStyle w:val="15"/>
              <w:rFonts w:ascii="Times New Roman" w:hAnsi="Times New Roman" w:cs="Times New Roman"/>
              <w:highlight w:val="none"/>
            </w:rPr>
            <w:t>Internal Rate of Return (IRR)</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_Toc223130532 \h </w:instrText>
          </w:r>
          <w:r>
            <w:rPr>
              <w:rFonts w:ascii="Times New Roman" w:hAnsi="Times New Roman" w:cs="Times New Roman"/>
              <w:highlight w:val="none"/>
            </w:rPr>
            <w:fldChar w:fldCharType="separate"/>
          </w:r>
          <w:r>
            <w:rPr>
              <w:rFonts w:ascii="Times New Roman" w:hAnsi="Times New Roman" w:cs="Times New Roman"/>
              <w:highlight w:val="none"/>
            </w:rPr>
            <w:t>4</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31025A8">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"_Toc223130533" </w:instrText>
          </w:r>
          <w:r>
            <w:rPr>
              <w:highlight w:val="none"/>
            </w:rPr>
            <w:fldChar w:fldCharType="separate"/>
          </w:r>
          <w:r>
            <w:rPr>
              <w:rStyle w:val="15"/>
              <w:rFonts w:ascii="Times New Roman" w:hAnsi="Times New Roman" w:cs="Times New Roman"/>
              <w:highlight w:val="none"/>
            </w:rPr>
            <w:t>Payback Period</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_Toc223130533 \h </w:instrText>
          </w:r>
          <w:r>
            <w:rPr>
              <w:rFonts w:ascii="Times New Roman" w:hAnsi="Times New Roman" w:cs="Times New Roman"/>
              <w:highlight w:val="none"/>
            </w:rPr>
            <w:fldChar w:fldCharType="separate"/>
          </w:r>
          <w:r>
            <w:rPr>
              <w:rFonts w:ascii="Times New Roman" w:hAnsi="Times New Roman" w:cs="Times New Roman"/>
              <w:highlight w:val="none"/>
            </w:rPr>
            <w:t>4</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6D81546D">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"_Toc223130534" </w:instrText>
          </w:r>
          <w:r>
            <w:rPr>
              <w:highlight w:val="none"/>
            </w:rPr>
            <w:fldChar w:fldCharType="separate"/>
          </w:r>
          <w:r>
            <w:rPr>
              <w:rStyle w:val="15"/>
              <w:rFonts w:ascii="Times New Roman" w:hAnsi="Times New Roman" w:cs="Times New Roman"/>
              <w:highlight w:val="none"/>
            </w:rPr>
            <w:t>Profitability Index (PI)</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_Toc223130534 \h </w:instrText>
          </w:r>
          <w:r>
            <w:rPr>
              <w:rFonts w:ascii="Times New Roman" w:hAnsi="Times New Roman" w:cs="Times New Roman"/>
              <w:highlight w:val="none"/>
            </w:rPr>
            <w:fldChar w:fldCharType="separate"/>
          </w:r>
          <w:r>
            <w:rPr>
              <w:rFonts w:ascii="Times New Roman" w:hAnsi="Times New Roman" w:cs="Times New Roman"/>
              <w:highlight w:val="none"/>
            </w:rPr>
            <w:t>5</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590D4DC">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"_Toc223130535" </w:instrText>
          </w:r>
          <w:r>
            <w:rPr>
              <w:highlight w:val="none"/>
            </w:rPr>
            <w:fldChar w:fldCharType="separate"/>
          </w:r>
          <w:r>
            <w:rPr>
              <w:rStyle w:val="15"/>
              <w:rFonts w:ascii="Times New Roman" w:hAnsi="Times New Roman" w:cs="Times New Roman"/>
              <w:highlight w:val="none"/>
            </w:rPr>
            <w:t>Reality Analysis and Risk Review.</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_Toc223130535 \h </w:instrText>
          </w:r>
          <w:r>
            <w:rPr>
              <w:rFonts w:ascii="Times New Roman" w:hAnsi="Times New Roman" w:cs="Times New Roman"/>
              <w:highlight w:val="none"/>
            </w:rPr>
            <w:fldChar w:fldCharType="separate"/>
          </w:r>
          <w:r>
            <w:rPr>
              <w:rFonts w:ascii="Times New Roman" w:hAnsi="Times New Roman" w:cs="Times New Roman"/>
              <w:highlight w:val="none"/>
            </w:rPr>
            <w:t>5</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7042A7C1">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"_Toc223130536" </w:instrText>
          </w:r>
          <w:r>
            <w:rPr>
              <w:highlight w:val="none"/>
            </w:rPr>
            <w:fldChar w:fldCharType="separate"/>
          </w:r>
          <w:r>
            <w:rPr>
              <w:rStyle w:val="15"/>
              <w:rFonts w:ascii="Times New Roman" w:hAnsi="Times New Roman" w:cs="Times New Roman"/>
              <w:highlight w:val="none"/>
            </w:rPr>
            <w:t>Best Case Scenario</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_Toc223130536 \h </w:instrText>
          </w:r>
          <w:r>
            <w:rPr>
              <w:rFonts w:ascii="Times New Roman" w:hAnsi="Times New Roman" w:cs="Times New Roman"/>
              <w:highlight w:val="none"/>
            </w:rPr>
            <w:fldChar w:fldCharType="separate"/>
          </w:r>
          <w:r>
            <w:rPr>
              <w:rFonts w:ascii="Times New Roman" w:hAnsi="Times New Roman" w:cs="Times New Roman"/>
              <w:highlight w:val="none"/>
            </w:rPr>
            <w:t>5</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482A7AEB">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"_Toc223130537" </w:instrText>
          </w:r>
          <w:r>
            <w:rPr>
              <w:highlight w:val="none"/>
            </w:rPr>
            <w:fldChar w:fldCharType="separate"/>
          </w:r>
          <w:r>
            <w:rPr>
              <w:rStyle w:val="15"/>
              <w:rFonts w:ascii="Times New Roman" w:hAnsi="Times New Roman" w:cs="Times New Roman"/>
              <w:highlight w:val="none"/>
            </w:rPr>
            <w:t>Worst Case Scenario</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_Toc223130537 \h </w:instrText>
          </w:r>
          <w:r>
            <w:rPr>
              <w:rFonts w:ascii="Times New Roman" w:hAnsi="Times New Roman" w:cs="Times New Roman"/>
              <w:highlight w:val="none"/>
            </w:rPr>
            <w:fldChar w:fldCharType="separate"/>
          </w:r>
          <w:r>
            <w:rPr>
              <w:rFonts w:ascii="Times New Roman" w:hAnsi="Times New Roman" w:cs="Times New Roman"/>
              <w:highlight w:val="none"/>
            </w:rPr>
            <w:t>5</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20BA611D">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"_Toc223130538" </w:instrText>
          </w:r>
          <w:r>
            <w:rPr>
              <w:highlight w:val="none"/>
            </w:rPr>
            <w:fldChar w:fldCharType="separate"/>
          </w:r>
          <w:r>
            <w:rPr>
              <w:rStyle w:val="15"/>
              <w:rFonts w:ascii="Times New Roman" w:hAnsi="Times New Roman" w:cs="Times New Roman"/>
              <w:highlight w:val="none"/>
            </w:rPr>
            <w:t>Effects of Uncertainty in Investment Decision.</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_Toc223130538 \h </w:instrText>
          </w:r>
          <w:r>
            <w:rPr>
              <w:rFonts w:ascii="Times New Roman" w:hAnsi="Times New Roman" w:cs="Times New Roman"/>
              <w:highlight w:val="none"/>
            </w:rPr>
            <w:fldChar w:fldCharType="separate"/>
          </w:r>
          <w:r>
            <w:rPr>
              <w:rFonts w:ascii="Times New Roman" w:hAnsi="Times New Roman" w:cs="Times New Roman"/>
              <w:highlight w:val="none"/>
            </w:rPr>
            <w:t>6</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292C63E9">
          <w:pPr>
            <w:pStyle w:val="20"/>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"_Toc223130539" </w:instrText>
          </w:r>
          <w:r>
            <w:rPr>
              <w:highlight w:val="none"/>
            </w:rPr>
            <w:fldChar w:fldCharType="separate"/>
          </w:r>
          <w:r>
            <w:rPr>
              <w:rStyle w:val="15"/>
              <w:rFonts w:ascii="Times New Roman" w:hAnsi="Times New Roman" w:cs="Times New Roman"/>
              <w:highlight w:val="none"/>
            </w:rPr>
            <w:t>Section C – Cost Control Mechanisms</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_Toc223130539 \h </w:instrText>
          </w:r>
          <w:r>
            <w:rPr>
              <w:rFonts w:ascii="Times New Roman" w:hAnsi="Times New Roman" w:cs="Times New Roman"/>
              <w:highlight w:val="none"/>
            </w:rPr>
            <w:fldChar w:fldCharType="separate"/>
          </w:r>
          <w:r>
            <w:rPr>
              <w:rFonts w:ascii="Times New Roman" w:hAnsi="Times New Roman" w:cs="Times New Roman"/>
              <w:highlight w:val="none"/>
            </w:rPr>
            <w:t>6</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2701BB56">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"_Toc223130540" </w:instrText>
          </w:r>
          <w:r>
            <w:rPr>
              <w:highlight w:val="none"/>
            </w:rPr>
            <w:fldChar w:fldCharType="separate"/>
          </w:r>
          <w:r>
            <w:rPr>
              <w:rStyle w:val="15"/>
              <w:rFonts w:ascii="Times New Roman" w:hAnsi="Times New Roman" w:cs="Times New Roman"/>
              <w:highlight w:val="none"/>
            </w:rPr>
            <w:t>Contingency Budgeting</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_Toc223130540 \h </w:instrText>
          </w:r>
          <w:r>
            <w:rPr>
              <w:rFonts w:ascii="Times New Roman" w:hAnsi="Times New Roman" w:cs="Times New Roman"/>
              <w:highlight w:val="none"/>
            </w:rPr>
            <w:fldChar w:fldCharType="separate"/>
          </w:r>
          <w:r>
            <w:rPr>
              <w:rFonts w:ascii="Times New Roman" w:hAnsi="Times New Roman" w:cs="Times New Roman"/>
              <w:highlight w:val="none"/>
            </w:rPr>
            <w:t>6</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087C95FB">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"_Toc223130541" </w:instrText>
          </w:r>
          <w:r>
            <w:rPr>
              <w:highlight w:val="none"/>
            </w:rPr>
            <w:fldChar w:fldCharType="separate"/>
          </w:r>
          <w:r>
            <w:rPr>
              <w:rStyle w:val="15"/>
              <w:rFonts w:ascii="Times New Roman" w:hAnsi="Times New Roman" w:cs="Times New Roman"/>
              <w:highlight w:val="none"/>
            </w:rPr>
            <w:t>Earned Value Management (EVM)</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_Toc223130541 \h </w:instrText>
          </w:r>
          <w:r>
            <w:rPr>
              <w:rFonts w:ascii="Times New Roman" w:hAnsi="Times New Roman" w:cs="Times New Roman"/>
              <w:highlight w:val="none"/>
            </w:rPr>
            <w:fldChar w:fldCharType="separate"/>
          </w:r>
          <w:r>
            <w:rPr>
              <w:rFonts w:ascii="Times New Roman" w:hAnsi="Times New Roman" w:cs="Times New Roman"/>
              <w:highlight w:val="none"/>
            </w:rPr>
            <w:t>7</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2E927974">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"_Toc223130542" </w:instrText>
          </w:r>
          <w:r>
            <w:rPr>
              <w:highlight w:val="none"/>
            </w:rPr>
            <w:fldChar w:fldCharType="separate"/>
          </w:r>
          <w:r>
            <w:rPr>
              <w:rStyle w:val="15"/>
              <w:rFonts w:ascii="Times New Roman" w:hAnsi="Times New Roman" w:cs="Times New Roman"/>
              <w:highlight w:val="none"/>
            </w:rPr>
            <w:t>Contract Strategy Procurement and Strategy</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_Toc223130542 \h </w:instrText>
          </w:r>
          <w:r>
            <w:rPr>
              <w:rFonts w:ascii="Times New Roman" w:hAnsi="Times New Roman" w:cs="Times New Roman"/>
              <w:highlight w:val="none"/>
            </w:rPr>
            <w:fldChar w:fldCharType="separate"/>
          </w:r>
          <w:r>
            <w:rPr>
              <w:rFonts w:ascii="Times New Roman" w:hAnsi="Times New Roman" w:cs="Times New Roman"/>
              <w:highlight w:val="none"/>
            </w:rPr>
            <w:t>7</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444A249E">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"_Toc223130543" </w:instrText>
          </w:r>
          <w:r>
            <w:rPr>
              <w:highlight w:val="none"/>
            </w:rPr>
            <w:fldChar w:fldCharType="separate"/>
          </w:r>
          <w:r>
            <w:rPr>
              <w:rStyle w:val="15"/>
              <w:rFonts w:ascii="Times New Roman" w:hAnsi="Times New Roman" w:cs="Times New Roman"/>
              <w:highlight w:val="none"/>
            </w:rPr>
            <w:t>Scope Control and Governance.</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_Toc223130543 \h </w:instrText>
          </w:r>
          <w:r>
            <w:rPr>
              <w:rFonts w:ascii="Times New Roman" w:hAnsi="Times New Roman" w:cs="Times New Roman"/>
              <w:highlight w:val="none"/>
            </w:rPr>
            <w:fldChar w:fldCharType="separate"/>
          </w:r>
          <w:r>
            <w:rPr>
              <w:rFonts w:ascii="Times New Roman" w:hAnsi="Times New Roman" w:cs="Times New Roman"/>
              <w:highlight w:val="none"/>
            </w:rPr>
            <w:t>8</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6B6B9431">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"_Toc223130544" </w:instrText>
          </w:r>
          <w:r>
            <w:rPr>
              <w:highlight w:val="none"/>
            </w:rPr>
            <w:fldChar w:fldCharType="separate"/>
          </w:r>
          <w:r>
            <w:rPr>
              <w:rStyle w:val="15"/>
              <w:rFonts w:ascii="Times New Roman" w:hAnsi="Times New Roman" w:cs="Times New Roman"/>
              <w:highlight w:val="none"/>
            </w:rPr>
            <w:t>Operational Cost Management.</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_Toc223130544 \h </w:instrText>
          </w:r>
          <w:r>
            <w:rPr>
              <w:rFonts w:ascii="Times New Roman" w:hAnsi="Times New Roman" w:cs="Times New Roman"/>
              <w:highlight w:val="none"/>
            </w:rPr>
            <w:fldChar w:fldCharType="separate"/>
          </w:r>
          <w:r>
            <w:rPr>
              <w:rFonts w:ascii="Times New Roman" w:hAnsi="Times New Roman" w:cs="Times New Roman"/>
              <w:highlight w:val="none"/>
            </w:rPr>
            <w:t>8</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92110FE">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"_Toc223130545" </w:instrText>
          </w:r>
          <w:r>
            <w:rPr>
              <w:highlight w:val="none"/>
            </w:rPr>
            <w:fldChar w:fldCharType="separate"/>
          </w:r>
          <w:r>
            <w:rPr>
              <w:rStyle w:val="15"/>
              <w:rFonts w:ascii="Times New Roman" w:hAnsi="Times New Roman" w:cs="Times New Roman"/>
              <w:highlight w:val="none"/>
            </w:rPr>
            <w:t>Risk Mitigation Framework</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_Toc223130545 \h </w:instrText>
          </w:r>
          <w:r>
            <w:rPr>
              <w:rFonts w:ascii="Times New Roman" w:hAnsi="Times New Roman" w:cs="Times New Roman"/>
              <w:highlight w:val="none"/>
            </w:rPr>
            <w:fldChar w:fldCharType="separate"/>
          </w:r>
          <w:r>
            <w:rPr>
              <w:rFonts w:ascii="Times New Roman" w:hAnsi="Times New Roman" w:cs="Times New Roman"/>
              <w:highlight w:val="none"/>
            </w:rPr>
            <w:t>8</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2495970C">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"_Toc223130546" </w:instrText>
          </w:r>
          <w:r>
            <w:rPr>
              <w:highlight w:val="none"/>
            </w:rPr>
            <w:fldChar w:fldCharType="separate"/>
          </w:r>
          <w:r>
            <w:rPr>
              <w:rStyle w:val="15"/>
              <w:rFonts w:ascii="Times New Roman" w:hAnsi="Times New Roman" w:cs="Times New Roman"/>
              <w:highlight w:val="none"/>
            </w:rPr>
            <w:t>General Cost Control Assessment</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_Toc223130546 \h </w:instrText>
          </w:r>
          <w:r>
            <w:rPr>
              <w:rFonts w:ascii="Times New Roman" w:hAnsi="Times New Roman" w:cs="Times New Roman"/>
              <w:highlight w:val="none"/>
            </w:rPr>
            <w:fldChar w:fldCharType="separate"/>
          </w:r>
          <w:r>
            <w:rPr>
              <w:rFonts w:ascii="Times New Roman" w:hAnsi="Times New Roman" w:cs="Times New Roman"/>
              <w:highlight w:val="none"/>
            </w:rPr>
            <w:t>8</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9D078BC">
          <w:pPr>
            <w:pStyle w:val="20"/>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"_Toc223130547" </w:instrText>
          </w:r>
          <w:r>
            <w:rPr>
              <w:highlight w:val="none"/>
            </w:rPr>
            <w:fldChar w:fldCharType="separate"/>
          </w:r>
          <w:r>
            <w:rPr>
              <w:rStyle w:val="15"/>
              <w:rFonts w:ascii="Times New Roman" w:hAnsi="Times New Roman" w:cs="Times New Roman"/>
              <w:highlight w:val="none"/>
            </w:rPr>
            <w:t>Section D – Project Financial Reporting Framework</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_Toc223130547 \h </w:instrText>
          </w:r>
          <w:r>
            <w:rPr>
              <w:rFonts w:ascii="Times New Roman" w:hAnsi="Times New Roman" w:cs="Times New Roman"/>
              <w:highlight w:val="none"/>
            </w:rPr>
            <w:fldChar w:fldCharType="separate"/>
          </w:r>
          <w:r>
            <w:rPr>
              <w:rFonts w:ascii="Times New Roman" w:hAnsi="Times New Roman" w:cs="Times New Roman"/>
              <w:highlight w:val="none"/>
            </w:rPr>
            <w:t>9</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6DB481CF">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"_Toc223130548" </w:instrText>
          </w:r>
          <w:r>
            <w:rPr>
              <w:highlight w:val="none"/>
            </w:rPr>
            <w:fldChar w:fldCharType="separate"/>
          </w:r>
          <w:r>
            <w:rPr>
              <w:rStyle w:val="15"/>
              <w:rFonts w:ascii="Times New Roman" w:hAnsi="Times New Roman" w:cs="Times New Roman"/>
              <w:highlight w:val="none"/>
            </w:rPr>
            <w:t>Reporting Processing Relaxation of the Project Lifecycle.</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_Toc223130548 \h </w:instrText>
          </w:r>
          <w:r>
            <w:rPr>
              <w:rFonts w:ascii="Times New Roman" w:hAnsi="Times New Roman" w:cs="Times New Roman"/>
              <w:highlight w:val="none"/>
            </w:rPr>
            <w:fldChar w:fldCharType="separate"/>
          </w:r>
          <w:r>
            <w:rPr>
              <w:rFonts w:ascii="Times New Roman" w:hAnsi="Times New Roman" w:cs="Times New Roman"/>
              <w:highlight w:val="none"/>
            </w:rPr>
            <w:t>9</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40E4E746">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"_Toc223130549" </w:instrText>
          </w:r>
          <w:r>
            <w:rPr>
              <w:highlight w:val="none"/>
            </w:rPr>
            <w:fldChar w:fldCharType="separate"/>
          </w:r>
          <w:r>
            <w:rPr>
              <w:rStyle w:val="15"/>
              <w:rFonts w:ascii="Times New Roman" w:hAnsi="Times New Roman" w:cs="Times New Roman"/>
              <w:highlight w:val="none"/>
            </w:rPr>
            <w:t>Construction Phase Reporting.</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_Toc223130549 \h </w:instrText>
          </w:r>
          <w:r>
            <w:rPr>
              <w:rFonts w:ascii="Times New Roman" w:hAnsi="Times New Roman" w:cs="Times New Roman"/>
              <w:highlight w:val="none"/>
            </w:rPr>
            <w:fldChar w:fldCharType="separate"/>
          </w:r>
          <w:r>
            <w:rPr>
              <w:rFonts w:ascii="Times New Roman" w:hAnsi="Times New Roman" w:cs="Times New Roman"/>
              <w:highlight w:val="none"/>
            </w:rPr>
            <w:t>9</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288932AF">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"_Toc223130550" </w:instrText>
          </w:r>
          <w:r>
            <w:rPr>
              <w:highlight w:val="none"/>
            </w:rPr>
            <w:fldChar w:fldCharType="separate"/>
          </w:r>
          <w:r>
            <w:rPr>
              <w:rStyle w:val="15"/>
              <w:rFonts w:ascii="Times New Roman" w:hAnsi="Times New Roman" w:cs="Times New Roman"/>
              <w:highlight w:val="none"/>
            </w:rPr>
            <w:t>Phase Reporting of Operations.</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_Toc223130550 \h </w:instrText>
          </w:r>
          <w:r>
            <w:rPr>
              <w:rFonts w:ascii="Times New Roman" w:hAnsi="Times New Roman" w:cs="Times New Roman"/>
              <w:highlight w:val="none"/>
            </w:rPr>
            <w:fldChar w:fldCharType="separate"/>
          </w:r>
          <w:r>
            <w:rPr>
              <w:rFonts w:ascii="Times New Roman" w:hAnsi="Times New Roman" w:cs="Times New Roman"/>
              <w:highlight w:val="none"/>
            </w:rPr>
            <w:t>9</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326A3DA4">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"_Toc223130551" </w:instrText>
          </w:r>
          <w:r>
            <w:rPr>
              <w:highlight w:val="none"/>
            </w:rPr>
            <w:fldChar w:fldCharType="separate"/>
          </w:r>
          <w:r>
            <w:rPr>
              <w:rStyle w:val="15"/>
              <w:rFonts w:ascii="Times New Roman" w:hAnsi="Times New Roman" w:cs="Times New Roman"/>
              <w:highlight w:val="none"/>
            </w:rPr>
            <w:t>Key Financial KPIs</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_Toc223130551 \h </w:instrText>
          </w:r>
          <w:r>
            <w:rPr>
              <w:rFonts w:ascii="Times New Roman" w:hAnsi="Times New Roman" w:cs="Times New Roman"/>
              <w:highlight w:val="none"/>
            </w:rPr>
            <w:fldChar w:fldCharType="separate"/>
          </w:r>
          <w:r>
            <w:rPr>
              <w:rFonts w:ascii="Times New Roman" w:hAnsi="Times New Roman" w:cs="Times New Roman"/>
              <w:highlight w:val="none"/>
            </w:rPr>
            <w:t>10</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30CB7CCB">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"_Toc223130552" </w:instrText>
          </w:r>
          <w:r>
            <w:rPr>
              <w:highlight w:val="none"/>
            </w:rPr>
            <w:fldChar w:fldCharType="separate"/>
          </w:r>
          <w:r>
            <w:rPr>
              <w:rStyle w:val="15"/>
              <w:rFonts w:ascii="Times New Roman" w:hAnsi="Times New Roman" w:cs="Times New Roman"/>
              <w:highlight w:val="none"/>
            </w:rPr>
            <w:t>Reporting and Governance Hierarchy.</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_Toc223130552 \h </w:instrText>
          </w:r>
          <w:r>
            <w:rPr>
              <w:rFonts w:ascii="Times New Roman" w:hAnsi="Times New Roman" w:cs="Times New Roman"/>
              <w:highlight w:val="none"/>
            </w:rPr>
            <w:fldChar w:fldCharType="separate"/>
          </w:r>
          <w:r>
            <w:rPr>
              <w:rFonts w:ascii="Times New Roman" w:hAnsi="Times New Roman" w:cs="Times New Roman"/>
              <w:highlight w:val="none"/>
            </w:rPr>
            <w:t>10</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097F44C7">
          <w:pPr>
            <w:pStyle w:val="22"/>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"_Toc223130553" </w:instrText>
          </w:r>
          <w:r>
            <w:rPr>
              <w:highlight w:val="none"/>
            </w:rPr>
            <w:fldChar w:fldCharType="separate"/>
          </w:r>
          <w:r>
            <w:rPr>
              <w:rStyle w:val="15"/>
              <w:rFonts w:ascii="Times New Roman" w:hAnsi="Times New Roman" w:cs="Times New Roman"/>
              <w:highlight w:val="none"/>
            </w:rPr>
            <w:t>Financing Systems and Web Tools.</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_Toc223130553 \h </w:instrText>
          </w:r>
          <w:r>
            <w:rPr>
              <w:rFonts w:ascii="Times New Roman" w:hAnsi="Times New Roman" w:cs="Times New Roman"/>
              <w:highlight w:val="none"/>
            </w:rPr>
            <w:fldChar w:fldCharType="separate"/>
          </w:r>
          <w:r>
            <w:rPr>
              <w:rFonts w:ascii="Times New Roman" w:hAnsi="Times New Roman" w:cs="Times New Roman"/>
              <w:highlight w:val="none"/>
            </w:rPr>
            <w:t>11</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727E2F47">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"_Toc223130554" </w:instrText>
          </w:r>
          <w:r>
            <w:rPr>
              <w:highlight w:val="none"/>
            </w:rPr>
            <w:fldChar w:fldCharType="separate"/>
          </w:r>
          <w:r>
            <w:rPr>
              <w:rStyle w:val="15"/>
              <w:rFonts w:ascii="Times New Roman" w:hAnsi="Times New Roman" w:cs="Times New Roman"/>
              <w:highlight w:val="none"/>
            </w:rPr>
            <w:t>Boosting of Transparency and Accountability.</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_Toc223130554 \h </w:instrText>
          </w:r>
          <w:r>
            <w:rPr>
              <w:rFonts w:ascii="Times New Roman" w:hAnsi="Times New Roman" w:cs="Times New Roman"/>
              <w:highlight w:val="none"/>
            </w:rPr>
            <w:fldChar w:fldCharType="separate"/>
          </w:r>
          <w:r>
            <w:rPr>
              <w:rFonts w:ascii="Times New Roman" w:hAnsi="Times New Roman" w:cs="Times New Roman"/>
              <w:highlight w:val="none"/>
            </w:rPr>
            <w:t>11</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6DE89E57">
          <w:pPr>
            <w:pStyle w:val="21"/>
            <w:tabs>
              <w:tab w:val="right" w:leader="dot" w:pos="9350"/>
            </w:tabs>
            <w:spacing w:line="360" w:lineRule="auto"/>
            <w:jc w:val="both"/>
            <w:rPr>
              <w:rFonts w:ascii="Times New Roman" w:hAnsi="Times New Roman" w:cs="Times New Roman"/>
              <w:highlight w:val="none"/>
            </w:rPr>
          </w:pPr>
          <w:r>
            <w:rPr>
              <w:highlight w:val="none"/>
            </w:rPr>
            <w:fldChar w:fldCharType="begin"/>
          </w:r>
          <w:r>
            <w:rPr>
              <w:highlight w:val="none"/>
            </w:rPr>
            <w:instrText xml:space="preserve"> HYPERLINK \l "_Toc223130555" </w:instrText>
          </w:r>
          <w:r>
            <w:rPr>
              <w:highlight w:val="none"/>
            </w:rPr>
            <w:fldChar w:fldCharType="separate"/>
          </w:r>
          <w:r>
            <w:rPr>
              <w:rStyle w:val="15"/>
              <w:rFonts w:ascii="Times New Roman" w:hAnsi="Times New Roman" w:cs="Times New Roman"/>
              <w:highlight w:val="none"/>
            </w:rPr>
            <w:t>Assessment of overall Framework Reporting</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_Toc223130555 \h </w:instrText>
          </w:r>
          <w:r>
            <w:rPr>
              <w:rFonts w:ascii="Times New Roman" w:hAnsi="Times New Roman" w:cs="Times New Roman"/>
              <w:highlight w:val="none"/>
            </w:rPr>
            <w:fldChar w:fldCharType="separate"/>
          </w:r>
          <w:r>
            <w:rPr>
              <w:rFonts w:ascii="Times New Roman" w:hAnsi="Times New Roman" w:cs="Times New Roman"/>
              <w:highlight w:val="none"/>
            </w:rPr>
            <w:t>11</w:t>
          </w:r>
          <w:r>
            <w:rPr>
              <w:rFonts w:ascii="Times New Roman" w:hAnsi="Times New Roman" w:cs="Times New Roman"/>
              <w:highlight w:val="none"/>
            </w:rPr>
            <w:fldChar w:fldCharType="end"/>
          </w:r>
          <w:r>
            <w:rPr>
              <w:rFonts w:ascii="Times New Roman" w:hAnsi="Times New Roman" w:cs="Times New Roman"/>
              <w:highlight w:val="none"/>
            </w:rPr>
            <w:fldChar w:fldCharType="end"/>
          </w:r>
        </w:p>
        <w:p w14:paraId="100F7103">
          <w:pPr>
            <w:pStyle w:val="20"/>
            <w:tabs>
              <w:tab w:val="right" w:leader="dot" w:pos="9350"/>
            </w:tabs>
            <w:spacing w:line="360" w:lineRule="auto"/>
            <w:jc w:val="both"/>
            <w:rPr>
              <w:rFonts w:hint="default" w:ascii="Times New Roman" w:hAnsi="Times New Roman" w:cs="Times New Roman"/>
              <w:highlight w:val="none"/>
              <w:lang w:val="en-IN"/>
            </w:rPr>
          </w:pPr>
          <w:r>
            <w:rPr>
              <w:highlight w:val="none"/>
            </w:rPr>
            <w:fldChar w:fldCharType="begin"/>
          </w:r>
          <w:r>
            <w:rPr>
              <w:highlight w:val="none"/>
            </w:rPr>
            <w:instrText xml:space="preserve"> HYPERLINK \l "_Toc223130556" </w:instrText>
          </w:r>
          <w:r>
            <w:rPr>
              <w:highlight w:val="none"/>
            </w:rPr>
            <w:fldChar w:fldCharType="separate"/>
          </w:r>
          <w:r>
            <w:rPr>
              <w:rStyle w:val="15"/>
              <w:rFonts w:ascii="Times New Roman" w:hAnsi="Times New Roman" w:cs="Times New Roman"/>
              <w:highlight w:val="none"/>
            </w:rPr>
            <w:t>References:</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_Toc223130556 \h </w:instrText>
          </w:r>
          <w:r>
            <w:rPr>
              <w:rFonts w:ascii="Times New Roman" w:hAnsi="Times New Roman" w:cs="Times New Roman"/>
              <w:highlight w:val="none"/>
            </w:rPr>
            <w:fldChar w:fldCharType="separate"/>
          </w:r>
          <w:r>
            <w:rPr>
              <w:rFonts w:ascii="Times New Roman" w:hAnsi="Times New Roman" w:cs="Times New Roman"/>
              <w:highlight w:val="none"/>
            </w:rPr>
            <w:t>12</w:t>
          </w:r>
          <w:r>
            <w:rPr>
              <w:rFonts w:ascii="Times New Roman" w:hAnsi="Times New Roman" w:cs="Times New Roman"/>
              <w:highlight w:val="none"/>
            </w:rPr>
            <w:fldChar w:fldCharType="end"/>
          </w:r>
          <w:r>
            <w:rPr>
              <w:rFonts w:ascii="Times New Roman" w:hAnsi="Times New Roman" w:cs="Times New Roman"/>
              <w:highlight w:val="none"/>
            </w:rPr>
            <w:fldChar w:fldCharType="end"/>
          </w:r>
          <w:r>
            <w:rPr>
              <w:rFonts w:hint="default" w:ascii="Times New Roman" w:hAnsi="Times New Roman" w:cs="Times New Roman"/>
              <w:highlight w:val="none"/>
              <w:lang w:val="en-IN"/>
            </w:rPr>
            <w:t xml:space="preserve"> </w:t>
          </w:r>
        </w:p>
        <w:p w14:paraId="12F306E7">
          <w:pPr>
            <w:spacing w:line="360" w:lineRule="auto"/>
            <w:jc w:val="both"/>
            <w:rPr>
              <w:rFonts w:ascii="Times New Roman" w:hAnsi="Times New Roman" w:cs="Times New Roman"/>
              <w:highlight w:val="none"/>
            </w:rPr>
          </w:pPr>
          <w:r>
            <w:rPr>
              <w:rFonts w:ascii="Times New Roman" w:hAnsi="Times New Roman" w:cs="Times New Roman"/>
              <w:b/>
              <w:bCs/>
              <w:highlight w:val="none"/>
            </w:rPr>
            <w:fldChar w:fldCharType="end"/>
          </w:r>
        </w:p>
      </w:sdtContent>
    </w:sdt>
    <w:p w14:paraId="48A4AF21">
      <w:pPr>
        <w:spacing w:line="360" w:lineRule="auto"/>
        <w:jc w:val="both"/>
        <w:rPr>
          <w:rFonts w:ascii="Times New Roman" w:hAnsi="Times New Roman" w:cs="Times New Roman"/>
          <w:highlight w:val="none"/>
        </w:rPr>
      </w:pPr>
    </w:p>
    <w:p w14:paraId="2419ED02">
      <w:pPr>
        <w:spacing w:line="360" w:lineRule="auto"/>
        <w:jc w:val="both"/>
        <w:rPr>
          <w:rFonts w:ascii="Times New Roman" w:hAnsi="Times New Roman" w:cs="Times New Roman"/>
          <w:highlight w:val="none"/>
        </w:rPr>
      </w:pPr>
    </w:p>
    <w:p w14:paraId="2F43AD7B">
      <w:pPr>
        <w:spacing w:line="360" w:lineRule="auto"/>
        <w:jc w:val="both"/>
        <w:rPr>
          <w:rFonts w:ascii="Times New Roman" w:hAnsi="Times New Roman" w:cs="Times New Roman"/>
          <w:highlight w:val="none"/>
        </w:rPr>
      </w:pPr>
    </w:p>
    <w:p w14:paraId="0FF75BB6">
      <w:pPr>
        <w:spacing w:line="360" w:lineRule="auto"/>
        <w:jc w:val="both"/>
        <w:rPr>
          <w:rFonts w:ascii="Times New Roman" w:hAnsi="Times New Roman" w:cs="Times New Roman"/>
          <w:highlight w:val="none"/>
        </w:rPr>
      </w:pPr>
    </w:p>
    <w:p w14:paraId="1015E09D">
      <w:pPr>
        <w:spacing w:line="360" w:lineRule="auto"/>
        <w:jc w:val="both"/>
        <w:rPr>
          <w:rFonts w:ascii="Times New Roman" w:hAnsi="Times New Roman" w:cs="Times New Roman"/>
          <w:highlight w:val="none"/>
        </w:rPr>
      </w:pPr>
    </w:p>
    <w:p w14:paraId="4F17DE09">
      <w:pPr>
        <w:spacing w:line="360" w:lineRule="auto"/>
        <w:jc w:val="both"/>
        <w:rPr>
          <w:rFonts w:ascii="Times New Roman" w:hAnsi="Times New Roman" w:cs="Times New Roman"/>
          <w:highlight w:val="none"/>
        </w:rPr>
      </w:pPr>
    </w:p>
    <w:p w14:paraId="5A817F7A">
      <w:pPr>
        <w:spacing w:line="360" w:lineRule="auto"/>
        <w:jc w:val="both"/>
        <w:rPr>
          <w:rFonts w:ascii="Times New Roman" w:hAnsi="Times New Roman" w:cs="Times New Roman"/>
          <w:highlight w:val="none"/>
        </w:rPr>
      </w:pPr>
    </w:p>
    <w:p w14:paraId="4471F554">
      <w:pPr>
        <w:spacing w:line="360" w:lineRule="auto"/>
        <w:jc w:val="both"/>
        <w:rPr>
          <w:rFonts w:ascii="Times New Roman" w:hAnsi="Times New Roman" w:cs="Times New Roman"/>
          <w:highlight w:val="none"/>
        </w:rPr>
      </w:pPr>
    </w:p>
    <w:p w14:paraId="3FE701D2">
      <w:pPr>
        <w:spacing w:line="360" w:lineRule="auto"/>
        <w:jc w:val="both"/>
        <w:rPr>
          <w:rFonts w:ascii="Times New Roman" w:hAnsi="Times New Roman" w:cs="Times New Roman"/>
          <w:highlight w:val="none"/>
        </w:rPr>
      </w:pPr>
    </w:p>
    <w:p w14:paraId="5AEE2B58">
      <w:pPr>
        <w:spacing w:line="360" w:lineRule="auto"/>
        <w:jc w:val="both"/>
        <w:rPr>
          <w:rFonts w:ascii="Times New Roman" w:hAnsi="Times New Roman" w:cs="Times New Roman"/>
          <w:highlight w:val="none"/>
        </w:rPr>
      </w:pPr>
    </w:p>
    <w:p w14:paraId="4419F70E">
      <w:pPr>
        <w:spacing w:line="360" w:lineRule="auto"/>
        <w:jc w:val="both"/>
        <w:rPr>
          <w:rFonts w:ascii="Times New Roman" w:hAnsi="Times New Roman" w:cs="Times New Roman"/>
          <w:highlight w:val="none"/>
        </w:rPr>
      </w:pPr>
    </w:p>
    <w:p w14:paraId="152444DA">
      <w:pPr>
        <w:spacing w:line="360" w:lineRule="auto"/>
        <w:jc w:val="both"/>
        <w:rPr>
          <w:rFonts w:ascii="Times New Roman" w:hAnsi="Times New Roman" w:cs="Times New Roman"/>
          <w:highlight w:val="none"/>
        </w:rPr>
      </w:pPr>
    </w:p>
    <w:p w14:paraId="3F29570F">
      <w:pPr>
        <w:spacing w:line="360" w:lineRule="auto"/>
        <w:jc w:val="both"/>
        <w:rPr>
          <w:rFonts w:ascii="Times New Roman" w:hAnsi="Times New Roman" w:cs="Times New Roman"/>
          <w:highlight w:val="none"/>
        </w:rPr>
      </w:pPr>
    </w:p>
    <w:p w14:paraId="23244C40">
      <w:pPr>
        <w:spacing w:line="360" w:lineRule="auto"/>
        <w:jc w:val="both"/>
        <w:rPr>
          <w:rFonts w:ascii="Times New Roman" w:hAnsi="Times New Roman" w:cs="Times New Roman"/>
          <w:highlight w:val="none"/>
        </w:rPr>
      </w:pPr>
    </w:p>
    <w:p w14:paraId="524CA6B7">
      <w:pPr>
        <w:pStyle w:val="2"/>
        <w:spacing w:line="360" w:lineRule="auto"/>
        <w:jc w:val="both"/>
        <w:rPr>
          <w:rFonts w:ascii="Times New Roman" w:hAnsi="Times New Roman" w:cs="Times New Roman"/>
          <w:sz w:val="24"/>
          <w:szCs w:val="24"/>
          <w:highlight w:val="none"/>
        </w:rPr>
      </w:pPr>
      <w:bookmarkStart w:id="1" w:name="_Toc223130527"/>
      <w:r>
        <w:rPr>
          <w:rFonts w:ascii="Times New Roman" w:hAnsi="Times New Roman" w:cs="Times New Roman"/>
          <w:sz w:val="24"/>
          <w:szCs w:val="24"/>
          <w:highlight w:val="none"/>
        </w:rPr>
        <w:t>Introduction and Project Overview</w:t>
      </w:r>
      <w:bookmarkEnd w:id="1"/>
    </w:p>
    <w:p w14:paraId="67495C98">
      <w:pPr>
        <w:spacing w:line="360" w:lineRule="auto"/>
        <w:jc w:val="both"/>
        <w:rPr>
          <w:rFonts w:ascii="Times New Roman" w:hAnsi="Times New Roman" w:cs="Times New Roman"/>
          <w:highlight w:val="none"/>
        </w:rPr>
      </w:pPr>
      <w:r>
        <w:rPr>
          <w:rFonts w:ascii="Times New Roman" w:hAnsi="Times New Roman" w:cs="Times New Roman"/>
          <w:highlight w:val="none"/>
        </w:rPr>
        <w:t>The National Health Service (NHS) is still struggling to deal with the issue of providing dental services to the citizens in the United Kingdom through the application of accessible dental care. The increase in patient request, shortages in workforce, and insufficient investment in clinical infrastructure have added to the long waiting queues and decreased access to NHS dental access. The proposed £50 million NHS Dental Clinic development in response to these systemic pressures is expected to increase the service capacity and enhance the efficiency of operations and increase the long-term outcomes of the population in terms of health.</w:t>
      </w:r>
    </w:p>
    <w:p w14:paraId="2B6810B4">
      <w:pPr>
        <w:spacing w:line="360" w:lineRule="auto"/>
        <w:jc w:val="both"/>
        <w:rPr>
          <w:rFonts w:ascii="Times New Roman" w:hAnsi="Times New Roman" w:cs="Times New Roman"/>
          <w:highlight w:val="none"/>
        </w:rPr>
      </w:pPr>
      <w:r>
        <w:rPr>
          <w:rFonts w:ascii="Times New Roman" w:hAnsi="Times New Roman" w:cs="Times New Roman"/>
          <w:highlight w:val="none"/>
        </w:rPr>
        <w:t>The proposed NHS Dental Clinic will be located in Birmingham, West Midlands, an area experiencing significant NHS dental access shortages (Moradi, T., 2023). The project is planned to take two years of construction period and an estimated life span of 25 years of operation. The clinic will be offering general NHS dentistry, orthodontics, oral surgery and community outreach programs. In addition to financial performance, the project is strategically oriented to the objectives of the national healthcare with the intention to minimize disparities in care access and enhance preventive health services.</w:t>
      </w:r>
    </w:p>
    <w:p w14:paraId="740E578E">
      <w:pPr>
        <w:spacing w:line="360" w:lineRule="auto"/>
        <w:jc w:val="both"/>
        <w:rPr>
          <w:rFonts w:ascii="Times New Roman" w:hAnsi="Times New Roman" w:cs="Times New Roman"/>
          <w:highlight w:val="none"/>
        </w:rPr>
      </w:pPr>
      <w:r>
        <w:rPr>
          <w:rFonts w:ascii="Times New Roman" w:hAnsi="Times New Roman" w:cs="Times New Roman"/>
          <w:highlight w:val="none"/>
        </w:rPr>
        <w:t>Financial management on financial management aspects, the massive expenditures on the healthcare infrastructure should be carefully financial appraised and governed to warrant value of money and financial sustainability. The Net Present Value (NPV) and the Internal Rate of Return (IRR) are the methods of capital budgeting that enable a decision-maker to assess whether the public investments are producing the long-term economic value. Secondly, proper financial management structures such as cost management, risks management, financial reporting are necessary to make sure that the projects are within the budget and yield anticipated results during the lifecycle of the project. On top of financial feasibility, the report suggests an applied cost control framework and financial reporting framework that will facilitate transparency, accountability and governance during the whole project life.</w:t>
      </w:r>
    </w:p>
    <w:p w14:paraId="22C113F6">
      <w:pPr>
        <w:pStyle w:val="2"/>
        <w:spacing w:line="360" w:lineRule="auto"/>
        <w:jc w:val="both"/>
        <w:rPr>
          <w:rFonts w:ascii="Times New Roman" w:hAnsi="Times New Roman" w:cs="Times New Roman"/>
          <w:sz w:val="24"/>
          <w:szCs w:val="24"/>
          <w:highlight w:val="none"/>
        </w:rPr>
      </w:pPr>
      <w:bookmarkStart w:id="2" w:name="_Toc223130528"/>
      <w:r>
        <w:rPr>
          <w:rFonts w:ascii="Times New Roman" w:hAnsi="Times New Roman" w:cs="Times New Roman"/>
          <w:sz w:val="24"/>
          <w:szCs w:val="24"/>
          <w:highlight w:val="none"/>
        </w:rPr>
        <w:t>Section A – Sources of Financing</w:t>
      </w:r>
      <w:bookmarkEnd w:id="2"/>
    </w:p>
    <w:p w14:paraId="61861CA7">
      <w:pPr>
        <w:spacing w:line="360" w:lineRule="auto"/>
        <w:jc w:val="both"/>
        <w:rPr>
          <w:rFonts w:ascii="Times New Roman" w:hAnsi="Times New Roman" w:cs="Times New Roman"/>
          <w:highlight w:val="none"/>
        </w:rPr>
      </w:pPr>
      <w:r>
        <w:rPr>
          <w:rFonts w:ascii="Times New Roman" w:hAnsi="Times New Roman" w:cs="Times New Roman"/>
          <w:highlight w:val="none"/>
        </w:rPr>
        <w:t>The NHS Dental Clinic proposed will will cost an initial capital of 50 million. Choice of the right financing structure is also very critical because the cost of capital determines the financial viability of the project, the exposure to risk, and the long-term fiscal sustainability of the project. Three major sources of funds are considered, which are direct capital funding by the government, public -private partnership (PPP) arrangements, and government-sponsored bond financing.</w:t>
      </w:r>
    </w:p>
    <w:p w14:paraId="10B4FF2B">
      <w:pPr>
        <w:spacing w:line="360" w:lineRule="auto"/>
        <w:jc w:val="both"/>
        <w:rPr>
          <w:rFonts w:ascii="Times New Roman" w:hAnsi="Times New Roman" w:cs="Times New Roman"/>
          <w:highlight w:val="none"/>
        </w:rPr>
      </w:pPr>
      <w:r>
        <w:rPr>
          <w:rFonts w:ascii="Times New Roman" w:hAnsi="Times New Roman" w:cs="Times New Roman"/>
          <w:highlight w:val="none"/>
        </w:rPr>
        <w:t>A similar case in the UK is the Queen Elizabeth Hospital Birmingham PFI project which was designed under the Private Finance Initiative (PFI). Although the project was able to pass construction risk, the long-term repayment costs far outweighed the initial cost of capital, which brought up the issue of value-for-money (National Audit Office, 2018).</w:t>
      </w:r>
    </w:p>
    <w:p w14:paraId="127EED5B">
      <w:pPr>
        <w:spacing w:line="360" w:lineRule="auto"/>
        <w:jc w:val="both"/>
        <w:rPr>
          <w:rFonts w:ascii="Times New Roman" w:hAnsi="Times New Roman" w:cs="Times New Roman"/>
          <w:highlight w:val="none"/>
        </w:rPr>
      </w:pPr>
      <w:r>
        <w:rPr>
          <w:rFonts w:ascii="Times New Roman" w:hAnsi="Times New Roman" w:cs="Times New Roman"/>
          <w:highlight w:val="none"/>
        </w:rPr>
        <w:t>The cheapest source of financing is direct government capital funds. In this model, the entire cost of the project, which would be the £50 million would be funded out of health infrastructure budgets by the central government. Since the cost of borrowing in the public sector is much less than the cost of borrowing in the private market, this method is congruent to the 3.5% social discount rate applied in the financial appraisal. In the base-case scenario, the project will result in a Net Present Value (NPV) of about £15.9 million and an Internal rate of Return (IRR) of 6.24 that is higher than the public sector discount rate (Bandy, G., 2023). This implies that at low sovereign borrowing rates, the project generates a financial value during its 25 years life cycle. Direct government funding however puts the project at risk of political interference, pressure to reallocate funds as well as a limit on public expenditures.</w:t>
      </w:r>
    </w:p>
    <w:p w14:paraId="6AB8A532">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A second possibility would be a Public- Private Partnership (PPP) model in which a consortium of privates would design, construct, fund, and possibly service the facility with the NHS paying a long-term availability fee. Although this model assigns some construction and operational risk to the private sector, it is generally associated with a higher weighted average cost of capital because of the high cost of borrowing money and returns required by investors in the private sector. Increased financing costs beyond the 3.5% level applied in the appraisal would cause the NPV of the project to reduce, which would potentially absorb the surplus of the £15.9 million highlight in the base case. </w:t>
      </w:r>
    </w:p>
    <w:p w14:paraId="33E2FCA2">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The third one is government-sponsored bond financing or Treasury loans, whereby NHS would finance capital using long-term instruments of public debt (Fedchenko, E.A., 2022). This allocates the cost of the asset of 50 million pounds across the operational life of the asset and the ownership and control remain in the hands of the people. </w:t>
      </w:r>
    </w:p>
    <w:tbl>
      <w:tblPr>
        <w:tblStyle w:val="12"/>
        <w:tblW w:w="9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528"/>
        <w:gridCol w:w="1800"/>
        <w:gridCol w:w="2340"/>
        <w:gridCol w:w="2700"/>
      </w:tblGrid>
      <w:tr w14:paraId="299B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1347" w:type="dxa"/>
            <w:tcBorders>
              <w:top w:val="single" w:color="FFFFFF" w:sz="8" w:space="0"/>
              <w:left w:val="single" w:color="FFFFFF" w:sz="8" w:space="0"/>
              <w:bottom w:val="single" w:color="FFFFFF" w:sz="8" w:space="0"/>
              <w:right w:val="single" w:color="FFFFFF" w:sz="8" w:space="0"/>
              <w:tl2br w:val="nil"/>
            </w:tcBorders>
            <w:shd w:val="clear" w:color="auto" w:fill="ED7D31" w:themeFill="accent2"/>
            <w:vAlign w:val="center"/>
          </w:tcPr>
          <w:p w14:paraId="4505F56C">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Financing Option</w:t>
            </w:r>
          </w:p>
        </w:tc>
        <w:tc>
          <w:tcPr>
            <w:tcW w:w="1528"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10A4F89E">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Cost of Capital</w:t>
            </w:r>
          </w:p>
        </w:tc>
        <w:tc>
          <w:tcPr>
            <w:tcW w:w="180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23E28AB6">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Risk Allocation</w:t>
            </w:r>
          </w:p>
        </w:tc>
        <w:tc>
          <w:tcPr>
            <w:tcW w:w="234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44F01C44">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Advantages</w:t>
            </w:r>
          </w:p>
        </w:tc>
        <w:tc>
          <w:tcPr>
            <w:tcW w:w="270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4A7946BA">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Disadvantages</w:t>
            </w:r>
          </w:p>
        </w:tc>
      </w:tr>
      <w:tr w14:paraId="3B707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347"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0635765">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Government Funding</w:t>
            </w:r>
          </w:p>
        </w:tc>
        <w:tc>
          <w:tcPr>
            <w:tcW w:w="1528"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E1C901D">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Low</w:t>
            </w:r>
          </w:p>
        </w:tc>
        <w:tc>
          <w:tcPr>
            <w:tcW w:w="180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8D17AE1">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Public sector</w:t>
            </w:r>
          </w:p>
        </w:tc>
        <w:tc>
          <w:tcPr>
            <w:tcW w:w="234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763FB7B">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Lowest borrowing cost, full control</w:t>
            </w:r>
          </w:p>
        </w:tc>
        <w:tc>
          <w:tcPr>
            <w:tcW w:w="270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1B36D2E">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Budget pressure</w:t>
            </w:r>
          </w:p>
        </w:tc>
      </w:tr>
      <w:tr w14:paraId="705E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347"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4003E2C">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PPP</w:t>
            </w:r>
          </w:p>
        </w:tc>
        <w:tc>
          <w:tcPr>
            <w:tcW w:w="1528"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85E053C">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High</w:t>
            </w:r>
          </w:p>
        </w:tc>
        <w:tc>
          <w:tcPr>
            <w:tcW w:w="180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49FBB42D">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Private sector partly</w:t>
            </w:r>
          </w:p>
        </w:tc>
        <w:tc>
          <w:tcPr>
            <w:tcW w:w="234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83BF30B">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Risk transfer</w:t>
            </w:r>
          </w:p>
        </w:tc>
        <w:tc>
          <w:tcPr>
            <w:tcW w:w="270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EE7DEE4">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Expensive long-term payments</w:t>
            </w:r>
          </w:p>
        </w:tc>
      </w:tr>
      <w:tr w14:paraId="7985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347"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5906FCC">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Government Bonds</w:t>
            </w:r>
          </w:p>
        </w:tc>
        <w:tc>
          <w:tcPr>
            <w:tcW w:w="1528"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11DDF05">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Low–Medium</w:t>
            </w:r>
          </w:p>
        </w:tc>
        <w:tc>
          <w:tcPr>
            <w:tcW w:w="180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2018AAC">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Public sector</w:t>
            </w:r>
          </w:p>
        </w:tc>
        <w:tc>
          <w:tcPr>
            <w:tcW w:w="234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031C9BF">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Spread cost over time</w:t>
            </w:r>
          </w:p>
        </w:tc>
        <w:tc>
          <w:tcPr>
            <w:tcW w:w="270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1154F06">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Interest rate exposure</w:t>
            </w:r>
          </w:p>
        </w:tc>
      </w:tr>
    </w:tbl>
    <w:p w14:paraId="1A5A1BC5">
      <w:pPr>
        <w:spacing w:line="360" w:lineRule="auto"/>
        <w:jc w:val="both"/>
        <w:rPr>
          <w:rFonts w:ascii="Times New Roman" w:hAnsi="Times New Roman" w:cs="Times New Roman"/>
          <w:highlight w:val="none"/>
        </w:rPr>
      </w:pPr>
      <w:r>
        <w:rPr>
          <w:rFonts w:ascii="Times New Roman" w:hAnsi="Times New Roman" w:cs="Times New Roman"/>
          <w:highlight w:val="none"/>
        </w:rPr>
        <w:t>Direct government funding as well as government-supported bonds offer comparatively lower cost of capital and maintain the desirable financial indicators observed in the base-case scenario. Conversely, PPP financing is more risk transferring but the financial returns can be low because of the increased financing costs.</w:t>
      </w:r>
    </w:p>
    <w:p w14:paraId="6D120E9F">
      <w:pPr>
        <w:spacing w:line="360" w:lineRule="auto"/>
        <w:jc w:val="both"/>
        <w:rPr>
          <w:rFonts w:ascii="Times New Roman" w:hAnsi="Times New Roman" w:cs="Times New Roman"/>
          <w:highlight w:val="none"/>
        </w:rPr>
      </w:pPr>
      <w:r>
        <w:rPr>
          <w:rFonts w:ascii="Times New Roman" w:hAnsi="Times New Roman" w:cs="Times New Roman"/>
          <w:highlight w:val="none"/>
        </w:rPr>
        <w:t>Direct government funding or government-backed borrowing is the most suitable method of financing since it would help to reduce the cost of capital and maintain the positive NPV found in the base-case financial model.</w:t>
      </w:r>
    </w:p>
    <w:p w14:paraId="3C607D14">
      <w:pPr>
        <w:spacing w:line="360" w:lineRule="auto"/>
        <w:jc w:val="both"/>
        <w:rPr>
          <w:rFonts w:ascii="Times New Roman" w:hAnsi="Times New Roman" w:cs="Times New Roman"/>
          <w:highlight w:val="none"/>
        </w:rPr>
      </w:pPr>
      <w:r>
        <w:rPr>
          <w:rFonts w:ascii="Times New Roman" w:hAnsi="Times New Roman" w:cs="Times New Roman"/>
          <w:highlight w:val="none"/>
        </w:rPr>
        <w:t>In spite of the fact that the green infrastructure bonds may theoretically underpin the idea of sustainable healthcare infrastructure investment, there are no substantial elements of environmental investment in the proposed project, which is why the traditional financing of the public nature is more suitable.</w:t>
      </w:r>
    </w:p>
    <w:p w14:paraId="73866E56">
      <w:pPr>
        <w:pStyle w:val="2"/>
        <w:spacing w:line="360" w:lineRule="auto"/>
        <w:jc w:val="both"/>
        <w:rPr>
          <w:rFonts w:ascii="Times New Roman" w:hAnsi="Times New Roman" w:cs="Times New Roman"/>
          <w:sz w:val="24"/>
          <w:szCs w:val="24"/>
          <w:highlight w:val="none"/>
        </w:rPr>
      </w:pPr>
      <w:bookmarkStart w:id="3" w:name="_Toc223130529"/>
      <w:r>
        <w:rPr>
          <w:rFonts w:ascii="Times New Roman" w:hAnsi="Times New Roman" w:cs="Times New Roman"/>
          <w:sz w:val="24"/>
          <w:szCs w:val="24"/>
          <w:highlight w:val="none"/>
        </w:rPr>
        <w:t>Section B – Capital Investment Appraisal</w:t>
      </w:r>
      <w:bookmarkEnd w:id="3"/>
    </w:p>
    <w:p w14:paraId="08A858D6">
      <w:pPr>
        <w:spacing w:line="360" w:lineRule="auto"/>
        <w:jc w:val="both"/>
        <w:rPr>
          <w:rFonts w:ascii="Times New Roman" w:hAnsi="Times New Roman" w:cs="Times New Roman" w:eastAsiaTheme="majorEastAsia"/>
          <w:highlight w:val="none"/>
        </w:rPr>
      </w:pPr>
      <m:oMathPara>
        <m:oMath>
          <m:r>
            <m:rPr/>
            <w:rPr>
              <w:rFonts w:ascii="Cambria Math" w:hAnsi="Cambria Math" w:cs="Times New Roman" w:eastAsiaTheme="minorEastAsia"/>
              <w:highlight w:val="none"/>
            </w:rPr>
            <m:t xml:space="preserve">NPV = </m:t>
          </m:r>
          <m:nary>
            <m:naryPr>
              <m:chr m:val="∑"/>
              <m:ctrlPr>
                <w:rPr>
                  <w:rFonts w:ascii="Cambria Math" w:hAnsi="Cambria Math" w:cs="Times New Roman" w:eastAsiaTheme="minorEastAsia"/>
                  <w:i/>
                  <w:highlight w:val="none"/>
                </w:rPr>
              </m:ctrlPr>
            </m:naryPr>
            <m:sub>
              <m:d>
                <m:dPr>
                  <m:begChr m:val="{"/>
                  <m:endChr m:val="}"/>
                  <m:ctrlPr>
                    <w:rPr>
                      <w:rFonts w:ascii="Cambria Math" w:hAnsi="Cambria Math" w:cs="Times New Roman" w:eastAsiaTheme="minorEastAsia"/>
                      <w:i/>
                      <w:highlight w:val="none"/>
                    </w:rPr>
                  </m:ctrlPr>
                </m:dPr>
                <m:e>
                  <m:r>
                    <m:rPr/>
                    <w:rPr>
                      <w:rFonts w:ascii="Cambria Math" w:hAnsi="Cambria Math" w:cs="Times New Roman" w:eastAsiaTheme="minorEastAsia"/>
                      <w:highlight w:val="none"/>
                    </w:rPr>
                    <m:t>t=1</m:t>
                  </m:r>
                  <m:ctrlPr>
                    <w:rPr>
                      <w:rFonts w:ascii="Cambria Math" w:hAnsi="Cambria Math" w:cs="Times New Roman" w:eastAsiaTheme="minorEastAsia"/>
                      <w:i/>
                      <w:highlight w:val="none"/>
                    </w:rPr>
                  </m:ctrlPr>
                </m:e>
              </m:d>
              <m:ctrlPr>
                <w:rPr>
                  <w:rFonts w:ascii="Cambria Math" w:hAnsi="Cambria Math" w:cs="Times New Roman" w:eastAsiaTheme="minorEastAsia"/>
                  <w:i/>
                  <w:highlight w:val="none"/>
                </w:rPr>
              </m:ctrlPr>
            </m:sub>
            <m:sup>
              <m:r>
                <m:rPr/>
                <w:rPr>
                  <w:rFonts w:ascii="Cambria Math" w:hAnsi="Cambria Math" w:cs="Times New Roman" w:eastAsiaTheme="minorEastAsia"/>
                  <w:highlight w:val="none"/>
                </w:rPr>
                <m:t>n</m:t>
              </m:r>
              <m:ctrlPr>
                <w:rPr>
                  <w:rFonts w:ascii="Cambria Math" w:hAnsi="Cambria Math" w:cs="Times New Roman" w:eastAsiaTheme="minorEastAsia"/>
                  <w:i/>
                  <w:highlight w:val="none"/>
                </w:rPr>
              </m:ctrlPr>
            </m:sup>
            <m:e>
              <m:eqArr>
                <m:eqArrPr>
                  <m:ctrlPr>
                    <w:rPr>
                      <w:rFonts w:ascii="Cambria Math" w:hAnsi="Cambria Math" w:cs="Times New Roman" w:eastAsiaTheme="minorEastAsia"/>
                      <w:i/>
                      <w:highlight w:val="none"/>
                    </w:rPr>
                  </m:ctrlPr>
                </m:eqArrPr>
                <m:e>
                  <m:f>
                    <m:fPr>
                      <m:ctrlPr>
                        <w:rPr>
                          <w:rFonts w:ascii="Cambria Math" w:hAnsi="Cambria Math" w:cs="Times New Roman" w:eastAsiaTheme="minorEastAsia"/>
                          <w:i/>
                          <w:highlight w:val="none"/>
                        </w:rPr>
                      </m:ctrlPr>
                    </m:fPr>
                    <m:num>
                      <m:r>
                        <m:rPr/>
                        <w:rPr>
                          <w:rFonts w:ascii="Cambria Math" w:hAnsi="Cambria Math" w:cs="Times New Roman" w:eastAsiaTheme="minorEastAsia"/>
                          <w:highlight w:val="none"/>
                        </w:rPr>
                        <m:t>CFt</m:t>
                      </m:r>
                      <m:ctrlPr>
                        <w:rPr>
                          <w:rFonts w:ascii="Cambria Math" w:hAnsi="Cambria Math" w:cs="Times New Roman" w:eastAsiaTheme="minorEastAsia"/>
                          <w:i/>
                          <w:highlight w:val="none"/>
                        </w:rPr>
                      </m:ctrlPr>
                    </m:num>
                    <m:den>
                      <m:sSup>
                        <m:sSupPr>
                          <m:ctrlPr>
                            <w:rPr>
                              <w:rFonts w:ascii="Cambria Math" w:hAnsi="Cambria Math" w:cs="Times New Roman" w:eastAsiaTheme="minorEastAsia"/>
                              <w:i/>
                              <w:highlight w:val="none"/>
                            </w:rPr>
                          </m:ctrlPr>
                        </m:sSupPr>
                        <m:e>
                          <m:d>
                            <m:dPr>
                              <m:ctrlPr>
                                <w:rPr>
                                  <w:rFonts w:ascii="Cambria Math" w:hAnsi="Cambria Math" w:cs="Times New Roman" w:eastAsiaTheme="minorEastAsia"/>
                                  <w:i/>
                                  <w:highlight w:val="none"/>
                                </w:rPr>
                              </m:ctrlPr>
                            </m:dPr>
                            <m:e>
                              <m:r>
                                <m:rPr/>
                                <w:rPr>
                                  <w:rFonts w:ascii="Cambria Math" w:hAnsi="Cambria Math" w:cs="Times New Roman" w:eastAsiaTheme="minorEastAsia"/>
                                  <w:highlight w:val="none"/>
                                </w:rPr>
                                <m:t>1+r</m:t>
                              </m:r>
                              <m:ctrlPr>
                                <w:rPr>
                                  <w:rFonts w:ascii="Cambria Math" w:hAnsi="Cambria Math" w:cs="Times New Roman" w:eastAsiaTheme="minorEastAsia"/>
                                  <w:i/>
                                  <w:highlight w:val="none"/>
                                </w:rPr>
                              </m:ctrlPr>
                            </m:e>
                          </m:d>
                          <m:ctrlPr>
                            <w:rPr>
                              <w:rFonts w:ascii="Cambria Math" w:hAnsi="Cambria Math" w:cs="Times New Roman" w:eastAsiaTheme="minorEastAsia"/>
                              <w:i/>
                              <w:highlight w:val="none"/>
                            </w:rPr>
                          </m:ctrlPr>
                        </m:e>
                        <m:sup>
                          <m:r>
                            <m:rPr/>
                            <w:rPr>
                              <w:rFonts w:ascii="Cambria Math" w:hAnsi="Cambria Math" w:cs="Times New Roman" w:eastAsiaTheme="minorEastAsia"/>
                              <w:highlight w:val="none"/>
                            </w:rPr>
                            <m:t>t</m:t>
                          </m:r>
                          <m:ctrlPr>
                            <w:rPr>
                              <w:rFonts w:ascii="Cambria Math" w:hAnsi="Cambria Math" w:cs="Times New Roman" w:eastAsiaTheme="minorEastAsia"/>
                              <w:i/>
                              <w:highlight w:val="none"/>
                            </w:rPr>
                          </m:ctrlPr>
                        </m:sup>
                      </m:sSup>
                      <m:ctrlPr>
                        <w:rPr>
                          <w:rFonts w:ascii="Cambria Math" w:hAnsi="Cambria Math" w:cs="Times New Roman" w:eastAsiaTheme="minorEastAsia"/>
                          <w:i/>
                          <w:highlight w:val="none"/>
                        </w:rPr>
                      </m:ctrlPr>
                    </m:den>
                  </m:f>
                  <m:ctrlPr>
                    <w:rPr>
                      <w:rFonts w:ascii="Cambria Math" w:hAnsi="Cambria Math" w:cs="Times New Roman" w:eastAsiaTheme="minorEastAsia"/>
                      <w:i/>
                      <w:highlight w:val="none"/>
                    </w:rPr>
                  </m:ctrlPr>
                </m:e>
                <m:e>
                  <m:ctrlPr>
                    <w:rPr>
                      <w:rFonts w:ascii="Cambria Math" w:hAnsi="Cambria Math" w:cs="Times New Roman" w:eastAsiaTheme="minorEastAsia"/>
                      <w:i/>
                      <w:highlight w:val="none"/>
                    </w:rPr>
                  </m:ctrlPr>
                </m:e>
              </m:eqArr>
              <m:ctrlPr>
                <w:rPr>
                  <w:rFonts w:ascii="Cambria Math" w:hAnsi="Cambria Math" w:cs="Times New Roman" w:eastAsiaTheme="minorEastAsia"/>
                  <w:i/>
                  <w:highlight w:val="none"/>
                </w:rPr>
              </m:ctrlPr>
            </m:e>
          </m:nary>
          <m:r>
            <m:rPr/>
            <w:rPr>
              <w:rFonts w:ascii="Cambria Math" w:hAnsi="Cambria Math" w:cs="Times New Roman" w:eastAsiaTheme="minorEastAsia"/>
              <w:highlight w:val="none"/>
            </w:rPr>
            <m:t xml:space="preserve">− </m:t>
          </m:r>
          <m:sSub>
            <m:sSubPr>
              <m:ctrlPr>
                <w:rPr>
                  <w:rFonts w:ascii="Cambria Math" w:hAnsi="Cambria Math" w:cs="Times New Roman" w:eastAsiaTheme="minorEastAsia"/>
                  <w:i/>
                  <w:highlight w:val="none"/>
                </w:rPr>
              </m:ctrlPr>
            </m:sSubPr>
            <m:e>
              <m:r>
                <m:rPr/>
                <w:rPr>
                  <w:rFonts w:ascii="Cambria Math" w:hAnsi="Cambria Math" w:cs="Times New Roman" w:eastAsiaTheme="minorEastAsia"/>
                  <w:highlight w:val="none"/>
                </w:rPr>
                <m:t>C</m:t>
              </m:r>
              <m:ctrlPr>
                <w:rPr>
                  <w:rFonts w:ascii="Cambria Math" w:hAnsi="Cambria Math" w:cs="Times New Roman" w:eastAsiaTheme="minorEastAsia"/>
                  <w:i/>
                  <w:highlight w:val="none"/>
                </w:rPr>
              </m:ctrlPr>
            </m:e>
            <m:sub>
              <m:r>
                <m:rPr/>
                <w:rPr>
                  <w:rFonts w:ascii="Cambria Math" w:hAnsi="Cambria Math" w:cs="Times New Roman" w:eastAsiaTheme="minorEastAsia"/>
                  <w:highlight w:val="none"/>
                </w:rPr>
                <m:t>0</m:t>
              </m:r>
              <m:ctrlPr>
                <w:rPr>
                  <w:rFonts w:ascii="Cambria Math" w:hAnsi="Cambria Math" w:cs="Times New Roman" w:eastAsiaTheme="minorEastAsia"/>
                  <w:i/>
                  <w:highlight w:val="none"/>
                </w:rPr>
              </m:ctrlPr>
            </m:sub>
          </m:sSub>
        </m:oMath>
      </m:oMathPara>
    </w:p>
    <w:p w14:paraId="6A4BC738">
      <w:pPr>
        <w:spacing w:line="360" w:lineRule="auto"/>
        <w:jc w:val="both"/>
        <w:rPr>
          <w:rFonts w:ascii="Times New Roman" w:hAnsi="Times New Roman" w:cs="Times New Roman"/>
          <w:highlight w:val="none"/>
        </w:rPr>
      </w:pPr>
      <w:r>
        <w:rPr>
          <w:rFonts w:ascii="Times New Roman" w:hAnsi="Times New Roman" w:cs="Times New Roman"/>
          <w:highlight w:val="none"/>
        </w:rPr>
        <w:t>Where:</w:t>
      </w:r>
    </w:p>
    <w:p w14:paraId="7826AABF">
      <w:pPr>
        <w:numPr>
          <w:ilvl w:val="0"/>
          <w:numId w:val="1"/>
        </w:numPr>
        <w:spacing w:line="360" w:lineRule="auto"/>
        <w:jc w:val="both"/>
        <w:rPr>
          <w:rFonts w:ascii="Times New Roman" w:hAnsi="Times New Roman" w:cs="Times New Roman"/>
          <w:highlight w:val="none"/>
        </w:rPr>
      </w:pPr>
      <m:oMath>
        <m:r>
          <m:rPr/>
          <w:rPr>
            <w:rFonts w:ascii="Cambria Math" w:hAnsi="Cambria Math" w:cs="Times New Roman"/>
            <w:highlight w:val="none"/>
          </w:rPr>
          <m:t>C</m:t>
        </m:r>
        <m:sSub>
          <m:sSubPr>
            <m:ctrlPr>
              <w:rPr>
                <w:rFonts w:ascii="Cambria Math" w:hAnsi="Cambria Math" w:cs="Times New Roman"/>
                <w:highlight w:val="none"/>
              </w:rPr>
            </m:ctrlPr>
          </m:sSubPr>
          <m:e>
            <m:r>
              <m:rPr/>
              <w:rPr>
                <w:rFonts w:ascii="Cambria Math" w:hAnsi="Cambria Math" w:cs="Times New Roman"/>
                <w:highlight w:val="none"/>
              </w:rPr>
              <m:t>F</m:t>
            </m:r>
            <m:ctrlPr>
              <w:rPr>
                <w:rFonts w:ascii="Cambria Math" w:hAnsi="Cambria Math" w:cs="Times New Roman"/>
                <w:highlight w:val="none"/>
              </w:rPr>
            </m:ctrlPr>
          </m:e>
          <m:sub>
            <m:r>
              <m:rPr/>
              <w:rPr>
                <w:rFonts w:ascii="Cambria Math" w:hAnsi="Cambria Math" w:cs="Times New Roman"/>
                <w:highlight w:val="none"/>
              </w:rPr>
              <m:t>t</m:t>
            </m:r>
            <m:ctrlPr>
              <w:rPr>
                <w:rFonts w:ascii="Cambria Math" w:hAnsi="Cambria Math" w:cs="Times New Roman"/>
                <w:highlight w:val="none"/>
              </w:rPr>
            </m:ctrlPr>
          </m:sub>
        </m:sSub>
      </m:oMath>
      <w:r>
        <w:rPr>
          <w:rFonts w:ascii="Times New Roman" w:hAnsi="Times New Roman" w:cs="Times New Roman"/>
          <w:highlight w:val="none"/>
        </w:rPr>
        <w:t>= Net cash flow in year t</w:t>
      </w:r>
    </w:p>
    <w:p w14:paraId="7E7167CE">
      <w:pPr>
        <w:numPr>
          <w:ilvl w:val="0"/>
          <w:numId w:val="1"/>
        </w:numPr>
        <w:spacing w:line="360" w:lineRule="auto"/>
        <w:jc w:val="both"/>
        <w:rPr>
          <w:rFonts w:ascii="Times New Roman" w:hAnsi="Times New Roman" w:cs="Times New Roman"/>
          <w:highlight w:val="none"/>
        </w:rPr>
      </w:pPr>
      <w:r>
        <w:rPr>
          <w:rFonts w:ascii="Times New Roman" w:hAnsi="Times New Roman" w:cs="Times New Roman"/>
          <w:highlight w:val="none"/>
        </w:rPr>
        <w:t>r = 3.5% discount rate</w:t>
      </w:r>
    </w:p>
    <w:p w14:paraId="5FA844F1">
      <w:pPr>
        <w:numPr>
          <w:ilvl w:val="0"/>
          <w:numId w:val="1"/>
        </w:numPr>
        <w:spacing w:line="360" w:lineRule="auto"/>
        <w:jc w:val="both"/>
        <w:rPr>
          <w:rFonts w:ascii="Times New Roman" w:hAnsi="Times New Roman" w:cs="Times New Roman"/>
          <w:highlight w:val="none"/>
        </w:rPr>
      </w:pPr>
      <w:r>
        <w:rPr>
          <w:rFonts w:ascii="Times New Roman" w:hAnsi="Times New Roman" w:cs="Times New Roman"/>
          <w:highlight w:val="none"/>
        </w:rPr>
        <w:t>t = time period</w:t>
      </w:r>
    </w:p>
    <w:p w14:paraId="5569BC2C">
      <w:pPr>
        <w:numPr>
          <w:ilvl w:val="0"/>
          <w:numId w:val="1"/>
        </w:numPr>
        <w:spacing w:line="360" w:lineRule="auto"/>
        <w:jc w:val="both"/>
        <w:rPr>
          <w:rFonts w:ascii="Times New Roman" w:hAnsi="Times New Roman" w:cs="Times New Roman"/>
          <w:highlight w:val="none"/>
        </w:rPr>
      </w:pPr>
      <w:r>
        <w:rPr>
          <w:rFonts w:ascii="Times New Roman" w:hAnsi="Times New Roman" w:cs="Times New Roman"/>
          <w:highlight w:val="none"/>
        </w:rPr>
        <w:t>Initial Investment = £50,000,000</w:t>
      </w:r>
    </w:p>
    <w:p w14:paraId="297C221D">
      <w:pPr>
        <w:pStyle w:val="3"/>
        <w:spacing w:line="360" w:lineRule="auto"/>
        <w:jc w:val="both"/>
        <w:rPr>
          <w:rFonts w:ascii="Times New Roman" w:hAnsi="Times New Roman" w:cs="Times New Roman"/>
          <w:sz w:val="24"/>
          <w:szCs w:val="24"/>
          <w:highlight w:val="none"/>
        </w:rPr>
      </w:pPr>
      <w:bookmarkStart w:id="4" w:name="_Toc223130530"/>
      <w:r>
        <w:rPr>
          <w:rFonts w:ascii="Times New Roman" w:hAnsi="Times New Roman" w:cs="Times New Roman"/>
          <w:sz w:val="24"/>
          <w:szCs w:val="24"/>
          <w:highlight w:val="none"/>
        </w:rPr>
        <w:t>Assumptions and Appraisal Framework.</w:t>
      </w:r>
      <w:bookmarkEnd w:id="4"/>
    </w:p>
    <w:p w14:paraId="125CFBCD">
      <w:pPr>
        <w:spacing w:line="360" w:lineRule="auto"/>
        <w:jc w:val="both"/>
        <w:rPr>
          <w:rFonts w:ascii="Times New Roman" w:hAnsi="Times New Roman" w:cs="Times New Roman"/>
          <w:highlight w:val="none"/>
        </w:rPr>
      </w:pPr>
      <w:r>
        <w:rPr>
          <w:rFonts w:ascii="Times New Roman" w:hAnsi="Times New Roman" w:cs="Times New Roman"/>
          <w:highlight w:val="none"/>
        </w:rPr>
        <w:t>Along with the principles of the assessment of the public sector investment, financial viability of the proposed NHS dental clinic with a budget of 50 million has been evaluated based on the established capital budgeting techniques. The financial model has given the following core assumptions on which the analysis is based:</w:t>
      </w:r>
    </w:p>
    <w:p w14:paraId="4314B7D6">
      <w:pPr>
        <w:pStyle w:val="36"/>
        <w:numPr>
          <w:ilvl w:val="0"/>
          <w:numId w:val="2"/>
        </w:numPr>
        <w:spacing w:line="360" w:lineRule="auto"/>
        <w:jc w:val="both"/>
        <w:rPr>
          <w:rFonts w:ascii="Times New Roman" w:hAnsi="Times New Roman" w:cs="Times New Roman"/>
          <w:highlight w:val="none"/>
        </w:rPr>
      </w:pPr>
      <w:r>
        <w:rPr>
          <w:rFonts w:ascii="Times New Roman" w:hAnsi="Times New Roman" w:cs="Times New Roman"/>
          <w:highlight w:val="none"/>
        </w:rPr>
        <w:t>Initial capital investment: £50,000,000</w:t>
      </w:r>
    </w:p>
    <w:p w14:paraId="2284AD05">
      <w:pPr>
        <w:pStyle w:val="36"/>
        <w:numPr>
          <w:ilvl w:val="0"/>
          <w:numId w:val="2"/>
        </w:numPr>
        <w:spacing w:line="360" w:lineRule="auto"/>
        <w:jc w:val="both"/>
        <w:rPr>
          <w:rFonts w:ascii="Times New Roman" w:hAnsi="Times New Roman" w:cs="Times New Roman"/>
          <w:highlight w:val="none"/>
        </w:rPr>
      </w:pPr>
      <w:r>
        <w:rPr>
          <w:rFonts w:ascii="Times New Roman" w:hAnsi="Times New Roman" w:cs="Times New Roman"/>
          <w:highlight w:val="none"/>
        </w:rPr>
        <w:t>Life of operation of the project: 25 years.</w:t>
      </w:r>
    </w:p>
    <w:p w14:paraId="14528CF9">
      <w:pPr>
        <w:pStyle w:val="36"/>
        <w:numPr>
          <w:ilvl w:val="0"/>
          <w:numId w:val="2"/>
        </w:numPr>
        <w:spacing w:line="360" w:lineRule="auto"/>
        <w:jc w:val="both"/>
        <w:rPr>
          <w:rFonts w:ascii="Times New Roman" w:hAnsi="Times New Roman" w:cs="Times New Roman"/>
          <w:highlight w:val="none"/>
        </w:rPr>
      </w:pPr>
      <w:r>
        <w:rPr>
          <w:rFonts w:ascii="Times New Roman" w:hAnsi="Times New Roman" w:cs="Times New Roman"/>
          <w:highlight w:val="none"/>
        </w:rPr>
        <w:t>Annual revenue: £12,000,000</w:t>
      </w:r>
    </w:p>
    <w:p w14:paraId="460A6231">
      <w:pPr>
        <w:pStyle w:val="36"/>
        <w:numPr>
          <w:ilvl w:val="0"/>
          <w:numId w:val="2"/>
        </w:numPr>
        <w:spacing w:line="360" w:lineRule="auto"/>
        <w:jc w:val="both"/>
        <w:rPr>
          <w:rFonts w:ascii="Times New Roman" w:hAnsi="Times New Roman" w:cs="Times New Roman"/>
          <w:highlight w:val="none"/>
        </w:rPr>
      </w:pPr>
      <w:r>
        <w:rPr>
          <w:rFonts w:ascii="Times New Roman" w:hAnsi="Times New Roman" w:cs="Times New Roman"/>
          <w:highlight w:val="none"/>
        </w:rPr>
        <w:t>Annual operating costs: £8,000,000</w:t>
      </w:r>
    </w:p>
    <w:p w14:paraId="1FB51DF6">
      <w:pPr>
        <w:pStyle w:val="36"/>
        <w:numPr>
          <w:ilvl w:val="0"/>
          <w:numId w:val="2"/>
        </w:numPr>
        <w:spacing w:line="360" w:lineRule="auto"/>
        <w:jc w:val="both"/>
        <w:rPr>
          <w:rFonts w:ascii="Times New Roman" w:hAnsi="Times New Roman" w:cs="Times New Roman"/>
          <w:highlight w:val="none"/>
        </w:rPr>
      </w:pPr>
      <w:r>
        <w:rPr>
          <w:rFonts w:ascii="Times New Roman" w:hAnsi="Times New Roman" w:cs="Times New Roman"/>
          <w:highlight w:val="none"/>
        </w:rPr>
        <w:t>Net annual cash flow: £4,000,000</w:t>
      </w:r>
    </w:p>
    <w:p w14:paraId="1FDC22BA">
      <w:pPr>
        <w:pStyle w:val="36"/>
        <w:numPr>
          <w:ilvl w:val="0"/>
          <w:numId w:val="2"/>
        </w:numPr>
        <w:spacing w:line="360" w:lineRule="auto"/>
        <w:jc w:val="both"/>
        <w:rPr>
          <w:rFonts w:ascii="Times New Roman" w:hAnsi="Times New Roman" w:cs="Times New Roman"/>
          <w:highlight w:val="none"/>
        </w:rPr>
      </w:pPr>
      <w:r>
        <w:rPr>
          <w:rFonts w:ascii="Times New Roman" w:hAnsi="Times New Roman" w:cs="Times New Roman"/>
          <w:highlight w:val="none"/>
        </w:rPr>
        <w:t>Discount rate: 3.5% (Green book social discount rate of the UK Treasury)</w:t>
      </w:r>
    </w:p>
    <w:p w14:paraId="688594E3">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The 3.5% rate of discount has been used to give an indication of the reduced cost of capital of the public sector and the social opportunity cost of government funds. </w:t>
      </w:r>
    </w:p>
    <w:p w14:paraId="4272D469">
      <w:pPr>
        <w:spacing w:line="360" w:lineRule="auto"/>
        <w:jc w:val="both"/>
        <w:rPr>
          <w:rFonts w:ascii="Times New Roman" w:hAnsi="Times New Roman" w:cs="Times New Roman"/>
          <w:color w:val="auto"/>
          <w:highlight w:val="none"/>
          <w:shd w:val="clear" w:color="FFFFFF" w:fill="D9D9D9"/>
        </w:rPr>
      </w:pPr>
      <w:r>
        <w:rPr>
          <w:rFonts w:ascii="Times New Roman" w:hAnsi="Times New Roman" w:cs="Times New Roman"/>
          <w:color w:val="auto"/>
          <w:highlight w:val="none"/>
        </w:rPr>
        <w:t xml:space="preserve">The HM Treasury Green Book discount rate is usually used to assess investments in the public sector of healthcare in real units. Thus, the social discount rate of 3.5 implies inflation adjustments. Moreover, NHS projects are not typically taxed by the corporate tax hence tax </w:t>
      </w:r>
      <w:r>
        <w:rPr>
          <w:rFonts w:ascii="Times New Roman" w:hAnsi="Times New Roman" w:cs="Times New Roman"/>
          <w:color w:val="auto"/>
          <w:highlight w:val="none"/>
          <w:shd w:val="clear" w:color="FFFFFF" w:fill="D9D9D9"/>
        </w:rPr>
        <w:t>effects have little effects on the financial appraisal.</w:t>
      </w:r>
    </w:p>
    <w:p w14:paraId="17A5386B">
      <w:pPr>
        <w:pStyle w:val="4"/>
        <w:spacing w:line="360" w:lineRule="auto"/>
        <w:jc w:val="both"/>
        <w:rPr>
          <w:rFonts w:ascii="Times New Roman" w:hAnsi="Times New Roman" w:cs="Times New Roman"/>
          <w:sz w:val="24"/>
          <w:szCs w:val="24"/>
          <w:highlight w:val="none"/>
          <w:shd w:val="clear" w:color="FFFFFF" w:fill="D9D9D9"/>
        </w:rPr>
      </w:pPr>
      <w:bookmarkStart w:id="5" w:name="_Toc223130531"/>
      <w:r>
        <w:rPr>
          <w:rFonts w:ascii="Times New Roman" w:hAnsi="Times New Roman" w:cs="Times New Roman"/>
          <w:sz w:val="24"/>
          <w:szCs w:val="24"/>
          <w:highlight w:val="none"/>
          <w:shd w:val="clear" w:color="FFFFFF" w:fill="D9D9D9"/>
        </w:rPr>
        <w:t>Base Case Analysis</w:t>
      </w:r>
      <w:bookmarkEnd w:id="5"/>
    </w:p>
    <w:p w14:paraId="0BF0A718">
      <w:pPr>
        <w:spacing w:line="360" w:lineRule="auto"/>
        <w:jc w:val="both"/>
        <w:rPr>
          <w:rFonts w:ascii="Times New Roman" w:hAnsi="Times New Roman" w:cs="Times New Roman"/>
          <w:highlight w:val="none"/>
        </w:rPr>
      </w:pPr>
      <w:r>
        <w:rPr>
          <w:rFonts w:ascii="Times New Roman" w:hAnsi="Times New Roman" w:cs="Times New Roman"/>
          <w:highlight w:val="none"/>
        </w:rPr>
        <w:t>With assumptions based on the case, the following results are obtained by the project:</w:t>
      </w:r>
    </w:p>
    <w:p w14:paraId="7EFC110A">
      <w:pPr>
        <w:pStyle w:val="36"/>
        <w:numPr>
          <w:ilvl w:val="0"/>
          <w:numId w:val="3"/>
        </w:numPr>
        <w:spacing w:line="360" w:lineRule="auto"/>
        <w:jc w:val="both"/>
        <w:rPr>
          <w:rFonts w:ascii="Times New Roman" w:hAnsi="Times New Roman" w:cs="Times New Roman"/>
          <w:highlight w:val="none"/>
        </w:rPr>
      </w:pPr>
      <w:r>
        <w:rPr>
          <w:rFonts w:ascii="Times New Roman" w:hAnsi="Times New Roman" w:cs="Times New Roman"/>
          <w:highlight w:val="none"/>
        </w:rPr>
        <w:t>NPV: £15,926,058</w:t>
      </w:r>
    </w:p>
    <w:p w14:paraId="129615EC">
      <w:pPr>
        <w:pStyle w:val="36"/>
        <w:numPr>
          <w:ilvl w:val="0"/>
          <w:numId w:val="3"/>
        </w:numPr>
        <w:spacing w:line="360" w:lineRule="auto"/>
        <w:jc w:val="both"/>
        <w:rPr>
          <w:rFonts w:ascii="Times New Roman" w:hAnsi="Times New Roman" w:cs="Times New Roman"/>
          <w:highlight w:val="none"/>
        </w:rPr>
      </w:pPr>
      <w:r>
        <w:rPr>
          <w:rFonts w:ascii="Times New Roman" w:hAnsi="Times New Roman" w:cs="Times New Roman"/>
          <w:highlight w:val="none"/>
        </w:rPr>
        <w:t>IRR: 6.24%</w:t>
      </w:r>
    </w:p>
    <w:p w14:paraId="2FAD64AD">
      <w:pPr>
        <w:pStyle w:val="36"/>
        <w:numPr>
          <w:ilvl w:val="0"/>
          <w:numId w:val="3"/>
        </w:numPr>
        <w:spacing w:line="360" w:lineRule="auto"/>
        <w:jc w:val="both"/>
        <w:rPr>
          <w:rFonts w:ascii="Times New Roman" w:hAnsi="Times New Roman" w:cs="Times New Roman"/>
          <w:highlight w:val="none"/>
        </w:rPr>
      </w:pPr>
      <w:r>
        <w:rPr>
          <w:rFonts w:ascii="Times New Roman" w:hAnsi="Times New Roman" w:cs="Times New Roman"/>
          <w:highlight w:val="none"/>
        </w:rPr>
        <w:t>Payback Period: 13 years</w:t>
      </w:r>
    </w:p>
    <w:p w14:paraId="46BB4D91">
      <w:pPr>
        <w:pStyle w:val="36"/>
        <w:numPr>
          <w:ilvl w:val="0"/>
          <w:numId w:val="3"/>
        </w:numPr>
        <w:spacing w:line="360" w:lineRule="auto"/>
        <w:jc w:val="both"/>
        <w:rPr>
          <w:rFonts w:ascii="Times New Roman" w:hAnsi="Times New Roman" w:cs="Times New Roman"/>
          <w:highlight w:val="none"/>
        </w:rPr>
      </w:pPr>
      <w:r>
        <w:rPr>
          <w:rFonts w:ascii="Times New Roman" w:hAnsi="Times New Roman" w:cs="Times New Roman"/>
          <w:highlight w:val="none"/>
        </w:rPr>
        <w:t>Profitability Index: 1.32</w:t>
      </w:r>
    </w:p>
    <w:p w14:paraId="5E0F216C">
      <w:pPr>
        <w:pStyle w:val="36"/>
        <w:numPr>
          <w:ilvl w:val="0"/>
          <w:numId w:val="3"/>
        </w:numPr>
        <w:spacing w:line="360" w:lineRule="auto"/>
        <w:jc w:val="both"/>
        <w:rPr>
          <w:rFonts w:ascii="Times New Roman" w:hAnsi="Times New Roman" w:cs="Times New Roman"/>
          <w:highlight w:val="none"/>
        </w:rPr>
      </w:pPr>
      <w:r>
        <w:rPr>
          <w:rFonts w:ascii="Times New Roman" w:hAnsi="Times New Roman" w:cs="Times New Roman"/>
          <w:highlight w:val="none"/>
        </w:rPr>
        <w:t>Net Present Value (NPV)</w:t>
      </w:r>
    </w:p>
    <w:p w14:paraId="6C37CA25">
      <w:pPr>
        <w:spacing w:line="360" w:lineRule="auto"/>
        <w:jc w:val="both"/>
        <w:rPr>
          <w:rFonts w:ascii="Times New Roman" w:hAnsi="Times New Roman" w:cs="Times New Roman"/>
          <w:highlight w:val="none"/>
        </w:rPr>
      </w:pPr>
      <w:r>
        <w:rPr>
          <w:rFonts w:ascii="Times New Roman" w:hAnsi="Times New Roman" w:cs="Times New Roman"/>
          <w:highlight w:val="none"/>
        </w:rPr>
        <w:t>The positive NPV of; 15.9 million implies that even when discounted cash flows are taken into consideration the project is giving a value which would exceed the cost of capital employed in the project. Publicly speaking, it implies that this project will positively affect the long-term economic well-being and will pass the value-to-money test.</w:t>
      </w:r>
    </w:p>
    <w:p w14:paraId="6E835C01">
      <w:pPr>
        <w:pStyle w:val="4"/>
        <w:spacing w:line="360" w:lineRule="auto"/>
        <w:jc w:val="both"/>
        <w:rPr>
          <w:rFonts w:ascii="Times New Roman" w:hAnsi="Times New Roman" w:cs="Times New Roman"/>
          <w:sz w:val="24"/>
          <w:szCs w:val="24"/>
          <w:highlight w:val="none"/>
        </w:rPr>
      </w:pPr>
      <w:bookmarkStart w:id="6" w:name="_Toc223130532"/>
      <w:r>
        <w:rPr>
          <w:rFonts w:ascii="Times New Roman" w:hAnsi="Times New Roman" w:cs="Times New Roman"/>
          <w:sz w:val="24"/>
          <w:szCs w:val="24"/>
          <w:highlight w:val="none"/>
        </w:rPr>
        <w:t>Internal Rate of Return (IRR)</w:t>
      </w:r>
      <w:bookmarkEnd w:id="6"/>
    </w:p>
    <w:p w14:paraId="44F6095C">
      <w:pPr>
        <w:spacing w:line="360" w:lineRule="auto"/>
        <w:jc w:val="both"/>
        <w:rPr>
          <w:rFonts w:ascii="Times New Roman" w:hAnsi="Times New Roman" w:cs="Times New Roman"/>
          <w:highlight w:val="none"/>
        </w:rPr>
      </w:pPr>
      <w:r>
        <w:rPr>
          <w:rFonts w:ascii="Times New Roman" w:hAnsi="Times New Roman" w:cs="Times New Roman"/>
          <w:highlight w:val="none"/>
        </w:rPr>
        <w:t>The IRR of 6.24% is higher than the 3.5% social discount rate and this shows that the project will have a higher payoff than the government cost of capital. The 2.7% margin allows a cushion on moderate deviation of revenue or cost assumptions (Coccia, M., 2023).</w:t>
      </w:r>
    </w:p>
    <w:p w14:paraId="5744B5FF">
      <w:pPr>
        <w:pStyle w:val="4"/>
        <w:spacing w:line="360" w:lineRule="auto"/>
        <w:jc w:val="both"/>
        <w:rPr>
          <w:rFonts w:ascii="Times New Roman" w:hAnsi="Times New Roman" w:cs="Times New Roman"/>
          <w:sz w:val="24"/>
          <w:szCs w:val="24"/>
          <w:highlight w:val="none"/>
        </w:rPr>
      </w:pPr>
      <w:bookmarkStart w:id="7" w:name="_Toc223130533"/>
      <w:r>
        <w:rPr>
          <w:rFonts w:ascii="Times New Roman" w:hAnsi="Times New Roman" w:cs="Times New Roman"/>
          <w:sz w:val="24"/>
          <w:szCs w:val="24"/>
          <w:highlight w:val="none"/>
        </w:rPr>
        <w:t>Payback Period</w:t>
      </w:r>
      <w:bookmarkEnd w:id="7"/>
    </w:p>
    <w:p w14:paraId="5AA7A69A">
      <w:pPr>
        <w:spacing w:line="360" w:lineRule="auto"/>
        <w:jc w:val="both"/>
        <w:rPr>
          <w:rFonts w:ascii="Times New Roman" w:hAnsi="Times New Roman" w:cs="Times New Roman"/>
          <w:highlight w:val="none"/>
        </w:rPr>
      </w:pPr>
      <w:r>
        <w:rPr>
          <w:rFonts w:ascii="Times New Roman" w:hAnsi="Times New Roman" w:cs="Times New Roman"/>
          <w:highlight w:val="none"/>
        </w:rPr>
        <w:t>Payback of the project is achieved at 13 years. This period is in line with most healthcare infrastructure projects, which do not provide high returns as quickly as capital investments in the private sector do, but give steady returns in the long-term.</w:t>
      </w:r>
    </w:p>
    <w:p w14:paraId="3216FFD8">
      <w:pPr>
        <w:pStyle w:val="4"/>
        <w:spacing w:line="360" w:lineRule="auto"/>
        <w:jc w:val="both"/>
        <w:rPr>
          <w:rFonts w:ascii="Times New Roman" w:hAnsi="Times New Roman" w:cs="Times New Roman"/>
          <w:sz w:val="24"/>
          <w:szCs w:val="24"/>
          <w:highlight w:val="none"/>
        </w:rPr>
      </w:pPr>
      <w:bookmarkStart w:id="8" w:name="_Toc223130534"/>
      <w:r>
        <w:rPr>
          <w:rFonts w:ascii="Times New Roman" w:hAnsi="Times New Roman" w:cs="Times New Roman"/>
          <w:sz w:val="24"/>
          <w:szCs w:val="24"/>
          <w:highlight w:val="none"/>
        </w:rPr>
        <w:t>Profitability Index (PI)</w:t>
      </w:r>
      <w:bookmarkEnd w:id="8"/>
    </w:p>
    <w:p w14:paraId="40D3AF9D">
      <w:pPr>
        <w:spacing w:line="360" w:lineRule="auto"/>
        <w:jc w:val="both"/>
        <w:rPr>
          <w:rFonts w:ascii="Times New Roman" w:hAnsi="Times New Roman" w:cs="Times New Roman"/>
          <w:highlight w:val="none"/>
        </w:rPr>
      </w:pPr>
      <w:r>
        <w:rPr>
          <w:rFonts w:ascii="Times New Roman" w:hAnsi="Times New Roman" w:cs="Times New Roman"/>
          <w:highlight w:val="none"/>
        </w:rPr>
        <w:t>The profitability index of 1.32 is used to show that the project creates 1.32 on present value terms after investing every 1 pound in the project. PI above 1 is indicative of financial acceptability and superior to the positive NPV outcome (Barroy, H., 2025).</w:t>
      </w:r>
    </w:p>
    <w:p w14:paraId="23C0A02E">
      <w:pPr>
        <w:pStyle w:val="3"/>
        <w:spacing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Capital Investment Appraisal</w:t>
      </w:r>
    </w:p>
    <w:tbl>
      <w:tblPr>
        <w:tblStyle w:val="12"/>
        <w:tblW w:w="9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5"/>
        <w:gridCol w:w="2250"/>
        <w:gridCol w:w="2070"/>
        <w:gridCol w:w="2070"/>
      </w:tblGrid>
      <w:tr w14:paraId="052C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325"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3579F33E">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Year</w:t>
            </w:r>
          </w:p>
        </w:tc>
        <w:tc>
          <w:tcPr>
            <w:tcW w:w="225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227550C4">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Cash Flow (£)</w:t>
            </w:r>
          </w:p>
        </w:tc>
        <w:tc>
          <w:tcPr>
            <w:tcW w:w="207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09A82E5F">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Discount Factor (3.5%)</w:t>
            </w:r>
          </w:p>
        </w:tc>
        <w:tc>
          <w:tcPr>
            <w:tcW w:w="207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1407AAB6">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Present Value (£)</w:t>
            </w:r>
          </w:p>
        </w:tc>
      </w:tr>
      <w:tr w14:paraId="79FC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178B8A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F4FDE5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-50,000,000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6109D7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676E355">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-50,000,000.00</w:t>
            </w:r>
          </w:p>
        </w:tc>
      </w:tr>
      <w:tr w14:paraId="1144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7256C50">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1B92DE0">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4821CB0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0.966184</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376D7E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3,864,734.30</w:t>
            </w:r>
          </w:p>
        </w:tc>
      </w:tr>
      <w:tr w14:paraId="495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9968B2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F642F2E">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172C86A">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0.933511</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B7F2FA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3,734,042.80</w:t>
            </w:r>
          </w:p>
        </w:tc>
      </w:tr>
      <w:tr w14:paraId="34D8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1FA4E1E">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A93B6E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FDCAC3C">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0.901943</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2FC85E5A">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3,607,770.82</w:t>
            </w:r>
          </w:p>
        </w:tc>
      </w:tr>
      <w:tr w14:paraId="20E4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ECFB537">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16802C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E3F799C">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0.871442</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429566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3,485,768.91</w:t>
            </w:r>
          </w:p>
        </w:tc>
      </w:tr>
      <w:tr w14:paraId="03A6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4C1FEB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5</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155EE2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89F0EA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0.841973</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3901585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3,367,891.71</w:t>
            </w:r>
          </w:p>
        </w:tc>
      </w:tr>
      <w:tr w14:paraId="0EBB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9B7E3C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6</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EA9401A">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E0CE8E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0.8135</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04EEBD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3,254,000.69</w:t>
            </w:r>
          </w:p>
        </w:tc>
      </w:tr>
      <w:tr w14:paraId="2DFC8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3EE8936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7</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B6B8CF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80BC28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0.78599</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2633D845">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3,143,961.05</w:t>
            </w:r>
          </w:p>
        </w:tc>
      </w:tr>
      <w:tr w14:paraId="56984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CC3EDA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8</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381D16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64A2D4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0.75941</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6B91CF3">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3,037,640.63</w:t>
            </w:r>
          </w:p>
        </w:tc>
      </w:tr>
      <w:tr w14:paraId="3F220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2A60CDA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9</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EBE3397">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41CE235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0.733729</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C2E8145">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2,934,916.55</w:t>
            </w:r>
          </w:p>
        </w:tc>
      </w:tr>
      <w:tr w14:paraId="53DA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714FF1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10</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B8C0BB3">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6A997C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0.708916</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330D7FC">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2,835,665.75</w:t>
            </w:r>
          </w:p>
        </w:tc>
      </w:tr>
      <w:tr w14:paraId="0DF1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1D9109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11</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F5E7A0C">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67D0E9A">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0.684943</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6A61E9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2,739,774.64</w:t>
            </w:r>
          </w:p>
        </w:tc>
      </w:tr>
      <w:tr w14:paraId="341B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567FF8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12</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1C37F1E">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3F0730C">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0.66178</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A7A625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2,647,119.46</w:t>
            </w:r>
          </w:p>
        </w:tc>
      </w:tr>
      <w:tr w14:paraId="733F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4BDF6C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13</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6B0C83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6FCFDD4">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0.639401</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42A29BC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2,557,600.44</w:t>
            </w:r>
          </w:p>
        </w:tc>
      </w:tr>
      <w:tr w14:paraId="3BB73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5E4CEDB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14</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84950E3">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FB0FD84">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0.617779</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3FA7DC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2,471,115.41</w:t>
            </w:r>
          </w:p>
        </w:tc>
      </w:tr>
      <w:tr w14:paraId="33F8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E9C6C4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15</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1F3064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344E95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0.596888</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35B9CCF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2,387,562.14</w:t>
            </w:r>
          </w:p>
        </w:tc>
      </w:tr>
      <w:tr w14:paraId="6DCA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8C90C95">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16</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3F4A7C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5BD5CD4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0.576702</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4319914">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2,306,850.38</w:t>
            </w:r>
          </w:p>
        </w:tc>
      </w:tr>
      <w:tr w14:paraId="2230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78A8F0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17</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99DD46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6EB9EC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0.557201</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838480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2,228,885.39</w:t>
            </w:r>
          </w:p>
        </w:tc>
      </w:tr>
      <w:tr w14:paraId="401B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471AF8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18</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866ACA7">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5FA2C67">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0.538359</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9864BE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2,153,586.85</w:t>
            </w:r>
          </w:p>
        </w:tc>
      </w:tr>
      <w:tr w14:paraId="3DFF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E1B77F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19</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ED607E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3FB477E">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0.520154</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9F2ADB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2,080,617.25</w:t>
            </w:r>
          </w:p>
        </w:tc>
      </w:tr>
      <w:tr w14:paraId="7E2E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E5BF1F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20</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85D786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4E0D6B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0.502564</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099250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2,010,257.25</w:t>
            </w:r>
          </w:p>
        </w:tc>
      </w:tr>
      <w:tr w14:paraId="6AB9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B77D914">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21</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FCFC50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0C6ABE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0.485568</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0BDC19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1,942,273.68</w:t>
            </w:r>
          </w:p>
        </w:tc>
      </w:tr>
      <w:tr w14:paraId="7A62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D0FCA1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22</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1C9BD9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37AF17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0.469147</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E8F4BF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1,876,440.75</w:t>
            </w:r>
          </w:p>
        </w:tc>
      </w:tr>
      <w:tr w14:paraId="11A0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3D74163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23</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298567F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7DF15D37">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0.453282</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2F9210E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1,812,539.86</w:t>
            </w:r>
          </w:p>
        </w:tc>
      </w:tr>
      <w:tr w14:paraId="6F46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59F896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24</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4683BC5">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DC9C33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0.437954</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053F0B9">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1,750,359.76</w:t>
            </w:r>
          </w:p>
        </w:tc>
      </w:tr>
      <w:tr w14:paraId="6676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8AFB54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25</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57CAB983">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4,000,000</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73BCA6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0.423147</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BD1B0C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1,692,587.96</w:t>
            </w:r>
          </w:p>
        </w:tc>
      </w:tr>
      <w:tr w14:paraId="1D13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748541B">
            <w:pPr>
              <w:spacing w:after="0" w:line="360" w:lineRule="auto"/>
              <w:jc w:val="both"/>
              <w:rPr>
                <w:rFonts w:ascii="Times New Roman" w:hAnsi="Times New Roman" w:cs="Times New Roman"/>
                <w:b w:val="0"/>
                <w:i w:val="0"/>
                <w:color w:val="000000"/>
                <w:highlight w:val="none"/>
              </w:rPr>
            </w:pPr>
            <w:r>
              <w:rPr>
                <w:rFonts w:ascii="Times New Roman" w:hAnsi="Times New Roman" w:cs="Times New Roman"/>
                <w:b w:val="0"/>
                <w:i w:val="0"/>
                <w:color w:val="000000"/>
                <w:highlight w:val="none"/>
              </w:rPr>
              <w:t>Total PV of inflows (Years 1–25)</w:t>
            </w:r>
          </w:p>
        </w:tc>
        <w:tc>
          <w:tcPr>
            <w:tcW w:w="225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CCF878C">
            <w:pPr>
              <w:spacing w:after="0" w:line="360" w:lineRule="auto"/>
              <w:jc w:val="both"/>
              <w:rPr>
                <w:rFonts w:ascii="Times New Roman" w:hAnsi="Times New Roman" w:cs="Times New Roman"/>
                <w:b w:val="0"/>
                <w:i w:val="0"/>
                <w:color w:val="000000"/>
                <w:highlight w:val="none"/>
              </w:rPr>
            </w:pP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08FC387">
            <w:pPr>
              <w:spacing w:after="0" w:line="360" w:lineRule="auto"/>
              <w:jc w:val="both"/>
              <w:rPr>
                <w:rFonts w:ascii="Times New Roman" w:hAnsi="Times New Roman" w:eastAsia="Times New Roman" w:cs="Times New Roman"/>
                <w:b w:val="0"/>
                <w:i w:val="0"/>
                <w:color w:val="000000"/>
                <w:kern w:val="0"/>
                <w:highlight w:val="none"/>
                <w14:ligatures w14:val="none"/>
              </w:rPr>
            </w:pP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64CD854">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65,926,058.37</w:t>
            </w:r>
          </w:p>
        </w:tc>
      </w:tr>
      <w:tr w14:paraId="013F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3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C33A5DC">
            <w:pPr>
              <w:spacing w:after="0" w:line="360" w:lineRule="auto"/>
              <w:jc w:val="both"/>
              <w:rPr>
                <w:rFonts w:ascii="Times New Roman" w:hAnsi="Times New Roman" w:cs="Times New Roman"/>
                <w:b w:val="0"/>
                <w:i w:val="0"/>
                <w:color w:val="000000"/>
                <w:highlight w:val="none"/>
              </w:rPr>
            </w:pPr>
            <w:r>
              <w:rPr>
                <w:rFonts w:ascii="Times New Roman" w:hAnsi="Times New Roman" w:cs="Times New Roman"/>
                <w:b w:val="0"/>
                <w:i w:val="0"/>
                <w:color w:val="000000"/>
                <w:highlight w:val="none"/>
              </w:rPr>
              <w:t>NPV = PV inflows − Initial Investment</w:t>
            </w:r>
          </w:p>
        </w:tc>
        <w:tc>
          <w:tcPr>
            <w:tcW w:w="225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46EA219">
            <w:pPr>
              <w:spacing w:after="0" w:line="360" w:lineRule="auto"/>
              <w:jc w:val="both"/>
              <w:rPr>
                <w:rFonts w:ascii="Times New Roman" w:hAnsi="Times New Roman" w:cs="Times New Roman"/>
                <w:b w:val="0"/>
                <w:i w:val="0"/>
                <w:color w:val="000000"/>
                <w:highlight w:val="none"/>
              </w:rPr>
            </w:pP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234D3CE6">
            <w:pPr>
              <w:spacing w:after="0" w:line="360" w:lineRule="auto"/>
              <w:jc w:val="both"/>
              <w:rPr>
                <w:rFonts w:ascii="Times New Roman" w:hAnsi="Times New Roman" w:eastAsia="Times New Roman" w:cs="Times New Roman"/>
                <w:b w:val="0"/>
                <w:i w:val="0"/>
                <w:color w:val="000000"/>
                <w:kern w:val="0"/>
                <w:highlight w:val="none"/>
                <w14:ligatures w14:val="none"/>
              </w:rPr>
            </w:pP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52616A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15,926,058.37</w:t>
            </w:r>
          </w:p>
        </w:tc>
      </w:tr>
    </w:tbl>
    <w:p w14:paraId="33E397D5">
      <w:pPr>
        <w:spacing w:line="360" w:lineRule="auto"/>
        <w:jc w:val="both"/>
        <w:rPr>
          <w:rFonts w:ascii="Times New Roman" w:hAnsi="Times New Roman" w:cs="Times New Roman"/>
          <w:highlight w:val="none"/>
        </w:rPr>
      </w:pPr>
    </w:p>
    <w:p w14:paraId="01477F84">
      <w:pPr>
        <w:spacing w:line="360" w:lineRule="auto"/>
        <w:jc w:val="both"/>
        <w:rPr>
          <w:rFonts w:ascii="Times New Roman" w:hAnsi="Times New Roman" w:cs="Times New Roman"/>
          <w:highlight w:val="none"/>
        </w:rPr>
      </w:pPr>
      <w:r>
        <w:rPr>
          <w:rFonts w:ascii="Times New Roman" w:hAnsi="Times New Roman" w:cs="Times New Roman"/>
          <w:highlight w:val="none"/>
        </w:rPr>
        <w:t>Therefore, the project generates a positive NPV of £15,926,058.37 at a 3.5% discount rate, indicating financial acceptability under the base-case assumptions.</w:t>
      </w:r>
    </w:p>
    <w:p w14:paraId="1A6C0850">
      <w:pPr>
        <w:pStyle w:val="3"/>
        <w:spacing w:line="360" w:lineRule="auto"/>
        <w:jc w:val="both"/>
        <w:rPr>
          <w:rFonts w:ascii="Times New Roman" w:hAnsi="Times New Roman" w:cs="Times New Roman"/>
          <w:sz w:val="24"/>
          <w:szCs w:val="24"/>
          <w:highlight w:val="none"/>
        </w:rPr>
      </w:pPr>
      <w:bookmarkStart w:id="9" w:name="_Toc223130535"/>
      <w:r>
        <w:rPr>
          <w:rFonts w:ascii="Times New Roman" w:hAnsi="Times New Roman" w:cs="Times New Roman"/>
          <w:sz w:val="24"/>
          <w:szCs w:val="24"/>
          <w:highlight w:val="none"/>
        </w:rPr>
        <w:t>Reality Analysis and Risk Review.</w:t>
      </w:r>
      <w:bookmarkEnd w:id="9"/>
    </w:p>
    <w:p w14:paraId="16ABAF88">
      <w:pPr>
        <w:spacing w:line="360" w:lineRule="auto"/>
        <w:jc w:val="both"/>
        <w:rPr>
          <w:rFonts w:ascii="Times New Roman" w:hAnsi="Times New Roman" w:cs="Times New Roman"/>
          <w:highlight w:val="none"/>
        </w:rPr>
      </w:pPr>
      <w:r>
        <w:rPr>
          <w:rFonts w:ascii="Times New Roman" w:hAnsi="Times New Roman" w:cs="Times New Roman"/>
          <w:highlight w:val="none"/>
        </w:rPr>
        <w:t>Best-case and worst-case scenarios were modelled to determine the financial strength.</w:t>
      </w:r>
    </w:p>
    <w:p w14:paraId="7DD11345">
      <w:pPr>
        <w:pStyle w:val="4"/>
        <w:spacing w:line="360" w:lineRule="auto"/>
        <w:jc w:val="both"/>
        <w:rPr>
          <w:rFonts w:ascii="Times New Roman" w:hAnsi="Times New Roman" w:cs="Times New Roman"/>
          <w:sz w:val="24"/>
          <w:szCs w:val="24"/>
          <w:highlight w:val="none"/>
        </w:rPr>
      </w:pPr>
      <w:bookmarkStart w:id="10" w:name="_Toc223130536"/>
      <w:r>
        <w:rPr>
          <w:rFonts w:ascii="Times New Roman" w:hAnsi="Times New Roman" w:cs="Times New Roman"/>
          <w:sz w:val="24"/>
          <w:szCs w:val="24"/>
          <w:highlight w:val="none"/>
        </w:rPr>
        <w:t>Best Case Scenario</w:t>
      </w:r>
      <w:bookmarkEnd w:id="10"/>
    </w:p>
    <w:p w14:paraId="39463EDA">
      <w:pPr>
        <w:spacing w:line="360" w:lineRule="auto"/>
        <w:jc w:val="both"/>
        <w:rPr>
          <w:rFonts w:ascii="Times New Roman" w:hAnsi="Times New Roman" w:cs="Times New Roman"/>
          <w:highlight w:val="none"/>
        </w:rPr>
      </w:pPr>
      <w:r>
        <w:rPr>
          <w:rFonts w:ascii="Times New Roman" w:hAnsi="Times New Roman" w:cs="Times New Roman"/>
          <w:highlight w:val="none"/>
        </w:rPr>
        <w:t>The results are also much better when assuming a 10% revenue growth, and a 5% decrease in operating expenses:</w:t>
      </w:r>
    </w:p>
    <w:p w14:paraId="4F53EBB2">
      <w:pPr>
        <w:pStyle w:val="36"/>
        <w:numPr>
          <w:ilvl w:val="0"/>
          <w:numId w:val="4"/>
        </w:numPr>
        <w:spacing w:line="360" w:lineRule="auto"/>
        <w:jc w:val="both"/>
        <w:rPr>
          <w:rFonts w:ascii="Times New Roman" w:hAnsi="Times New Roman" w:cs="Times New Roman"/>
          <w:highlight w:val="none"/>
        </w:rPr>
      </w:pPr>
      <w:r>
        <w:rPr>
          <w:rFonts w:ascii="Times New Roman" w:hAnsi="Times New Roman" w:cs="Times New Roman"/>
          <w:highlight w:val="none"/>
        </w:rPr>
        <w:t>NPV: £42.3 million</w:t>
      </w:r>
    </w:p>
    <w:p w14:paraId="68E7B5DA">
      <w:pPr>
        <w:pStyle w:val="36"/>
        <w:numPr>
          <w:ilvl w:val="0"/>
          <w:numId w:val="4"/>
        </w:numPr>
        <w:spacing w:line="360" w:lineRule="auto"/>
        <w:jc w:val="both"/>
        <w:rPr>
          <w:rFonts w:ascii="Times New Roman" w:hAnsi="Times New Roman" w:cs="Times New Roman"/>
          <w:highlight w:val="none"/>
        </w:rPr>
      </w:pPr>
      <w:r>
        <w:rPr>
          <w:rFonts w:ascii="Times New Roman" w:hAnsi="Times New Roman" w:cs="Times New Roman"/>
          <w:highlight w:val="none"/>
        </w:rPr>
        <w:t>IRR: 10.2%</w:t>
      </w:r>
    </w:p>
    <w:p w14:paraId="394A91C2">
      <w:pPr>
        <w:pStyle w:val="36"/>
        <w:numPr>
          <w:ilvl w:val="0"/>
          <w:numId w:val="4"/>
        </w:numPr>
        <w:spacing w:line="360" w:lineRule="auto"/>
        <w:jc w:val="both"/>
        <w:rPr>
          <w:rFonts w:ascii="Times New Roman" w:hAnsi="Times New Roman" w:cs="Times New Roman"/>
          <w:highlight w:val="none"/>
        </w:rPr>
      </w:pPr>
      <w:r>
        <w:rPr>
          <w:rFonts w:ascii="Times New Roman" w:hAnsi="Times New Roman" w:cs="Times New Roman"/>
          <w:highlight w:val="none"/>
        </w:rPr>
        <w:t>Payback Period: 9 years</w:t>
      </w:r>
    </w:p>
    <w:p w14:paraId="66BB8F36">
      <w:pPr>
        <w:pStyle w:val="36"/>
        <w:numPr>
          <w:ilvl w:val="0"/>
          <w:numId w:val="4"/>
        </w:numPr>
        <w:spacing w:line="360" w:lineRule="auto"/>
        <w:jc w:val="both"/>
        <w:rPr>
          <w:rFonts w:ascii="Times New Roman" w:hAnsi="Times New Roman" w:cs="Times New Roman"/>
          <w:highlight w:val="none"/>
        </w:rPr>
      </w:pPr>
      <w:r>
        <w:rPr>
          <w:rFonts w:ascii="Times New Roman" w:hAnsi="Times New Roman" w:cs="Times New Roman"/>
          <w:highlight w:val="none"/>
        </w:rPr>
        <w:t>PI: 1.85</w:t>
      </w:r>
    </w:p>
    <w:p w14:paraId="650D77DB">
      <w:pPr>
        <w:spacing w:line="360" w:lineRule="auto"/>
        <w:jc w:val="both"/>
        <w:rPr>
          <w:rFonts w:ascii="Times New Roman" w:hAnsi="Times New Roman" w:cs="Times New Roman"/>
          <w:highlight w:val="none"/>
        </w:rPr>
      </w:pPr>
      <w:r>
        <w:rPr>
          <w:rFonts w:ascii="Times New Roman" w:hAnsi="Times New Roman" w:cs="Times New Roman"/>
          <w:highlight w:val="none"/>
        </w:rPr>
        <w:t>In this case, financial performance is significantly increased by the operational efficiency and increased patient volumes (Touchton, M., 2024). The IRR exceeds the discount rate by more than three times, which indicates a high potential of upside.</w:t>
      </w:r>
    </w:p>
    <w:p w14:paraId="5884AF0C">
      <w:pPr>
        <w:pStyle w:val="4"/>
        <w:spacing w:line="360" w:lineRule="auto"/>
        <w:jc w:val="both"/>
        <w:rPr>
          <w:rFonts w:ascii="Times New Roman" w:hAnsi="Times New Roman" w:cs="Times New Roman"/>
          <w:sz w:val="24"/>
          <w:szCs w:val="24"/>
          <w:highlight w:val="none"/>
        </w:rPr>
      </w:pPr>
      <w:bookmarkStart w:id="11" w:name="_Toc223130537"/>
      <w:r>
        <w:rPr>
          <w:rFonts w:ascii="Times New Roman" w:hAnsi="Times New Roman" w:cs="Times New Roman"/>
          <w:sz w:val="24"/>
          <w:szCs w:val="24"/>
          <w:highlight w:val="none"/>
        </w:rPr>
        <w:t>Worst Case Scenario</w:t>
      </w:r>
      <w:bookmarkEnd w:id="11"/>
    </w:p>
    <w:p w14:paraId="22DE2607">
      <w:pPr>
        <w:spacing w:line="360" w:lineRule="auto"/>
        <w:jc w:val="both"/>
        <w:rPr>
          <w:rFonts w:ascii="Times New Roman" w:hAnsi="Times New Roman" w:cs="Times New Roman"/>
          <w:highlight w:val="none"/>
        </w:rPr>
      </w:pPr>
      <w:r>
        <w:rPr>
          <w:rFonts w:ascii="Times New Roman" w:hAnsi="Times New Roman" w:cs="Times New Roman"/>
          <w:highlight w:val="none"/>
        </w:rPr>
        <w:t>In an assumption of a 15% decrease of revenue and a 10% rise in operating expenses, the outcomes are worse:</w:t>
      </w:r>
    </w:p>
    <w:p w14:paraId="3A057973">
      <w:pPr>
        <w:pStyle w:val="36"/>
        <w:numPr>
          <w:ilvl w:val="0"/>
          <w:numId w:val="5"/>
        </w:numPr>
        <w:spacing w:line="360" w:lineRule="auto"/>
        <w:jc w:val="both"/>
        <w:rPr>
          <w:rFonts w:ascii="Times New Roman" w:hAnsi="Times New Roman" w:cs="Times New Roman"/>
          <w:highlight w:val="none"/>
        </w:rPr>
      </w:pPr>
      <w:r>
        <w:rPr>
          <w:rFonts w:ascii="Times New Roman" w:hAnsi="Times New Roman" w:cs="Times New Roman"/>
          <w:highlight w:val="none"/>
        </w:rPr>
        <w:t>NPV: Negative</w:t>
      </w:r>
    </w:p>
    <w:p w14:paraId="4A5B71E2">
      <w:pPr>
        <w:pStyle w:val="36"/>
        <w:numPr>
          <w:ilvl w:val="0"/>
          <w:numId w:val="5"/>
        </w:numPr>
        <w:spacing w:line="360" w:lineRule="auto"/>
        <w:jc w:val="both"/>
        <w:rPr>
          <w:rFonts w:ascii="Times New Roman" w:hAnsi="Times New Roman" w:cs="Times New Roman"/>
          <w:highlight w:val="none"/>
        </w:rPr>
      </w:pPr>
      <w:r>
        <w:rPr>
          <w:rFonts w:ascii="Times New Roman" w:hAnsi="Times New Roman" w:cs="Times New Roman"/>
          <w:highlight w:val="none"/>
        </w:rPr>
        <w:t>IRR: Negative</w:t>
      </w:r>
    </w:p>
    <w:p w14:paraId="1D472654">
      <w:pPr>
        <w:pStyle w:val="36"/>
        <w:numPr>
          <w:ilvl w:val="0"/>
          <w:numId w:val="5"/>
        </w:numPr>
        <w:spacing w:line="360" w:lineRule="auto"/>
        <w:jc w:val="both"/>
        <w:rPr>
          <w:rFonts w:ascii="Times New Roman" w:hAnsi="Times New Roman" w:cs="Times New Roman"/>
          <w:highlight w:val="none"/>
        </w:rPr>
      </w:pPr>
      <w:r>
        <w:rPr>
          <w:rFonts w:ascii="Times New Roman" w:hAnsi="Times New Roman" w:cs="Times New Roman"/>
          <w:highlight w:val="none"/>
        </w:rPr>
        <w:t>Breakeven period: Not recovered within 25 years.</w:t>
      </w:r>
    </w:p>
    <w:p w14:paraId="1564D772">
      <w:pPr>
        <w:pStyle w:val="36"/>
        <w:numPr>
          <w:ilvl w:val="0"/>
          <w:numId w:val="5"/>
        </w:numPr>
        <w:spacing w:line="360" w:lineRule="auto"/>
        <w:jc w:val="both"/>
        <w:rPr>
          <w:rFonts w:ascii="Times New Roman" w:hAnsi="Times New Roman" w:cs="Times New Roman"/>
          <w:highlight w:val="none"/>
        </w:rPr>
      </w:pPr>
      <w:r>
        <w:rPr>
          <w:rFonts w:ascii="Times New Roman" w:hAnsi="Times New Roman" w:cs="Times New Roman"/>
          <w:highlight w:val="none"/>
        </w:rPr>
        <w:t>PI: Less than 1</w:t>
      </w:r>
    </w:p>
    <w:p w14:paraId="07A6FE5E">
      <w:pPr>
        <w:spacing w:line="360" w:lineRule="auto"/>
        <w:jc w:val="both"/>
        <w:rPr>
          <w:rFonts w:ascii="Times New Roman" w:hAnsi="Times New Roman" w:cs="Times New Roman"/>
          <w:highlight w:val="none"/>
        </w:rPr>
      </w:pPr>
      <w:r>
        <w:rPr>
          <w:rFonts w:ascii="Times New Roman" w:hAnsi="Times New Roman" w:cs="Times New Roman"/>
          <w:highlight w:val="none"/>
        </w:rPr>
        <w:t>At least in this instance, cumulative cash flows will never recoup the initial investment of 50 million pounds. This brings out material sensitivity to a contraction of revenues and an increase of costs (Nyikos, G. 2022).</w:t>
      </w:r>
    </w:p>
    <w:p w14:paraId="3B6A7E06">
      <w:pPr>
        <w:pStyle w:val="3"/>
        <w:spacing w:line="360" w:lineRule="auto"/>
        <w:jc w:val="both"/>
        <w:rPr>
          <w:rFonts w:ascii="Times New Roman" w:hAnsi="Times New Roman" w:cs="Times New Roman"/>
          <w:sz w:val="24"/>
          <w:szCs w:val="24"/>
          <w:highlight w:val="none"/>
        </w:rPr>
      </w:pPr>
      <w:bookmarkStart w:id="12" w:name="_Toc223130538"/>
      <w:r>
        <w:rPr>
          <w:rFonts w:ascii="Times New Roman" w:hAnsi="Times New Roman" w:cs="Times New Roman"/>
          <w:sz w:val="24"/>
          <w:szCs w:val="24"/>
          <w:highlight w:val="none"/>
        </w:rPr>
        <w:t>Effects of Uncertainty in Investment Decision.</w:t>
      </w:r>
      <w:bookmarkEnd w:id="12"/>
    </w:p>
    <w:p w14:paraId="3D696AF1">
      <w:pPr>
        <w:spacing w:line="360" w:lineRule="auto"/>
        <w:jc w:val="both"/>
        <w:rPr>
          <w:rFonts w:ascii="Times New Roman" w:hAnsi="Times New Roman" w:cs="Times New Roman"/>
          <w:highlight w:val="none"/>
        </w:rPr>
      </w:pPr>
      <w:r>
        <w:rPr>
          <w:rFonts w:ascii="Times New Roman" w:hAnsi="Times New Roman" w:cs="Times New Roman"/>
          <w:highlight w:val="none"/>
        </w:rPr>
        <w:t>The difference between the base and the worst-case results confirms that the financial viability is very sensitive to the performance of the operations. The major sources of uncertainty are:</w:t>
      </w:r>
    </w:p>
    <w:p w14:paraId="62143D4F">
      <w:pPr>
        <w:pStyle w:val="36"/>
        <w:numPr>
          <w:ilvl w:val="0"/>
          <w:numId w:val="6"/>
        </w:numPr>
        <w:spacing w:line="360" w:lineRule="auto"/>
        <w:jc w:val="both"/>
        <w:rPr>
          <w:rFonts w:ascii="Times New Roman" w:hAnsi="Times New Roman" w:cs="Times New Roman"/>
          <w:highlight w:val="none"/>
        </w:rPr>
      </w:pPr>
      <w:r>
        <w:rPr>
          <w:rFonts w:ascii="Times New Roman" w:hAnsi="Times New Roman" w:cs="Times New Roman"/>
          <w:highlight w:val="none"/>
        </w:rPr>
        <w:t>Variations in NHS contract reimbursement.</w:t>
      </w:r>
    </w:p>
    <w:p w14:paraId="14A7837A">
      <w:pPr>
        <w:pStyle w:val="36"/>
        <w:numPr>
          <w:ilvl w:val="0"/>
          <w:numId w:val="6"/>
        </w:numPr>
        <w:spacing w:line="360" w:lineRule="auto"/>
        <w:jc w:val="both"/>
        <w:rPr>
          <w:rFonts w:ascii="Times New Roman" w:hAnsi="Times New Roman" w:cs="Times New Roman"/>
          <w:highlight w:val="none"/>
        </w:rPr>
      </w:pPr>
      <w:r>
        <w:rPr>
          <w:rFonts w:ascii="Times New Roman" w:hAnsi="Times New Roman" w:cs="Times New Roman"/>
          <w:highlight w:val="none"/>
        </w:rPr>
        <w:t>Shortage of workforce and wage inflation.</w:t>
      </w:r>
    </w:p>
    <w:p w14:paraId="32554678">
      <w:pPr>
        <w:pStyle w:val="36"/>
        <w:numPr>
          <w:ilvl w:val="0"/>
          <w:numId w:val="6"/>
        </w:numPr>
        <w:spacing w:line="360" w:lineRule="auto"/>
        <w:jc w:val="both"/>
        <w:rPr>
          <w:rFonts w:ascii="Times New Roman" w:hAnsi="Times New Roman" w:cs="Times New Roman"/>
          <w:highlight w:val="none"/>
        </w:rPr>
      </w:pPr>
      <w:r>
        <w:rPr>
          <w:rFonts w:ascii="Times New Roman" w:hAnsi="Times New Roman" w:cs="Times New Roman"/>
          <w:highlight w:val="none"/>
        </w:rPr>
        <w:t>Volatility of energy and utility cost.</w:t>
      </w:r>
    </w:p>
    <w:p w14:paraId="38BF76F8">
      <w:pPr>
        <w:pStyle w:val="36"/>
        <w:numPr>
          <w:ilvl w:val="0"/>
          <w:numId w:val="6"/>
        </w:numPr>
        <w:spacing w:line="360" w:lineRule="auto"/>
        <w:jc w:val="both"/>
        <w:rPr>
          <w:rFonts w:ascii="Times New Roman" w:hAnsi="Times New Roman" w:cs="Times New Roman"/>
          <w:highlight w:val="none"/>
        </w:rPr>
      </w:pPr>
      <w:r>
        <w:rPr>
          <w:rFonts w:ascii="Times New Roman" w:hAnsi="Times New Roman" w:cs="Times New Roman"/>
          <w:highlight w:val="none"/>
        </w:rPr>
        <w:t>Fluctuation in patient volumes.</w:t>
      </w:r>
    </w:p>
    <w:p w14:paraId="5870BFD4">
      <w:pPr>
        <w:spacing w:line="360" w:lineRule="auto"/>
        <w:jc w:val="both"/>
        <w:rPr>
          <w:rFonts w:ascii="Times New Roman" w:hAnsi="Times New Roman" w:cs="Times New Roman"/>
          <w:highlight w:val="none"/>
        </w:rPr>
      </w:pPr>
      <w:r>
        <w:rPr>
          <w:rFonts w:ascii="Times New Roman" w:hAnsi="Times New Roman" w:cs="Times New Roman"/>
          <w:highlight w:val="none"/>
        </w:rPr>
        <w:t>Although the base-case NPV is positive, the negative worst-case shows that the financial sustainability of the project cannot be ensured without an effective cost control and revenue management system.</w:t>
      </w:r>
    </w:p>
    <w:p w14:paraId="7C9D48B6">
      <w:pPr>
        <w:pStyle w:val="3"/>
        <w:spacing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Limitations:</w:t>
      </w:r>
    </w:p>
    <w:p w14:paraId="46A0F829">
      <w:pPr>
        <w:spacing w:line="360" w:lineRule="auto"/>
        <w:jc w:val="both"/>
        <w:rPr>
          <w:rFonts w:ascii="Times New Roman" w:hAnsi="Times New Roman" w:cs="Times New Roman"/>
          <w:highlight w:val="none"/>
        </w:rPr>
      </w:pPr>
      <w:r>
        <w:rPr>
          <w:rFonts w:ascii="Times New Roman" w:hAnsi="Times New Roman" w:cs="Times New Roman"/>
          <w:highlight w:val="none"/>
        </w:rPr>
        <w:t>When it comes to public health investments, Net Present Value (NPV) has a number of drawbacks, although offering a helpful financial evaluation of the NHS Dental Clinic Center project. The long-term social value produced by public health infrastructure may be underestimated by NPV since it mainly considers financial cash flows. Financial indicators alone are insufficient to fully reflect the benefits of the NHS dental clinic, including better access to dental services, a decrease in oral health disparities, and preventive oral healthcare outcomes. Furthermore, long-term gains in public health can go beyond the project's budgetary evaluation period. Therefore, when assessing publicly funded healthcare initiatives, financial appraisal should be supplemented by more comprehensive health economic and social effect assessments.</w:t>
      </w:r>
    </w:p>
    <w:p w14:paraId="492FB9B9">
      <w:pPr>
        <w:spacing w:line="360" w:lineRule="auto"/>
        <w:jc w:val="both"/>
        <w:rPr>
          <w:rFonts w:ascii="Times New Roman" w:hAnsi="Times New Roman" w:cs="Times New Roman"/>
          <w:highlight w:val="none"/>
        </w:rPr>
      </w:pPr>
      <w:r>
        <w:rPr>
          <w:rFonts w:ascii="Times New Roman" w:hAnsi="Times New Roman" w:cs="Times New Roman"/>
          <w:highlight w:val="none"/>
        </w:rPr>
        <w:t>According to scenario analysis, there is a significant exposure to downside risk. This means that the investment decision must be supported with strong cost management systems, contractual protection and financial monitoring systems to ensure that value is maintained throughout the project cycle (Basabih, M., 2022).</w:t>
      </w:r>
    </w:p>
    <w:p w14:paraId="632F78A3">
      <w:pPr>
        <w:pStyle w:val="2"/>
        <w:spacing w:line="360" w:lineRule="auto"/>
        <w:jc w:val="both"/>
        <w:rPr>
          <w:rFonts w:ascii="Times New Roman" w:hAnsi="Times New Roman" w:cs="Times New Roman"/>
          <w:sz w:val="24"/>
          <w:szCs w:val="24"/>
          <w:highlight w:val="none"/>
        </w:rPr>
      </w:pPr>
      <w:bookmarkStart w:id="13" w:name="_Toc223130539"/>
      <w:r>
        <w:rPr>
          <w:rFonts w:ascii="Times New Roman" w:hAnsi="Times New Roman" w:cs="Times New Roman"/>
          <w:sz w:val="24"/>
          <w:szCs w:val="24"/>
          <w:highlight w:val="none"/>
        </w:rPr>
        <w:t>Section C – Cost Control Mechanisms</w:t>
      </w:r>
      <w:bookmarkEnd w:id="13"/>
    </w:p>
    <w:p w14:paraId="75AB5464">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Although analysis of the capital budgeting shows that the NHS Dental Clinic project is financially viable based on the assumptions of the base-case, scenario analysis shows that it is materially exposed to the downside risk (Ibrahim, S.A., 2022). In the worst, lack of additional revenue growth and a 10% growth in the operating costs lead to the negative NPV and inability to compensate the initial outlay of 50 million pounds. </w:t>
      </w:r>
    </w:p>
    <w:p w14:paraId="4EB0E57F">
      <w:pPr>
        <w:pStyle w:val="3"/>
        <w:spacing w:line="360" w:lineRule="auto"/>
        <w:jc w:val="both"/>
        <w:rPr>
          <w:rFonts w:ascii="Times New Roman" w:hAnsi="Times New Roman" w:cs="Times New Roman"/>
          <w:sz w:val="24"/>
          <w:szCs w:val="24"/>
          <w:highlight w:val="none"/>
        </w:rPr>
      </w:pPr>
      <w:bookmarkStart w:id="14" w:name="_Toc223130540"/>
      <w:r>
        <w:rPr>
          <w:rFonts w:ascii="Times New Roman" w:hAnsi="Times New Roman" w:cs="Times New Roman"/>
          <w:sz w:val="24"/>
          <w:szCs w:val="24"/>
          <w:highlight w:val="none"/>
        </w:rPr>
        <w:t>Contingency Budgeting</w:t>
      </w:r>
      <w:bookmarkEnd w:id="14"/>
    </w:p>
    <w:p w14:paraId="7C8701E5">
      <w:pPr>
        <w:spacing w:line="360" w:lineRule="auto"/>
        <w:jc w:val="both"/>
        <w:rPr>
          <w:rFonts w:ascii="Times New Roman" w:hAnsi="Times New Roman" w:cs="Times New Roman"/>
          <w:highlight w:val="none"/>
        </w:rPr>
      </w:pPr>
      <w:r>
        <w:rPr>
          <w:rFonts w:ascii="Times New Roman" w:hAnsi="Times New Roman" w:cs="Times New Roman"/>
          <w:highlight w:val="none"/>
        </w:rPr>
        <w:t>Healthcare construction projects such as the NHS Dental Clinic Centre are historically prone to cost overruns due to the specialized infrastructure and equipment required for dental services. Key causes include:</w:t>
      </w:r>
    </w:p>
    <w:p w14:paraId="6260AE18">
      <w:pPr>
        <w:numPr>
          <w:ilvl w:val="0"/>
          <w:numId w:val="7"/>
        </w:numPr>
        <w:spacing w:line="360" w:lineRule="auto"/>
        <w:jc w:val="both"/>
        <w:rPr>
          <w:rFonts w:ascii="Times New Roman" w:hAnsi="Times New Roman" w:cs="Times New Roman"/>
          <w:highlight w:val="none"/>
        </w:rPr>
      </w:pPr>
      <w:r>
        <w:rPr>
          <w:rFonts w:ascii="Times New Roman" w:hAnsi="Times New Roman" w:cs="Times New Roman"/>
          <w:highlight w:val="none"/>
        </w:rPr>
        <w:t>Design changes related to dental treatment rooms and sterilization facilities</w:t>
      </w:r>
    </w:p>
    <w:p w14:paraId="3203AAF5">
      <w:pPr>
        <w:numPr>
          <w:ilvl w:val="0"/>
          <w:numId w:val="7"/>
        </w:numPr>
        <w:spacing w:line="360" w:lineRule="auto"/>
        <w:jc w:val="both"/>
        <w:rPr>
          <w:rFonts w:ascii="Times New Roman" w:hAnsi="Times New Roman" w:cs="Times New Roman"/>
          <w:highlight w:val="none"/>
        </w:rPr>
      </w:pPr>
      <w:r>
        <w:rPr>
          <w:rFonts w:ascii="Times New Roman" w:hAnsi="Times New Roman" w:cs="Times New Roman"/>
          <w:highlight w:val="none"/>
        </w:rPr>
        <w:t>Regulatory compliance with NHS healthcare and dental safety standards</w:t>
      </w:r>
    </w:p>
    <w:p w14:paraId="51C2437B">
      <w:pPr>
        <w:numPr>
          <w:ilvl w:val="0"/>
          <w:numId w:val="7"/>
        </w:numPr>
        <w:spacing w:line="360" w:lineRule="auto"/>
        <w:jc w:val="both"/>
        <w:rPr>
          <w:rFonts w:ascii="Times New Roman" w:hAnsi="Times New Roman" w:cs="Times New Roman"/>
          <w:highlight w:val="none"/>
        </w:rPr>
      </w:pPr>
      <w:r>
        <w:rPr>
          <w:rFonts w:ascii="Times New Roman" w:hAnsi="Times New Roman" w:cs="Times New Roman"/>
          <w:highlight w:val="none"/>
        </w:rPr>
        <w:t>Upgrades in specialized dental equipment and imaging technology</w:t>
      </w:r>
    </w:p>
    <w:p w14:paraId="24A3B4A8">
      <w:pPr>
        <w:numPr>
          <w:ilvl w:val="0"/>
          <w:numId w:val="7"/>
        </w:numPr>
        <w:spacing w:line="360" w:lineRule="auto"/>
        <w:jc w:val="both"/>
        <w:rPr>
          <w:rFonts w:ascii="Times New Roman" w:hAnsi="Times New Roman" w:cs="Times New Roman"/>
          <w:highlight w:val="none"/>
        </w:rPr>
      </w:pPr>
      <w:r>
        <w:rPr>
          <w:rFonts w:ascii="Times New Roman" w:hAnsi="Times New Roman" w:cs="Times New Roman"/>
          <w:highlight w:val="none"/>
        </w:rPr>
        <w:t>Supply chain volatility for clinical materials and dental equipment</w:t>
      </w:r>
    </w:p>
    <w:p w14:paraId="1A332FD0">
      <w:pPr>
        <w:pStyle w:val="16"/>
        <w:spacing w:line="360" w:lineRule="auto"/>
        <w:jc w:val="both"/>
        <w:rPr>
          <w:highlight w:val="none"/>
        </w:rPr>
      </w:pPr>
      <w:r>
        <w:rPr>
          <w:highlight w:val="none"/>
        </w:rPr>
        <w:t>In the case of the NHS Dental Clinic project with a budget of £50 million, it is suggested to have the contingency reserve of about 10-15 percentage (£5-7.5 million) to cater to the design changes, regulatory compliance changes, and the risks of procuring the specialist dental equipment (Alsharari, 2022). Financial management should not only be limited to construction but rather it should be carried to the 25-year period of operation in which the workforce costs, maintenance costs and energy costs are the main financial risks to the company in the long-term.</w:t>
      </w:r>
    </w:p>
    <w:p w14:paraId="6B2F6442">
      <w:pPr>
        <w:pStyle w:val="3"/>
        <w:spacing w:line="360" w:lineRule="auto"/>
        <w:jc w:val="both"/>
        <w:rPr>
          <w:rFonts w:ascii="Times New Roman" w:hAnsi="Times New Roman" w:cs="Times New Roman"/>
          <w:sz w:val="24"/>
          <w:szCs w:val="24"/>
          <w:highlight w:val="none"/>
        </w:rPr>
      </w:pPr>
      <w:bookmarkStart w:id="15" w:name="_Toc223130541"/>
      <w:r>
        <w:rPr>
          <w:rFonts w:ascii="Times New Roman" w:hAnsi="Times New Roman" w:cs="Times New Roman"/>
          <w:sz w:val="24"/>
          <w:szCs w:val="24"/>
          <w:highlight w:val="none"/>
        </w:rPr>
        <w:t>Earned Value Management (EVM)</w:t>
      </w:r>
      <w:bookmarkEnd w:id="15"/>
    </w:p>
    <w:p w14:paraId="1862F89A">
      <w:pPr>
        <w:spacing w:line="360" w:lineRule="auto"/>
        <w:jc w:val="both"/>
        <w:rPr>
          <w:rFonts w:ascii="Times New Roman" w:hAnsi="Times New Roman" w:cs="Times New Roman"/>
          <w:highlight w:val="none"/>
        </w:rPr>
      </w:pPr>
      <w:r>
        <w:rPr>
          <w:rFonts w:ascii="Times New Roman" w:hAnsi="Times New Roman" w:cs="Times New Roman"/>
          <w:highlight w:val="none"/>
        </w:rPr>
        <w:t>In the construction process, Earned Value Management (EVM) must be applied in order to combine cost and schedule performance.</w:t>
      </w:r>
    </w:p>
    <w:p w14:paraId="082D847C">
      <w:pPr>
        <w:spacing w:line="360" w:lineRule="auto"/>
        <w:jc w:val="both"/>
        <w:rPr>
          <w:rFonts w:ascii="Times New Roman" w:hAnsi="Times New Roman" w:cs="Times New Roman"/>
          <w:highlight w:val="none"/>
        </w:rPr>
      </w:pPr>
      <w:r>
        <w:rPr>
          <w:rFonts w:ascii="Times New Roman" w:hAnsi="Times New Roman" w:cs="Times New Roman"/>
          <w:highlight w:val="none"/>
        </w:rPr>
        <w:t>Key indicators include:</w:t>
      </w:r>
    </w:p>
    <w:p w14:paraId="1BB519FC">
      <w:pPr>
        <w:pStyle w:val="36"/>
        <w:numPr>
          <w:ilvl w:val="0"/>
          <w:numId w:val="8"/>
        </w:numPr>
        <w:spacing w:line="360" w:lineRule="auto"/>
        <w:jc w:val="both"/>
        <w:rPr>
          <w:rFonts w:ascii="Times New Roman" w:hAnsi="Times New Roman" w:cs="Times New Roman"/>
          <w:highlight w:val="none"/>
        </w:rPr>
      </w:pPr>
      <w:r>
        <w:rPr>
          <w:rFonts w:ascii="Times New Roman" w:hAnsi="Times New Roman" w:cs="Times New Roman"/>
          <w:highlight w:val="none"/>
        </w:rPr>
        <w:t>Cost Variance (CV) = EV – AC</w:t>
      </w:r>
    </w:p>
    <w:p w14:paraId="17929E42">
      <w:pPr>
        <w:pStyle w:val="36"/>
        <w:numPr>
          <w:ilvl w:val="0"/>
          <w:numId w:val="8"/>
        </w:numPr>
        <w:spacing w:line="360" w:lineRule="auto"/>
        <w:jc w:val="both"/>
        <w:rPr>
          <w:rFonts w:ascii="Times New Roman" w:hAnsi="Times New Roman" w:cs="Times New Roman"/>
          <w:highlight w:val="none"/>
        </w:rPr>
      </w:pPr>
      <w:r>
        <w:rPr>
          <w:rFonts w:ascii="Times New Roman" w:hAnsi="Times New Roman" w:cs="Times New Roman"/>
          <w:highlight w:val="none"/>
        </w:rPr>
        <w:t>Schedule Variance (SV) = EV – PV</w:t>
      </w:r>
    </w:p>
    <w:p w14:paraId="6FC8F994">
      <w:pPr>
        <w:pStyle w:val="36"/>
        <w:numPr>
          <w:ilvl w:val="0"/>
          <w:numId w:val="8"/>
        </w:numPr>
        <w:spacing w:line="360" w:lineRule="auto"/>
        <w:jc w:val="both"/>
        <w:rPr>
          <w:rFonts w:ascii="Times New Roman" w:hAnsi="Times New Roman" w:cs="Times New Roman"/>
          <w:highlight w:val="none"/>
        </w:rPr>
      </w:pPr>
      <w:r>
        <w:rPr>
          <w:rFonts w:ascii="Times New Roman" w:hAnsi="Times New Roman" w:cs="Times New Roman"/>
          <w:highlight w:val="none"/>
        </w:rPr>
        <w:t>Cost Performance Index (CPI) =EV /AC.</w:t>
      </w:r>
    </w:p>
    <w:p w14:paraId="174883E2">
      <w:pPr>
        <w:pStyle w:val="36"/>
        <w:numPr>
          <w:ilvl w:val="0"/>
          <w:numId w:val="8"/>
        </w:numPr>
        <w:spacing w:line="360" w:lineRule="auto"/>
        <w:jc w:val="both"/>
        <w:rPr>
          <w:rFonts w:ascii="Times New Roman" w:hAnsi="Times New Roman" w:cs="Times New Roman"/>
          <w:highlight w:val="none"/>
        </w:rPr>
      </w:pPr>
      <w:r>
        <w:rPr>
          <w:rFonts w:ascii="Times New Roman" w:hAnsi="Times New Roman" w:cs="Times New Roman"/>
          <w:highlight w:val="none"/>
        </w:rPr>
        <w:t>Schedule Performance Index (SPI) = EV/PV.</w:t>
      </w:r>
    </w:p>
    <w:p w14:paraId="74980C26">
      <w:pPr>
        <w:spacing w:line="360" w:lineRule="auto"/>
        <w:jc w:val="both"/>
        <w:rPr>
          <w:rFonts w:ascii="Times New Roman" w:hAnsi="Times New Roman" w:cs="Times New Roman"/>
          <w:b/>
          <w:bCs/>
          <w:highlight w:val="none"/>
        </w:rPr>
      </w:pPr>
      <w:r>
        <w:rPr>
          <w:rFonts w:ascii="Times New Roman" w:hAnsi="Times New Roman" w:cs="Times New Roman"/>
          <w:b/>
          <w:bCs/>
          <w:highlight w:val="none"/>
        </w:rPr>
        <w:t>Interpretation:</w:t>
      </w:r>
    </w:p>
    <w:p w14:paraId="739BC146">
      <w:pPr>
        <w:pStyle w:val="36"/>
        <w:numPr>
          <w:ilvl w:val="0"/>
          <w:numId w:val="9"/>
        </w:numPr>
        <w:spacing w:line="360" w:lineRule="auto"/>
        <w:jc w:val="both"/>
        <w:rPr>
          <w:rFonts w:ascii="Times New Roman" w:hAnsi="Times New Roman" w:cs="Times New Roman"/>
          <w:highlight w:val="none"/>
        </w:rPr>
      </w:pPr>
      <w:r>
        <w:rPr>
          <w:rFonts w:ascii="Times New Roman" w:hAnsi="Times New Roman" w:cs="Times New Roman"/>
          <w:highlight w:val="none"/>
        </w:rPr>
        <w:t>CPI &lt; 1 indicates cost overrun</w:t>
      </w:r>
    </w:p>
    <w:p w14:paraId="2CC75B6E">
      <w:pPr>
        <w:pStyle w:val="36"/>
        <w:numPr>
          <w:ilvl w:val="0"/>
          <w:numId w:val="9"/>
        </w:numPr>
        <w:spacing w:line="360" w:lineRule="auto"/>
        <w:jc w:val="both"/>
        <w:rPr>
          <w:rFonts w:ascii="Times New Roman" w:hAnsi="Times New Roman" w:cs="Times New Roman"/>
          <w:highlight w:val="none"/>
        </w:rPr>
      </w:pPr>
      <w:r>
        <w:rPr>
          <w:rFonts w:ascii="Times New Roman" w:hAnsi="Times New Roman" w:cs="Times New Roman"/>
          <w:highlight w:val="none"/>
        </w:rPr>
        <w:t>SPI &lt; 1 is a sign of schedule delay.</w:t>
      </w:r>
    </w:p>
    <w:p w14:paraId="0A49881B">
      <w:pPr>
        <w:spacing w:line="360" w:lineRule="auto"/>
        <w:jc w:val="both"/>
        <w:rPr>
          <w:rFonts w:ascii="Times New Roman" w:hAnsi="Times New Roman" w:cs="Times New Roman"/>
          <w:highlight w:val="none"/>
        </w:rPr>
      </w:pPr>
      <w:r>
        <w:rPr>
          <w:rFonts w:ascii="Times New Roman" w:hAnsi="Times New Roman" w:cs="Times New Roman"/>
          <w:highlight w:val="none"/>
        </w:rPr>
        <w:t>Monthly reporting of EVM allows the deviations to be identified early enough so corrective measures can be taken before the situation of overruns can become critical. Since the base-case value of a positive 15.9 million decreases drastically with increases in costs, which are moderate, a careful monitoring is important to maintain the favorable base-case value (Bracci, E., 2022).</w:t>
      </w:r>
    </w:p>
    <w:p w14:paraId="432C1BDD">
      <w:pPr>
        <w:pStyle w:val="3"/>
        <w:spacing w:line="360" w:lineRule="auto"/>
        <w:jc w:val="both"/>
        <w:rPr>
          <w:rFonts w:ascii="Times New Roman" w:hAnsi="Times New Roman" w:cs="Times New Roman"/>
          <w:sz w:val="24"/>
          <w:szCs w:val="24"/>
          <w:highlight w:val="none"/>
        </w:rPr>
      </w:pPr>
      <w:bookmarkStart w:id="16" w:name="_Toc223130542"/>
      <w:r>
        <w:rPr>
          <w:rFonts w:ascii="Times New Roman" w:hAnsi="Times New Roman" w:cs="Times New Roman"/>
          <w:sz w:val="24"/>
          <w:szCs w:val="24"/>
          <w:highlight w:val="none"/>
        </w:rPr>
        <w:t>Contract Strategy Procurement and Strategy</w:t>
      </w:r>
      <w:bookmarkEnd w:id="16"/>
    </w:p>
    <w:p w14:paraId="1229F50E">
      <w:pPr>
        <w:spacing w:line="360" w:lineRule="auto"/>
        <w:jc w:val="both"/>
        <w:rPr>
          <w:rFonts w:ascii="Times New Roman" w:hAnsi="Times New Roman" w:cs="Times New Roman"/>
          <w:highlight w:val="none"/>
        </w:rPr>
      </w:pPr>
      <w:r>
        <w:rPr>
          <w:rFonts w:ascii="Times New Roman" w:hAnsi="Times New Roman" w:cs="Times New Roman"/>
          <w:highlight w:val="none"/>
        </w:rPr>
        <w:t>The cost control is also greatly determined by the procurement strategy. The project must implement in order to limit capital overruns:</w:t>
      </w:r>
    </w:p>
    <w:p w14:paraId="280A7117">
      <w:pPr>
        <w:pStyle w:val="36"/>
        <w:numPr>
          <w:ilvl w:val="0"/>
          <w:numId w:val="10"/>
        </w:numPr>
        <w:spacing w:line="360" w:lineRule="auto"/>
        <w:jc w:val="both"/>
        <w:rPr>
          <w:rFonts w:ascii="Times New Roman" w:hAnsi="Times New Roman" w:cs="Times New Roman"/>
          <w:highlight w:val="none"/>
        </w:rPr>
      </w:pPr>
      <w:r>
        <w:rPr>
          <w:rFonts w:ascii="Times New Roman" w:hAnsi="Times New Roman" w:cs="Times New Roman"/>
          <w:highlight w:val="none"/>
        </w:rPr>
        <w:t>Fixed-price Procurement and Construction (EPC) contracts.</w:t>
      </w:r>
    </w:p>
    <w:p w14:paraId="5015A2C4">
      <w:pPr>
        <w:pStyle w:val="36"/>
        <w:numPr>
          <w:ilvl w:val="0"/>
          <w:numId w:val="10"/>
        </w:numPr>
        <w:spacing w:line="360" w:lineRule="auto"/>
        <w:jc w:val="both"/>
        <w:rPr>
          <w:rFonts w:ascii="Times New Roman" w:hAnsi="Times New Roman" w:cs="Times New Roman"/>
          <w:highlight w:val="none"/>
        </w:rPr>
      </w:pPr>
      <w:r>
        <w:rPr>
          <w:rFonts w:ascii="Times New Roman" w:hAnsi="Times New Roman" w:cs="Times New Roman"/>
          <w:highlight w:val="none"/>
        </w:rPr>
        <w:t>Contractor incentives that are based on performance.</w:t>
      </w:r>
    </w:p>
    <w:p w14:paraId="76FE0CD1">
      <w:pPr>
        <w:pStyle w:val="36"/>
        <w:numPr>
          <w:ilvl w:val="0"/>
          <w:numId w:val="10"/>
        </w:numPr>
        <w:spacing w:line="360" w:lineRule="auto"/>
        <w:jc w:val="both"/>
        <w:rPr>
          <w:rFonts w:ascii="Times New Roman" w:hAnsi="Times New Roman" w:cs="Times New Roman"/>
          <w:highlight w:val="none"/>
        </w:rPr>
      </w:pPr>
      <w:r>
        <w:rPr>
          <w:rFonts w:ascii="Times New Roman" w:hAnsi="Times New Roman" w:cs="Times New Roman"/>
          <w:highlight w:val="none"/>
        </w:rPr>
        <w:t>Penalty clauses for delay</w:t>
      </w:r>
    </w:p>
    <w:p w14:paraId="7F9C6EDE">
      <w:pPr>
        <w:spacing w:line="360" w:lineRule="auto"/>
        <w:jc w:val="both"/>
        <w:rPr>
          <w:rFonts w:ascii="Times New Roman" w:hAnsi="Times New Roman" w:cs="Times New Roman"/>
          <w:highlight w:val="none"/>
        </w:rPr>
      </w:pPr>
      <w:r>
        <w:rPr>
          <w:rFonts w:ascii="Times New Roman" w:hAnsi="Times New Roman" w:cs="Times New Roman"/>
          <w:highlight w:val="none"/>
        </w:rPr>
        <w:t>Contracting under fixed prices eliminates risk of uncertainty in capital investments on the suppliers. It does not imply that over-specification of a contract should not be undertaken though, to prevent the over-absorption of excessive risk in prices.</w:t>
      </w:r>
    </w:p>
    <w:p w14:paraId="2E6D04D9">
      <w:pPr>
        <w:pStyle w:val="3"/>
        <w:spacing w:line="360" w:lineRule="auto"/>
        <w:jc w:val="both"/>
        <w:rPr>
          <w:rFonts w:ascii="Times New Roman" w:hAnsi="Times New Roman" w:cs="Times New Roman"/>
          <w:sz w:val="24"/>
          <w:szCs w:val="24"/>
          <w:highlight w:val="none"/>
        </w:rPr>
      </w:pPr>
      <w:bookmarkStart w:id="17" w:name="_Toc223130543"/>
      <w:r>
        <w:rPr>
          <w:rFonts w:ascii="Times New Roman" w:hAnsi="Times New Roman" w:cs="Times New Roman"/>
          <w:sz w:val="24"/>
          <w:szCs w:val="24"/>
          <w:highlight w:val="none"/>
        </w:rPr>
        <w:t>Scope Control and Governance.</w:t>
      </w:r>
      <w:bookmarkEnd w:id="17"/>
    </w:p>
    <w:p w14:paraId="22ED70D5">
      <w:pPr>
        <w:spacing w:line="360" w:lineRule="auto"/>
        <w:jc w:val="both"/>
        <w:rPr>
          <w:rFonts w:ascii="Times New Roman" w:hAnsi="Times New Roman" w:cs="Times New Roman"/>
          <w:highlight w:val="none"/>
        </w:rPr>
      </w:pPr>
      <w:r>
        <w:rPr>
          <w:rFonts w:ascii="Times New Roman" w:hAnsi="Times New Roman" w:cs="Times New Roman"/>
          <w:highlight w:val="none"/>
        </w:rPr>
        <w:t>Scope creep is a major financial risk on the healthcare project, especially in cases where the clinical stakeholders alter the design during the construction process. In order to avoid unchecked growth:</w:t>
      </w:r>
    </w:p>
    <w:p w14:paraId="6527345F">
      <w:pPr>
        <w:pStyle w:val="36"/>
        <w:numPr>
          <w:ilvl w:val="0"/>
          <w:numId w:val="11"/>
        </w:numPr>
        <w:spacing w:line="360" w:lineRule="auto"/>
        <w:jc w:val="both"/>
        <w:rPr>
          <w:rFonts w:ascii="Times New Roman" w:hAnsi="Times New Roman" w:cs="Times New Roman"/>
          <w:highlight w:val="none"/>
        </w:rPr>
      </w:pPr>
      <w:r>
        <w:rPr>
          <w:rFonts w:ascii="Times New Roman" w:hAnsi="Times New Roman" w:cs="Times New Roman"/>
          <w:highlight w:val="none"/>
        </w:rPr>
        <w:t>It should have a formal Change Control Board.</w:t>
      </w:r>
    </w:p>
    <w:p w14:paraId="248627AB">
      <w:pPr>
        <w:pStyle w:val="36"/>
        <w:numPr>
          <w:ilvl w:val="0"/>
          <w:numId w:val="11"/>
        </w:numPr>
        <w:spacing w:line="360" w:lineRule="auto"/>
        <w:jc w:val="both"/>
        <w:rPr>
          <w:rFonts w:ascii="Times New Roman" w:hAnsi="Times New Roman" w:cs="Times New Roman"/>
          <w:highlight w:val="none"/>
        </w:rPr>
      </w:pPr>
      <w:r>
        <w:rPr>
          <w:rFonts w:ascii="Times New Roman" w:hAnsi="Times New Roman" w:cs="Times New Roman"/>
          <w:highlight w:val="none"/>
        </w:rPr>
        <w:t>Financial impact assessment should be done on all scope variations.</w:t>
      </w:r>
    </w:p>
    <w:p w14:paraId="7C364615">
      <w:pPr>
        <w:pStyle w:val="36"/>
        <w:numPr>
          <w:ilvl w:val="0"/>
          <w:numId w:val="11"/>
        </w:numPr>
        <w:spacing w:line="360" w:lineRule="auto"/>
        <w:jc w:val="both"/>
        <w:rPr>
          <w:rFonts w:ascii="Times New Roman" w:hAnsi="Times New Roman" w:cs="Times New Roman"/>
          <w:highlight w:val="none"/>
        </w:rPr>
      </w:pPr>
      <w:r>
        <w:rPr>
          <w:rFonts w:ascii="Times New Roman" w:hAnsi="Times New Roman" w:cs="Times New Roman"/>
          <w:highlight w:val="none"/>
        </w:rPr>
        <w:t>The approval levels ought to be established depending on the level of cost.</w:t>
      </w:r>
    </w:p>
    <w:p w14:paraId="28D554E2">
      <w:pPr>
        <w:pStyle w:val="3"/>
        <w:spacing w:line="360" w:lineRule="auto"/>
        <w:jc w:val="both"/>
        <w:rPr>
          <w:rFonts w:ascii="Times New Roman" w:hAnsi="Times New Roman" w:cs="Times New Roman"/>
          <w:sz w:val="24"/>
          <w:szCs w:val="24"/>
          <w:highlight w:val="none"/>
        </w:rPr>
      </w:pPr>
      <w:bookmarkStart w:id="18" w:name="_Toc223130544"/>
      <w:r>
        <w:rPr>
          <w:rFonts w:ascii="Times New Roman" w:hAnsi="Times New Roman" w:cs="Times New Roman"/>
          <w:sz w:val="24"/>
          <w:szCs w:val="24"/>
          <w:highlight w:val="none"/>
        </w:rPr>
        <w:t>Operational Cost Management.</w:t>
      </w:r>
      <w:bookmarkEnd w:id="18"/>
    </w:p>
    <w:p w14:paraId="24AB402A">
      <w:pPr>
        <w:spacing w:line="360" w:lineRule="auto"/>
        <w:jc w:val="both"/>
        <w:rPr>
          <w:rFonts w:ascii="Times New Roman" w:hAnsi="Times New Roman" w:cs="Times New Roman"/>
          <w:highlight w:val="none"/>
        </w:rPr>
      </w:pPr>
      <w:r>
        <w:rPr>
          <w:rFonts w:ascii="Times New Roman" w:hAnsi="Times New Roman" w:cs="Times New Roman"/>
          <w:highlight w:val="none"/>
        </w:rPr>
        <w:t>The worst-case scenario shows that inflation of operational costs is a significant risk to project viability. To eliminate this risk in the 25-year operation period:</w:t>
      </w:r>
    </w:p>
    <w:p w14:paraId="3EEAFC44">
      <w:pPr>
        <w:pStyle w:val="36"/>
        <w:numPr>
          <w:ilvl w:val="0"/>
          <w:numId w:val="12"/>
        </w:numPr>
        <w:spacing w:line="360" w:lineRule="auto"/>
        <w:jc w:val="both"/>
        <w:rPr>
          <w:rFonts w:ascii="Times New Roman" w:hAnsi="Times New Roman" w:cs="Times New Roman"/>
          <w:highlight w:val="none"/>
        </w:rPr>
      </w:pPr>
      <w:r>
        <w:rPr>
          <w:rFonts w:ascii="Times New Roman" w:hAnsi="Times New Roman" w:cs="Times New Roman"/>
          <w:highlight w:val="none"/>
        </w:rPr>
        <w:t>Planning of workforce should be established to help control costs on staffing.</w:t>
      </w:r>
    </w:p>
    <w:p w14:paraId="44968385">
      <w:pPr>
        <w:pStyle w:val="36"/>
        <w:numPr>
          <w:ilvl w:val="0"/>
          <w:numId w:val="12"/>
        </w:numPr>
        <w:spacing w:line="360" w:lineRule="auto"/>
        <w:jc w:val="both"/>
        <w:rPr>
          <w:rFonts w:ascii="Times New Roman" w:hAnsi="Times New Roman" w:cs="Times New Roman"/>
          <w:highlight w:val="none"/>
        </w:rPr>
      </w:pPr>
      <w:r>
        <w:rPr>
          <w:rFonts w:ascii="Times New Roman" w:hAnsi="Times New Roman" w:cs="Times New Roman"/>
          <w:highlight w:val="none"/>
        </w:rPr>
        <w:t>Energy conservation initiatives are supposed to save on utility costs.</w:t>
      </w:r>
    </w:p>
    <w:p w14:paraId="0C275555">
      <w:pPr>
        <w:pStyle w:val="36"/>
        <w:numPr>
          <w:ilvl w:val="0"/>
          <w:numId w:val="12"/>
        </w:numPr>
        <w:spacing w:line="360" w:lineRule="auto"/>
        <w:jc w:val="both"/>
        <w:rPr>
          <w:rFonts w:ascii="Times New Roman" w:hAnsi="Times New Roman" w:cs="Times New Roman"/>
          <w:highlight w:val="none"/>
        </w:rPr>
      </w:pPr>
      <w:r>
        <w:rPr>
          <w:rFonts w:ascii="Times New Roman" w:hAnsi="Times New Roman" w:cs="Times New Roman"/>
          <w:highlight w:val="none"/>
        </w:rPr>
        <w:t>Maintenance contracts are to be negotiated at a fixed or limited rate in the long-run.</w:t>
      </w:r>
    </w:p>
    <w:p w14:paraId="3A9AB639">
      <w:pPr>
        <w:pStyle w:val="36"/>
        <w:numPr>
          <w:ilvl w:val="0"/>
          <w:numId w:val="12"/>
        </w:numPr>
        <w:spacing w:line="360" w:lineRule="auto"/>
        <w:jc w:val="both"/>
        <w:rPr>
          <w:rFonts w:ascii="Times New Roman" w:hAnsi="Times New Roman" w:cs="Times New Roman"/>
          <w:highlight w:val="none"/>
        </w:rPr>
      </w:pPr>
      <w:r>
        <w:rPr>
          <w:rFonts w:ascii="Times New Roman" w:hAnsi="Times New Roman" w:cs="Times New Roman"/>
          <w:highlight w:val="none"/>
        </w:rPr>
        <w:t>The efficiency of the services should be tracked by activity-based costing (Alradhi, Z., 2023).</w:t>
      </w:r>
    </w:p>
    <w:p w14:paraId="214BCC6D">
      <w:pPr>
        <w:spacing w:line="360" w:lineRule="auto"/>
        <w:jc w:val="both"/>
        <w:rPr>
          <w:rFonts w:ascii="Times New Roman" w:hAnsi="Times New Roman" w:cs="Times New Roman"/>
          <w:highlight w:val="none"/>
        </w:rPr>
      </w:pPr>
      <w:r>
        <w:rPr>
          <w:rFonts w:ascii="Times New Roman" w:hAnsi="Times New Roman" w:cs="Times New Roman"/>
          <w:highlight w:val="none"/>
        </w:rPr>
        <w:t>Considering the financial model would presuppose a constant operating costs of 8 million per year, even average growth will decrease the projected IRR of 6.24.</w:t>
      </w:r>
    </w:p>
    <w:p w14:paraId="14BA5CED">
      <w:pPr>
        <w:pStyle w:val="3"/>
        <w:spacing w:line="360" w:lineRule="auto"/>
        <w:jc w:val="both"/>
        <w:rPr>
          <w:rFonts w:ascii="Times New Roman" w:hAnsi="Times New Roman" w:cs="Times New Roman"/>
          <w:sz w:val="24"/>
          <w:szCs w:val="24"/>
          <w:highlight w:val="none"/>
        </w:rPr>
      </w:pPr>
      <w:bookmarkStart w:id="19" w:name="_Toc223130545"/>
      <w:r>
        <w:rPr>
          <w:rFonts w:ascii="Times New Roman" w:hAnsi="Times New Roman" w:cs="Times New Roman"/>
          <w:sz w:val="24"/>
          <w:szCs w:val="24"/>
          <w:highlight w:val="none"/>
        </w:rPr>
        <w:t>Risk Mitigation Framework</w:t>
      </w:r>
      <w:bookmarkEnd w:id="19"/>
    </w:p>
    <w:tbl>
      <w:tblPr>
        <w:tblStyle w:val="12"/>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5"/>
        <w:gridCol w:w="2160"/>
        <w:gridCol w:w="1980"/>
        <w:gridCol w:w="2430"/>
      </w:tblGrid>
      <w:tr w14:paraId="34D2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605"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766D714F">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Risk</w:t>
            </w:r>
          </w:p>
        </w:tc>
        <w:tc>
          <w:tcPr>
            <w:tcW w:w="216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5FA0EB51">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Probability</w:t>
            </w:r>
          </w:p>
        </w:tc>
        <w:tc>
          <w:tcPr>
            <w:tcW w:w="198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3B7079F0">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Impact</w:t>
            </w:r>
          </w:p>
        </w:tc>
        <w:tc>
          <w:tcPr>
            <w:tcW w:w="243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6502BB29">
            <w:pPr>
              <w:spacing w:after="0" w:line="360" w:lineRule="auto"/>
              <w:jc w:val="both"/>
              <w:rPr>
                <w:rFonts w:ascii="Times New Roman" w:hAnsi="Times New Roman" w:eastAsia="Times New Roman" w:cs="Times New Roman"/>
                <w:b/>
                <w:bCs/>
                <w:i w:val="0"/>
                <w:color w:val="FFFFFF"/>
                <w:kern w:val="0"/>
                <w:highlight w:val="none"/>
                <w14:ligatures w14:val="none"/>
              </w:rPr>
            </w:pPr>
            <w:r>
              <w:rPr>
                <w:rFonts w:ascii="Times New Roman" w:hAnsi="Times New Roman" w:eastAsia="Times New Roman" w:cs="Times New Roman"/>
                <w:b/>
                <w:bCs/>
                <w:i w:val="0"/>
                <w:color w:val="FFFFFF"/>
                <w:kern w:val="0"/>
                <w:highlight w:val="none"/>
                <w14:ligatures w14:val="none"/>
              </w:rPr>
              <w:t>Mitigation</w:t>
            </w:r>
          </w:p>
        </w:tc>
      </w:tr>
      <w:tr w14:paraId="08E03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260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1D8C393A">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Revenue decline</w:t>
            </w:r>
          </w:p>
        </w:tc>
        <w:tc>
          <w:tcPr>
            <w:tcW w:w="216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77C245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Medium</w:t>
            </w:r>
          </w:p>
        </w:tc>
        <w:tc>
          <w:tcPr>
            <w:tcW w:w="198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08ACEE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High</w:t>
            </w:r>
          </w:p>
        </w:tc>
        <w:tc>
          <w:tcPr>
            <w:tcW w:w="243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830880D">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Volume monitoring</w:t>
            </w:r>
          </w:p>
        </w:tc>
      </w:tr>
      <w:tr w14:paraId="0292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60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CE5A322">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Cost inflation</w:t>
            </w:r>
          </w:p>
        </w:tc>
        <w:tc>
          <w:tcPr>
            <w:tcW w:w="216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30B00E25">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High</w:t>
            </w:r>
          </w:p>
        </w:tc>
        <w:tc>
          <w:tcPr>
            <w:tcW w:w="198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D1B5D28">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High</w:t>
            </w:r>
          </w:p>
        </w:tc>
        <w:tc>
          <w:tcPr>
            <w:tcW w:w="243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4DD1BED1">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Fixed contracts</w:t>
            </w:r>
          </w:p>
        </w:tc>
      </w:tr>
      <w:tr w14:paraId="540FF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60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3E88F27F">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Workforce shortage</w:t>
            </w:r>
          </w:p>
        </w:tc>
        <w:tc>
          <w:tcPr>
            <w:tcW w:w="216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6CBBA2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Medium</w:t>
            </w:r>
          </w:p>
        </w:tc>
        <w:tc>
          <w:tcPr>
            <w:tcW w:w="198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70B0FD46">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Medium</w:t>
            </w:r>
          </w:p>
        </w:tc>
        <w:tc>
          <w:tcPr>
            <w:tcW w:w="243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50F14C7B">
            <w:pPr>
              <w:spacing w:after="0" w:line="360" w:lineRule="auto"/>
              <w:jc w:val="both"/>
              <w:rPr>
                <w:rFonts w:ascii="Times New Roman" w:hAnsi="Times New Roman" w:eastAsia="Times New Roman" w:cs="Times New Roman"/>
                <w:b w:val="0"/>
                <w:i w:val="0"/>
                <w:color w:val="000000"/>
                <w:kern w:val="0"/>
                <w:highlight w:val="none"/>
                <w14:ligatures w14:val="none"/>
              </w:rPr>
            </w:pPr>
            <w:r>
              <w:rPr>
                <w:rFonts w:ascii="Times New Roman" w:hAnsi="Times New Roman" w:eastAsia="Times New Roman" w:cs="Times New Roman"/>
                <w:b w:val="0"/>
                <w:i w:val="0"/>
                <w:color w:val="000000"/>
                <w:kern w:val="0"/>
                <w:highlight w:val="none"/>
                <w14:ligatures w14:val="none"/>
              </w:rPr>
              <w:t>Workforce planning</w:t>
            </w:r>
          </w:p>
        </w:tc>
      </w:tr>
    </w:tbl>
    <w:p w14:paraId="5FA4CA01">
      <w:pPr>
        <w:spacing w:line="360" w:lineRule="auto"/>
        <w:jc w:val="both"/>
        <w:rPr>
          <w:rFonts w:ascii="Times New Roman" w:hAnsi="Times New Roman" w:cs="Times New Roman"/>
          <w:highlight w:val="none"/>
        </w:rPr>
      </w:pPr>
    </w:p>
    <w:p w14:paraId="271CECE6">
      <w:pPr>
        <w:spacing w:line="360" w:lineRule="auto"/>
        <w:jc w:val="both"/>
        <w:rPr>
          <w:rFonts w:ascii="Times New Roman" w:hAnsi="Times New Roman" w:cs="Times New Roman"/>
          <w:highlight w:val="none"/>
        </w:rPr>
      </w:pPr>
      <w:r>
        <w:rPr>
          <w:rFonts w:ascii="Times New Roman" w:hAnsi="Times New Roman" w:cs="Times New Roman"/>
          <w:highlight w:val="none"/>
        </w:rPr>
        <w:t>An extensive financial risk management plan must comprise:</w:t>
      </w:r>
    </w:p>
    <w:p w14:paraId="23F07CA0">
      <w:pPr>
        <w:pStyle w:val="36"/>
        <w:numPr>
          <w:ilvl w:val="0"/>
          <w:numId w:val="13"/>
        </w:numPr>
        <w:spacing w:line="360" w:lineRule="auto"/>
        <w:jc w:val="both"/>
        <w:rPr>
          <w:rFonts w:ascii="Times New Roman" w:hAnsi="Times New Roman" w:cs="Times New Roman"/>
          <w:highlight w:val="none"/>
        </w:rPr>
      </w:pPr>
      <w:r>
        <w:rPr>
          <w:rFonts w:ascii="Times New Roman" w:hAnsi="Times New Roman" w:cs="Times New Roman"/>
          <w:highlight w:val="none"/>
        </w:rPr>
        <w:t>Quantified financial exposure risk register.</w:t>
      </w:r>
    </w:p>
    <w:p w14:paraId="34536EA6">
      <w:pPr>
        <w:pStyle w:val="36"/>
        <w:numPr>
          <w:ilvl w:val="0"/>
          <w:numId w:val="13"/>
        </w:numPr>
        <w:spacing w:line="360" w:lineRule="auto"/>
        <w:jc w:val="both"/>
        <w:rPr>
          <w:rFonts w:ascii="Times New Roman" w:hAnsi="Times New Roman" w:cs="Times New Roman"/>
          <w:highlight w:val="none"/>
        </w:rPr>
      </w:pPr>
      <w:r>
        <w:rPr>
          <w:rFonts w:ascii="Times New Roman" w:hAnsi="Times New Roman" w:cs="Times New Roman"/>
          <w:highlight w:val="none"/>
        </w:rPr>
        <w:t>Probability-impact analysis</w:t>
      </w:r>
    </w:p>
    <w:p w14:paraId="4E06B08C">
      <w:pPr>
        <w:pStyle w:val="36"/>
        <w:numPr>
          <w:ilvl w:val="0"/>
          <w:numId w:val="13"/>
        </w:numPr>
        <w:spacing w:line="360" w:lineRule="auto"/>
        <w:jc w:val="both"/>
        <w:rPr>
          <w:rFonts w:ascii="Times New Roman" w:hAnsi="Times New Roman" w:cs="Times New Roman"/>
          <w:highlight w:val="none"/>
        </w:rPr>
      </w:pPr>
      <w:r>
        <w:rPr>
          <w:rFonts w:ascii="Times New Roman" w:hAnsi="Times New Roman" w:cs="Times New Roman"/>
          <w:highlight w:val="none"/>
        </w:rPr>
        <w:t>Frequent risk review meetings.</w:t>
      </w:r>
    </w:p>
    <w:p w14:paraId="0186BCC5">
      <w:pPr>
        <w:pStyle w:val="36"/>
        <w:numPr>
          <w:ilvl w:val="0"/>
          <w:numId w:val="13"/>
        </w:numPr>
        <w:spacing w:line="360" w:lineRule="auto"/>
        <w:jc w:val="both"/>
        <w:rPr>
          <w:rFonts w:ascii="Times New Roman" w:hAnsi="Times New Roman" w:cs="Times New Roman"/>
          <w:highlight w:val="none"/>
        </w:rPr>
      </w:pPr>
      <w:r>
        <w:rPr>
          <w:rFonts w:ascii="Times New Roman" w:hAnsi="Times New Roman" w:cs="Times New Roman"/>
          <w:highlight w:val="none"/>
        </w:rPr>
        <w:t>Construction and operational liabilities insurance.</w:t>
      </w:r>
    </w:p>
    <w:p w14:paraId="2C3A56A3">
      <w:pPr>
        <w:pStyle w:val="36"/>
        <w:numPr>
          <w:ilvl w:val="0"/>
          <w:numId w:val="13"/>
        </w:numPr>
        <w:spacing w:line="360" w:lineRule="auto"/>
        <w:jc w:val="both"/>
        <w:rPr>
          <w:rFonts w:ascii="Times New Roman" w:hAnsi="Times New Roman" w:cs="Times New Roman"/>
          <w:highlight w:val="none"/>
        </w:rPr>
      </w:pPr>
      <w:r>
        <w:rPr>
          <w:rFonts w:ascii="Times New Roman" w:hAnsi="Times New Roman" w:cs="Times New Roman"/>
          <w:highlight w:val="none"/>
        </w:rPr>
        <w:t>Energy price volatility may also be subject to the financial hedging strategy.</w:t>
      </w:r>
    </w:p>
    <w:p w14:paraId="79637E4B">
      <w:pPr>
        <w:pStyle w:val="3"/>
        <w:spacing w:line="360" w:lineRule="auto"/>
        <w:jc w:val="both"/>
        <w:rPr>
          <w:rFonts w:ascii="Times New Roman" w:hAnsi="Times New Roman" w:cs="Times New Roman"/>
          <w:sz w:val="24"/>
          <w:szCs w:val="24"/>
          <w:highlight w:val="none"/>
        </w:rPr>
      </w:pPr>
      <w:bookmarkStart w:id="20" w:name="_Toc223130546"/>
      <w:r>
        <w:rPr>
          <w:rFonts w:ascii="Times New Roman" w:hAnsi="Times New Roman" w:cs="Times New Roman"/>
          <w:sz w:val="24"/>
          <w:szCs w:val="24"/>
          <w:highlight w:val="none"/>
        </w:rPr>
        <w:t>General Cost Control Assessment</w:t>
      </w:r>
      <w:bookmarkEnd w:id="20"/>
      <w:r>
        <w:rPr>
          <w:rFonts w:ascii="Times New Roman" w:hAnsi="Times New Roman" w:cs="Times New Roman"/>
          <w:sz w:val="24"/>
          <w:szCs w:val="24"/>
          <w:highlight w:val="none"/>
        </w:rPr>
        <w:t xml:space="preserve"> </w:t>
      </w:r>
    </w:p>
    <w:p w14:paraId="34C83F44">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The general cost control assessment endeavors to show how the available resources of the company are well used to achieve the missionary objectives of the company. The results of capital budgeting show that finances are financially viable based on reasonable assumptions but downside sensitivity shows the need to exercise sound financial governance (Finkler, S.A., 2025).  </w:t>
      </w:r>
    </w:p>
    <w:p w14:paraId="35FA55EF">
      <w:pPr>
        <w:pStyle w:val="2"/>
        <w:spacing w:line="360" w:lineRule="auto"/>
        <w:jc w:val="both"/>
        <w:rPr>
          <w:rFonts w:ascii="Times New Roman" w:hAnsi="Times New Roman" w:cs="Times New Roman"/>
          <w:sz w:val="24"/>
          <w:szCs w:val="24"/>
          <w:highlight w:val="none"/>
        </w:rPr>
      </w:pPr>
      <w:bookmarkStart w:id="21" w:name="_Toc223130547"/>
      <w:r>
        <w:rPr>
          <w:rFonts w:ascii="Times New Roman" w:hAnsi="Times New Roman" w:cs="Times New Roman"/>
          <w:sz w:val="24"/>
          <w:szCs w:val="24"/>
          <w:highlight w:val="none"/>
        </w:rPr>
        <w:t>Section D – Project Financial Reporting Framework</w:t>
      </w:r>
      <w:bookmarkEnd w:id="21"/>
    </w:p>
    <w:p w14:paraId="7A23A31C">
      <w:pPr>
        <w:spacing w:line="360" w:lineRule="auto"/>
        <w:jc w:val="both"/>
        <w:rPr>
          <w:rFonts w:ascii="Times New Roman" w:hAnsi="Times New Roman" w:cs="Times New Roman"/>
          <w:highlight w:val="none"/>
        </w:rPr>
      </w:pPr>
      <w:r>
        <w:rPr>
          <w:rFonts w:ascii="Times New Roman" w:hAnsi="Times New Roman" w:cs="Times New Roman"/>
          <w:highlight w:val="none"/>
        </w:rPr>
        <w:drawing>
          <wp:anchor distT="0" distB="0" distL="114300" distR="114300" simplePos="0" relativeHeight="251659264" behindDoc="0" locked="0" layoutInCell="1" allowOverlap="1">
            <wp:simplePos x="0" y="0"/>
            <wp:positionH relativeFrom="margin">
              <wp:align>right</wp:align>
            </wp:positionH>
            <wp:positionV relativeFrom="paragraph">
              <wp:posOffset>10160</wp:posOffset>
            </wp:positionV>
            <wp:extent cx="1152525" cy="4124325"/>
            <wp:effectExtent l="0" t="0" r="9525" b="9525"/>
            <wp:wrapThrough wrapText="bothSides">
              <wp:wrapPolygon>
                <wp:start x="0" y="0"/>
                <wp:lineTo x="0" y="21550"/>
                <wp:lineTo x="21421" y="21550"/>
                <wp:lineTo x="21421" y="0"/>
                <wp:lineTo x="0" y="0"/>
              </wp:wrapPolygon>
            </wp:wrapThrough>
            <wp:docPr id="154311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116124"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152525" cy="4124325"/>
                    </a:xfrm>
                    <a:prstGeom prst="rect">
                      <a:avLst/>
                    </a:prstGeom>
                  </pic:spPr>
                </pic:pic>
              </a:graphicData>
            </a:graphic>
          </wp:anchor>
        </w:drawing>
      </w:r>
      <w:r>
        <w:rPr>
          <w:rFonts w:ascii="Times New Roman" w:hAnsi="Times New Roman" w:cs="Times New Roman"/>
          <w:highlight w:val="none"/>
        </w:rPr>
        <w:t>For a publicly funded £50 million NHS Dental Clinic Centre, financial reporting plays a dual role. First, it ensures effective financial control over the construction and operation of the dental facility. Second, it ensures accountability to taxpayers and regulatory authorities, as the project is financed using public NHS funds. Although the base-case financial model shows a positive NPV of £15.9 million, the worst-case scenario demonstrates that lower patient revenue and increased operating costs could make the dental clinic financially unviable. Therefore, continuous financial monitoring is essential to identify deviations early and protect the project's financial value.</w:t>
      </w:r>
    </w:p>
    <w:p w14:paraId="788A936E">
      <w:pPr>
        <w:pStyle w:val="3"/>
        <w:spacing w:line="360" w:lineRule="auto"/>
        <w:jc w:val="both"/>
        <w:rPr>
          <w:rFonts w:ascii="Times New Roman" w:hAnsi="Times New Roman" w:cs="Times New Roman"/>
          <w:sz w:val="24"/>
          <w:szCs w:val="24"/>
          <w:highlight w:val="none"/>
        </w:rPr>
      </w:pPr>
      <w:bookmarkStart w:id="22" w:name="_Toc223130548"/>
      <w:r>
        <w:rPr>
          <w:rFonts w:ascii="Times New Roman" w:hAnsi="Times New Roman" w:cs="Times New Roman"/>
          <w:sz w:val="24"/>
          <w:szCs w:val="24"/>
          <w:highlight w:val="none"/>
        </w:rPr>
        <w:t>Reporting Processing Relaxation of the Project Lifecycle.</w:t>
      </w:r>
      <w:bookmarkEnd w:id="22"/>
    </w:p>
    <w:p w14:paraId="72D692D6">
      <w:pPr>
        <w:spacing w:line="360" w:lineRule="auto"/>
        <w:jc w:val="both"/>
        <w:rPr>
          <w:rFonts w:ascii="Times New Roman" w:hAnsi="Times New Roman" w:cs="Times New Roman"/>
          <w:highlight w:val="none"/>
        </w:rPr>
      </w:pPr>
      <w:r>
        <w:rPr>
          <w:rFonts w:ascii="Times New Roman" w:hAnsi="Times New Roman" w:cs="Times New Roman"/>
          <w:highlight w:val="none"/>
        </w:rPr>
        <w:t>The financial reporting must be organized in two stages; construction and operational.</w:t>
      </w:r>
    </w:p>
    <w:p w14:paraId="2B6A7AE8">
      <w:pPr>
        <w:pStyle w:val="4"/>
        <w:spacing w:line="360" w:lineRule="auto"/>
        <w:jc w:val="both"/>
        <w:rPr>
          <w:rFonts w:ascii="Times New Roman" w:hAnsi="Times New Roman" w:cs="Times New Roman"/>
          <w:sz w:val="24"/>
          <w:szCs w:val="24"/>
          <w:highlight w:val="none"/>
        </w:rPr>
      </w:pPr>
      <w:bookmarkStart w:id="23" w:name="_Toc223130549"/>
      <w:r>
        <w:rPr>
          <w:rFonts w:ascii="Times New Roman" w:hAnsi="Times New Roman" w:cs="Times New Roman"/>
          <w:sz w:val="24"/>
          <w:szCs w:val="24"/>
          <w:highlight w:val="none"/>
        </w:rPr>
        <w:t>Construction Phase Reporting.</w:t>
      </w:r>
      <w:bookmarkEnd w:id="23"/>
    </w:p>
    <w:p w14:paraId="43755E57">
      <w:pPr>
        <w:spacing w:line="360" w:lineRule="auto"/>
        <w:jc w:val="both"/>
        <w:rPr>
          <w:rFonts w:ascii="Times New Roman" w:hAnsi="Times New Roman" w:cs="Times New Roman"/>
          <w:highlight w:val="none"/>
        </w:rPr>
      </w:pPr>
      <w:r>
        <w:rPr>
          <w:rFonts w:ascii="Times New Roman" w:hAnsi="Times New Roman" w:cs="Times New Roman"/>
          <w:highlight w:val="none"/>
        </w:rPr>
        <w:t>The reporting should be during the two-year build period on capital expenditure (CAPEX) control and schedule alignment.</w:t>
      </w:r>
    </w:p>
    <w:p w14:paraId="0D3F6F82">
      <w:pPr>
        <w:spacing w:line="360" w:lineRule="auto"/>
        <w:jc w:val="both"/>
        <w:rPr>
          <w:rFonts w:ascii="Times New Roman" w:hAnsi="Times New Roman" w:cs="Times New Roman"/>
          <w:highlight w:val="none"/>
        </w:rPr>
      </w:pPr>
      <w:r>
        <w:rPr>
          <w:rFonts w:ascii="Times New Roman" w:hAnsi="Times New Roman" w:cs="Times New Roman"/>
          <w:highlight w:val="none"/>
        </w:rPr>
        <w:t>Key reports include:</w:t>
      </w:r>
    </w:p>
    <w:p w14:paraId="4ADAB7A3">
      <w:pPr>
        <w:pStyle w:val="36"/>
        <w:numPr>
          <w:ilvl w:val="0"/>
          <w:numId w:val="14"/>
        </w:numPr>
        <w:spacing w:line="360" w:lineRule="auto"/>
        <w:jc w:val="both"/>
        <w:rPr>
          <w:rFonts w:ascii="Times New Roman" w:hAnsi="Times New Roman" w:cs="Times New Roman"/>
          <w:highlight w:val="none"/>
        </w:rPr>
      </w:pPr>
      <w:r>
        <w:rPr>
          <w:rFonts w:ascii="Times New Roman" w:hAnsi="Times New Roman" w:cs="Times New Roman"/>
          <w:highlight w:val="none"/>
        </w:rPr>
        <w:t>Capital expenditure report on a monthly basis.</w:t>
      </w:r>
    </w:p>
    <w:p w14:paraId="49F52DDE">
      <w:pPr>
        <w:pStyle w:val="36"/>
        <w:numPr>
          <w:ilvl w:val="0"/>
          <w:numId w:val="14"/>
        </w:numPr>
        <w:spacing w:line="360" w:lineRule="auto"/>
        <w:jc w:val="both"/>
        <w:rPr>
          <w:rFonts w:ascii="Times New Roman" w:hAnsi="Times New Roman" w:cs="Times New Roman"/>
          <w:highlight w:val="none"/>
        </w:rPr>
      </w:pPr>
      <w:r>
        <w:rPr>
          <w:rFonts w:ascii="Times New Roman" w:hAnsi="Times New Roman" w:cs="Times New Roman"/>
          <w:highlight w:val="none"/>
        </w:rPr>
        <w:t>Earned Value Management (EVM) dashboard.</w:t>
      </w:r>
    </w:p>
    <w:p w14:paraId="79E869C3">
      <w:pPr>
        <w:pStyle w:val="36"/>
        <w:numPr>
          <w:ilvl w:val="0"/>
          <w:numId w:val="14"/>
        </w:numPr>
        <w:spacing w:line="360" w:lineRule="auto"/>
        <w:jc w:val="both"/>
        <w:rPr>
          <w:rFonts w:ascii="Times New Roman" w:hAnsi="Times New Roman" w:cs="Times New Roman"/>
          <w:highlight w:val="none"/>
        </w:rPr>
      </w:pPr>
      <w:r>
        <w:rPr>
          <w:rFonts w:ascii="Times New Roman" w:hAnsi="Times New Roman" w:cs="Times New Roman"/>
          <w:highlight w:val="none"/>
        </w:rPr>
        <w:t>Cost-to-complete forecast</w:t>
      </w:r>
    </w:p>
    <w:p w14:paraId="5E512667">
      <w:pPr>
        <w:pStyle w:val="36"/>
        <w:numPr>
          <w:ilvl w:val="0"/>
          <w:numId w:val="14"/>
        </w:numPr>
        <w:spacing w:line="360" w:lineRule="auto"/>
        <w:jc w:val="both"/>
        <w:rPr>
          <w:rFonts w:ascii="Times New Roman" w:hAnsi="Times New Roman" w:cs="Times New Roman"/>
          <w:highlight w:val="none"/>
        </w:rPr>
      </w:pPr>
      <w:r>
        <w:rPr>
          <w:rFonts w:ascii="Times New Roman" w:hAnsi="Times New Roman" w:cs="Times New Roman"/>
          <w:highlight w:val="none"/>
        </w:rPr>
        <w:t>Contingency utilization report.</w:t>
      </w:r>
    </w:p>
    <w:p w14:paraId="7CB7F9F1">
      <w:pPr>
        <w:spacing w:line="360" w:lineRule="auto"/>
        <w:jc w:val="both"/>
        <w:rPr>
          <w:rFonts w:ascii="Times New Roman" w:hAnsi="Times New Roman" w:cs="Times New Roman"/>
          <w:highlight w:val="none"/>
        </w:rPr>
      </w:pPr>
      <w:r>
        <w:rPr>
          <w:rFonts w:ascii="Times New Roman" w:hAnsi="Times New Roman" w:cs="Times New Roman"/>
          <w:highlight w:val="none"/>
        </w:rPr>
        <w:t>The Project Board and Finance Committee should have these reports reviewed monthly to ensure that they are working within the approved budget of 50 million pounds (Islam, S., 2025).</w:t>
      </w:r>
    </w:p>
    <w:p w14:paraId="1C1BC96C">
      <w:pPr>
        <w:spacing w:line="360" w:lineRule="auto"/>
        <w:jc w:val="both"/>
        <w:rPr>
          <w:rFonts w:ascii="Times New Roman" w:hAnsi="Times New Roman" w:cs="Times New Roman"/>
          <w:highlight w:val="none"/>
        </w:rPr>
      </w:pPr>
      <w:r>
        <w:rPr>
          <w:rFonts w:ascii="Times New Roman" w:hAnsi="Times New Roman" w:cs="Times New Roman"/>
          <w:highlight w:val="none"/>
        </w:rPr>
        <w:t>Integrated Enterprise Resource Planning (ERP) systems like SAP, Oracle Financials, or Microsoft Dynamics, project monitoring tools like Primavera or Microsoft Project and visualization dashboards like Power BI should be used to support financial reporting.</w:t>
      </w:r>
    </w:p>
    <w:p w14:paraId="49FEC5A9">
      <w:pPr>
        <w:pStyle w:val="4"/>
        <w:spacing w:line="360" w:lineRule="auto"/>
        <w:jc w:val="both"/>
        <w:rPr>
          <w:rFonts w:ascii="Times New Roman" w:hAnsi="Times New Roman" w:cs="Times New Roman"/>
          <w:sz w:val="24"/>
          <w:szCs w:val="24"/>
          <w:highlight w:val="none"/>
        </w:rPr>
      </w:pPr>
      <w:bookmarkStart w:id="24" w:name="_Toc223130550"/>
      <w:r>
        <w:rPr>
          <w:rFonts w:ascii="Times New Roman" w:hAnsi="Times New Roman" w:cs="Times New Roman"/>
          <w:sz w:val="24"/>
          <w:szCs w:val="24"/>
          <w:highlight w:val="none"/>
        </w:rPr>
        <w:t>Phase Reporting of Operations.</w:t>
      </w:r>
      <w:bookmarkEnd w:id="24"/>
    </w:p>
    <w:p w14:paraId="4CF98288">
      <w:pPr>
        <w:spacing w:line="360" w:lineRule="auto"/>
        <w:jc w:val="both"/>
        <w:rPr>
          <w:rFonts w:ascii="Times New Roman" w:hAnsi="Times New Roman" w:cs="Times New Roman"/>
          <w:highlight w:val="none"/>
        </w:rPr>
      </w:pPr>
      <w:r>
        <w:rPr>
          <w:rFonts w:ascii="Times New Roman" w:hAnsi="Times New Roman" w:cs="Times New Roman"/>
          <w:highlight w:val="none"/>
        </w:rPr>
        <w:t>Reporting in the operation should be changed to revenue sustainability and cost control.</w:t>
      </w:r>
    </w:p>
    <w:p w14:paraId="06DD2E4C">
      <w:pPr>
        <w:spacing w:line="360" w:lineRule="auto"/>
        <w:jc w:val="both"/>
        <w:rPr>
          <w:rFonts w:ascii="Times New Roman" w:hAnsi="Times New Roman" w:cs="Times New Roman"/>
          <w:highlight w:val="none"/>
        </w:rPr>
      </w:pPr>
      <w:r>
        <w:rPr>
          <w:rFonts w:ascii="Times New Roman" w:hAnsi="Times New Roman" w:cs="Times New Roman"/>
          <w:highlight w:val="none"/>
        </w:rPr>
        <w:t>Key reports include:</w:t>
      </w:r>
    </w:p>
    <w:p w14:paraId="064CBD01">
      <w:pPr>
        <w:pStyle w:val="36"/>
        <w:numPr>
          <w:ilvl w:val="0"/>
          <w:numId w:val="15"/>
        </w:numPr>
        <w:spacing w:line="360" w:lineRule="auto"/>
        <w:jc w:val="both"/>
        <w:rPr>
          <w:rFonts w:ascii="Times New Roman" w:hAnsi="Times New Roman" w:cs="Times New Roman"/>
          <w:highlight w:val="none"/>
        </w:rPr>
      </w:pPr>
      <w:r>
        <w:rPr>
          <w:rFonts w:ascii="Times New Roman" w:hAnsi="Times New Roman" w:cs="Times New Roman"/>
          <w:highlight w:val="none"/>
        </w:rPr>
        <w:t>Performing monthly operating performance report.</w:t>
      </w:r>
    </w:p>
    <w:p w14:paraId="754CF2F6">
      <w:pPr>
        <w:pStyle w:val="36"/>
        <w:numPr>
          <w:ilvl w:val="0"/>
          <w:numId w:val="15"/>
        </w:numPr>
        <w:spacing w:line="360" w:lineRule="auto"/>
        <w:jc w:val="both"/>
        <w:rPr>
          <w:rFonts w:ascii="Times New Roman" w:hAnsi="Times New Roman" w:cs="Times New Roman"/>
          <w:highlight w:val="none"/>
        </w:rPr>
      </w:pPr>
      <w:r>
        <w:rPr>
          <w:rFonts w:ascii="Times New Roman" w:hAnsi="Times New Roman" w:cs="Times New Roman"/>
          <w:highlight w:val="none"/>
        </w:rPr>
        <w:t>Cash flow forecast on a quarterly basis.</w:t>
      </w:r>
    </w:p>
    <w:p w14:paraId="59447C3C">
      <w:pPr>
        <w:pStyle w:val="36"/>
        <w:numPr>
          <w:ilvl w:val="0"/>
          <w:numId w:val="15"/>
        </w:numPr>
        <w:spacing w:line="360" w:lineRule="auto"/>
        <w:jc w:val="both"/>
        <w:rPr>
          <w:rFonts w:ascii="Times New Roman" w:hAnsi="Times New Roman" w:cs="Times New Roman"/>
          <w:highlight w:val="none"/>
        </w:rPr>
      </w:pPr>
      <w:r>
        <w:rPr>
          <w:rFonts w:ascii="Times New Roman" w:hAnsi="Times New Roman" w:cs="Times New Roman"/>
          <w:highlight w:val="none"/>
        </w:rPr>
        <w:t>Budget variance analysis every year.</w:t>
      </w:r>
    </w:p>
    <w:p w14:paraId="59A05DC6">
      <w:pPr>
        <w:pStyle w:val="36"/>
        <w:numPr>
          <w:ilvl w:val="0"/>
          <w:numId w:val="15"/>
        </w:numPr>
        <w:spacing w:line="360" w:lineRule="auto"/>
        <w:jc w:val="both"/>
        <w:rPr>
          <w:rFonts w:ascii="Times New Roman" w:hAnsi="Times New Roman" w:cs="Times New Roman"/>
          <w:highlight w:val="none"/>
        </w:rPr>
      </w:pPr>
      <w:r>
        <w:rPr>
          <w:rFonts w:ascii="Times New Roman" w:hAnsi="Times New Roman" w:cs="Times New Roman"/>
          <w:highlight w:val="none"/>
        </w:rPr>
        <w:t>Financial forecast working with risk factors.</w:t>
      </w:r>
    </w:p>
    <w:p w14:paraId="7308E96A">
      <w:pPr>
        <w:spacing w:line="360" w:lineRule="auto"/>
        <w:jc w:val="both"/>
        <w:rPr>
          <w:rFonts w:ascii="Times New Roman" w:hAnsi="Times New Roman" w:cs="Times New Roman"/>
          <w:highlight w:val="none"/>
        </w:rPr>
      </w:pPr>
      <w:r>
        <w:rPr>
          <w:rFonts w:ascii="Times New Roman" w:hAnsi="Times New Roman" w:cs="Times New Roman"/>
          <w:highlight w:val="none"/>
        </w:rPr>
        <w:t>Since reduced revenue and higher operating costs would result in a financial viability deficit in the worst-case scenario, operational reporting should be greatly concerned with revenue realization and contains operating costs.</w:t>
      </w:r>
    </w:p>
    <w:p w14:paraId="76CF558F">
      <w:pPr>
        <w:pStyle w:val="4"/>
        <w:spacing w:line="360" w:lineRule="auto"/>
        <w:jc w:val="both"/>
        <w:rPr>
          <w:rFonts w:ascii="Times New Roman" w:hAnsi="Times New Roman" w:cs="Times New Roman"/>
          <w:sz w:val="24"/>
          <w:szCs w:val="24"/>
          <w:highlight w:val="none"/>
        </w:rPr>
      </w:pPr>
      <w:bookmarkStart w:id="25" w:name="_Toc223130551"/>
      <w:r>
        <w:rPr>
          <w:rFonts w:ascii="Times New Roman" w:hAnsi="Times New Roman" w:cs="Times New Roman"/>
          <w:sz w:val="24"/>
          <w:szCs w:val="24"/>
          <w:highlight w:val="none"/>
        </w:rPr>
        <w:t>Key Financial KPIs</w:t>
      </w:r>
      <w:bookmarkEnd w:id="25"/>
    </w:p>
    <w:p w14:paraId="544EACB6">
      <w:pPr>
        <w:spacing w:line="360" w:lineRule="auto"/>
        <w:jc w:val="both"/>
        <w:rPr>
          <w:rFonts w:ascii="Times New Roman" w:hAnsi="Times New Roman" w:cs="Times New Roman"/>
          <w:highlight w:val="none"/>
        </w:rPr>
      </w:pPr>
      <w:r>
        <w:rPr>
          <w:rFonts w:ascii="Times New Roman" w:hAnsi="Times New Roman" w:cs="Times New Roman"/>
          <w:highlight w:val="none"/>
        </w:rPr>
        <w:t>The performance indicators on reporting framework must incorporate quantitative performance indicators that are in line with financial sustainability.</w:t>
      </w:r>
    </w:p>
    <w:p w14:paraId="08117853">
      <w:pPr>
        <w:pStyle w:val="36"/>
        <w:numPr>
          <w:ilvl w:val="0"/>
          <w:numId w:val="16"/>
        </w:numPr>
        <w:spacing w:line="360" w:lineRule="auto"/>
        <w:jc w:val="both"/>
        <w:rPr>
          <w:rFonts w:ascii="Times New Roman" w:hAnsi="Times New Roman" w:cs="Times New Roman"/>
          <w:highlight w:val="none"/>
        </w:rPr>
      </w:pPr>
      <w:r>
        <w:rPr>
          <w:rFonts w:ascii="Times New Roman" w:hAnsi="Times New Roman" w:cs="Times New Roman"/>
          <w:highlight w:val="none"/>
        </w:rPr>
        <w:t>Construction KPIs</w:t>
      </w:r>
    </w:p>
    <w:p w14:paraId="74CD1E5E">
      <w:pPr>
        <w:pStyle w:val="36"/>
        <w:numPr>
          <w:ilvl w:val="0"/>
          <w:numId w:val="16"/>
        </w:numPr>
        <w:spacing w:line="360" w:lineRule="auto"/>
        <w:jc w:val="both"/>
        <w:rPr>
          <w:rFonts w:ascii="Times New Roman" w:hAnsi="Times New Roman" w:cs="Times New Roman"/>
          <w:highlight w:val="none"/>
        </w:rPr>
      </w:pPr>
      <w:r>
        <w:rPr>
          <w:rFonts w:ascii="Times New Roman" w:hAnsi="Times New Roman" w:cs="Times New Roman"/>
          <w:highlight w:val="none"/>
        </w:rPr>
        <w:t>Cost Variance (CV)</w:t>
      </w:r>
    </w:p>
    <w:p w14:paraId="7FEEF46F">
      <w:pPr>
        <w:pStyle w:val="36"/>
        <w:numPr>
          <w:ilvl w:val="0"/>
          <w:numId w:val="16"/>
        </w:numPr>
        <w:spacing w:line="360" w:lineRule="auto"/>
        <w:jc w:val="both"/>
        <w:rPr>
          <w:rFonts w:ascii="Times New Roman" w:hAnsi="Times New Roman" w:cs="Times New Roman"/>
          <w:highlight w:val="none"/>
        </w:rPr>
      </w:pPr>
      <w:r>
        <w:rPr>
          <w:rFonts w:ascii="Times New Roman" w:hAnsi="Times New Roman" w:cs="Times New Roman"/>
          <w:highlight w:val="none"/>
        </w:rPr>
        <w:t>Schedule Variance (SV)</w:t>
      </w:r>
    </w:p>
    <w:p w14:paraId="4572E69D">
      <w:pPr>
        <w:pStyle w:val="36"/>
        <w:numPr>
          <w:ilvl w:val="0"/>
          <w:numId w:val="16"/>
        </w:numPr>
        <w:spacing w:line="360" w:lineRule="auto"/>
        <w:jc w:val="both"/>
        <w:rPr>
          <w:rFonts w:ascii="Times New Roman" w:hAnsi="Times New Roman" w:cs="Times New Roman"/>
          <w:highlight w:val="none"/>
        </w:rPr>
      </w:pPr>
      <w:r>
        <w:rPr>
          <w:rFonts w:ascii="Times New Roman" w:hAnsi="Times New Roman" w:cs="Times New Roman"/>
          <w:highlight w:val="none"/>
        </w:rPr>
        <w:t>Cost Performance Index (CPI)</w:t>
      </w:r>
    </w:p>
    <w:p w14:paraId="55085DC2">
      <w:pPr>
        <w:pStyle w:val="36"/>
        <w:numPr>
          <w:ilvl w:val="0"/>
          <w:numId w:val="16"/>
        </w:numPr>
        <w:spacing w:line="360" w:lineRule="auto"/>
        <w:jc w:val="both"/>
        <w:rPr>
          <w:rFonts w:ascii="Times New Roman" w:hAnsi="Times New Roman" w:cs="Times New Roman"/>
          <w:highlight w:val="none"/>
        </w:rPr>
      </w:pPr>
      <w:r>
        <w:rPr>
          <w:rFonts w:ascii="Times New Roman" w:hAnsi="Times New Roman" w:cs="Times New Roman"/>
          <w:highlight w:val="none"/>
        </w:rPr>
        <w:t>Schedule Performance Index (SPI).</w:t>
      </w:r>
    </w:p>
    <w:p w14:paraId="077000C3">
      <w:pPr>
        <w:pStyle w:val="36"/>
        <w:numPr>
          <w:ilvl w:val="0"/>
          <w:numId w:val="16"/>
        </w:numPr>
        <w:spacing w:line="360" w:lineRule="auto"/>
        <w:jc w:val="both"/>
        <w:rPr>
          <w:rFonts w:ascii="Times New Roman" w:hAnsi="Times New Roman" w:cs="Times New Roman"/>
          <w:highlight w:val="none"/>
        </w:rPr>
      </w:pPr>
      <w:r>
        <w:rPr>
          <w:rFonts w:ascii="Times New Roman" w:hAnsi="Times New Roman" w:cs="Times New Roman"/>
          <w:highlight w:val="none"/>
        </w:rPr>
        <w:t>Forecast at Completion (EAC)</w:t>
      </w:r>
    </w:p>
    <w:p w14:paraId="3ACFBFA4">
      <w:pPr>
        <w:spacing w:line="360" w:lineRule="auto"/>
        <w:jc w:val="both"/>
        <w:rPr>
          <w:rFonts w:ascii="Times New Roman" w:hAnsi="Times New Roman" w:cs="Times New Roman"/>
          <w:highlight w:val="none"/>
        </w:rPr>
      </w:pPr>
      <w:r>
        <w:rPr>
          <w:rFonts w:ascii="Times New Roman" w:hAnsi="Times New Roman" w:cs="Times New Roman"/>
          <w:highlight w:val="none"/>
        </w:rPr>
        <w:t>Such metrics also will give an early alert of cost overrun that will reduce the estimated cost of the project (NPV) of 15.9 million.</w:t>
      </w:r>
    </w:p>
    <w:p w14:paraId="11124C6E">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Operational KPIs</w:t>
      </w:r>
    </w:p>
    <w:p w14:paraId="67EED090">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Annual Revenue Realization versus Forecast.</w:t>
      </w:r>
    </w:p>
    <w:p w14:paraId="30E80294">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Operating Cost Variance</w:t>
      </w:r>
    </w:p>
    <w:p w14:paraId="540A5154">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Net Operating Margin</w:t>
      </w:r>
    </w:p>
    <w:p w14:paraId="45C45C5D">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Cash Flow Coverage Ratio</w:t>
      </w:r>
    </w:p>
    <w:p w14:paraId="52607AB1">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Burn Rate</w:t>
      </w:r>
    </w:p>
    <w:p w14:paraId="3E27241D">
      <w:pPr>
        <w:pStyle w:val="36"/>
        <w:numPr>
          <w:ilvl w:val="0"/>
          <w:numId w:val="17"/>
        </w:numPr>
        <w:spacing w:line="360" w:lineRule="auto"/>
        <w:jc w:val="both"/>
        <w:rPr>
          <w:rFonts w:ascii="Times New Roman" w:hAnsi="Times New Roman" w:cs="Times New Roman"/>
          <w:highlight w:val="none"/>
        </w:rPr>
      </w:pPr>
      <w:r>
        <w:rPr>
          <w:rFonts w:ascii="Times New Roman" w:hAnsi="Times New Roman" w:cs="Times New Roman"/>
          <w:highlight w:val="none"/>
        </w:rPr>
        <w:t>Trend of profitability Index with time.</w:t>
      </w:r>
    </w:p>
    <w:p w14:paraId="0AD3B109">
      <w:pPr>
        <w:spacing w:line="360" w:lineRule="auto"/>
        <w:jc w:val="both"/>
        <w:rPr>
          <w:rFonts w:ascii="Times New Roman" w:hAnsi="Times New Roman" w:cs="Times New Roman"/>
          <w:highlight w:val="none"/>
        </w:rPr>
      </w:pPr>
      <w:r>
        <w:rPr>
          <w:rFonts w:ascii="Times New Roman" w:hAnsi="Times New Roman" w:cs="Times New Roman"/>
          <w:highlight w:val="none"/>
        </w:rPr>
        <w:t>Monitoring of these indicators will enable the management to monitor the extent to which the project is on track towards the base-case IRR of 6.24%.</w:t>
      </w:r>
    </w:p>
    <w:tbl>
      <w:tblPr>
        <w:tblStyle w:val="12"/>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5"/>
        <w:gridCol w:w="2070"/>
        <w:gridCol w:w="3060"/>
      </w:tblGrid>
      <w:tr w14:paraId="6B9FB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225"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6D12F229">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KPI</w:t>
            </w:r>
          </w:p>
        </w:tc>
        <w:tc>
          <w:tcPr>
            <w:tcW w:w="207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0AE0EF08">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Target</w:t>
            </w:r>
          </w:p>
        </w:tc>
        <w:tc>
          <w:tcPr>
            <w:tcW w:w="3060" w:type="dxa"/>
            <w:tcBorders>
              <w:top w:val="single" w:color="FFFFFF" w:sz="8" w:space="0"/>
              <w:left w:val="single" w:color="FFFFFF" w:sz="8" w:space="0"/>
              <w:bottom w:val="single" w:color="FFFFFF" w:sz="8" w:space="0"/>
              <w:right w:val="single" w:color="FFFFFF" w:sz="8" w:space="0"/>
            </w:tcBorders>
            <w:shd w:val="clear" w:color="auto" w:fill="ED7D31" w:themeFill="accent2"/>
            <w:vAlign w:val="center"/>
          </w:tcPr>
          <w:p w14:paraId="723EBB2D">
            <w:pPr>
              <w:spacing w:after="0" w:line="240" w:lineRule="auto"/>
              <w:jc w:val="center"/>
              <w:rPr>
                <w:rFonts w:ascii="Calibri" w:hAnsi="Calibri" w:eastAsia="Times New Roman" w:cs="Calibri"/>
                <w:b/>
                <w:bCs/>
                <w:i w:val="0"/>
                <w:color w:val="FFFFFF"/>
                <w:kern w:val="0"/>
                <w:sz w:val="22"/>
                <w:szCs w:val="22"/>
                <w:highlight w:val="none"/>
                <w14:ligatures w14:val="none"/>
              </w:rPr>
            </w:pPr>
            <w:r>
              <w:rPr>
                <w:rFonts w:ascii="Calibri" w:hAnsi="Calibri" w:eastAsia="Times New Roman" w:cs="Calibri"/>
                <w:b/>
                <w:bCs/>
                <w:i w:val="0"/>
                <w:color w:val="FFFFFF"/>
                <w:kern w:val="0"/>
                <w:sz w:val="22"/>
                <w:szCs w:val="22"/>
                <w:highlight w:val="none"/>
                <w14:ligatures w14:val="none"/>
              </w:rPr>
              <w:t>Purpose</w:t>
            </w:r>
          </w:p>
        </w:tc>
      </w:tr>
      <w:tr w14:paraId="52A2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42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8A96258">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Cost Performance Index</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52EAF32">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&gt;1</w:t>
            </w:r>
          </w:p>
        </w:tc>
        <w:tc>
          <w:tcPr>
            <w:tcW w:w="306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2B03FA37">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Control project cost</w:t>
            </w:r>
          </w:p>
        </w:tc>
      </w:tr>
      <w:tr w14:paraId="755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4CFCC577">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Schedule Performance Index</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183033C9">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&gt;1</w:t>
            </w:r>
          </w:p>
        </w:tc>
        <w:tc>
          <w:tcPr>
            <w:tcW w:w="306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C3F596D">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Track delays</w:t>
            </w:r>
          </w:p>
        </w:tc>
      </w:tr>
      <w:tr w14:paraId="04A6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4225"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0B1F2AB4">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Operating Cost Variance</w:t>
            </w:r>
          </w:p>
        </w:tc>
        <w:tc>
          <w:tcPr>
            <w:tcW w:w="207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45B5E2E1">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&lt;5%</w:t>
            </w:r>
          </w:p>
        </w:tc>
        <w:tc>
          <w:tcPr>
            <w:tcW w:w="3060" w:type="dxa"/>
            <w:tcBorders>
              <w:top w:val="single" w:color="FFFFFF" w:sz="8" w:space="0"/>
              <w:left w:val="single" w:color="FFFFFF" w:sz="8" w:space="0"/>
              <w:bottom w:val="single" w:color="FFFFFF" w:sz="8" w:space="0"/>
              <w:right w:val="single" w:color="FFFFFF" w:sz="8" w:space="0"/>
            </w:tcBorders>
            <w:shd w:val="clear" w:color="auto" w:fill="F7CAAC" w:themeFill="accent2" w:themeFillTint="66"/>
            <w:vAlign w:val="center"/>
          </w:tcPr>
          <w:p w14:paraId="6DCDA103">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Control operational expenses</w:t>
            </w:r>
          </w:p>
        </w:tc>
      </w:tr>
      <w:tr w14:paraId="6455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225"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0EA03592">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Revenue Realisation</w:t>
            </w:r>
          </w:p>
        </w:tc>
        <w:tc>
          <w:tcPr>
            <w:tcW w:w="207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3333E8C6">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&gt;95% forecast</w:t>
            </w:r>
          </w:p>
        </w:tc>
        <w:tc>
          <w:tcPr>
            <w:tcW w:w="3060" w:type="dxa"/>
            <w:tcBorders>
              <w:top w:val="single" w:color="FFFFFF" w:sz="8" w:space="0"/>
              <w:left w:val="single" w:color="FFFFFF" w:sz="8" w:space="0"/>
              <w:bottom w:val="single" w:color="FFFFFF" w:sz="8" w:space="0"/>
              <w:right w:val="single" w:color="FFFFFF" w:sz="8" w:space="0"/>
            </w:tcBorders>
            <w:shd w:val="clear" w:color="auto" w:fill="FDF2EA" w:themeFill="accent2" w:themeFillTint="19"/>
            <w:vAlign w:val="center"/>
          </w:tcPr>
          <w:p w14:paraId="6975B963">
            <w:pPr>
              <w:spacing w:after="0" w:line="240" w:lineRule="auto"/>
              <w:rPr>
                <w:rFonts w:ascii="Calibri" w:hAnsi="Calibri" w:eastAsia="Times New Roman" w:cs="Calibri"/>
                <w:b w:val="0"/>
                <w:i w:val="0"/>
                <w:color w:val="000000"/>
                <w:kern w:val="0"/>
                <w:sz w:val="22"/>
                <w:szCs w:val="22"/>
                <w:highlight w:val="none"/>
                <w14:ligatures w14:val="none"/>
              </w:rPr>
            </w:pPr>
            <w:r>
              <w:rPr>
                <w:rFonts w:ascii="Calibri" w:hAnsi="Calibri" w:eastAsia="Times New Roman" w:cs="Calibri"/>
                <w:b w:val="0"/>
                <w:i w:val="0"/>
                <w:color w:val="000000"/>
                <w:kern w:val="0"/>
                <w:sz w:val="22"/>
                <w:szCs w:val="22"/>
                <w:highlight w:val="none"/>
                <w14:ligatures w14:val="none"/>
              </w:rPr>
              <w:t>Ensure sustainability</w:t>
            </w:r>
          </w:p>
        </w:tc>
      </w:tr>
    </w:tbl>
    <w:p w14:paraId="019395AC">
      <w:pPr>
        <w:spacing w:line="360" w:lineRule="auto"/>
        <w:jc w:val="both"/>
        <w:rPr>
          <w:rFonts w:ascii="Times New Roman" w:hAnsi="Times New Roman" w:cs="Times New Roman"/>
          <w:highlight w:val="none"/>
        </w:rPr>
      </w:pPr>
    </w:p>
    <w:p w14:paraId="5E114481">
      <w:pPr>
        <w:pStyle w:val="4"/>
        <w:spacing w:line="360" w:lineRule="auto"/>
        <w:jc w:val="both"/>
        <w:rPr>
          <w:rFonts w:ascii="Times New Roman" w:hAnsi="Times New Roman" w:cs="Times New Roman"/>
          <w:sz w:val="24"/>
          <w:szCs w:val="24"/>
          <w:highlight w:val="none"/>
        </w:rPr>
      </w:pPr>
      <w:bookmarkStart w:id="26" w:name="_Toc223130552"/>
      <w:r>
        <w:rPr>
          <w:rFonts w:ascii="Times New Roman" w:hAnsi="Times New Roman" w:cs="Times New Roman"/>
          <w:sz w:val="24"/>
          <w:szCs w:val="24"/>
          <w:highlight w:val="none"/>
        </w:rPr>
        <w:t>Reporting and Governance Hierarchy.</w:t>
      </w:r>
      <w:bookmarkEnd w:id="26"/>
    </w:p>
    <w:p w14:paraId="526C121C">
      <w:pPr>
        <w:spacing w:line="360" w:lineRule="auto"/>
        <w:jc w:val="both"/>
        <w:rPr>
          <w:rFonts w:ascii="Times New Roman" w:hAnsi="Times New Roman" w:cs="Times New Roman"/>
          <w:highlight w:val="none"/>
        </w:rPr>
      </w:pPr>
      <w:r>
        <w:rPr>
          <w:rFonts w:ascii="Times New Roman" w:hAnsi="Times New Roman" w:cs="Times New Roman"/>
          <w:highlight w:val="none"/>
        </w:rPr>
        <w:t>Effective financial oversight depends on very clear governance structures. Recommended reporting flow:</w:t>
      </w:r>
    </w:p>
    <w:p w14:paraId="69891BF6">
      <w:pPr>
        <w:pStyle w:val="36"/>
        <w:numPr>
          <w:ilvl w:val="0"/>
          <w:numId w:val="18"/>
        </w:numPr>
        <w:spacing w:line="360" w:lineRule="auto"/>
        <w:jc w:val="both"/>
        <w:rPr>
          <w:rFonts w:ascii="Times New Roman" w:hAnsi="Times New Roman" w:cs="Times New Roman"/>
          <w:highlight w:val="none"/>
        </w:rPr>
      </w:pPr>
      <w:r>
        <w:rPr>
          <w:rFonts w:ascii="Times New Roman" w:hAnsi="Times New Roman" w:cs="Times New Roman"/>
          <w:highlight w:val="none"/>
        </w:rPr>
        <w:t>Project Manager to monthly operation reports.</w:t>
      </w:r>
    </w:p>
    <w:p w14:paraId="1C447E7E">
      <w:pPr>
        <w:pStyle w:val="36"/>
        <w:numPr>
          <w:ilvl w:val="0"/>
          <w:numId w:val="18"/>
        </w:numPr>
        <w:spacing w:line="360" w:lineRule="auto"/>
        <w:jc w:val="both"/>
        <w:rPr>
          <w:rFonts w:ascii="Times New Roman" w:hAnsi="Times New Roman" w:cs="Times New Roman"/>
          <w:highlight w:val="none"/>
        </w:rPr>
      </w:pPr>
      <w:r>
        <w:rPr>
          <w:rFonts w:ascii="Times New Roman" w:hAnsi="Times New Roman" w:cs="Times New Roman"/>
          <w:highlight w:val="none"/>
        </w:rPr>
        <w:t>Finance Controller → Consolidated financial performance analysis.</w:t>
      </w:r>
    </w:p>
    <w:p w14:paraId="6B0471B6">
      <w:pPr>
        <w:pStyle w:val="36"/>
        <w:numPr>
          <w:ilvl w:val="0"/>
          <w:numId w:val="18"/>
        </w:numPr>
        <w:spacing w:line="360" w:lineRule="auto"/>
        <w:jc w:val="both"/>
        <w:rPr>
          <w:rFonts w:ascii="Times New Roman" w:hAnsi="Times New Roman" w:cs="Times New Roman"/>
          <w:highlight w:val="none"/>
        </w:rPr>
      </w:pPr>
      <w:r>
        <w:rPr>
          <w:rFonts w:ascii="Times New Roman" w:hAnsi="Times New Roman" w:cs="Times New Roman"/>
          <w:highlight w:val="none"/>
        </w:rPr>
        <w:t>NHS Trust Board Quarterly financial summary and risk report.</w:t>
      </w:r>
    </w:p>
    <w:p w14:paraId="0F110DA9">
      <w:pPr>
        <w:pStyle w:val="36"/>
        <w:numPr>
          <w:ilvl w:val="0"/>
          <w:numId w:val="18"/>
        </w:numPr>
        <w:spacing w:line="360" w:lineRule="auto"/>
        <w:jc w:val="both"/>
        <w:rPr>
          <w:rFonts w:ascii="Times New Roman" w:hAnsi="Times New Roman" w:cs="Times New Roman"/>
          <w:highlight w:val="none"/>
        </w:rPr>
      </w:pPr>
      <w:r>
        <w:rPr>
          <w:rFonts w:ascii="Times New Roman" w:hAnsi="Times New Roman" w:cs="Times New Roman"/>
          <w:highlight w:val="none"/>
        </w:rPr>
        <w:t>Department of Health → Strategic capital utilization and value-for-money reporting.</w:t>
      </w:r>
    </w:p>
    <w:p w14:paraId="3D3764A8">
      <w:pPr>
        <w:spacing w:line="360" w:lineRule="auto"/>
        <w:jc w:val="both"/>
        <w:rPr>
          <w:rFonts w:ascii="Times New Roman" w:hAnsi="Times New Roman" w:cs="Times New Roman"/>
          <w:highlight w:val="none"/>
        </w:rPr>
      </w:pPr>
      <w:r>
        <w:rPr>
          <w:rFonts w:ascii="Times New Roman" w:hAnsi="Times New Roman" w:cs="Times New Roman"/>
          <w:highlight w:val="none"/>
        </w:rPr>
        <w:t>The hierarchal reporting structure has ensured that the financial data is used in both operational decisions making and the strategic control.</w:t>
      </w:r>
    </w:p>
    <w:p w14:paraId="2B8AAD56">
      <w:pPr>
        <w:pStyle w:val="4"/>
        <w:spacing w:line="360" w:lineRule="auto"/>
        <w:jc w:val="both"/>
        <w:rPr>
          <w:rFonts w:ascii="Times New Roman" w:hAnsi="Times New Roman" w:cs="Times New Roman"/>
          <w:sz w:val="24"/>
          <w:szCs w:val="24"/>
          <w:highlight w:val="none"/>
        </w:rPr>
      </w:pPr>
      <w:bookmarkStart w:id="27" w:name="_Toc223130553"/>
      <w:r>
        <w:rPr>
          <w:rFonts w:ascii="Times New Roman" w:hAnsi="Times New Roman" w:cs="Times New Roman"/>
          <w:sz w:val="24"/>
          <w:szCs w:val="24"/>
          <w:highlight w:val="none"/>
        </w:rPr>
        <w:t>Financing Systems and Web Tools.</w:t>
      </w:r>
      <w:bookmarkEnd w:id="27"/>
    </w:p>
    <w:p w14:paraId="66E4F9E6">
      <w:pPr>
        <w:spacing w:line="360" w:lineRule="auto"/>
        <w:jc w:val="both"/>
        <w:rPr>
          <w:rFonts w:ascii="Times New Roman" w:hAnsi="Times New Roman" w:cs="Times New Roman"/>
          <w:highlight w:val="none"/>
        </w:rPr>
      </w:pPr>
      <w:r>
        <w:rPr>
          <w:rFonts w:ascii="Times New Roman" w:hAnsi="Times New Roman" w:cs="Times New Roman"/>
          <w:highlight w:val="none"/>
        </w:rPr>
        <w:t>The project should make use of integrated financial management systems, including: to increase the level of transparency and accuracy.</w:t>
      </w:r>
    </w:p>
    <w:p w14:paraId="202AFFA2">
      <w:pPr>
        <w:pStyle w:val="36"/>
        <w:numPr>
          <w:ilvl w:val="0"/>
          <w:numId w:val="19"/>
        </w:numPr>
        <w:spacing w:line="360" w:lineRule="auto"/>
        <w:jc w:val="both"/>
        <w:rPr>
          <w:rFonts w:ascii="Times New Roman" w:hAnsi="Times New Roman" w:cs="Times New Roman"/>
          <w:highlight w:val="none"/>
        </w:rPr>
      </w:pPr>
      <w:r>
        <w:rPr>
          <w:rFonts w:ascii="Times New Roman" w:hAnsi="Times New Roman" w:cs="Times New Roman"/>
          <w:highlight w:val="none"/>
        </w:rPr>
        <w:t>Enterprise resource planning (ERP) systems.</w:t>
      </w:r>
    </w:p>
    <w:p w14:paraId="37D1585C">
      <w:pPr>
        <w:pStyle w:val="36"/>
        <w:numPr>
          <w:ilvl w:val="0"/>
          <w:numId w:val="19"/>
        </w:numPr>
        <w:spacing w:line="360" w:lineRule="auto"/>
        <w:jc w:val="both"/>
        <w:rPr>
          <w:rFonts w:ascii="Times New Roman" w:hAnsi="Times New Roman" w:cs="Times New Roman"/>
          <w:highlight w:val="none"/>
        </w:rPr>
      </w:pPr>
      <w:r>
        <w:rPr>
          <w:rFonts w:ascii="Times New Roman" w:hAnsi="Times New Roman" w:cs="Times New Roman"/>
          <w:highlight w:val="none"/>
        </w:rPr>
        <w:t>Software of project accounting.</w:t>
      </w:r>
    </w:p>
    <w:p w14:paraId="6DA3152B">
      <w:pPr>
        <w:pStyle w:val="36"/>
        <w:numPr>
          <w:ilvl w:val="0"/>
          <w:numId w:val="19"/>
        </w:numPr>
        <w:spacing w:line="360" w:lineRule="auto"/>
        <w:jc w:val="both"/>
        <w:rPr>
          <w:rFonts w:ascii="Times New Roman" w:hAnsi="Times New Roman" w:cs="Times New Roman"/>
          <w:highlight w:val="none"/>
        </w:rPr>
      </w:pPr>
      <w:r>
        <w:rPr>
          <w:rFonts w:ascii="Times New Roman" w:hAnsi="Times New Roman" w:cs="Times New Roman"/>
          <w:highlight w:val="none"/>
        </w:rPr>
        <w:t>Live dashboard applications (e.g., Power BI).</w:t>
      </w:r>
    </w:p>
    <w:p w14:paraId="5E20E680">
      <w:pPr>
        <w:pStyle w:val="3"/>
        <w:spacing w:line="360" w:lineRule="auto"/>
        <w:jc w:val="both"/>
        <w:rPr>
          <w:rFonts w:ascii="Times New Roman" w:hAnsi="Times New Roman" w:cs="Times New Roman"/>
          <w:sz w:val="24"/>
          <w:szCs w:val="24"/>
          <w:highlight w:val="none"/>
        </w:rPr>
      </w:pPr>
      <w:bookmarkStart w:id="28" w:name="_Toc223130554"/>
      <w:r>
        <w:rPr>
          <w:rFonts w:ascii="Times New Roman" w:hAnsi="Times New Roman" w:cs="Times New Roman"/>
          <w:sz w:val="24"/>
          <w:szCs w:val="24"/>
          <w:highlight w:val="none"/>
        </w:rPr>
        <w:t>Boosting of Transparency and Accountability.</w:t>
      </w:r>
      <w:bookmarkEnd w:id="28"/>
    </w:p>
    <w:p w14:paraId="04DE0EBE">
      <w:pPr>
        <w:spacing w:line="360" w:lineRule="auto"/>
        <w:jc w:val="both"/>
        <w:rPr>
          <w:rFonts w:ascii="Times New Roman" w:hAnsi="Times New Roman" w:cs="Times New Roman"/>
          <w:highlight w:val="none"/>
        </w:rPr>
      </w:pPr>
      <w:r>
        <w:rPr>
          <w:rFonts w:ascii="Times New Roman" w:hAnsi="Times New Roman" w:cs="Times New Roman"/>
          <w:highlight w:val="none"/>
        </w:rPr>
        <w:t>The project should also show accountability to the taxpayers and regulatory authorities since it is a publicly funded healthcare organization. Transparent reporting:</w:t>
      </w:r>
    </w:p>
    <w:p w14:paraId="4A51B9EA">
      <w:pPr>
        <w:pStyle w:val="36"/>
        <w:numPr>
          <w:ilvl w:val="0"/>
          <w:numId w:val="20"/>
        </w:numPr>
        <w:spacing w:line="360" w:lineRule="auto"/>
        <w:jc w:val="both"/>
        <w:rPr>
          <w:rFonts w:ascii="Times New Roman" w:hAnsi="Times New Roman" w:cs="Times New Roman"/>
          <w:highlight w:val="none"/>
        </w:rPr>
      </w:pPr>
      <w:r>
        <w:rPr>
          <w:rFonts w:ascii="Times New Roman" w:hAnsi="Times New Roman" w:cs="Times New Roman"/>
          <w:highlight w:val="none"/>
        </w:rPr>
        <w:t>Enhances stakeholder trust</w:t>
      </w:r>
    </w:p>
    <w:p w14:paraId="4DC32881">
      <w:pPr>
        <w:pStyle w:val="36"/>
        <w:numPr>
          <w:ilvl w:val="0"/>
          <w:numId w:val="20"/>
        </w:numPr>
        <w:spacing w:line="360" w:lineRule="auto"/>
        <w:jc w:val="both"/>
        <w:rPr>
          <w:rFonts w:ascii="Times New Roman" w:hAnsi="Times New Roman" w:cs="Times New Roman"/>
          <w:highlight w:val="none"/>
        </w:rPr>
      </w:pPr>
      <w:r>
        <w:rPr>
          <w:rFonts w:ascii="Times New Roman" w:hAnsi="Times New Roman" w:cs="Times New Roman"/>
          <w:highlight w:val="none"/>
        </w:rPr>
        <w:t>Enables audit compliance</w:t>
      </w:r>
    </w:p>
    <w:p w14:paraId="3A040B51">
      <w:pPr>
        <w:pStyle w:val="36"/>
        <w:numPr>
          <w:ilvl w:val="0"/>
          <w:numId w:val="20"/>
        </w:numPr>
        <w:spacing w:line="360" w:lineRule="auto"/>
        <w:jc w:val="both"/>
        <w:rPr>
          <w:rFonts w:ascii="Times New Roman" w:hAnsi="Times New Roman" w:cs="Times New Roman"/>
          <w:highlight w:val="none"/>
        </w:rPr>
      </w:pPr>
      <w:r>
        <w:rPr>
          <w:rFonts w:ascii="Times New Roman" w:hAnsi="Times New Roman" w:cs="Times New Roman"/>
          <w:highlight w:val="none"/>
        </w:rPr>
        <w:t>Promotes parliamentary checks and balances.</w:t>
      </w:r>
    </w:p>
    <w:p w14:paraId="68A27BC0">
      <w:pPr>
        <w:pStyle w:val="36"/>
        <w:numPr>
          <w:ilvl w:val="0"/>
          <w:numId w:val="20"/>
        </w:numPr>
        <w:spacing w:line="360" w:lineRule="auto"/>
        <w:jc w:val="both"/>
        <w:rPr>
          <w:rFonts w:ascii="Times New Roman" w:hAnsi="Times New Roman" w:cs="Times New Roman"/>
          <w:highlight w:val="none"/>
        </w:rPr>
      </w:pPr>
      <w:r>
        <w:rPr>
          <w:rFonts w:ascii="Times New Roman" w:hAnsi="Times New Roman" w:cs="Times New Roman"/>
          <w:highlight w:val="none"/>
        </w:rPr>
        <w:t>Shows compliance with the value-for-money principles.</w:t>
      </w:r>
    </w:p>
    <w:p w14:paraId="198F127D">
      <w:pPr>
        <w:pStyle w:val="3"/>
        <w:spacing w:line="360" w:lineRule="auto"/>
        <w:jc w:val="both"/>
        <w:rPr>
          <w:rFonts w:ascii="Times New Roman" w:hAnsi="Times New Roman" w:cs="Times New Roman"/>
          <w:sz w:val="24"/>
          <w:szCs w:val="24"/>
          <w:highlight w:val="none"/>
        </w:rPr>
      </w:pPr>
      <w:bookmarkStart w:id="29" w:name="_Toc223130555"/>
      <w:r>
        <w:rPr>
          <w:rFonts w:ascii="Times New Roman" w:hAnsi="Times New Roman" w:cs="Times New Roman"/>
          <w:sz w:val="24"/>
          <w:szCs w:val="24"/>
          <w:highlight w:val="none"/>
        </w:rPr>
        <w:t>Assessment of overall Framework Reporting</w:t>
      </w:r>
      <w:bookmarkEnd w:id="29"/>
    </w:p>
    <w:p w14:paraId="5DB105FD">
      <w:pPr>
        <w:spacing w:line="360" w:lineRule="auto"/>
        <w:jc w:val="both"/>
        <w:rPr>
          <w:rFonts w:ascii="Times New Roman" w:hAnsi="Times New Roman" w:cs="Times New Roman"/>
          <w:highlight w:val="none"/>
        </w:rPr>
      </w:pPr>
      <w:r>
        <w:rPr>
          <w:rFonts w:ascii="Times New Roman" w:hAnsi="Times New Roman" w:cs="Times New Roman"/>
          <w:highlight w:val="none"/>
        </w:rPr>
        <w:t>A structured financial reporting framework transforms the capital budgeting model for the NHS Dental Clinic Centre from a static evaluation tool into a continuous performance management system. By integrating financial KPIs, governance controls, and digital reporting systems, NHS management can continuously monitor whether the project is achieving its projected NPV and IRR targets while maintaining accountability for public healthcare funds (Ogedengbe, A.O., 2024).</w:t>
      </w:r>
    </w:p>
    <w:p w14:paraId="7E884DA7">
      <w:pPr>
        <w:spacing w:line="360" w:lineRule="auto"/>
        <w:jc w:val="both"/>
        <w:rPr>
          <w:rFonts w:ascii="Times New Roman" w:hAnsi="Times New Roman" w:cs="Times New Roman" w:eastAsiaTheme="majorEastAsia"/>
          <w:color w:val="2F5597" w:themeColor="accent1" w:themeShade="BF"/>
          <w:highlight w:val="none"/>
        </w:rPr>
      </w:pPr>
      <w:r>
        <w:rPr>
          <w:rFonts w:ascii="Times New Roman" w:hAnsi="Times New Roman" w:cs="Times New Roman" w:eastAsiaTheme="majorEastAsia"/>
          <w:color w:val="2F5597" w:themeColor="accent1" w:themeShade="BF"/>
          <w:highlight w:val="none"/>
        </w:rPr>
        <w:t>Conclusion &amp; Recommendations</w:t>
      </w:r>
    </w:p>
    <w:p w14:paraId="1032C04B">
      <w:pPr>
        <w:spacing w:line="360" w:lineRule="auto"/>
        <w:jc w:val="both"/>
        <w:rPr>
          <w:rFonts w:ascii="Times New Roman" w:hAnsi="Times New Roman" w:cs="Times New Roman"/>
          <w:highlight w:val="none"/>
        </w:rPr>
      </w:pPr>
      <w:r>
        <w:rPr>
          <w:rFonts w:ascii="Times New Roman" w:hAnsi="Times New Roman" w:cs="Times New Roman"/>
          <w:highlight w:val="none"/>
        </w:rPr>
        <w:t>The report has provided an overall financial analysis and control structure of the proposed development of the NHS Dental Clinic worth £50 million. The capital investment appraisal shows that under the assumption of the base-case factors, the project proves to yield a positive Net Present Value (NPV) of 15.9 million pounds and Internal Rate of Return (IRR) of 6.24, which is higher than the publicly recommended 3.5% discount rate. Financial acceptability is further confirmed by the profitability index of 1.32, whereas the 13-year payback period fits the long-term investments in healthcare infrastructure.</w:t>
      </w:r>
    </w:p>
    <w:p w14:paraId="732FED0B">
      <w:pPr>
        <w:spacing w:line="360" w:lineRule="auto"/>
        <w:jc w:val="both"/>
        <w:rPr>
          <w:rFonts w:ascii="Times New Roman" w:hAnsi="Times New Roman" w:cs="Times New Roman"/>
          <w:highlight w:val="none"/>
        </w:rPr>
      </w:pPr>
      <w:r>
        <w:rPr>
          <w:rFonts w:ascii="Times New Roman" w:hAnsi="Times New Roman" w:cs="Times New Roman"/>
          <w:highlight w:val="none"/>
        </w:rPr>
        <w:t>Use the direct government funding as the main type of financing.</w:t>
      </w:r>
    </w:p>
    <w:p w14:paraId="41BBD83D">
      <w:pPr>
        <w:pStyle w:val="36"/>
        <w:numPr>
          <w:ilvl w:val="0"/>
          <w:numId w:val="21"/>
        </w:numPr>
        <w:spacing w:line="360" w:lineRule="auto"/>
        <w:jc w:val="both"/>
        <w:rPr>
          <w:rFonts w:ascii="Times New Roman" w:hAnsi="Times New Roman" w:cs="Times New Roman"/>
          <w:highlight w:val="none"/>
        </w:rPr>
      </w:pPr>
      <w:r>
        <w:rPr>
          <w:rFonts w:ascii="Times New Roman" w:hAnsi="Times New Roman" w:cs="Times New Roman"/>
          <w:highlight w:val="none"/>
        </w:rPr>
        <w:t>Budget 10-15% slush fund during construction.</w:t>
      </w:r>
    </w:p>
    <w:p w14:paraId="2A7BBB1C">
      <w:pPr>
        <w:pStyle w:val="36"/>
        <w:numPr>
          <w:ilvl w:val="0"/>
          <w:numId w:val="21"/>
        </w:numPr>
        <w:spacing w:line="360" w:lineRule="auto"/>
        <w:jc w:val="both"/>
        <w:rPr>
          <w:rFonts w:ascii="Times New Roman" w:hAnsi="Times New Roman" w:cs="Times New Roman"/>
          <w:highlight w:val="none"/>
        </w:rPr>
      </w:pPr>
      <w:r>
        <w:rPr>
          <w:rFonts w:ascii="Times New Roman" w:hAnsi="Times New Roman" w:cs="Times New Roman"/>
          <w:highlight w:val="none"/>
        </w:rPr>
        <w:t>Adopt Earned Value Management after every month.</w:t>
      </w:r>
    </w:p>
    <w:p w14:paraId="30B459D7">
      <w:pPr>
        <w:pStyle w:val="36"/>
        <w:numPr>
          <w:ilvl w:val="0"/>
          <w:numId w:val="21"/>
        </w:numPr>
        <w:spacing w:line="360" w:lineRule="auto"/>
        <w:jc w:val="both"/>
        <w:rPr>
          <w:rFonts w:ascii="Times New Roman" w:hAnsi="Times New Roman" w:cs="Times New Roman"/>
          <w:highlight w:val="none"/>
        </w:rPr>
      </w:pPr>
      <w:r>
        <w:rPr>
          <w:rFonts w:ascii="Times New Roman" w:hAnsi="Times New Roman" w:cs="Times New Roman"/>
          <w:highlight w:val="none"/>
        </w:rPr>
        <w:t>Utilise financial reporting systems using ERP.</w:t>
      </w:r>
    </w:p>
    <w:p w14:paraId="449BA819">
      <w:pPr>
        <w:pStyle w:val="36"/>
        <w:numPr>
          <w:ilvl w:val="0"/>
          <w:numId w:val="21"/>
        </w:numPr>
        <w:spacing w:line="360" w:lineRule="auto"/>
        <w:jc w:val="both"/>
        <w:rPr>
          <w:rFonts w:ascii="Times New Roman" w:hAnsi="Times New Roman" w:cs="Times New Roman"/>
          <w:highlight w:val="none"/>
        </w:rPr>
      </w:pPr>
      <w:r>
        <w:rPr>
          <w:rFonts w:ascii="Times New Roman" w:hAnsi="Times New Roman" w:cs="Times New Roman"/>
          <w:highlight w:val="none"/>
        </w:rPr>
        <w:t>Undertake annual financial performance review against NPV and IRR benchmarks.</w:t>
      </w:r>
    </w:p>
    <w:p w14:paraId="72218336">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However, scenario analysis exposes the company to enormous sensitivity to a shrinking revenue and an increasing cost. In the worst-case scenario, the project yields negative NPV and does not pay back in the 25-year of operation (Kokogho, E., Odio, 2024). </w:t>
      </w:r>
    </w:p>
    <w:p w14:paraId="266C8C52">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Financing strategy: Direct government capital financing and government-supported borrowing are the cheapest and most financially viable options, maintaining the advantages of returns that have been found in the base-case appraisal. </w:t>
      </w:r>
    </w:p>
    <w:p w14:paraId="5EDEC49A">
      <w:pPr>
        <w:spacing w:line="360" w:lineRule="auto"/>
        <w:jc w:val="both"/>
        <w:rPr>
          <w:rFonts w:ascii="Times New Roman" w:hAnsi="Times New Roman" w:cs="Times New Roman"/>
          <w:highlight w:val="none"/>
        </w:rPr>
      </w:pPr>
      <w:r>
        <w:rPr>
          <w:rFonts w:ascii="Times New Roman" w:hAnsi="Times New Roman" w:cs="Times New Roman"/>
          <w:highlight w:val="none"/>
        </w:rPr>
        <w:t xml:space="preserve">All in all, the financial analysis shows that it is worth implementing the NHS Dental Clinic investment so long as sound financial management practices are incorporated at the start and the entire period of operation. The project is a strategic and financially viable public infrastructure investment when it is supplemented with its other socio-economic advantages, such as the provision of better dental services and long-term societal health outcomes.  </w:t>
      </w:r>
    </w:p>
    <w:p w14:paraId="21DDC6B2">
      <w:pPr>
        <w:pStyle w:val="2"/>
        <w:spacing w:line="360" w:lineRule="auto"/>
        <w:jc w:val="both"/>
        <w:rPr>
          <w:rFonts w:ascii="Times New Roman" w:hAnsi="Times New Roman" w:cs="Times New Roman"/>
          <w:sz w:val="24"/>
          <w:szCs w:val="24"/>
          <w:highlight w:val="none"/>
        </w:rPr>
      </w:pPr>
      <w:bookmarkStart w:id="30" w:name="_Toc223130556"/>
      <w:r>
        <w:rPr>
          <w:rFonts w:ascii="Times New Roman" w:hAnsi="Times New Roman" w:cs="Times New Roman"/>
          <w:sz w:val="24"/>
          <w:szCs w:val="24"/>
          <w:highlight w:val="none"/>
        </w:rPr>
        <w:t>References:</w:t>
      </w:r>
      <w:bookmarkEnd w:id="30"/>
    </w:p>
    <w:p w14:paraId="70BF2E87">
      <w:pPr>
        <w:spacing w:line="360" w:lineRule="auto"/>
        <w:jc w:val="both"/>
        <w:rPr>
          <w:rFonts w:ascii="Times New Roman" w:hAnsi="Times New Roman" w:cs="Times New Roman"/>
          <w:highlight w:val="none"/>
        </w:rPr>
      </w:pPr>
      <w:r>
        <w:rPr>
          <w:rFonts w:ascii="Times New Roman" w:hAnsi="Times New Roman" w:cs="Times New Roman"/>
          <w:highlight w:val="none"/>
        </w:rPr>
        <w:t>Moradi, T., Kabir, M.J., Pourasghari, H., Ehsanzadeh, S.J. and Aryankhesal, A., 2023. Challenges of budgeting and Public Financial Management in Iran’s health system: a qualitative study. Medical Journal of the Islamic Republic of Iran, 37, p.80.</w:t>
      </w:r>
    </w:p>
    <w:p w14:paraId="7168F0F1">
      <w:pPr>
        <w:spacing w:line="360" w:lineRule="auto"/>
        <w:jc w:val="both"/>
        <w:rPr>
          <w:rFonts w:ascii="Times New Roman" w:hAnsi="Times New Roman" w:cs="Times New Roman"/>
          <w:highlight w:val="none"/>
        </w:rPr>
      </w:pPr>
      <w:r>
        <w:rPr>
          <w:rFonts w:ascii="Times New Roman" w:hAnsi="Times New Roman" w:cs="Times New Roman"/>
          <w:highlight w:val="none"/>
        </w:rPr>
        <w:t>Bandy, G., 2023. Financial management and accounting in the public sector. Routledge.</w:t>
      </w:r>
    </w:p>
    <w:p w14:paraId="61F05026">
      <w:pPr>
        <w:spacing w:line="360" w:lineRule="auto"/>
        <w:jc w:val="both"/>
        <w:rPr>
          <w:rFonts w:ascii="Times New Roman" w:hAnsi="Times New Roman" w:cs="Times New Roman"/>
          <w:highlight w:val="none"/>
        </w:rPr>
      </w:pPr>
      <w:r>
        <w:rPr>
          <w:rFonts w:ascii="Times New Roman" w:hAnsi="Times New Roman" w:cs="Times New Roman"/>
          <w:highlight w:val="none"/>
        </w:rPr>
        <w:t>Fedchenko, E.A., Gusarova, L.V., Vasyunina, M.L., Lozhechko, A.S. and Lysenko, A.A., 2022. The mechanism of budget management as an element of risk control in regulatory authorities. Risks, 10(9), p.177.</w:t>
      </w:r>
    </w:p>
    <w:p w14:paraId="5B3FB2B8">
      <w:pPr>
        <w:spacing w:line="360" w:lineRule="auto"/>
        <w:jc w:val="both"/>
        <w:rPr>
          <w:rFonts w:ascii="Times New Roman" w:hAnsi="Times New Roman" w:cs="Times New Roman"/>
          <w:highlight w:val="none"/>
        </w:rPr>
      </w:pPr>
      <w:r>
        <w:rPr>
          <w:rFonts w:ascii="Times New Roman" w:hAnsi="Times New Roman" w:cs="Times New Roman"/>
          <w:highlight w:val="none"/>
        </w:rPr>
        <w:t>World Health Organization, 2023. Leveraging public financial management for universal health coverage in the WHO South-East Asia region: a regional synthesis report.</w:t>
      </w:r>
    </w:p>
    <w:p w14:paraId="35B832C8">
      <w:pPr>
        <w:spacing w:line="360" w:lineRule="auto"/>
        <w:jc w:val="both"/>
        <w:rPr>
          <w:rFonts w:ascii="Times New Roman" w:hAnsi="Times New Roman" w:cs="Times New Roman"/>
          <w:highlight w:val="none"/>
        </w:rPr>
      </w:pPr>
      <w:r>
        <w:rPr>
          <w:rFonts w:ascii="Times New Roman" w:hAnsi="Times New Roman" w:cs="Times New Roman"/>
          <w:highlight w:val="none"/>
        </w:rPr>
        <w:t>Barroy, H., Blecher, M., Lakin, J. and World Health Organization, 2022. How to make budgets work for health? A practical guide to designing, managing and monitoring programme budgets in the health sector.</w:t>
      </w:r>
    </w:p>
    <w:p w14:paraId="4F4CFA39">
      <w:pPr>
        <w:spacing w:line="360" w:lineRule="auto"/>
        <w:jc w:val="both"/>
        <w:rPr>
          <w:rFonts w:ascii="Times New Roman" w:hAnsi="Times New Roman" w:cs="Times New Roman"/>
          <w:highlight w:val="none"/>
        </w:rPr>
      </w:pPr>
      <w:r>
        <w:rPr>
          <w:rFonts w:ascii="Times New Roman" w:hAnsi="Times New Roman" w:cs="Times New Roman"/>
          <w:highlight w:val="none"/>
        </w:rPr>
        <w:t>HM Treasury (2022) The Green Book: Central Government Guidance on Appraisal and Evaluation. London: HM Treasury.</w:t>
      </w:r>
    </w:p>
    <w:p w14:paraId="7680F8BF">
      <w:pPr>
        <w:spacing w:line="360" w:lineRule="auto"/>
        <w:jc w:val="both"/>
        <w:rPr>
          <w:rFonts w:ascii="Times New Roman" w:hAnsi="Times New Roman" w:cs="Times New Roman"/>
          <w:highlight w:val="none"/>
        </w:rPr>
      </w:pPr>
      <w:r>
        <w:rPr>
          <w:rFonts w:ascii="Times New Roman" w:hAnsi="Times New Roman" w:cs="Times New Roman"/>
          <w:highlight w:val="none"/>
        </w:rPr>
        <w:t>Nyikos, G. and Ermasova, N., 2022. Public capital infrastructure management: Cases of Germany, Hungary and the USA. International Journal of Public Administration, 45(12), pp.869-893.</w:t>
      </w:r>
    </w:p>
    <w:p w14:paraId="4CD3AC46">
      <w:pPr>
        <w:spacing w:line="360" w:lineRule="auto"/>
        <w:jc w:val="both"/>
        <w:rPr>
          <w:rFonts w:ascii="Times New Roman" w:hAnsi="Times New Roman" w:cs="Times New Roman"/>
          <w:highlight w:val="none"/>
        </w:rPr>
      </w:pPr>
      <w:r>
        <w:rPr>
          <w:rFonts w:ascii="Times New Roman" w:hAnsi="Times New Roman" w:cs="Times New Roman"/>
          <w:highlight w:val="none"/>
        </w:rPr>
        <w:t>Ibrahim, S.A., 2022. Impact of public sector financial management reforms on the performance of government entities’ in Nigeria. Kwara State University (Nigeria).</w:t>
      </w:r>
    </w:p>
    <w:p w14:paraId="6F84E10E">
      <w:pPr>
        <w:spacing w:line="360" w:lineRule="auto"/>
        <w:jc w:val="both"/>
        <w:rPr>
          <w:rFonts w:ascii="Times New Roman" w:hAnsi="Times New Roman" w:cs="Times New Roman"/>
          <w:highlight w:val="none"/>
        </w:rPr>
      </w:pPr>
      <w:r>
        <w:rPr>
          <w:rFonts w:ascii="Times New Roman" w:hAnsi="Times New Roman" w:cs="Times New Roman"/>
          <w:highlight w:val="none"/>
        </w:rPr>
        <w:t>Bracci, E., Mouhcine, T., Rana, T. and Wickramasinghe, D., 2022. Risk management and management accounting control systems in public sector organizations: a systematic literature review. Public Money &amp; Management, 42(6), pp.395-402.</w:t>
      </w:r>
    </w:p>
    <w:p w14:paraId="57BAB7F1">
      <w:pPr>
        <w:spacing w:line="360" w:lineRule="auto"/>
        <w:jc w:val="both"/>
        <w:rPr>
          <w:rFonts w:ascii="Times New Roman" w:hAnsi="Times New Roman" w:cs="Times New Roman"/>
          <w:highlight w:val="none"/>
        </w:rPr>
      </w:pPr>
      <w:r>
        <w:rPr>
          <w:rFonts w:ascii="Times New Roman" w:hAnsi="Times New Roman" w:cs="Times New Roman"/>
          <w:highlight w:val="none"/>
        </w:rPr>
        <w:t>Finkler, S.A., Calabrese, T.D. and Smith, D.L., 2025. Financial management for public, health, and not-for-profit organizations. CQ Press.</w:t>
      </w:r>
    </w:p>
    <w:p w14:paraId="312F7B15">
      <w:pPr>
        <w:spacing w:line="360" w:lineRule="auto"/>
        <w:jc w:val="both"/>
        <w:rPr>
          <w:rFonts w:ascii="Times New Roman" w:hAnsi="Times New Roman" w:cs="Times New Roman"/>
          <w:highlight w:val="none"/>
        </w:rPr>
      </w:pPr>
      <w:r>
        <w:rPr>
          <w:rFonts w:ascii="Times New Roman" w:hAnsi="Times New Roman" w:cs="Times New Roman"/>
          <w:highlight w:val="none"/>
        </w:rPr>
        <w:t>Islam, S., 2025. A systematic review of public budgeting strategies in developing economies: Tools for transparent fiscal governance. American Journal of Advanced Technology and Engineering Solutions, 1(01), pp.602-635.</w:t>
      </w:r>
    </w:p>
    <w:p w14:paraId="0591A901">
      <w:pPr>
        <w:spacing w:line="360" w:lineRule="auto"/>
        <w:jc w:val="both"/>
        <w:rPr>
          <w:rFonts w:ascii="Times New Roman" w:hAnsi="Times New Roman" w:cs="Times New Roman"/>
          <w:highlight w:val="none"/>
        </w:rPr>
      </w:pPr>
      <w:r>
        <w:rPr>
          <w:rFonts w:ascii="Times New Roman" w:hAnsi="Times New Roman" w:cs="Times New Roman"/>
          <w:highlight w:val="none"/>
        </w:rPr>
        <w:t>Ogedengbe, A.O., Jejeniwa, T.O., Friday, S.C. and Olatunji, H., 2024. Framework for digitally transforming financial management systems in SME and public sector organizations. International Journal of Multidisciplinary Research and Growth Evaluation, 5(5), pp.1122-1142.</w:t>
      </w:r>
    </w:p>
    <w:p w14:paraId="400D2CB5">
      <w:pPr>
        <w:spacing w:line="360" w:lineRule="auto"/>
        <w:jc w:val="both"/>
        <w:rPr>
          <w:rFonts w:ascii="Times New Roman" w:hAnsi="Times New Roman" w:cs="Times New Roman"/>
          <w:highlight w:val="none"/>
        </w:rPr>
      </w:pPr>
      <w:r>
        <w:rPr>
          <w:rFonts w:ascii="Times New Roman" w:hAnsi="Times New Roman" w:cs="Times New Roman"/>
          <w:highlight w:val="none"/>
        </w:rPr>
        <w:t>Kokogho, E., Odio, P.E., Ogunsola, O.Y. and Nwaozomudoh, M.O., 2024. Transforming public sector accountability: The critical role of integrated financial and inventory management systems in ensuring transparency and efficiency. International Journal of Management and Organizational Research, 3(6), pp.84-107.</w:t>
      </w:r>
    </w:p>
    <w:p w14:paraId="5478EF13">
      <w:pPr>
        <w:spacing w:line="360" w:lineRule="auto"/>
        <w:jc w:val="both"/>
        <w:rPr>
          <w:rFonts w:ascii="Times New Roman" w:hAnsi="Times New Roman" w:cs="Times New Roman"/>
          <w:highlight w:val="none"/>
        </w:rPr>
      </w:pPr>
      <w:r>
        <w:rPr>
          <w:rFonts w:ascii="Times New Roman" w:hAnsi="Times New Roman" w:cs="Times New Roman"/>
          <w:highlight w:val="none"/>
        </w:rPr>
        <w:t>Remeikienė, R. and Gaspareniene, L., 2023. Effects of economic and financial crime on the government budget and the quality of public services. In Economic and financial crime, sustainability and good governance (pp. 173-204). Cham: Springer International Publishing.</w:t>
      </w:r>
    </w:p>
    <w:p w14:paraId="3E788524">
      <w:pPr>
        <w:spacing w:line="360" w:lineRule="auto"/>
        <w:jc w:val="both"/>
        <w:rPr>
          <w:rFonts w:ascii="Times New Roman" w:hAnsi="Times New Roman" w:cs="Times New Roman"/>
          <w:highlight w:val="none"/>
        </w:rPr>
      </w:pPr>
      <w:r>
        <w:rPr>
          <w:rFonts w:ascii="Times New Roman" w:hAnsi="Times New Roman" w:cs="Times New Roman"/>
          <w:highlight w:val="none"/>
        </w:rPr>
        <w:t>Martell, C.R., 2024. The impact of inflation on local government fiscal health. Journal of Public Budgeting, Accounting &amp; Financial Management, 36(2), pp.234-252.</w:t>
      </w:r>
    </w:p>
    <w:p w14:paraId="30989CBB">
      <w:pPr>
        <w:spacing w:line="360" w:lineRule="auto"/>
        <w:jc w:val="both"/>
        <w:rPr>
          <w:rFonts w:ascii="Times New Roman" w:hAnsi="Times New Roman" w:cs="Times New Roman"/>
          <w:highlight w:val="none"/>
        </w:rPr>
      </w:pPr>
      <w:r>
        <w:rPr>
          <w:rFonts w:ascii="Times New Roman" w:hAnsi="Times New Roman" w:cs="Times New Roman"/>
          <w:highlight w:val="none"/>
        </w:rPr>
        <w:t>Güngör Göksu, G., 2023. A retrospective overview of the Journal of Public Budgeting, Accounting and Financial Management using bibliometric analysis. Journal of Public Budgeting, Accounting &amp; Financial Management, 35(2), pp.264-295.</w:t>
      </w:r>
    </w:p>
    <w:p w14:paraId="69C185ED">
      <w:pPr>
        <w:spacing w:line="360" w:lineRule="auto"/>
        <w:jc w:val="both"/>
        <w:rPr>
          <w:rFonts w:ascii="Times New Roman" w:hAnsi="Times New Roman" w:cs="Times New Roman"/>
          <w:highlight w:val="none"/>
        </w:rPr>
      </w:pPr>
      <w:r>
        <w:rPr>
          <w:rFonts w:ascii="Times New Roman" w:hAnsi="Times New Roman" w:cs="Times New Roman"/>
          <w:highlight w:val="none"/>
        </w:rPr>
        <w:t>Alradhi, Z. and Alanazi, A., 2023, October. The road ahead and challenges of revenue cycle management in Saudi governmental hospitals. In Healthcare (Vol. 11, No. 20, p. 2716). MDPI.</w:t>
      </w:r>
    </w:p>
    <w:p w14:paraId="403BC6B0">
      <w:pPr>
        <w:spacing w:line="360" w:lineRule="auto"/>
        <w:jc w:val="both"/>
        <w:rPr>
          <w:rFonts w:ascii="Times New Roman" w:hAnsi="Times New Roman" w:cs="Times New Roman"/>
          <w:highlight w:val="none"/>
        </w:rPr>
      </w:pPr>
      <w:r>
        <w:rPr>
          <w:rFonts w:ascii="Times New Roman" w:hAnsi="Times New Roman" w:cs="Times New Roman"/>
          <w:highlight w:val="none"/>
        </w:rPr>
        <w:t>Wong, W., 2023. Comparative public policy. In Global Encyclopedia of Public Administration, Public Policy, and Governance (pp. 2186-2194). Cham: Springer International Publishing.</w:t>
      </w:r>
    </w:p>
    <w:p w14:paraId="504235DD">
      <w:pPr>
        <w:spacing w:line="360" w:lineRule="auto"/>
        <w:jc w:val="both"/>
        <w:rPr>
          <w:rFonts w:ascii="Times New Roman" w:hAnsi="Times New Roman" w:cs="Times New Roman"/>
          <w:highlight w:val="none"/>
        </w:rPr>
      </w:pPr>
      <w:r>
        <w:rPr>
          <w:rFonts w:ascii="Times New Roman" w:hAnsi="Times New Roman" w:cs="Times New Roman"/>
          <w:highlight w:val="none"/>
        </w:rPr>
        <w:t>Benati, I. and Coccia, M., 2023. Comparative performance systems: an assessment. In Global encyclopedia of public administration, public policy, and governance (pp. 2123-2129). Cham: Springer International Publishing.</w:t>
      </w:r>
    </w:p>
    <w:p w14:paraId="171936A8">
      <w:pPr>
        <w:spacing w:line="360" w:lineRule="auto"/>
        <w:jc w:val="both"/>
        <w:rPr>
          <w:rFonts w:ascii="Times New Roman" w:hAnsi="Times New Roman" w:cs="Times New Roman"/>
          <w:highlight w:val="none"/>
        </w:rPr>
      </w:pPr>
      <w:r>
        <w:rPr>
          <w:rFonts w:ascii="Times New Roman" w:hAnsi="Times New Roman" w:cs="Times New Roman"/>
          <w:highlight w:val="none"/>
        </w:rPr>
        <w:t>Alsharari, N.M., 2022. Institutionalization of results-based budgeting in the public sector: political and economic pressures. Asian Review of Accounting, 30(3), pp.352-377.</w:t>
      </w:r>
    </w:p>
    <w:p w14:paraId="3D527691">
      <w:pPr>
        <w:spacing w:line="360" w:lineRule="auto"/>
        <w:jc w:val="both"/>
        <w:rPr>
          <w:rFonts w:ascii="Times New Roman" w:hAnsi="Times New Roman" w:cs="Times New Roman"/>
          <w:highlight w:val="none"/>
        </w:rPr>
      </w:pPr>
      <w:r>
        <w:rPr>
          <w:rFonts w:ascii="Times New Roman" w:hAnsi="Times New Roman" w:cs="Times New Roman"/>
          <w:highlight w:val="none"/>
        </w:rPr>
        <w:t>De Foo, C., Verma, M., Tan, S.Y., Hamer, J., van der Mark, N., Pholpark, A., Hanvoravongchai, P., Cheh, P.L.J., Marthias, T., Mahendradhata, Y. and Putri, L.P., 2023. Health financing policies during the COVID-19 pandemic and implications for universal health care: a case study of 15 countries. The Lancet Global Health, 11(12), pp.e1964-e1977.</w:t>
      </w:r>
    </w:p>
    <w:p w14:paraId="1F9B609C">
      <w:pPr>
        <w:spacing w:line="360" w:lineRule="auto"/>
        <w:jc w:val="both"/>
        <w:rPr>
          <w:rFonts w:ascii="Times New Roman" w:hAnsi="Times New Roman" w:cs="Times New Roman"/>
          <w:highlight w:val="none"/>
        </w:rPr>
      </w:pPr>
      <w:r>
        <w:rPr>
          <w:rFonts w:ascii="Times New Roman" w:hAnsi="Times New Roman" w:cs="Times New Roman"/>
          <w:highlight w:val="none"/>
        </w:rPr>
        <w:t>Basabih, M., Prasojo, E. and Rahayu, A.Y.S., 2022. Hospital services under public-private partnerships, outcomes and, challenges: A literature review. Journal of Public Health Research, 11(3), p.22799036221115781.</w:t>
      </w:r>
    </w:p>
    <w:p w14:paraId="26D60289">
      <w:pPr>
        <w:spacing w:line="360" w:lineRule="auto"/>
        <w:jc w:val="both"/>
        <w:rPr>
          <w:rFonts w:ascii="Times New Roman" w:hAnsi="Times New Roman" w:cs="Times New Roman"/>
          <w:highlight w:val="none"/>
        </w:rPr>
      </w:pPr>
      <w:r>
        <w:rPr>
          <w:rFonts w:ascii="Times New Roman" w:hAnsi="Times New Roman" w:cs="Times New Roman"/>
          <w:highlight w:val="none"/>
        </w:rPr>
        <w:t>Touchton, M., McNulty, S. and Wampler, B., 2024. Participatory budgeting and well-being: governance and sustainability in comparative perspective. Journal of Public Budgeting, Accounting &amp; Financial Management, 36(1), pp.105-123.</w:t>
      </w:r>
    </w:p>
    <w:p w14:paraId="09779E66">
      <w:pPr>
        <w:spacing w:line="360" w:lineRule="auto"/>
        <w:jc w:val="both"/>
        <w:rPr>
          <w:rFonts w:ascii="Times New Roman" w:hAnsi="Times New Roman" w:cs="Times New Roman"/>
          <w:highlight w:val="none"/>
        </w:rPr>
      </w:pPr>
      <w:r>
        <w:rPr>
          <w:rFonts w:ascii="Times New Roman" w:hAnsi="Times New Roman" w:cs="Times New Roman"/>
          <w:highlight w:val="none"/>
        </w:rPr>
        <w:t>Coccia, M., 2023. Comparative hypotheses for technology analysis. In Global Encyclopedia of Public Administration, Public Policy, and Governance (pp. 2085-2092). Cham: Springer International Publishing.</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modern"/>
    <w:pitch w:val="default"/>
    <w:sig w:usb0="E00002FF" w:usb1="6AC7FDFB" w:usb2="08000012" w:usb3="00000000" w:csb0="4002009F" w:csb1="DFD70000"/>
  </w:font>
  <w:font w:name="Segoe UI">
    <w:panose1 w:val="020B0502040204020203"/>
    <w:charset w:val="00"/>
    <w:family w:val="swiss"/>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72ECE"/>
    <w:multiLevelType w:val="multilevel"/>
    <w:tmpl w:val="00172EC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1F65647"/>
    <w:multiLevelType w:val="multilevel"/>
    <w:tmpl w:val="01F6564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76863CC"/>
    <w:multiLevelType w:val="multilevel"/>
    <w:tmpl w:val="076863C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7A270EE"/>
    <w:multiLevelType w:val="multilevel"/>
    <w:tmpl w:val="07A270E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D5B0E32"/>
    <w:multiLevelType w:val="multilevel"/>
    <w:tmpl w:val="0D5B0E3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2B71B20"/>
    <w:multiLevelType w:val="multilevel"/>
    <w:tmpl w:val="12B71B2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19169F7"/>
    <w:multiLevelType w:val="multilevel"/>
    <w:tmpl w:val="219169F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94E4745"/>
    <w:multiLevelType w:val="multilevel"/>
    <w:tmpl w:val="294E47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B6F7ACB"/>
    <w:multiLevelType w:val="multilevel"/>
    <w:tmpl w:val="2B6F7AC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481D4FB6"/>
    <w:multiLevelType w:val="multilevel"/>
    <w:tmpl w:val="481D4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B83278C"/>
    <w:multiLevelType w:val="multilevel"/>
    <w:tmpl w:val="4B83278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3B2278F"/>
    <w:multiLevelType w:val="multilevel"/>
    <w:tmpl w:val="53B227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2A80146"/>
    <w:multiLevelType w:val="multilevel"/>
    <w:tmpl w:val="62A801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34E6AEF"/>
    <w:multiLevelType w:val="multilevel"/>
    <w:tmpl w:val="634E6AE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65497267"/>
    <w:multiLevelType w:val="multilevel"/>
    <w:tmpl w:val="6549726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684324D0"/>
    <w:multiLevelType w:val="multilevel"/>
    <w:tmpl w:val="684324D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6940030F"/>
    <w:multiLevelType w:val="multilevel"/>
    <w:tmpl w:val="6940030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69C03C34"/>
    <w:multiLevelType w:val="multilevel"/>
    <w:tmpl w:val="69C03C3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0B94336"/>
    <w:multiLevelType w:val="multilevel"/>
    <w:tmpl w:val="70B9433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14003EB"/>
    <w:multiLevelType w:val="multilevel"/>
    <w:tmpl w:val="714003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7440028C"/>
    <w:multiLevelType w:val="multilevel"/>
    <w:tmpl w:val="7440028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6"/>
  </w:num>
  <w:num w:numId="2">
    <w:abstractNumId w:val="7"/>
  </w:num>
  <w:num w:numId="3">
    <w:abstractNumId w:val="17"/>
  </w:num>
  <w:num w:numId="4">
    <w:abstractNumId w:val="12"/>
  </w:num>
  <w:num w:numId="5">
    <w:abstractNumId w:val="5"/>
  </w:num>
  <w:num w:numId="6">
    <w:abstractNumId w:val="8"/>
  </w:num>
  <w:num w:numId="7">
    <w:abstractNumId w:val="20"/>
  </w:num>
  <w:num w:numId="8">
    <w:abstractNumId w:val="1"/>
  </w:num>
  <w:num w:numId="9">
    <w:abstractNumId w:val="0"/>
  </w:num>
  <w:num w:numId="10">
    <w:abstractNumId w:val="4"/>
  </w:num>
  <w:num w:numId="11">
    <w:abstractNumId w:val="15"/>
  </w:num>
  <w:num w:numId="12">
    <w:abstractNumId w:val="16"/>
  </w:num>
  <w:num w:numId="13">
    <w:abstractNumId w:val="2"/>
  </w:num>
  <w:num w:numId="14">
    <w:abstractNumId w:val="14"/>
  </w:num>
  <w:num w:numId="15">
    <w:abstractNumId w:val="11"/>
  </w:num>
  <w:num w:numId="16">
    <w:abstractNumId w:val="3"/>
  </w:num>
  <w:num w:numId="17">
    <w:abstractNumId w:val="10"/>
  </w:num>
  <w:num w:numId="18">
    <w:abstractNumId w:val="13"/>
  </w:num>
  <w:num w:numId="19">
    <w:abstractNumId w:val="9"/>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288"/>
    <w:rsid w:val="00030E2F"/>
    <w:rsid w:val="000B3BC2"/>
    <w:rsid w:val="00115358"/>
    <w:rsid w:val="00186D25"/>
    <w:rsid w:val="002A473F"/>
    <w:rsid w:val="002B37B8"/>
    <w:rsid w:val="002C07FF"/>
    <w:rsid w:val="002E696F"/>
    <w:rsid w:val="00326597"/>
    <w:rsid w:val="003C4959"/>
    <w:rsid w:val="00457FAD"/>
    <w:rsid w:val="004D6176"/>
    <w:rsid w:val="005B1570"/>
    <w:rsid w:val="005D2830"/>
    <w:rsid w:val="005F2C0B"/>
    <w:rsid w:val="006302F1"/>
    <w:rsid w:val="006321B4"/>
    <w:rsid w:val="006371FE"/>
    <w:rsid w:val="006514C1"/>
    <w:rsid w:val="006F193C"/>
    <w:rsid w:val="007551F4"/>
    <w:rsid w:val="007964C4"/>
    <w:rsid w:val="0081584E"/>
    <w:rsid w:val="00895BE0"/>
    <w:rsid w:val="008B0C51"/>
    <w:rsid w:val="00917976"/>
    <w:rsid w:val="009D6119"/>
    <w:rsid w:val="009F213E"/>
    <w:rsid w:val="00A10A3C"/>
    <w:rsid w:val="00AB75CA"/>
    <w:rsid w:val="00AC6073"/>
    <w:rsid w:val="00AF4099"/>
    <w:rsid w:val="00B00ED0"/>
    <w:rsid w:val="00B139AA"/>
    <w:rsid w:val="00B75777"/>
    <w:rsid w:val="00B93236"/>
    <w:rsid w:val="00C0097C"/>
    <w:rsid w:val="00C04A9A"/>
    <w:rsid w:val="00C43815"/>
    <w:rsid w:val="00CC75B7"/>
    <w:rsid w:val="00D4123E"/>
    <w:rsid w:val="00D76544"/>
    <w:rsid w:val="00D8734A"/>
    <w:rsid w:val="00E42BAD"/>
    <w:rsid w:val="00E90A1E"/>
    <w:rsid w:val="00EC7288"/>
    <w:rsid w:val="00F676B4"/>
    <w:rsid w:val="2C0B7EF7"/>
    <w:rsid w:val="3E5B1DD5"/>
    <w:rsid w:val="63B32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4"/>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5"/>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2"/>
    <w:unhideWhenUsed/>
    <w:uiPriority w:val="99"/>
    <w:pPr>
      <w:tabs>
        <w:tab w:val="center" w:pos="4680"/>
        <w:tab w:val="right" w:pos="9360"/>
      </w:tabs>
      <w:spacing w:after="0" w:line="240" w:lineRule="auto"/>
    </w:pPr>
  </w:style>
  <w:style w:type="paragraph" w:styleId="14">
    <w:name w:val="header"/>
    <w:basedOn w:val="1"/>
    <w:link w:val="41"/>
    <w:unhideWhenUsed/>
    <w:uiPriority w:val="99"/>
    <w:pPr>
      <w:tabs>
        <w:tab w:val="center" w:pos="4680"/>
        <w:tab w:val="right" w:pos="9360"/>
      </w:tabs>
      <w:spacing w:after="0"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17">
    <w:name w:val="Strong"/>
    <w:basedOn w:val="11"/>
    <w:qFormat/>
    <w:uiPriority w:val="22"/>
    <w:rPr>
      <w:b/>
      <w:bCs/>
    </w:rPr>
  </w:style>
  <w:style w:type="paragraph" w:styleId="18">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qFormat/>
    <w:uiPriority w:val="39"/>
    <w:pPr>
      <w:spacing w:after="100"/>
      <w:ind w:left="240"/>
    </w:pPr>
  </w:style>
  <w:style w:type="paragraph" w:styleId="22">
    <w:name w:val="toc 3"/>
    <w:basedOn w:val="1"/>
    <w:next w:val="1"/>
    <w:autoRedefine/>
    <w:unhideWhenUsed/>
    <w:uiPriority w:val="39"/>
    <w:pPr>
      <w:spacing w:after="100"/>
      <w:ind w:left="480"/>
    </w:pPr>
  </w:style>
  <w:style w:type="character" w:customStyle="1" w:styleId="23">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4">
    <w:name w:val="Heading 2 Char"/>
    <w:basedOn w:val="11"/>
    <w:link w:val="3"/>
    <w:uiPriority w:val="9"/>
    <w:rPr>
      <w:rFonts w:asciiTheme="majorHAnsi" w:hAnsiTheme="majorHAnsi" w:eastAsiaTheme="majorEastAsia" w:cstheme="majorBidi"/>
      <w:color w:val="2F5597" w:themeColor="accent1" w:themeShade="BF"/>
      <w:sz w:val="32"/>
      <w:szCs w:val="32"/>
    </w:rPr>
  </w:style>
  <w:style w:type="character" w:customStyle="1" w:styleId="25">
    <w:name w:val="Heading 3 Char"/>
    <w:basedOn w:val="11"/>
    <w:link w:val="4"/>
    <w:qFormat/>
    <w:uiPriority w:val="9"/>
    <w:rPr>
      <w:rFonts w:eastAsiaTheme="majorEastAsia" w:cstheme="majorBidi"/>
      <w:color w:val="2F5597" w:themeColor="accent1" w:themeShade="BF"/>
      <w:sz w:val="28"/>
      <w:szCs w:val="28"/>
    </w:rPr>
  </w:style>
  <w:style w:type="character" w:customStyle="1" w:styleId="26">
    <w:name w:val="Heading 4 Char"/>
    <w:basedOn w:val="11"/>
    <w:link w:val="5"/>
    <w:semiHidden/>
    <w:qFormat/>
    <w:uiPriority w:val="9"/>
    <w:rPr>
      <w:rFonts w:eastAsiaTheme="majorEastAsia" w:cstheme="majorBidi"/>
      <w:i/>
      <w:iCs/>
      <w:color w:val="2F5597" w:themeColor="accent1" w:themeShade="BF"/>
    </w:rPr>
  </w:style>
  <w:style w:type="character" w:customStyle="1" w:styleId="27">
    <w:name w:val="Heading 5 Char"/>
    <w:basedOn w:val="11"/>
    <w:link w:val="6"/>
    <w:semiHidden/>
    <w:qFormat/>
    <w:uiPriority w:val="9"/>
    <w:rPr>
      <w:rFonts w:eastAsiaTheme="majorEastAsia" w:cstheme="majorBidi"/>
      <w:color w:val="2F5597" w:themeColor="accent1" w:themeShade="BF"/>
    </w:rPr>
  </w:style>
  <w:style w:type="character" w:customStyle="1" w:styleId="28">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19"/>
    <w:qFormat/>
    <w:uiPriority w:val="10"/>
    <w:rPr>
      <w:rFonts w:asciiTheme="majorHAnsi" w:hAnsiTheme="majorHAnsi" w:eastAsiaTheme="majorEastAsia" w:cstheme="majorBidi"/>
      <w:spacing w:val="-10"/>
      <w:kern w:val="28"/>
      <w:sz w:val="56"/>
      <w:szCs w:val="56"/>
    </w:rPr>
  </w:style>
  <w:style w:type="character" w:customStyle="1" w:styleId="33">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Intense Quote Char"/>
    <w:basedOn w:val="11"/>
    <w:link w:val="38"/>
    <w:uiPriority w:val="30"/>
    <w:rPr>
      <w:i/>
      <w:iCs/>
      <w:color w:val="2F5597" w:themeColor="accent1" w:themeShade="BF"/>
    </w:rPr>
  </w:style>
  <w:style w:type="character" w:customStyle="1" w:styleId="40">
    <w:name w:val="Intense Reference"/>
    <w:basedOn w:val="11"/>
    <w:qFormat/>
    <w:uiPriority w:val="32"/>
    <w:rPr>
      <w:b/>
      <w:bCs/>
      <w:smallCaps/>
      <w:color w:val="2F5597" w:themeColor="accent1" w:themeShade="BF"/>
      <w:spacing w:val="5"/>
    </w:rPr>
  </w:style>
  <w:style w:type="character" w:customStyle="1" w:styleId="41">
    <w:name w:val="Header Char"/>
    <w:basedOn w:val="11"/>
    <w:link w:val="14"/>
    <w:uiPriority w:val="99"/>
  </w:style>
  <w:style w:type="character" w:customStyle="1" w:styleId="42">
    <w:name w:val="Footer Char"/>
    <w:basedOn w:val="11"/>
    <w:link w:val="13"/>
    <w:uiPriority w:val="99"/>
  </w:style>
  <w:style w:type="paragraph" w:customStyle="1" w:styleId="43">
    <w:name w:val="TOC Heading"/>
    <w:basedOn w:val="2"/>
    <w:next w:val="1"/>
    <w:unhideWhenUsed/>
    <w:qFormat/>
    <w:uiPriority w:val="39"/>
    <w:pPr>
      <w:spacing w:before="240" w:after="0" w:line="259" w:lineRule="auto"/>
      <w:outlineLvl w:val="9"/>
    </w:pPr>
    <w:rPr>
      <w:kern w:val="0"/>
      <w:sz w:val="32"/>
      <w:szCs w:val="32"/>
      <w14:ligatures w14:val="none"/>
    </w:rPr>
  </w:style>
  <w:style w:type="character" w:styleId="44">
    <w:name w:val="Placeholder Text"/>
    <w:basedOn w:val="11"/>
    <w:semiHidden/>
    <w:uiPriority w:val="99"/>
    <w:rPr>
      <w:color w:val="66666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4416C-EEF1-4A06-B208-EB4F4CB7F8DA}">
  <ds:schemaRefs/>
</ds:datastoreItem>
</file>

<file path=docProps/app.xml><?xml version="1.0" encoding="utf-8"?>
<Properties xmlns="http://schemas.openxmlformats.org/officeDocument/2006/extended-properties" xmlns:vt="http://schemas.openxmlformats.org/officeDocument/2006/docPropsVTypes">
  <Template>Normal</Template>
  <Pages>23</Pages>
  <Words>1392</Words>
  <Characters>7750</Characters>
  <Lines>241</Lines>
  <Paragraphs>67</Paragraphs>
  <TotalTime>4</TotalTime>
  <ScaleCrop>false</ScaleCrop>
  <LinksUpToDate>false</LinksUpToDate>
  <CharactersWithSpaces>9233</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2026-02-27T19:21:00Z</dcterms:created>
  <dcterms:modified xsi:type="dcterms:W3CDTF">2026-03-23T14:58:08Z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eyJoZGlkIjoiN2RlODY0ZTk5ZDJjYTQ4MTZjMjVlOTYzYzRkYTVjMWQiLCJ1c2VySWQiOiI1Njc1Mjk3OTQ0NTIifQ==</vt:lpwstr>
  </property>
  <property fmtid="{D5CDD505-2E9C-101B-9397-08002B2CF9AE}" pid="3" name="KSOProductBuildVer">
    <vt:lpwstr>1033-12.1.0.25830</vt:lpwstr>
  </property>
  <property fmtid="{D5CDD505-2E9C-101B-9397-08002B2CF9AE}" pid="4" name="ICV">
    <vt:lpwstr>35FA314F9FF446149AB775CA460E93FE_12</vt:lpwstr>
  </property>
</Properties>
</file>