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6E1692" w:rsidRDefault="006E1692" w:rsidP="006E1692">
      <w:pPr>
        <w:jc w:val="center"/>
        <w:rPr>
          <w:b/>
          <w:bCs/>
          <w:sz w:val="40"/>
          <w:szCs w:val="40"/>
        </w:rPr>
      </w:pPr>
    </w:p>
    <w:p w:rsidR="006E1692" w:rsidRDefault="006E1692" w:rsidP="006E1692">
      <w:pPr>
        <w:jc w:val="center"/>
        <w:rPr>
          <w:b/>
          <w:bCs/>
          <w:sz w:val="40"/>
          <w:szCs w:val="40"/>
        </w:rPr>
      </w:pPr>
    </w:p>
    <w:p w:rsidR="006E1692" w:rsidRDefault="006E1692" w:rsidP="006E1692">
      <w:pPr>
        <w:jc w:val="center"/>
        <w:rPr>
          <w:b/>
          <w:bCs/>
          <w:sz w:val="40"/>
          <w:szCs w:val="40"/>
        </w:rPr>
      </w:pPr>
      <w:r>
        <w:rPr>
          <w:b/>
          <w:bCs/>
          <w:sz w:val="40"/>
          <w:szCs w:val="40"/>
        </w:rPr>
        <w:t xml:space="preserve">Module Code: LCMB7000 </w:t>
      </w:r>
    </w:p>
    <w:p w:rsidR="00BD1C2E" w:rsidRDefault="00BD1C2E" w:rsidP="006E1692">
      <w:pPr>
        <w:jc w:val="center"/>
        <w:rPr>
          <w:b/>
          <w:bCs/>
          <w:sz w:val="40"/>
          <w:szCs w:val="40"/>
        </w:rPr>
      </w:pPr>
      <w:r>
        <w:rPr>
          <w:b/>
          <w:bCs/>
          <w:sz w:val="40"/>
          <w:szCs w:val="40"/>
        </w:rPr>
        <w:t xml:space="preserve">Module Title: Human Resource Management </w:t>
      </w:r>
    </w:p>
    <w:p w:rsidR="002C7F2B" w:rsidRDefault="002C7F2B" w:rsidP="006E1692">
      <w:pPr>
        <w:jc w:val="center"/>
        <w:rPr>
          <w:b/>
          <w:bCs/>
          <w:sz w:val="40"/>
          <w:szCs w:val="40"/>
        </w:rPr>
      </w:pPr>
    </w:p>
    <w:p w:rsidR="002C7F2B" w:rsidRDefault="002C7F2B" w:rsidP="006E1692">
      <w:pPr>
        <w:jc w:val="center"/>
        <w:rPr>
          <w:b/>
          <w:bCs/>
          <w:sz w:val="40"/>
          <w:szCs w:val="40"/>
        </w:rPr>
      </w:pPr>
    </w:p>
    <w:p w:rsidR="002C7F2B" w:rsidRDefault="002C7F2B" w:rsidP="006E1692">
      <w:pPr>
        <w:jc w:val="center"/>
        <w:rPr>
          <w:b/>
          <w:bCs/>
          <w:sz w:val="40"/>
          <w:szCs w:val="40"/>
        </w:rPr>
      </w:pPr>
    </w:p>
    <w:p w:rsidR="006E1692" w:rsidRDefault="00BD1C2E" w:rsidP="006E1692">
      <w:pPr>
        <w:jc w:val="center"/>
        <w:rPr>
          <w:b/>
          <w:bCs/>
          <w:sz w:val="40"/>
          <w:szCs w:val="40"/>
        </w:rPr>
      </w:pPr>
      <w:r>
        <w:rPr>
          <w:b/>
          <w:bCs/>
          <w:sz w:val="40"/>
          <w:szCs w:val="40"/>
        </w:rPr>
        <w:t>Assignment Title</w:t>
      </w:r>
      <w:r w:rsidR="006E1692">
        <w:rPr>
          <w:b/>
          <w:bCs/>
          <w:sz w:val="40"/>
          <w:szCs w:val="40"/>
        </w:rPr>
        <w:t xml:space="preserve">: Assessment 2 – Group Presentation Human Resource Management </w:t>
      </w:r>
    </w:p>
    <w:p w:rsidR="00583BC1" w:rsidRDefault="00583BC1" w:rsidP="006E1692">
      <w:pPr>
        <w:jc w:val="center"/>
        <w:rPr>
          <w:b/>
          <w:bCs/>
          <w:sz w:val="40"/>
          <w:szCs w:val="40"/>
        </w:rPr>
      </w:pPr>
    </w:p>
    <w:p w:rsidR="00583BC1" w:rsidRDefault="00583BC1" w:rsidP="006E1692">
      <w:pPr>
        <w:jc w:val="center"/>
        <w:rPr>
          <w:b/>
          <w:bCs/>
          <w:sz w:val="40"/>
          <w:szCs w:val="40"/>
        </w:rPr>
      </w:pPr>
    </w:p>
    <w:p w:rsidR="00583BC1" w:rsidRDefault="00583BC1" w:rsidP="006E1692">
      <w:pPr>
        <w:jc w:val="center"/>
        <w:rPr>
          <w:b/>
          <w:bCs/>
          <w:sz w:val="40"/>
          <w:szCs w:val="40"/>
        </w:rPr>
      </w:pPr>
    </w:p>
    <w:p w:rsidR="00D70682" w:rsidRDefault="00D70682" w:rsidP="00583BC1">
      <w:pPr>
        <w:rPr>
          <w:b/>
          <w:bCs/>
          <w:sz w:val="40"/>
          <w:szCs w:val="40"/>
        </w:rPr>
      </w:pPr>
    </w:p>
    <w:p w:rsidR="00D70682" w:rsidRDefault="00D70682" w:rsidP="00583BC1">
      <w:pPr>
        <w:rPr>
          <w:b/>
          <w:bCs/>
          <w:sz w:val="40"/>
          <w:szCs w:val="40"/>
        </w:rPr>
      </w:pPr>
    </w:p>
    <w:p w:rsidR="00583BC1" w:rsidRDefault="00583BC1" w:rsidP="00583BC1">
      <w:pPr>
        <w:rPr>
          <w:b/>
          <w:bCs/>
          <w:sz w:val="40"/>
          <w:szCs w:val="40"/>
        </w:rPr>
      </w:pPr>
      <w:r>
        <w:rPr>
          <w:b/>
          <w:bCs/>
          <w:sz w:val="40"/>
          <w:szCs w:val="40"/>
        </w:rPr>
        <w:t xml:space="preserve">Student Name: </w:t>
      </w:r>
      <w:r w:rsidR="00D70682">
        <w:rPr>
          <w:b/>
          <w:bCs/>
          <w:sz w:val="40"/>
          <w:szCs w:val="40"/>
        </w:rPr>
        <w:t>Farman</w:t>
      </w:r>
    </w:p>
    <w:p w:rsidR="00583BC1" w:rsidRDefault="00583BC1" w:rsidP="00583BC1">
      <w:pPr>
        <w:rPr>
          <w:b/>
          <w:bCs/>
          <w:sz w:val="40"/>
          <w:szCs w:val="40"/>
        </w:rPr>
      </w:pPr>
      <w:r>
        <w:rPr>
          <w:b/>
          <w:bCs/>
          <w:sz w:val="40"/>
          <w:szCs w:val="40"/>
        </w:rPr>
        <w:t xml:space="preserve">Student ID: </w:t>
      </w:r>
    </w:p>
    <w:p w:rsidR="00583BC1" w:rsidRDefault="00583BC1" w:rsidP="00583BC1">
      <w:pPr>
        <w:rPr>
          <w:b/>
          <w:bCs/>
          <w:sz w:val="40"/>
          <w:szCs w:val="40"/>
        </w:rPr>
      </w:pPr>
      <w:r>
        <w:rPr>
          <w:b/>
          <w:bCs/>
          <w:sz w:val="40"/>
          <w:szCs w:val="40"/>
        </w:rPr>
        <w:t xml:space="preserve">Word Count: </w:t>
      </w:r>
      <w:r w:rsidR="00751B7F">
        <w:rPr>
          <w:b/>
          <w:bCs/>
          <w:sz w:val="40"/>
          <w:szCs w:val="40"/>
        </w:rPr>
        <w:t>1000 Words</w:t>
      </w:r>
    </w:p>
    <w:p w:rsidR="00583BC1" w:rsidRDefault="00583BC1" w:rsidP="00583BC1">
      <w:pPr>
        <w:rPr>
          <w:b/>
          <w:bCs/>
          <w:sz w:val="40"/>
          <w:szCs w:val="40"/>
        </w:rPr>
      </w:pPr>
      <w:r>
        <w:rPr>
          <w:b/>
          <w:bCs/>
          <w:sz w:val="40"/>
          <w:szCs w:val="40"/>
        </w:rPr>
        <w:t xml:space="preserve">Submission Date: </w:t>
      </w:r>
      <w:r w:rsidR="00751B7F">
        <w:rPr>
          <w:b/>
          <w:bCs/>
          <w:sz w:val="40"/>
          <w:szCs w:val="40"/>
        </w:rPr>
        <w:t>11</w:t>
      </w:r>
      <w:r w:rsidR="00751B7F" w:rsidRPr="00751B7F">
        <w:rPr>
          <w:b/>
          <w:bCs/>
          <w:sz w:val="40"/>
          <w:szCs w:val="40"/>
          <w:vertAlign w:val="superscript"/>
        </w:rPr>
        <w:t>th</w:t>
      </w:r>
      <w:r w:rsidR="00751B7F">
        <w:rPr>
          <w:b/>
          <w:bCs/>
          <w:sz w:val="40"/>
          <w:szCs w:val="40"/>
        </w:rPr>
        <w:t xml:space="preserve"> May 2023</w:t>
      </w:r>
    </w:p>
    <w:p w:rsidR="00583BC1" w:rsidRDefault="00583BC1" w:rsidP="00583BC1">
      <w:pPr>
        <w:rPr>
          <w:b/>
          <w:bCs/>
          <w:sz w:val="40"/>
          <w:szCs w:val="40"/>
        </w:rPr>
      </w:pPr>
      <w:r>
        <w:rPr>
          <w:b/>
          <w:bCs/>
          <w:sz w:val="40"/>
          <w:szCs w:val="40"/>
        </w:rPr>
        <w:t xml:space="preserve">Tutor Name: </w:t>
      </w:r>
    </w:p>
    <w:p w:rsidR="00FC532F" w:rsidRDefault="00FC532F" w:rsidP="00FC532F">
      <w:pPr>
        <w:pStyle w:val="TOCHeading"/>
        <w:spacing w:line="360" w:lineRule="auto"/>
        <w:jc w:val="center"/>
      </w:pPr>
      <w:r>
        <w:t>Table of Contents</w:t>
      </w:r>
    </w:p>
    <w:p w:rsidR="00C46F8D" w:rsidRDefault="00FC532F">
      <w:pPr>
        <w:pStyle w:val="TOC1"/>
        <w:rPr>
          <w:rFonts w:ascii="Calibri" w:eastAsia="Times New Roman" w:hAnsi="Calibri" w:cs="Times New Roman"/>
          <w:noProof/>
          <w:color w:val="auto"/>
          <w:kern w:val="2"/>
          <w:sz w:val="22"/>
          <w:lang w:val="en-IN" w:eastAsia="en-IN"/>
        </w:rPr>
      </w:pPr>
      <w:r>
        <w:fldChar w:fldCharType="begin"/>
      </w:r>
      <w:r>
        <w:instrText xml:space="preserve"> TOC \o "1-3" \h \z \u </w:instrText>
      </w:r>
      <w:r>
        <w:fldChar w:fldCharType="separate"/>
      </w:r>
      <w:hyperlink w:anchor="_Toc134660022" w:history="1">
        <w:r w:rsidR="00C46F8D" w:rsidRPr="00C40E74">
          <w:rPr>
            <w:rStyle w:val="Hyperlink"/>
            <w:noProof/>
          </w:rPr>
          <w:t>CHANGE MANAGEMENT</w:t>
        </w:r>
        <w:r w:rsidR="00C46F8D">
          <w:rPr>
            <w:noProof/>
            <w:webHidden/>
          </w:rPr>
          <w:tab/>
        </w:r>
        <w:r w:rsidR="00C46F8D">
          <w:rPr>
            <w:noProof/>
            <w:webHidden/>
          </w:rPr>
          <w:fldChar w:fldCharType="begin"/>
        </w:r>
        <w:r w:rsidR="00C46F8D">
          <w:rPr>
            <w:noProof/>
            <w:webHidden/>
          </w:rPr>
          <w:instrText xml:space="preserve"> PAGEREF _Toc134660022 \h </w:instrText>
        </w:r>
        <w:r w:rsidR="00C46F8D">
          <w:rPr>
            <w:noProof/>
            <w:webHidden/>
          </w:rPr>
        </w:r>
        <w:r w:rsidR="00C46F8D">
          <w:rPr>
            <w:noProof/>
            <w:webHidden/>
          </w:rPr>
          <w:fldChar w:fldCharType="separate"/>
        </w:r>
        <w:r w:rsidR="00C46F8D">
          <w:rPr>
            <w:noProof/>
            <w:webHidden/>
          </w:rPr>
          <w:t>1</w:t>
        </w:r>
        <w:r w:rsidR="00C46F8D">
          <w:rPr>
            <w:noProof/>
            <w:webHidden/>
          </w:rPr>
          <w:fldChar w:fldCharType="end"/>
        </w:r>
      </w:hyperlink>
    </w:p>
    <w:p w:rsidR="00C46F8D" w:rsidRDefault="00C46F8D">
      <w:pPr>
        <w:pStyle w:val="TOC1"/>
        <w:rPr>
          <w:rFonts w:ascii="Calibri" w:eastAsia="Times New Roman" w:hAnsi="Calibri" w:cs="Times New Roman"/>
          <w:noProof/>
          <w:color w:val="auto"/>
          <w:kern w:val="2"/>
          <w:sz w:val="22"/>
          <w:lang w:val="en-IN" w:eastAsia="en-IN"/>
        </w:rPr>
      </w:pPr>
      <w:hyperlink w:anchor="_Toc134660023" w:history="1">
        <w:r w:rsidRPr="00C40E74">
          <w:rPr>
            <w:rStyle w:val="Hyperlink"/>
            <w:noProof/>
          </w:rPr>
          <w:t>MEASURES OF CHANGE MANAGEMENT</w:t>
        </w:r>
        <w:r>
          <w:rPr>
            <w:noProof/>
            <w:webHidden/>
          </w:rPr>
          <w:tab/>
        </w:r>
        <w:r>
          <w:rPr>
            <w:noProof/>
            <w:webHidden/>
          </w:rPr>
          <w:fldChar w:fldCharType="begin"/>
        </w:r>
        <w:r>
          <w:rPr>
            <w:noProof/>
            <w:webHidden/>
          </w:rPr>
          <w:instrText xml:space="preserve"> PAGEREF _Toc134660023 \h </w:instrText>
        </w:r>
        <w:r>
          <w:rPr>
            <w:noProof/>
            <w:webHidden/>
          </w:rPr>
        </w:r>
        <w:r>
          <w:rPr>
            <w:noProof/>
            <w:webHidden/>
          </w:rPr>
          <w:fldChar w:fldCharType="separate"/>
        </w:r>
        <w:r>
          <w:rPr>
            <w:noProof/>
            <w:webHidden/>
          </w:rPr>
          <w:t>1</w:t>
        </w:r>
        <w:r>
          <w:rPr>
            <w:noProof/>
            <w:webHidden/>
          </w:rPr>
          <w:fldChar w:fldCharType="end"/>
        </w:r>
      </w:hyperlink>
    </w:p>
    <w:p w:rsidR="00C46F8D" w:rsidRDefault="00C46F8D">
      <w:pPr>
        <w:pStyle w:val="TOC2"/>
        <w:rPr>
          <w:rFonts w:ascii="Calibri" w:eastAsia="Times New Roman" w:hAnsi="Calibri" w:cs="Times New Roman"/>
          <w:noProof/>
          <w:color w:val="auto"/>
          <w:kern w:val="2"/>
          <w:sz w:val="22"/>
          <w:lang w:val="en-IN" w:eastAsia="en-IN"/>
        </w:rPr>
      </w:pPr>
      <w:hyperlink w:anchor="_Toc134660024" w:history="1">
        <w:r w:rsidRPr="00C40E74">
          <w:rPr>
            <w:rStyle w:val="Hyperlink"/>
            <w:noProof/>
          </w:rPr>
          <w:t>Measuring Organisational Performance</w:t>
        </w:r>
        <w:r>
          <w:rPr>
            <w:noProof/>
            <w:webHidden/>
          </w:rPr>
          <w:tab/>
        </w:r>
        <w:r>
          <w:rPr>
            <w:noProof/>
            <w:webHidden/>
          </w:rPr>
          <w:fldChar w:fldCharType="begin"/>
        </w:r>
        <w:r>
          <w:rPr>
            <w:noProof/>
            <w:webHidden/>
          </w:rPr>
          <w:instrText xml:space="preserve"> PAGEREF _Toc134660024 \h </w:instrText>
        </w:r>
        <w:r>
          <w:rPr>
            <w:noProof/>
            <w:webHidden/>
          </w:rPr>
        </w:r>
        <w:r>
          <w:rPr>
            <w:noProof/>
            <w:webHidden/>
          </w:rPr>
          <w:fldChar w:fldCharType="separate"/>
        </w:r>
        <w:r>
          <w:rPr>
            <w:noProof/>
            <w:webHidden/>
          </w:rPr>
          <w:t>1</w:t>
        </w:r>
        <w:r>
          <w:rPr>
            <w:noProof/>
            <w:webHidden/>
          </w:rPr>
          <w:fldChar w:fldCharType="end"/>
        </w:r>
      </w:hyperlink>
    </w:p>
    <w:p w:rsidR="00C46F8D" w:rsidRDefault="00C46F8D">
      <w:pPr>
        <w:pStyle w:val="TOC2"/>
        <w:rPr>
          <w:rFonts w:ascii="Calibri" w:eastAsia="Times New Roman" w:hAnsi="Calibri" w:cs="Times New Roman"/>
          <w:noProof/>
          <w:color w:val="auto"/>
          <w:kern w:val="2"/>
          <w:sz w:val="22"/>
          <w:lang w:val="en-IN" w:eastAsia="en-IN"/>
        </w:rPr>
      </w:pPr>
      <w:hyperlink w:anchor="_Toc134660025" w:history="1">
        <w:r w:rsidRPr="00C40E74">
          <w:rPr>
            <w:rStyle w:val="Hyperlink"/>
            <w:noProof/>
          </w:rPr>
          <w:t>Measuring Individual Performance</w:t>
        </w:r>
        <w:r>
          <w:rPr>
            <w:noProof/>
            <w:webHidden/>
          </w:rPr>
          <w:tab/>
        </w:r>
        <w:r>
          <w:rPr>
            <w:noProof/>
            <w:webHidden/>
          </w:rPr>
          <w:fldChar w:fldCharType="begin"/>
        </w:r>
        <w:r>
          <w:rPr>
            <w:noProof/>
            <w:webHidden/>
          </w:rPr>
          <w:instrText xml:space="preserve"> PAGEREF _Toc134660025 \h </w:instrText>
        </w:r>
        <w:r>
          <w:rPr>
            <w:noProof/>
            <w:webHidden/>
          </w:rPr>
        </w:r>
        <w:r>
          <w:rPr>
            <w:noProof/>
            <w:webHidden/>
          </w:rPr>
          <w:fldChar w:fldCharType="separate"/>
        </w:r>
        <w:r>
          <w:rPr>
            <w:noProof/>
            <w:webHidden/>
          </w:rPr>
          <w:t>2</w:t>
        </w:r>
        <w:r>
          <w:rPr>
            <w:noProof/>
            <w:webHidden/>
          </w:rPr>
          <w:fldChar w:fldCharType="end"/>
        </w:r>
      </w:hyperlink>
    </w:p>
    <w:p w:rsidR="00C46F8D" w:rsidRDefault="00C46F8D">
      <w:pPr>
        <w:pStyle w:val="TOC2"/>
        <w:rPr>
          <w:rFonts w:ascii="Calibri" w:eastAsia="Times New Roman" w:hAnsi="Calibri" w:cs="Times New Roman"/>
          <w:noProof/>
          <w:color w:val="auto"/>
          <w:kern w:val="2"/>
          <w:sz w:val="22"/>
          <w:lang w:val="en-IN" w:eastAsia="en-IN"/>
        </w:rPr>
      </w:pPr>
      <w:hyperlink w:anchor="_Toc134660026" w:history="1">
        <w:r w:rsidRPr="00C40E74">
          <w:rPr>
            <w:rStyle w:val="Hyperlink"/>
            <w:noProof/>
          </w:rPr>
          <w:t>Measuring Change Management Performance</w:t>
        </w:r>
        <w:r>
          <w:rPr>
            <w:noProof/>
            <w:webHidden/>
          </w:rPr>
          <w:tab/>
        </w:r>
        <w:r>
          <w:rPr>
            <w:noProof/>
            <w:webHidden/>
          </w:rPr>
          <w:fldChar w:fldCharType="begin"/>
        </w:r>
        <w:r>
          <w:rPr>
            <w:noProof/>
            <w:webHidden/>
          </w:rPr>
          <w:instrText xml:space="preserve"> PAGEREF _Toc134660026 \h </w:instrText>
        </w:r>
        <w:r>
          <w:rPr>
            <w:noProof/>
            <w:webHidden/>
          </w:rPr>
        </w:r>
        <w:r>
          <w:rPr>
            <w:noProof/>
            <w:webHidden/>
          </w:rPr>
          <w:fldChar w:fldCharType="separate"/>
        </w:r>
        <w:r>
          <w:rPr>
            <w:noProof/>
            <w:webHidden/>
          </w:rPr>
          <w:t>3</w:t>
        </w:r>
        <w:r>
          <w:rPr>
            <w:noProof/>
            <w:webHidden/>
          </w:rPr>
          <w:fldChar w:fldCharType="end"/>
        </w:r>
      </w:hyperlink>
    </w:p>
    <w:p w:rsidR="00C46F8D" w:rsidRDefault="00C46F8D">
      <w:pPr>
        <w:pStyle w:val="TOC2"/>
        <w:rPr>
          <w:rFonts w:ascii="Calibri" w:eastAsia="Times New Roman" w:hAnsi="Calibri" w:cs="Times New Roman"/>
          <w:noProof/>
          <w:color w:val="auto"/>
          <w:kern w:val="2"/>
          <w:sz w:val="22"/>
          <w:lang w:val="en-IN" w:eastAsia="en-IN"/>
        </w:rPr>
      </w:pPr>
      <w:hyperlink w:anchor="_Toc134660027" w:history="1">
        <w:r w:rsidRPr="00C40E74">
          <w:rPr>
            <w:rStyle w:val="Hyperlink"/>
            <w:noProof/>
          </w:rPr>
          <w:t>Change Management Activity Effectiveness</w:t>
        </w:r>
        <w:r>
          <w:rPr>
            <w:noProof/>
            <w:webHidden/>
          </w:rPr>
          <w:tab/>
        </w:r>
        <w:r>
          <w:rPr>
            <w:noProof/>
            <w:webHidden/>
          </w:rPr>
          <w:fldChar w:fldCharType="begin"/>
        </w:r>
        <w:r>
          <w:rPr>
            <w:noProof/>
            <w:webHidden/>
          </w:rPr>
          <w:instrText xml:space="preserve"> PAGEREF _Toc134660027 \h </w:instrText>
        </w:r>
        <w:r>
          <w:rPr>
            <w:noProof/>
            <w:webHidden/>
          </w:rPr>
        </w:r>
        <w:r>
          <w:rPr>
            <w:noProof/>
            <w:webHidden/>
          </w:rPr>
          <w:fldChar w:fldCharType="separate"/>
        </w:r>
        <w:r>
          <w:rPr>
            <w:noProof/>
            <w:webHidden/>
          </w:rPr>
          <w:t>3</w:t>
        </w:r>
        <w:r>
          <w:rPr>
            <w:noProof/>
            <w:webHidden/>
          </w:rPr>
          <w:fldChar w:fldCharType="end"/>
        </w:r>
      </w:hyperlink>
    </w:p>
    <w:p w:rsidR="00C46F8D" w:rsidRDefault="00C46F8D">
      <w:pPr>
        <w:pStyle w:val="TOC1"/>
        <w:rPr>
          <w:rFonts w:ascii="Calibri" w:eastAsia="Times New Roman" w:hAnsi="Calibri" w:cs="Times New Roman"/>
          <w:noProof/>
          <w:color w:val="auto"/>
          <w:kern w:val="2"/>
          <w:sz w:val="22"/>
          <w:lang w:val="en-IN" w:eastAsia="en-IN"/>
        </w:rPr>
      </w:pPr>
      <w:hyperlink w:anchor="_Toc134660028" w:history="1">
        <w:r w:rsidRPr="00C40E74">
          <w:rPr>
            <w:rStyle w:val="Hyperlink"/>
            <w:noProof/>
          </w:rPr>
          <w:t>REFERENCES</w:t>
        </w:r>
        <w:r>
          <w:rPr>
            <w:noProof/>
            <w:webHidden/>
          </w:rPr>
          <w:tab/>
        </w:r>
        <w:r>
          <w:rPr>
            <w:noProof/>
            <w:webHidden/>
          </w:rPr>
          <w:fldChar w:fldCharType="begin"/>
        </w:r>
        <w:r>
          <w:rPr>
            <w:noProof/>
            <w:webHidden/>
          </w:rPr>
          <w:instrText xml:space="preserve"> PAGEREF _Toc134660028 \h </w:instrText>
        </w:r>
        <w:r>
          <w:rPr>
            <w:noProof/>
            <w:webHidden/>
          </w:rPr>
        </w:r>
        <w:r>
          <w:rPr>
            <w:noProof/>
            <w:webHidden/>
          </w:rPr>
          <w:fldChar w:fldCharType="separate"/>
        </w:r>
        <w:r>
          <w:rPr>
            <w:noProof/>
            <w:webHidden/>
          </w:rPr>
          <w:t>4</w:t>
        </w:r>
        <w:r>
          <w:rPr>
            <w:noProof/>
            <w:webHidden/>
          </w:rPr>
          <w:fldChar w:fldCharType="end"/>
        </w:r>
      </w:hyperlink>
    </w:p>
    <w:p w:rsidR="00FC532F" w:rsidRDefault="00FC532F" w:rsidP="00FC532F">
      <w:r>
        <w:rPr>
          <w:b/>
          <w:bCs/>
          <w:noProof/>
        </w:rPr>
        <w:fldChar w:fldCharType="end"/>
      </w:r>
    </w:p>
    <w:p w:rsidR="006E1692" w:rsidRDefault="006E1692" w:rsidP="006E1692">
      <w:pPr>
        <w:jc w:val="center"/>
        <w:rPr>
          <w:b/>
          <w:bCs/>
          <w:sz w:val="40"/>
          <w:szCs w:val="40"/>
        </w:rPr>
      </w:pPr>
    </w:p>
    <w:p w:rsidR="006E1692" w:rsidRDefault="006E1692" w:rsidP="006E1692">
      <w:pPr>
        <w:jc w:val="center"/>
        <w:rPr>
          <w:b/>
          <w:bCs/>
          <w:sz w:val="40"/>
          <w:szCs w:val="40"/>
        </w:rPr>
      </w:pPr>
    </w:p>
    <w:p w:rsidR="006E1692" w:rsidRDefault="006E1692" w:rsidP="006E1692">
      <w:pPr>
        <w:jc w:val="center"/>
        <w:rPr>
          <w:sz w:val="40"/>
          <w:szCs w:val="40"/>
        </w:rPr>
      </w:pPr>
    </w:p>
    <w:p w:rsidR="006E1692" w:rsidRPr="006E1692" w:rsidRDefault="006E1692" w:rsidP="006E1692">
      <w:pPr>
        <w:jc w:val="center"/>
        <w:rPr>
          <w:sz w:val="40"/>
          <w:szCs w:val="40"/>
        </w:rPr>
      </w:pPr>
    </w:p>
    <w:p w:rsidR="003828ED" w:rsidRDefault="003828ED" w:rsidP="00A3052F">
      <w:pPr>
        <w:pStyle w:val="NoSpacing"/>
        <w:rPr>
          <w:rFonts w:ascii="Times New Roman" w:hAnsi="Times New Roman" w:cs="Times New Roman"/>
          <w:b/>
          <w:bCs/>
          <w:color w:val="000000"/>
          <w:sz w:val="96"/>
          <w:szCs w:val="96"/>
        </w:rPr>
      </w:pPr>
    </w:p>
    <w:p w:rsidR="003828ED" w:rsidRDefault="003828ED" w:rsidP="001F66A7">
      <w:pPr>
        <w:pStyle w:val="NoSpacing"/>
        <w:rPr>
          <w:rFonts w:ascii="Times New Roman" w:hAnsi="Times New Roman" w:cs="Times New Roman"/>
          <w:b/>
          <w:bCs/>
          <w:color w:val="000000"/>
          <w:sz w:val="72"/>
          <w:szCs w:val="72"/>
        </w:rPr>
      </w:pPr>
    </w:p>
    <w:p w:rsidR="00270667" w:rsidRDefault="00270667">
      <w:pPr>
        <w:pStyle w:val="Heading1"/>
        <w:pageBreakBefore/>
        <w:sectPr w:rsidR="00270667" w:rsidSect="00ED728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600" w:charSpace="32768"/>
        </w:sectPr>
      </w:pPr>
      <w:bookmarkStart w:id="0" w:name="_Toc24213560"/>
    </w:p>
    <w:p w:rsidR="003828ED" w:rsidRDefault="00A3052F">
      <w:pPr>
        <w:pStyle w:val="Heading1"/>
        <w:pageBreakBefore/>
      </w:pPr>
      <w:bookmarkStart w:id="1" w:name="_Toc134660022"/>
      <w:bookmarkEnd w:id="0"/>
      <w:r>
        <w:t>CHANGE MANAGEMENT</w:t>
      </w:r>
      <w:bookmarkEnd w:id="1"/>
      <w:r>
        <w:t xml:space="preserve"> </w:t>
      </w:r>
    </w:p>
    <w:p w:rsidR="00AE4E22" w:rsidRDefault="00AE4E22" w:rsidP="00AE4E22">
      <w:r>
        <w:t xml:space="preserve">Change management refers to the process of articulating and implementing internal and external changes within the operations of an organisation. Change management refers to the method by which an organisation explains and implements change. This requires preparing and supporting employees, designing the necessary change procedures, and monitoring activities both before and after the change to ensure its successful implementation. There is a possibility that implementing significant organisational change may be difficult. It frequently necessitates cooperation on multiple levels and may involve </w:t>
      </w:r>
      <w:r w:rsidR="007054C4">
        <w:t>several</w:t>
      </w:r>
      <w:r>
        <w:t xml:space="preserve"> independent entities operating within an organisation (Klimas, 2020). It is often necessary to collaborate on multiple levels. </w:t>
      </w:r>
    </w:p>
    <w:p w:rsidR="00A3052F" w:rsidRDefault="00AE4E22" w:rsidP="00AE4E22">
      <w:r>
        <w:t xml:space="preserve">It is essential to develop a systematic approach to change </w:t>
      </w:r>
      <w:r w:rsidR="00BB0DE2">
        <w:t>to</w:t>
      </w:r>
      <w:r>
        <w:t xml:space="preserve"> aid in ensuring a seamless transition and minimising the disruption caused by the change. Changes frequently fail due to human factors: the proponents of the change did not account for the regular, genuine, and predictable responses of normal humans to routine disruptions. This is a common cause of failed modifications. According to research conducted by Mishra, Gupta, and Shree in 2020, alterations are typically ineffective due to human factors. One of the most crucial success factors for effectively managing change is the ability to communicate </w:t>
      </w:r>
      <w:r w:rsidR="00BB0DE2">
        <w:t>clearly and efficiently</w:t>
      </w:r>
      <w:r>
        <w:t xml:space="preserve">. </w:t>
      </w:r>
      <w:r w:rsidR="00BB0DE2">
        <w:t>For</w:t>
      </w:r>
      <w:r>
        <w:t xml:space="preserve"> the process to be successful, all participants must be aware of how things evolve throughout the various phases and how the change affects them individually. </w:t>
      </w:r>
      <w:r w:rsidR="00C35196">
        <w:t xml:space="preserve"> </w:t>
      </w:r>
      <w:r w:rsidR="00EA631E">
        <w:t xml:space="preserve"> </w:t>
      </w:r>
    </w:p>
    <w:p w:rsidR="00EA15E2" w:rsidRDefault="00EA15E2" w:rsidP="00EA15E2">
      <w:pPr>
        <w:pStyle w:val="Heading1"/>
      </w:pPr>
      <w:bookmarkStart w:id="2" w:name="_Toc134660023"/>
      <w:r>
        <w:t>MEASURES OF CHANGE MANAGEMENT</w:t>
      </w:r>
      <w:bookmarkEnd w:id="2"/>
      <w:r>
        <w:t xml:space="preserve"> </w:t>
      </w:r>
    </w:p>
    <w:p w:rsidR="00EA15E2" w:rsidRDefault="009B1194" w:rsidP="00E20E57">
      <w:pPr>
        <w:pStyle w:val="Heading2"/>
      </w:pPr>
      <w:bookmarkStart w:id="3" w:name="_Toc134660024"/>
      <w:r>
        <w:t>Measuring Organisational Performance</w:t>
      </w:r>
      <w:bookmarkEnd w:id="3"/>
    </w:p>
    <w:p w:rsidR="00E37A41" w:rsidRDefault="007B3551" w:rsidP="00786927">
      <w:r w:rsidRPr="007B3551">
        <w:t xml:space="preserve">The efficiency of the organisation serves as the basis for the first category of metrics to be considered. These measures are tied to the fact that the project was successful in accomplishing the objectives that the company wished to achieve. The metrics that are used in the evaluation of an organization's level of performance need to offer an answer to the question, "Did the initiative deliver what was expected?" The participants in the study have offered several examples of organisational performance metrics, including the ones that are listed below. Performance improvements, adherence to project </w:t>
      </w:r>
      <w:r w:rsidR="00F96DFE">
        <w:t>plans</w:t>
      </w:r>
      <w:r w:rsidRPr="007B3551">
        <w:t>, business and change preparedness, project KPI measures, and speed of execution are some of the examples of the primary characteristics that reflect the organisational performance metrics</w:t>
      </w:r>
      <w:r w:rsidR="00E37A41">
        <w:t xml:space="preserve"> </w:t>
      </w:r>
      <w:r w:rsidR="00E37A41">
        <w:rPr>
          <w:szCs w:val="24"/>
          <w:shd w:val="clear" w:color="auto" w:fill="FFFFFF"/>
        </w:rPr>
        <w:t>(</w:t>
      </w:r>
      <w:r w:rsidR="00E37A41" w:rsidRPr="00E37A41">
        <w:rPr>
          <w:szCs w:val="24"/>
          <w:shd w:val="clear" w:color="auto" w:fill="FFFFFF"/>
        </w:rPr>
        <w:t>By, 2021</w:t>
      </w:r>
      <w:r w:rsidR="00E37A41">
        <w:rPr>
          <w:szCs w:val="24"/>
          <w:shd w:val="clear" w:color="auto" w:fill="FFFFFF"/>
        </w:rPr>
        <w:t>)</w:t>
      </w:r>
      <w:r w:rsidRPr="007B3551">
        <w:t>.</w:t>
      </w:r>
      <w:r w:rsidR="00211B49">
        <w:t xml:space="preserve"> </w:t>
      </w:r>
    </w:p>
    <w:p w:rsidR="00E20E57" w:rsidRPr="00E20E57" w:rsidRDefault="00E85251" w:rsidP="00786927">
      <w:r w:rsidRPr="00E85251">
        <w:t xml:space="preserve">The study of how big changes influence organisation output is </w:t>
      </w:r>
      <w:r w:rsidR="00152611" w:rsidRPr="00E85251">
        <w:t>what is</w:t>
      </w:r>
      <w:r w:rsidRPr="00E85251">
        <w:t xml:space="preserve"> included </w:t>
      </w:r>
      <w:r w:rsidR="00F96DFE">
        <w:t>in</w:t>
      </w:r>
      <w:r w:rsidRPr="00E85251">
        <w:t xml:space="preserve"> the field of organisational performance change management. Following the completion of </w:t>
      </w:r>
      <w:r w:rsidR="00F96DFE">
        <w:t xml:space="preserve">the </w:t>
      </w:r>
      <w:r w:rsidRPr="00E85251">
        <w:t xml:space="preserve">departmental reorganisation, the management leaders of the organisation may </w:t>
      </w:r>
      <w:r w:rsidR="00F96DFE">
        <w:t>evaluate</w:t>
      </w:r>
      <w:r w:rsidRPr="00E85251">
        <w:t xml:space="preserve"> the organization's performance to compare their predictions with the actual outcomes</w:t>
      </w:r>
      <w:r w:rsidR="00152611">
        <w:t xml:space="preserve"> </w:t>
      </w:r>
      <w:r w:rsidR="00152611">
        <w:rPr>
          <w:szCs w:val="24"/>
          <w:shd w:val="clear" w:color="auto" w:fill="FFFFFF"/>
        </w:rPr>
        <w:t>(</w:t>
      </w:r>
      <w:r w:rsidR="00152611" w:rsidRPr="00E37A41">
        <w:rPr>
          <w:szCs w:val="24"/>
          <w:shd w:val="clear" w:color="auto" w:fill="FFFFFF"/>
        </w:rPr>
        <w:t>Shahul Hameed</w:t>
      </w:r>
      <w:r w:rsidR="00152611">
        <w:rPr>
          <w:szCs w:val="24"/>
          <w:shd w:val="clear" w:color="auto" w:fill="FFFFFF"/>
        </w:rPr>
        <w:t xml:space="preserve"> </w:t>
      </w:r>
      <w:r w:rsidR="00152611" w:rsidRPr="00E37A41">
        <w:rPr>
          <w:szCs w:val="24"/>
          <w:shd w:val="clear" w:color="auto" w:fill="FFFFFF"/>
        </w:rPr>
        <w:t xml:space="preserve">and </w:t>
      </w:r>
      <w:r w:rsidR="00152611" w:rsidRPr="00E37A41">
        <w:rPr>
          <w:i/>
          <w:iCs/>
          <w:szCs w:val="24"/>
          <w:shd w:val="clear" w:color="auto" w:fill="FFFFFF"/>
        </w:rPr>
        <w:t>et al.</w:t>
      </w:r>
      <w:r w:rsidR="00152611" w:rsidRPr="00E37A41">
        <w:rPr>
          <w:szCs w:val="24"/>
          <w:shd w:val="clear" w:color="auto" w:fill="FFFFFF"/>
        </w:rPr>
        <w:t xml:space="preserve"> 2022</w:t>
      </w:r>
      <w:r w:rsidR="00152611">
        <w:rPr>
          <w:szCs w:val="24"/>
          <w:shd w:val="clear" w:color="auto" w:fill="FFFFFF"/>
        </w:rPr>
        <w:t>)</w:t>
      </w:r>
      <w:r w:rsidRPr="00E85251">
        <w:t xml:space="preserve">. Key performance indicators (KPIs) are quantifiable objectives that demonstrate whether an organisation is accomplishing its business goals. An organization's performance may analyse both its present and its historical KPIs. This may assist leadership in determining if newly implemented policies </w:t>
      </w:r>
      <w:r w:rsidR="00F96DFE">
        <w:t>increased</w:t>
      </w:r>
      <w:r w:rsidRPr="00E85251">
        <w:t xml:space="preserve"> the average rate of target fulfilment.</w:t>
      </w:r>
    </w:p>
    <w:p w:rsidR="001F66A7" w:rsidRDefault="006E01DD" w:rsidP="00D974AD">
      <w:pPr>
        <w:pStyle w:val="Heading2"/>
      </w:pPr>
      <w:bookmarkStart w:id="4" w:name="_Toc134660025"/>
      <w:r>
        <w:t>Measuring Individual Performance</w:t>
      </w:r>
      <w:bookmarkEnd w:id="4"/>
      <w:r>
        <w:t xml:space="preserve"> </w:t>
      </w:r>
    </w:p>
    <w:p w:rsidR="00E37A41" w:rsidRDefault="007B3551" w:rsidP="0087223E">
      <w:r w:rsidRPr="007B3551">
        <w:t xml:space="preserve">The individual's performance is the subject of the following type of evaluation. These measurements reveal </w:t>
      </w:r>
      <w:r w:rsidR="00116ABA" w:rsidRPr="007B3551">
        <w:t>whether</w:t>
      </w:r>
      <w:r w:rsidRPr="007B3551">
        <w:t xml:space="preserve"> the people whose lives have been upended by the shift are making progress along the paths of transformation</w:t>
      </w:r>
      <w:r w:rsidR="00152611">
        <w:t xml:space="preserve"> </w:t>
      </w:r>
      <w:r w:rsidR="00152611">
        <w:rPr>
          <w:szCs w:val="24"/>
          <w:shd w:val="clear" w:color="auto" w:fill="FFFFFF"/>
        </w:rPr>
        <w:t>(</w:t>
      </w:r>
      <w:r w:rsidR="00152611" w:rsidRPr="00E37A41">
        <w:rPr>
          <w:szCs w:val="24"/>
          <w:shd w:val="clear" w:color="auto" w:fill="FFFFFF"/>
        </w:rPr>
        <w:t>Arundel, Bloch and Ferguson, 2019</w:t>
      </w:r>
      <w:r w:rsidR="00152611">
        <w:rPr>
          <w:szCs w:val="24"/>
          <w:shd w:val="clear" w:color="auto" w:fill="FFFFFF"/>
        </w:rPr>
        <w:t>)</w:t>
      </w:r>
      <w:r w:rsidRPr="007B3551">
        <w:t xml:space="preserve">. Measuring the development of individuals may be an early predictor of the success of a project as a whole because of the importance of the person in the transformation process. According to the findings of our study, the individual employee metrics that are listed below are often employed by change management practitioners when proving the efficacy of change management. </w:t>
      </w:r>
    </w:p>
    <w:p w:rsidR="00E37A41" w:rsidRDefault="007B3551" w:rsidP="0087223E">
      <w:r w:rsidRPr="007B3551">
        <w:t xml:space="preserve">A good number of these measurements determine where workers are in the process of transformation and how far </w:t>
      </w:r>
      <w:r w:rsidR="00116ABA" w:rsidRPr="007B3551">
        <w:t>along,</w:t>
      </w:r>
      <w:r w:rsidRPr="007B3551">
        <w:t xml:space="preserve"> they are advancing. Surveys, exams, and assessments, as well as observations and performance evaluations, are some of the approaches that are used to acquire these measurements</w:t>
      </w:r>
      <w:r w:rsidR="00E37A41">
        <w:t xml:space="preserve"> </w:t>
      </w:r>
      <w:r w:rsidR="00E37A41">
        <w:rPr>
          <w:szCs w:val="24"/>
          <w:shd w:val="clear" w:color="auto" w:fill="FFFFFF"/>
        </w:rPr>
        <w:t>(</w:t>
      </w:r>
      <w:r w:rsidR="00E37A41" w:rsidRPr="00E37A41">
        <w:rPr>
          <w:szCs w:val="24"/>
          <w:shd w:val="clear" w:color="auto" w:fill="FFFFFF"/>
        </w:rPr>
        <w:t>Cameron and Green, 2019</w:t>
      </w:r>
      <w:r w:rsidR="00E37A41">
        <w:rPr>
          <w:szCs w:val="24"/>
          <w:shd w:val="clear" w:color="auto" w:fill="FFFFFF"/>
        </w:rPr>
        <w:t>)</w:t>
      </w:r>
      <w:r w:rsidRPr="007B3551">
        <w:t>.</w:t>
      </w:r>
      <w:r w:rsidR="00AB6F19">
        <w:t xml:space="preserve"> </w:t>
      </w:r>
      <w:r w:rsidR="00E85251" w:rsidRPr="00E85251">
        <w:t xml:space="preserve">When </w:t>
      </w:r>
      <w:r w:rsidR="00E37A41">
        <w:t>analysing</w:t>
      </w:r>
      <w:r w:rsidR="00E85251" w:rsidRPr="00E85251">
        <w:t xml:space="preserve"> a department, supervisors may confer with specific employees to assess whether those workers have fair deadlines, satisfying </w:t>
      </w:r>
      <w:r w:rsidR="00F96DFE">
        <w:t>jobs</w:t>
      </w:r>
      <w:r w:rsidR="00E85251" w:rsidRPr="00E85251">
        <w:t xml:space="preserve">, and clear expectations. </w:t>
      </w:r>
    </w:p>
    <w:p w:rsidR="006E01DD" w:rsidRDefault="00E85251" w:rsidP="0087223E">
      <w:r w:rsidRPr="00E85251">
        <w:t>Managers may have a better understanding of which policies offer successful outcomes and which ones may need to be revised by evaluating the individual performance indicators of each employee. Keeping an eye on workers while they work may provide insight into how certain performance objectives might be met, which is useful for managers who wish to boost the effectiveness of existing procedures</w:t>
      </w:r>
      <w:r w:rsidR="00E37A41">
        <w:t xml:space="preserve"> </w:t>
      </w:r>
      <w:r w:rsidR="00E37A41">
        <w:rPr>
          <w:szCs w:val="24"/>
          <w:shd w:val="clear" w:color="auto" w:fill="FFFFFF"/>
        </w:rPr>
        <w:t>(</w:t>
      </w:r>
      <w:r w:rsidR="00E37A41" w:rsidRPr="00E37A41">
        <w:rPr>
          <w:szCs w:val="24"/>
          <w:shd w:val="clear" w:color="auto" w:fill="FFFFFF"/>
        </w:rPr>
        <w:t>Kelly and Reid, 2021</w:t>
      </w:r>
      <w:r w:rsidR="00E37A41">
        <w:rPr>
          <w:szCs w:val="24"/>
          <w:shd w:val="clear" w:color="auto" w:fill="FFFFFF"/>
        </w:rPr>
        <w:t>)</w:t>
      </w:r>
      <w:r w:rsidRPr="00E85251">
        <w:t xml:space="preserve">. Employees may also be evaluated by managers </w:t>
      </w:r>
      <w:r w:rsidR="00F96DFE">
        <w:t>to</w:t>
      </w:r>
      <w:r w:rsidRPr="00E85251">
        <w:t xml:space="preserve"> get insight into how they respond to changes in company policy or an increase in the volume of work.</w:t>
      </w:r>
      <w:r w:rsidR="00116ABA">
        <w:t xml:space="preserve"> </w:t>
      </w:r>
    </w:p>
    <w:p w:rsidR="00AB6F19" w:rsidRDefault="00B03C20" w:rsidP="00AB6F19">
      <w:pPr>
        <w:pStyle w:val="Heading2"/>
      </w:pPr>
      <w:bookmarkStart w:id="5" w:name="_Toc134660026"/>
      <w:r>
        <w:t>Measuring Change Management Performance</w:t>
      </w:r>
      <w:bookmarkEnd w:id="5"/>
      <w:r>
        <w:t xml:space="preserve"> </w:t>
      </w:r>
    </w:p>
    <w:p w:rsidR="00B03C20" w:rsidRDefault="004748F7" w:rsidP="00B03C20">
      <w:r w:rsidRPr="004748F7">
        <w:t>The last thing that will be judged is how well change management is done. The KPIs in this group are tied to the steps that the team in charge of change management is supposed to take. Even if it is helpful to keep an eye on these activities, it is important to look at the other two outcome-oriented areas of person and project success to see if the change management activities are working (Roe</w:t>
      </w:r>
      <w:r w:rsidR="0047588C">
        <w:t xml:space="preserve"> </w:t>
      </w:r>
      <w:r w:rsidR="0047588C" w:rsidRPr="0047588C">
        <w:rPr>
          <w:i/>
          <w:iCs/>
        </w:rPr>
        <w:t>and</w:t>
      </w:r>
      <w:r w:rsidRPr="0047588C">
        <w:rPr>
          <w:i/>
          <w:iCs/>
        </w:rPr>
        <w:t xml:space="preserve"> et al.,</w:t>
      </w:r>
      <w:r w:rsidRPr="004748F7">
        <w:t xml:space="preserve"> 2021). Evaluating how well a business's change management team does its job is another way to figure out how change has affected a company. This means looking at how policy has changed in the past to see if those changes were good ones. Reviewing the success of change management may help improve future change management, but improving change management policies requires reviewing both </w:t>
      </w:r>
      <w:r w:rsidR="00C84CB5">
        <w:t>personal</w:t>
      </w:r>
      <w:r w:rsidRPr="004748F7">
        <w:t xml:space="preserve"> and group performance to get the desired results.</w:t>
      </w:r>
      <w:r>
        <w:t xml:space="preserve"> </w:t>
      </w:r>
      <w:r w:rsidR="00E85251">
        <w:t xml:space="preserve"> </w:t>
      </w:r>
    </w:p>
    <w:p w:rsidR="00200967" w:rsidRDefault="00200967" w:rsidP="00200967">
      <w:pPr>
        <w:pStyle w:val="Heading2"/>
      </w:pPr>
      <w:bookmarkStart w:id="6" w:name="_Toc134660027"/>
      <w:r>
        <w:t>Change Management Activity Effectiveness</w:t>
      </w:r>
      <w:bookmarkEnd w:id="6"/>
      <w:r>
        <w:t xml:space="preserve"> </w:t>
      </w:r>
    </w:p>
    <w:p w:rsidR="00200967" w:rsidRDefault="005E769F" w:rsidP="00200967">
      <w:r w:rsidRPr="005E769F">
        <w:t>Lastly, people looked at success by keeping track of acts that had to do with managing change. Since these actions are part of any planned project for managing change, no matter what kind of change is being managed, every change strategy could gain from using them (Yue, Men, and Ferguson, 2019). When working on the next part, some of the most important things to keep track of are the change management activities that were carried out according to the plan, training tests and effectiveness measures, training participation and attendance numbers, communication delivery and effectiveness, and training tests and effectiveness measures.</w:t>
      </w:r>
      <w:r>
        <w:t xml:space="preserve"> </w:t>
      </w:r>
      <w:r w:rsidR="00E83F62">
        <w:t xml:space="preserve"> </w:t>
      </w:r>
      <w:r w:rsidR="00295B5D">
        <w:t xml:space="preserve"> </w:t>
      </w:r>
    </w:p>
    <w:p w:rsidR="00F96DFE" w:rsidRDefault="00F96DFE" w:rsidP="00200967"/>
    <w:p w:rsidR="00F96DFE" w:rsidRDefault="00F96DFE" w:rsidP="00200967"/>
    <w:p w:rsidR="00F96DFE" w:rsidRDefault="00F96DFE" w:rsidP="00F96DFE">
      <w:pPr>
        <w:pStyle w:val="Heading1"/>
      </w:pPr>
      <w:r>
        <w:br w:type="page"/>
      </w:r>
      <w:bookmarkStart w:id="7" w:name="_Toc134660028"/>
      <w:r>
        <w:t>REFERENCES</w:t>
      </w:r>
      <w:bookmarkEnd w:id="7"/>
      <w:r>
        <w:t xml:space="preserve"> </w:t>
      </w:r>
    </w:p>
    <w:p w:rsidR="00E37A41" w:rsidRPr="00FC532F" w:rsidRDefault="00E37A41" w:rsidP="00E37A41">
      <w:pPr>
        <w:ind w:left="720" w:hanging="720"/>
        <w:rPr>
          <w:szCs w:val="24"/>
          <w:shd w:val="clear" w:color="auto" w:fill="FFFFFF"/>
        </w:rPr>
      </w:pPr>
      <w:r w:rsidRPr="00FC532F">
        <w:rPr>
          <w:szCs w:val="24"/>
          <w:shd w:val="clear" w:color="auto" w:fill="FFFFFF"/>
        </w:rPr>
        <w:t>Arundel, A., Bloch, C. and Ferguson, B., 2019. Advancing innovation in the public sector: Aligning innovation measurement with policy goals. </w:t>
      </w:r>
      <w:r w:rsidRPr="00FC532F">
        <w:rPr>
          <w:i/>
          <w:iCs/>
          <w:szCs w:val="24"/>
          <w:shd w:val="clear" w:color="auto" w:fill="FFFFFF"/>
        </w:rPr>
        <w:t>Research policy</w:t>
      </w:r>
      <w:r w:rsidRPr="00FC532F">
        <w:rPr>
          <w:szCs w:val="24"/>
          <w:shd w:val="clear" w:color="auto" w:fill="FFFFFF"/>
        </w:rPr>
        <w:t>, </w:t>
      </w:r>
      <w:r w:rsidRPr="00FC532F">
        <w:rPr>
          <w:i/>
          <w:iCs/>
          <w:szCs w:val="24"/>
          <w:shd w:val="clear" w:color="auto" w:fill="FFFFFF"/>
        </w:rPr>
        <w:t>48</w:t>
      </w:r>
      <w:r w:rsidRPr="00FC532F">
        <w:rPr>
          <w:szCs w:val="24"/>
          <w:shd w:val="clear" w:color="auto" w:fill="FFFFFF"/>
        </w:rPr>
        <w:t xml:space="preserve">(3), pp.789-798. </w:t>
      </w:r>
    </w:p>
    <w:p w:rsidR="00E37A41" w:rsidRPr="00FC532F" w:rsidRDefault="00E37A41" w:rsidP="00E37A41">
      <w:pPr>
        <w:ind w:left="720" w:hanging="720"/>
        <w:rPr>
          <w:szCs w:val="24"/>
          <w:shd w:val="clear" w:color="auto" w:fill="FFFFFF"/>
        </w:rPr>
      </w:pPr>
      <w:r w:rsidRPr="00FC532F">
        <w:rPr>
          <w:szCs w:val="24"/>
          <w:shd w:val="clear" w:color="auto" w:fill="FFFFFF"/>
        </w:rPr>
        <w:t>By, R.T., 2021. Leadership: In pursuit of purpose. </w:t>
      </w:r>
      <w:r w:rsidRPr="00FC532F">
        <w:rPr>
          <w:i/>
          <w:iCs/>
          <w:szCs w:val="24"/>
          <w:shd w:val="clear" w:color="auto" w:fill="FFFFFF"/>
        </w:rPr>
        <w:t>Journal of Change Management</w:t>
      </w:r>
      <w:r w:rsidRPr="00FC532F">
        <w:rPr>
          <w:szCs w:val="24"/>
          <w:shd w:val="clear" w:color="auto" w:fill="FFFFFF"/>
        </w:rPr>
        <w:t>, </w:t>
      </w:r>
      <w:r w:rsidRPr="00FC532F">
        <w:rPr>
          <w:i/>
          <w:iCs/>
          <w:szCs w:val="24"/>
          <w:shd w:val="clear" w:color="auto" w:fill="FFFFFF"/>
        </w:rPr>
        <w:t>21</w:t>
      </w:r>
      <w:r w:rsidRPr="00FC532F">
        <w:rPr>
          <w:szCs w:val="24"/>
          <w:shd w:val="clear" w:color="auto" w:fill="FFFFFF"/>
        </w:rPr>
        <w:t xml:space="preserve">(1), pp.30-44. </w:t>
      </w:r>
    </w:p>
    <w:p w:rsidR="00E37A41" w:rsidRPr="00FC532F" w:rsidRDefault="00E37A41" w:rsidP="00E37A41">
      <w:pPr>
        <w:ind w:left="720" w:hanging="720"/>
        <w:rPr>
          <w:szCs w:val="24"/>
          <w:shd w:val="clear" w:color="auto" w:fill="FFFFFF"/>
        </w:rPr>
      </w:pPr>
      <w:r w:rsidRPr="00FC532F">
        <w:rPr>
          <w:szCs w:val="24"/>
          <w:shd w:val="clear" w:color="auto" w:fill="FFFFFF"/>
        </w:rPr>
        <w:t>Cameron, E. and Green, M., 2019. </w:t>
      </w:r>
      <w:r w:rsidRPr="00FC532F">
        <w:rPr>
          <w:i/>
          <w:iCs/>
          <w:szCs w:val="24"/>
          <w:shd w:val="clear" w:color="auto" w:fill="FFFFFF"/>
        </w:rPr>
        <w:t>Making sense of change management: A complete guide to the models, tools and techniques of organizational change</w:t>
      </w:r>
      <w:r w:rsidRPr="00FC532F">
        <w:rPr>
          <w:szCs w:val="24"/>
          <w:shd w:val="clear" w:color="auto" w:fill="FFFFFF"/>
        </w:rPr>
        <w:t xml:space="preserve">. Kogan Page Publishers. </w:t>
      </w:r>
    </w:p>
    <w:p w:rsidR="00E37A41" w:rsidRPr="00FC532F" w:rsidRDefault="00E37A41" w:rsidP="00E37A41">
      <w:pPr>
        <w:ind w:left="720" w:hanging="720"/>
        <w:rPr>
          <w:szCs w:val="24"/>
          <w:shd w:val="clear" w:color="auto" w:fill="FFFFFF"/>
        </w:rPr>
      </w:pPr>
      <w:r w:rsidRPr="00FC532F">
        <w:rPr>
          <w:szCs w:val="24"/>
          <w:shd w:val="clear" w:color="auto" w:fill="FFFFFF"/>
        </w:rPr>
        <w:t>Kelly, L.M. and Reid, C., 2021. Baselines and monitoring: More than a means to measure the end. </w:t>
      </w:r>
      <w:r w:rsidRPr="00FC532F">
        <w:rPr>
          <w:i/>
          <w:iCs/>
          <w:szCs w:val="24"/>
          <w:shd w:val="clear" w:color="auto" w:fill="FFFFFF"/>
        </w:rPr>
        <w:t>Evaluation Journal of Australasia</w:t>
      </w:r>
      <w:r w:rsidRPr="00FC532F">
        <w:rPr>
          <w:szCs w:val="24"/>
          <w:shd w:val="clear" w:color="auto" w:fill="FFFFFF"/>
        </w:rPr>
        <w:t>, </w:t>
      </w:r>
      <w:r w:rsidRPr="00FC532F">
        <w:rPr>
          <w:i/>
          <w:iCs/>
          <w:szCs w:val="24"/>
          <w:shd w:val="clear" w:color="auto" w:fill="FFFFFF"/>
        </w:rPr>
        <w:t>21</w:t>
      </w:r>
      <w:r w:rsidRPr="00FC532F">
        <w:rPr>
          <w:szCs w:val="24"/>
          <w:shd w:val="clear" w:color="auto" w:fill="FFFFFF"/>
        </w:rPr>
        <w:t xml:space="preserve">(1), pp.40-53. </w:t>
      </w:r>
    </w:p>
    <w:p w:rsidR="00E37A41" w:rsidRPr="00FC532F" w:rsidRDefault="00E37A41" w:rsidP="00E37A41">
      <w:pPr>
        <w:ind w:left="720" w:hanging="720"/>
        <w:rPr>
          <w:szCs w:val="24"/>
          <w:shd w:val="clear" w:color="auto" w:fill="FFFFFF"/>
        </w:rPr>
      </w:pPr>
      <w:r w:rsidRPr="00FC532F">
        <w:rPr>
          <w:szCs w:val="24"/>
          <w:shd w:val="clear" w:color="auto" w:fill="FFFFFF"/>
        </w:rPr>
        <w:t xml:space="preserve">Klimas, E., 2020. Sustainable development and urban planning regulations in the context of climate change management measures. </w:t>
      </w:r>
    </w:p>
    <w:p w:rsidR="00E37A41" w:rsidRPr="00FC532F" w:rsidRDefault="00E37A41" w:rsidP="00E37A41">
      <w:pPr>
        <w:ind w:left="720" w:hanging="720"/>
        <w:rPr>
          <w:szCs w:val="24"/>
          <w:shd w:val="clear" w:color="auto" w:fill="FFFFFF"/>
        </w:rPr>
      </w:pPr>
      <w:r w:rsidRPr="00FC532F">
        <w:rPr>
          <w:szCs w:val="24"/>
          <w:shd w:val="clear" w:color="auto" w:fill="FFFFFF"/>
        </w:rPr>
        <w:t>Mishra, L., Gupta, T. and Shree, A., 2020. Online teaching-learning in higher education during lockdown period of COVID-19 pandemic. </w:t>
      </w:r>
      <w:r w:rsidRPr="00FC532F">
        <w:rPr>
          <w:i/>
          <w:iCs/>
          <w:szCs w:val="24"/>
          <w:shd w:val="clear" w:color="auto" w:fill="FFFFFF"/>
        </w:rPr>
        <w:t>International Journal of Educational Research Open</w:t>
      </w:r>
      <w:r w:rsidRPr="00FC532F">
        <w:rPr>
          <w:szCs w:val="24"/>
          <w:shd w:val="clear" w:color="auto" w:fill="FFFFFF"/>
        </w:rPr>
        <w:t>, </w:t>
      </w:r>
      <w:r w:rsidRPr="00FC532F">
        <w:rPr>
          <w:i/>
          <w:iCs/>
          <w:szCs w:val="24"/>
          <w:shd w:val="clear" w:color="auto" w:fill="FFFFFF"/>
        </w:rPr>
        <w:t>1</w:t>
      </w:r>
      <w:r w:rsidRPr="00FC532F">
        <w:rPr>
          <w:szCs w:val="24"/>
          <w:shd w:val="clear" w:color="auto" w:fill="FFFFFF"/>
        </w:rPr>
        <w:t xml:space="preserve">, p.100012. </w:t>
      </w:r>
    </w:p>
    <w:p w:rsidR="00E37A41" w:rsidRPr="00FC532F" w:rsidRDefault="00E37A41" w:rsidP="00E37A41">
      <w:pPr>
        <w:ind w:left="720" w:hanging="720"/>
        <w:rPr>
          <w:szCs w:val="24"/>
          <w:shd w:val="clear" w:color="auto" w:fill="FFFFFF"/>
        </w:rPr>
      </w:pPr>
      <w:r w:rsidRPr="00FC532F">
        <w:rPr>
          <w:szCs w:val="24"/>
          <w:shd w:val="clear" w:color="auto" w:fill="FFFFFF"/>
        </w:rPr>
        <w:t xml:space="preserve">Roe, S., and </w:t>
      </w:r>
      <w:r w:rsidRPr="00FC532F">
        <w:rPr>
          <w:i/>
          <w:iCs/>
          <w:szCs w:val="24"/>
          <w:shd w:val="clear" w:color="auto" w:fill="FFFFFF"/>
        </w:rPr>
        <w:t>et al.</w:t>
      </w:r>
      <w:r w:rsidRPr="00FC532F">
        <w:rPr>
          <w:szCs w:val="24"/>
          <w:shd w:val="clear" w:color="auto" w:fill="FFFFFF"/>
        </w:rPr>
        <w:t xml:space="preserve"> 2021. Land‐based measures to mitigate climate change: Potential and feasibility by country. </w:t>
      </w:r>
      <w:r w:rsidRPr="00FC532F">
        <w:rPr>
          <w:i/>
          <w:iCs/>
          <w:szCs w:val="24"/>
          <w:shd w:val="clear" w:color="auto" w:fill="FFFFFF"/>
        </w:rPr>
        <w:t>Global Change Biology</w:t>
      </w:r>
      <w:r w:rsidRPr="00FC532F">
        <w:rPr>
          <w:szCs w:val="24"/>
          <w:shd w:val="clear" w:color="auto" w:fill="FFFFFF"/>
        </w:rPr>
        <w:t>, </w:t>
      </w:r>
      <w:r w:rsidRPr="00FC532F">
        <w:rPr>
          <w:i/>
          <w:iCs/>
          <w:szCs w:val="24"/>
          <w:shd w:val="clear" w:color="auto" w:fill="FFFFFF"/>
        </w:rPr>
        <w:t>27</w:t>
      </w:r>
      <w:r w:rsidRPr="00FC532F">
        <w:rPr>
          <w:szCs w:val="24"/>
          <w:shd w:val="clear" w:color="auto" w:fill="FFFFFF"/>
        </w:rPr>
        <w:t xml:space="preserve">(23), pp.6025-6058. </w:t>
      </w:r>
    </w:p>
    <w:p w:rsidR="00E37A41" w:rsidRPr="00FC532F" w:rsidRDefault="00E37A41" w:rsidP="00E37A41">
      <w:pPr>
        <w:ind w:left="720" w:hanging="720"/>
        <w:rPr>
          <w:szCs w:val="24"/>
          <w:shd w:val="clear" w:color="auto" w:fill="FFFFFF"/>
        </w:rPr>
      </w:pPr>
      <w:r w:rsidRPr="00FC532F">
        <w:rPr>
          <w:szCs w:val="24"/>
          <w:shd w:val="clear" w:color="auto" w:fill="FFFFFF"/>
        </w:rPr>
        <w:t xml:space="preserve">Shahul Hameed, N.S., </w:t>
      </w:r>
      <w:r w:rsidRPr="00E37A41">
        <w:rPr>
          <w:szCs w:val="24"/>
          <w:shd w:val="clear" w:color="auto" w:fill="FFFFFF"/>
        </w:rPr>
        <w:t xml:space="preserve">and </w:t>
      </w:r>
      <w:r w:rsidRPr="00E37A41">
        <w:rPr>
          <w:i/>
          <w:iCs/>
          <w:szCs w:val="24"/>
          <w:shd w:val="clear" w:color="auto" w:fill="FFFFFF"/>
        </w:rPr>
        <w:t>et al.</w:t>
      </w:r>
      <w:r w:rsidRPr="00E37A41">
        <w:rPr>
          <w:szCs w:val="24"/>
          <w:shd w:val="clear" w:color="auto" w:fill="FFFFFF"/>
        </w:rPr>
        <w:t xml:space="preserve"> </w:t>
      </w:r>
      <w:r w:rsidRPr="00FC532F">
        <w:rPr>
          <w:szCs w:val="24"/>
          <w:shd w:val="clear" w:color="auto" w:fill="FFFFFF"/>
        </w:rPr>
        <w:t>2022. The impact of business process reengineering on organizational performance during the coronavirus pandemic: moderating role of strategic thinking. </w:t>
      </w:r>
      <w:r w:rsidRPr="00FC532F">
        <w:rPr>
          <w:i/>
          <w:iCs/>
          <w:szCs w:val="24"/>
          <w:shd w:val="clear" w:color="auto" w:fill="FFFFFF"/>
        </w:rPr>
        <w:t>Foresight</w:t>
      </w:r>
      <w:r w:rsidRPr="00FC532F">
        <w:rPr>
          <w:szCs w:val="24"/>
          <w:shd w:val="clear" w:color="auto" w:fill="FFFFFF"/>
        </w:rPr>
        <w:t>, </w:t>
      </w:r>
      <w:r w:rsidRPr="00FC532F">
        <w:rPr>
          <w:i/>
          <w:iCs/>
          <w:szCs w:val="24"/>
          <w:shd w:val="clear" w:color="auto" w:fill="FFFFFF"/>
        </w:rPr>
        <w:t>24</w:t>
      </w:r>
      <w:r w:rsidRPr="00FC532F">
        <w:rPr>
          <w:szCs w:val="24"/>
          <w:shd w:val="clear" w:color="auto" w:fill="FFFFFF"/>
        </w:rPr>
        <w:t xml:space="preserve">(5), pp.637-655. </w:t>
      </w:r>
    </w:p>
    <w:p w:rsidR="00E37A41" w:rsidRPr="00FC532F" w:rsidRDefault="00E37A41" w:rsidP="00E37A41">
      <w:pPr>
        <w:ind w:left="720" w:hanging="720"/>
        <w:rPr>
          <w:szCs w:val="24"/>
          <w:shd w:val="clear" w:color="auto" w:fill="FFFFFF"/>
        </w:rPr>
      </w:pPr>
      <w:r w:rsidRPr="00FC532F">
        <w:rPr>
          <w:szCs w:val="24"/>
          <w:shd w:val="clear" w:color="auto" w:fill="FFFFFF"/>
        </w:rPr>
        <w:t>Yue, C.A., Men, L.R. and Ferguson, M.A., 2019. Bridging transformational leadership, transparent communication, and employee openness to change: The mediating role of trust. </w:t>
      </w:r>
      <w:r w:rsidRPr="00FC532F">
        <w:rPr>
          <w:i/>
          <w:iCs/>
          <w:szCs w:val="24"/>
          <w:shd w:val="clear" w:color="auto" w:fill="FFFFFF"/>
        </w:rPr>
        <w:t>Public relations review</w:t>
      </w:r>
      <w:r w:rsidRPr="00FC532F">
        <w:rPr>
          <w:szCs w:val="24"/>
          <w:shd w:val="clear" w:color="auto" w:fill="FFFFFF"/>
        </w:rPr>
        <w:t>, </w:t>
      </w:r>
      <w:r w:rsidRPr="00FC532F">
        <w:rPr>
          <w:i/>
          <w:iCs/>
          <w:szCs w:val="24"/>
          <w:shd w:val="clear" w:color="auto" w:fill="FFFFFF"/>
        </w:rPr>
        <w:t>45</w:t>
      </w:r>
      <w:r w:rsidRPr="00FC532F">
        <w:rPr>
          <w:szCs w:val="24"/>
          <w:shd w:val="clear" w:color="auto" w:fill="FFFFFF"/>
        </w:rPr>
        <w:t xml:space="preserve">(3), p.101779. </w:t>
      </w:r>
    </w:p>
    <w:p w:rsidR="001962E3" w:rsidRPr="00F96DFE" w:rsidRDefault="001962E3" w:rsidP="00F96DFE"/>
    <w:p w:rsidR="00E37A41" w:rsidRDefault="007336AA" w:rsidP="00E37A41">
      <w:r>
        <w:t xml:space="preserve"> </w:t>
      </w:r>
    </w:p>
    <w:p w:rsidR="00E37A41" w:rsidRPr="00D47B07" w:rsidRDefault="00E37A41" w:rsidP="00CD74FA"/>
    <w:sectPr w:rsidR="00E37A41" w:rsidRPr="00D47B07" w:rsidSect="00ED728A">
      <w:footerReference w:type="default" r:id="rId14"/>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4AD5" w:rsidRDefault="00CA4AD5" w:rsidP="00183300">
      <w:pPr>
        <w:spacing w:line="240" w:lineRule="auto"/>
      </w:pPr>
      <w:r>
        <w:separator/>
      </w:r>
    </w:p>
  </w:endnote>
  <w:endnote w:type="continuationSeparator" w:id="0">
    <w:p w:rsidR="00CA4AD5" w:rsidRDefault="00CA4AD5" w:rsidP="00183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79D3" w:rsidRDefault="00FD7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0667" w:rsidRDefault="00270667">
    <w:pPr>
      <w:pStyle w:val="Footer"/>
      <w:jc w:val="center"/>
    </w:pPr>
  </w:p>
  <w:p w:rsidR="00183300" w:rsidRDefault="001833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79D3" w:rsidRDefault="00FD79D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0667" w:rsidRDefault="00270667">
    <w:pPr>
      <w:pStyle w:val="Footer"/>
      <w:jc w:val="center"/>
    </w:pPr>
    <w:r>
      <w:fldChar w:fldCharType="begin"/>
    </w:r>
    <w:r>
      <w:instrText xml:space="preserve"> PAGE   \* MERGEFORMAT </w:instrText>
    </w:r>
    <w:r>
      <w:fldChar w:fldCharType="separate"/>
    </w:r>
    <w:r>
      <w:rPr>
        <w:noProof/>
      </w:rPr>
      <w:t>1</w:t>
    </w:r>
    <w:r>
      <w:fldChar w:fldCharType="end"/>
    </w:r>
  </w:p>
  <w:p w:rsidR="00270667" w:rsidRDefault="00270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4AD5" w:rsidRDefault="00CA4AD5" w:rsidP="00183300">
      <w:pPr>
        <w:spacing w:line="240" w:lineRule="auto"/>
      </w:pPr>
      <w:r>
        <w:separator/>
      </w:r>
    </w:p>
  </w:footnote>
  <w:footnote w:type="continuationSeparator" w:id="0">
    <w:p w:rsidR="00CA4AD5" w:rsidRDefault="00CA4AD5" w:rsidP="001833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79D3" w:rsidRDefault="00FD79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79D3" w:rsidRDefault="00FD79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79D3" w:rsidRDefault="00FD79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98762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2E0"/>
    <w:rsid w:val="00026427"/>
    <w:rsid w:val="0008219C"/>
    <w:rsid w:val="000A1E2D"/>
    <w:rsid w:val="000A69A7"/>
    <w:rsid w:val="000D4512"/>
    <w:rsid w:val="00116ABA"/>
    <w:rsid w:val="00152611"/>
    <w:rsid w:val="00173F21"/>
    <w:rsid w:val="0017528B"/>
    <w:rsid w:val="00183300"/>
    <w:rsid w:val="001962E3"/>
    <w:rsid w:val="001E40B8"/>
    <w:rsid w:val="001F66A7"/>
    <w:rsid w:val="00200967"/>
    <w:rsid w:val="00211B49"/>
    <w:rsid w:val="00257C75"/>
    <w:rsid w:val="00270667"/>
    <w:rsid w:val="00275590"/>
    <w:rsid w:val="00295B5D"/>
    <w:rsid w:val="002C7F2B"/>
    <w:rsid w:val="002D5597"/>
    <w:rsid w:val="00331B29"/>
    <w:rsid w:val="003828ED"/>
    <w:rsid w:val="00416D13"/>
    <w:rsid w:val="00432F78"/>
    <w:rsid w:val="00450E3D"/>
    <w:rsid w:val="00473094"/>
    <w:rsid w:val="004748F7"/>
    <w:rsid w:val="0047588C"/>
    <w:rsid w:val="004C323D"/>
    <w:rsid w:val="0050237B"/>
    <w:rsid w:val="00583BC1"/>
    <w:rsid w:val="005E769F"/>
    <w:rsid w:val="005E7BA2"/>
    <w:rsid w:val="006409AA"/>
    <w:rsid w:val="006426F6"/>
    <w:rsid w:val="00686039"/>
    <w:rsid w:val="006E01DD"/>
    <w:rsid w:val="006E1692"/>
    <w:rsid w:val="007054C4"/>
    <w:rsid w:val="007336AA"/>
    <w:rsid w:val="00751B7F"/>
    <w:rsid w:val="00771958"/>
    <w:rsid w:val="00786927"/>
    <w:rsid w:val="007B2F3B"/>
    <w:rsid w:val="007B3551"/>
    <w:rsid w:val="007B63FF"/>
    <w:rsid w:val="007E0296"/>
    <w:rsid w:val="007E55E3"/>
    <w:rsid w:val="007E76FA"/>
    <w:rsid w:val="007F174D"/>
    <w:rsid w:val="00804E0F"/>
    <w:rsid w:val="00811CB9"/>
    <w:rsid w:val="00817AB4"/>
    <w:rsid w:val="0087223E"/>
    <w:rsid w:val="00872A3B"/>
    <w:rsid w:val="00890EF4"/>
    <w:rsid w:val="008E1FDA"/>
    <w:rsid w:val="0090669E"/>
    <w:rsid w:val="009376B8"/>
    <w:rsid w:val="009758E2"/>
    <w:rsid w:val="0099406C"/>
    <w:rsid w:val="009B1194"/>
    <w:rsid w:val="00A15D1F"/>
    <w:rsid w:val="00A3052F"/>
    <w:rsid w:val="00A469AE"/>
    <w:rsid w:val="00AA177C"/>
    <w:rsid w:val="00AB6F19"/>
    <w:rsid w:val="00AE4E22"/>
    <w:rsid w:val="00AF7E59"/>
    <w:rsid w:val="00B03C20"/>
    <w:rsid w:val="00B35937"/>
    <w:rsid w:val="00BB0DE2"/>
    <w:rsid w:val="00BD1C2E"/>
    <w:rsid w:val="00C35196"/>
    <w:rsid w:val="00C45901"/>
    <w:rsid w:val="00C46F8D"/>
    <w:rsid w:val="00C67696"/>
    <w:rsid w:val="00C842E0"/>
    <w:rsid w:val="00C84CB5"/>
    <w:rsid w:val="00C87B86"/>
    <w:rsid w:val="00CA4AD5"/>
    <w:rsid w:val="00CC77CE"/>
    <w:rsid w:val="00CD2BFB"/>
    <w:rsid w:val="00CD74FA"/>
    <w:rsid w:val="00CF6F44"/>
    <w:rsid w:val="00D47B07"/>
    <w:rsid w:val="00D51C1A"/>
    <w:rsid w:val="00D70682"/>
    <w:rsid w:val="00D974AD"/>
    <w:rsid w:val="00E20E57"/>
    <w:rsid w:val="00E37A41"/>
    <w:rsid w:val="00E6316D"/>
    <w:rsid w:val="00E83F62"/>
    <w:rsid w:val="00E85251"/>
    <w:rsid w:val="00EA15E2"/>
    <w:rsid w:val="00EA631E"/>
    <w:rsid w:val="00ED728A"/>
    <w:rsid w:val="00EF7EBD"/>
    <w:rsid w:val="00F0627A"/>
    <w:rsid w:val="00F86AC6"/>
    <w:rsid w:val="00F96DFE"/>
    <w:rsid w:val="00FB2A25"/>
    <w:rsid w:val="00FC532F"/>
    <w:rsid w:val="00FD7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30EBE5C5-CA73-944B-8A2B-2EBAD16D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0A69A7"/>
    <w:pPr>
      <w:keepNext/>
      <w:keepLines/>
      <w:spacing w:before="113"/>
      <w:outlineLvl w:val="0"/>
    </w:pPr>
    <w:rPr>
      <w:rFonts w:eastAsia="Times New Roman"/>
      <w:b/>
      <w:bCs/>
      <w:sz w:val="28"/>
      <w:szCs w:val="28"/>
    </w:rPr>
  </w:style>
  <w:style w:type="paragraph" w:styleId="Heading2">
    <w:name w:val="heading 2"/>
    <w:basedOn w:val="Normal"/>
    <w:next w:val="Normal"/>
    <w:qFormat/>
    <w:rsid w:val="000A69A7"/>
    <w:pPr>
      <w:keepNext/>
      <w:keepLines/>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qFormat/>
    <w:pPr>
      <w:suppressAutoHyphens w:val="0"/>
      <w:spacing w:after="200" w:line="276" w:lineRule="auto"/>
      <w:ind w:left="720"/>
      <w:jc w:val="left"/>
    </w:pPr>
    <w:rPr>
      <w:rFonts w:ascii="Calibri" w:hAnsi="Calibri" w:cs="Calibri"/>
      <w:color w:val="00000A"/>
      <w:sz w:val="2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TOCHeading">
    <w:name w:val="TOC Heading"/>
    <w:basedOn w:val="Heading1"/>
    <w:next w:val="Normal"/>
    <w:uiPriority w:val="39"/>
    <w:unhideWhenUsed/>
    <w:qFormat/>
    <w:rsid w:val="00890EF4"/>
    <w:pPr>
      <w:suppressAutoHyphens w:val="0"/>
      <w:spacing w:before="480" w:line="276" w:lineRule="auto"/>
      <w:jc w:val="left"/>
      <w:outlineLvl w:val="9"/>
    </w:pPr>
    <w:rPr>
      <w:rFonts w:ascii="Cambria" w:hAnsi="Cambria" w:cs="Mangal"/>
      <w:color w:val="365F9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452A5-FD01-495C-BBB1-D9CECD0041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1341</Words>
  <Characters>7647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8971</CharactersWithSpaces>
  <SharedDoc>false</SharedDoc>
  <HLinks>
    <vt:vector size="42" baseType="variant">
      <vt:variant>
        <vt:i4>1048627</vt:i4>
      </vt:variant>
      <vt:variant>
        <vt:i4>38</vt:i4>
      </vt:variant>
      <vt:variant>
        <vt:i4>0</vt:i4>
      </vt:variant>
      <vt:variant>
        <vt:i4>5</vt:i4>
      </vt:variant>
      <vt:variant>
        <vt:lpwstr/>
      </vt:variant>
      <vt:variant>
        <vt:lpwstr>_Toc134660028</vt:lpwstr>
      </vt:variant>
      <vt:variant>
        <vt:i4>1048627</vt:i4>
      </vt:variant>
      <vt:variant>
        <vt:i4>32</vt:i4>
      </vt:variant>
      <vt:variant>
        <vt:i4>0</vt:i4>
      </vt:variant>
      <vt:variant>
        <vt:i4>5</vt:i4>
      </vt:variant>
      <vt:variant>
        <vt:lpwstr/>
      </vt:variant>
      <vt:variant>
        <vt:lpwstr>_Toc134660027</vt:lpwstr>
      </vt:variant>
      <vt:variant>
        <vt:i4>1048627</vt:i4>
      </vt:variant>
      <vt:variant>
        <vt:i4>26</vt:i4>
      </vt:variant>
      <vt:variant>
        <vt:i4>0</vt:i4>
      </vt:variant>
      <vt:variant>
        <vt:i4>5</vt:i4>
      </vt:variant>
      <vt:variant>
        <vt:lpwstr/>
      </vt:variant>
      <vt:variant>
        <vt:lpwstr>_Toc134660026</vt:lpwstr>
      </vt:variant>
      <vt:variant>
        <vt:i4>1048627</vt:i4>
      </vt:variant>
      <vt:variant>
        <vt:i4>20</vt:i4>
      </vt:variant>
      <vt:variant>
        <vt:i4>0</vt:i4>
      </vt:variant>
      <vt:variant>
        <vt:i4>5</vt:i4>
      </vt:variant>
      <vt:variant>
        <vt:lpwstr/>
      </vt:variant>
      <vt:variant>
        <vt:lpwstr>_Toc134660025</vt:lpwstr>
      </vt:variant>
      <vt:variant>
        <vt:i4>1048627</vt:i4>
      </vt:variant>
      <vt:variant>
        <vt:i4>14</vt:i4>
      </vt:variant>
      <vt:variant>
        <vt:i4>0</vt:i4>
      </vt:variant>
      <vt:variant>
        <vt:i4>5</vt:i4>
      </vt:variant>
      <vt:variant>
        <vt:lpwstr/>
      </vt:variant>
      <vt:variant>
        <vt:lpwstr>_Toc134660024</vt:lpwstr>
      </vt:variant>
      <vt:variant>
        <vt:i4>1048627</vt:i4>
      </vt:variant>
      <vt:variant>
        <vt:i4>8</vt:i4>
      </vt:variant>
      <vt:variant>
        <vt:i4>0</vt:i4>
      </vt:variant>
      <vt:variant>
        <vt:i4>5</vt:i4>
      </vt:variant>
      <vt:variant>
        <vt:lpwstr/>
      </vt:variant>
      <vt:variant>
        <vt:lpwstr>_Toc134660023</vt:lpwstr>
      </vt:variant>
      <vt:variant>
        <vt:i4>1048627</vt:i4>
      </vt:variant>
      <vt:variant>
        <vt:i4>2</vt:i4>
      </vt:variant>
      <vt:variant>
        <vt:i4>0</vt:i4>
      </vt:variant>
      <vt:variant>
        <vt:i4>5</vt:i4>
      </vt:variant>
      <vt:variant>
        <vt:lpwstr/>
      </vt:variant>
      <vt:variant>
        <vt:lpwstr>_Toc134660022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dc:creator>
  <cp:keywords/>
  <cp:lastModifiedBy>Farman Ahmed</cp:lastModifiedBy>
  <cp:revision>2</cp:revision>
  <cp:lastPrinted>1601-01-01T00:00:00Z</cp:lastPrinted>
  <dcterms:created xsi:type="dcterms:W3CDTF">2023-05-10T21:41:00Z</dcterms:created>
  <dcterms:modified xsi:type="dcterms:W3CDTF">2023-05-10T21:41:00Z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b7ae6b8ba7adfa9142592c07accdfee3b53b58ed385307fdfaba576ec131f491</vt:lpwstr>
  </property>
</Properties>
</file>