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D3491" w14:textId="77777777" w:rsidR="00003A28" w:rsidRDefault="00003A28" w:rsidP="00003A28">
      <w:pPr>
        <w:pStyle w:val="Title"/>
      </w:pPr>
    </w:p>
    <w:p w14:paraId="0108ABF0" w14:textId="77777777" w:rsidR="00003A28" w:rsidRDefault="00003A28" w:rsidP="00003A28">
      <w:pPr>
        <w:pStyle w:val="Title"/>
      </w:pPr>
    </w:p>
    <w:p w14:paraId="019E7F1B" w14:textId="77777777" w:rsidR="00003A28" w:rsidRDefault="00003A28" w:rsidP="00003A28">
      <w:pPr>
        <w:pStyle w:val="Title"/>
      </w:pPr>
    </w:p>
    <w:p w14:paraId="761DC34D" w14:textId="77777777" w:rsidR="00003A28" w:rsidRDefault="00003A28" w:rsidP="00003A28">
      <w:pPr>
        <w:pStyle w:val="Title"/>
      </w:pPr>
    </w:p>
    <w:p w14:paraId="4BEE4029" w14:textId="513CBA97" w:rsidR="005B1BE6" w:rsidRDefault="005B1BE6" w:rsidP="005B1BE6">
      <w:pPr>
        <w:pStyle w:val="Title"/>
        <w:tabs>
          <w:tab w:val="left" w:pos="3816"/>
        </w:tabs>
      </w:pPr>
      <w:r>
        <w:t>NAME – HARDEEP KAUR</w:t>
      </w:r>
    </w:p>
    <w:p w14:paraId="7B46FD0E" w14:textId="40CE6E25" w:rsidR="005B1BE6" w:rsidRDefault="005B1BE6" w:rsidP="005B1BE6">
      <w:pPr>
        <w:jc w:val="center"/>
      </w:pPr>
      <w:r>
        <w:t>STUDENT ID -2236243</w:t>
      </w:r>
    </w:p>
    <w:p w14:paraId="04B31CFE" w14:textId="77777777" w:rsidR="005B1BE6" w:rsidRPr="005B1BE6" w:rsidRDefault="005B1BE6" w:rsidP="005B1BE6"/>
    <w:p w14:paraId="482F18B9" w14:textId="77777777" w:rsidR="005B1BE6" w:rsidRDefault="005B1BE6">
      <w:pPr>
        <w:spacing w:line="259" w:lineRule="auto"/>
        <w:jc w:val="left"/>
        <w:rPr>
          <w:rFonts w:eastAsiaTheme="majorEastAsia" w:cstheme="majorBidi"/>
          <w:b/>
          <w:spacing w:val="-10"/>
          <w:kern w:val="28"/>
          <w:sz w:val="36"/>
          <w:szCs w:val="56"/>
        </w:rPr>
      </w:pPr>
      <w:r>
        <w:br w:type="page"/>
      </w:r>
    </w:p>
    <w:p w14:paraId="164F49B0" w14:textId="00A23257" w:rsidR="005B1BE6" w:rsidRDefault="005B1BE6" w:rsidP="00003A28">
      <w:pPr>
        <w:pStyle w:val="Title"/>
      </w:pPr>
    </w:p>
    <w:p w14:paraId="6971DD6A" w14:textId="77777777" w:rsidR="005B1BE6" w:rsidRDefault="005B1BE6">
      <w:pPr>
        <w:spacing w:line="259" w:lineRule="auto"/>
        <w:jc w:val="left"/>
        <w:rPr>
          <w:rFonts w:eastAsiaTheme="majorEastAsia" w:cstheme="majorBidi"/>
          <w:b/>
          <w:spacing w:val="-10"/>
          <w:kern w:val="28"/>
          <w:sz w:val="36"/>
          <w:szCs w:val="56"/>
        </w:rPr>
      </w:pPr>
      <w:r>
        <w:br w:type="page"/>
      </w:r>
    </w:p>
    <w:p w14:paraId="5AAB81DF" w14:textId="77777777" w:rsidR="00003A28" w:rsidRDefault="00003A28" w:rsidP="00003A28">
      <w:pPr>
        <w:pStyle w:val="Title"/>
      </w:pPr>
    </w:p>
    <w:p w14:paraId="088BE785" w14:textId="77777777" w:rsidR="00003A28" w:rsidRDefault="00003A28" w:rsidP="00003A28">
      <w:pPr>
        <w:pStyle w:val="Title"/>
      </w:pPr>
    </w:p>
    <w:p w14:paraId="285A41E2" w14:textId="77777777" w:rsidR="00003A28" w:rsidRDefault="00003A28" w:rsidP="00003A28">
      <w:pPr>
        <w:pStyle w:val="Title"/>
      </w:pPr>
    </w:p>
    <w:p w14:paraId="36F19878" w14:textId="77777777" w:rsidR="00003A28" w:rsidRDefault="00003A28" w:rsidP="00003A28">
      <w:pPr>
        <w:pStyle w:val="Title"/>
      </w:pPr>
    </w:p>
    <w:p w14:paraId="579B4E60" w14:textId="299E3F5D" w:rsidR="00F479E9" w:rsidRDefault="00511036" w:rsidP="00003A28">
      <w:pPr>
        <w:pStyle w:val="Title"/>
      </w:pPr>
      <w:r>
        <w:t>Blog 1: Critically discuss the impact of an existing digital technology currently used for a digital health promotion intervention</w:t>
      </w:r>
    </w:p>
    <w:p w14:paraId="581C6BA6" w14:textId="77777777" w:rsidR="00003A28" w:rsidRDefault="00003A28">
      <w:pPr>
        <w:spacing w:line="259" w:lineRule="auto"/>
        <w:jc w:val="left"/>
        <w:rPr>
          <w:rFonts w:eastAsiaTheme="majorEastAsia" w:cstheme="majorBidi"/>
          <w:b/>
          <w:color w:val="000000" w:themeColor="text1"/>
          <w:szCs w:val="32"/>
        </w:rPr>
      </w:pPr>
      <w:r>
        <w:br w:type="page"/>
      </w:r>
    </w:p>
    <w:p w14:paraId="368AF9C7" w14:textId="09C4A5E1" w:rsidR="00511036" w:rsidRDefault="00511036" w:rsidP="003F150F">
      <w:pPr>
        <w:pStyle w:val="Heading1"/>
      </w:pPr>
      <w:r>
        <w:lastRenderedPageBreak/>
        <w:t xml:space="preserve">Title: The impact of Mobile Health App in Addressing Cardiovascular Disease </w:t>
      </w:r>
    </w:p>
    <w:p w14:paraId="5139EEA2" w14:textId="2F2A7126" w:rsidR="00511036" w:rsidRDefault="00511036" w:rsidP="003F150F">
      <w:pPr>
        <w:pStyle w:val="Heading1"/>
      </w:pPr>
      <w:r>
        <w:t>Introduction</w:t>
      </w:r>
    </w:p>
    <w:p w14:paraId="0A439BCB" w14:textId="6DD2F67E" w:rsidR="00511036" w:rsidRDefault="00511036" w:rsidP="00511036">
      <w:r>
        <w:t>Cardiovascular disease remained a noteworthy public health issue globally, contributing to considerable burden of mortality and morbidity. As per the World health organization, cardiovascular disease is the leading cause of death throughout the world, which is contributing to approximately 17.9 million deaths every year</w:t>
      </w:r>
      <w:r w:rsidR="003F150F">
        <w:t xml:space="preserve"> (</w:t>
      </w:r>
      <w:r w:rsidR="003F150F" w:rsidRPr="003F150F">
        <w:t>Sarwar</w:t>
      </w:r>
      <w:r w:rsidR="003F150F">
        <w:t xml:space="preserve"> </w:t>
      </w:r>
      <w:r w:rsidR="003F150F">
        <w:rPr>
          <w:i/>
          <w:iCs/>
        </w:rPr>
        <w:t>et al.</w:t>
      </w:r>
      <w:r w:rsidR="003F150F">
        <w:t xml:space="preserve"> 2018)</w:t>
      </w:r>
      <w:r>
        <w:t xml:space="preserve">. Addressing this public health issue need innovative approach and intervention. </w:t>
      </w:r>
      <w:r w:rsidR="003227B5">
        <w:t xml:space="preserve">The use of digital technologies in developing interventions suitable for addressing the chronic disease is becoming key concern. </w:t>
      </w:r>
      <w:r>
        <w:t xml:space="preserve">One such intervention, based on digital technology that has been focused here, is mobile health (mHealth) applications. </w:t>
      </w:r>
    </w:p>
    <w:p w14:paraId="1D7B69FB" w14:textId="71A77348" w:rsidR="00AC16FF" w:rsidRDefault="00AC16FF" w:rsidP="003F150F">
      <w:pPr>
        <w:pStyle w:val="Heading1"/>
      </w:pPr>
      <w:r>
        <w:t>Addressing cardiovascular disease</w:t>
      </w:r>
    </w:p>
    <w:p w14:paraId="3FFE824C" w14:textId="2839AF3A" w:rsidR="00AC16FF" w:rsidRDefault="00AC16FF" w:rsidP="00511036">
      <w:r>
        <w:t xml:space="preserve">The cardiovascular disease includes a range of conditions affecting heart and blood vessels, including heart attacks and strokes. Several lifestyle factors like poor diet, physical inactivity or smoking </w:t>
      </w:r>
      <w:proofErr w:type="gramStart"/>
      <w:r>
        <w:t>is</w:t>
      </w:r>
      <w:proofErr w:type="gramEnd"/>
      <w:r>
        <w:t xml:space="preserve"> contributing significantly to the development of the condition. The rise of smartphones has enhanced the availability of </w:t>
      </w:r>
      <w:proofErr w:type="gramStart"/>
      <w:r>
        <w:t>health related</w:t>
      </w:r>
      <w:proofErr w:type="gramEnd"/>
      <w:r>
        <w:t xml:space="preserve"> applications</w:t>
      </w:r>
      <w:r w:rsidR="003F150F">
        <w:t xml:space="preserve"> (</w:t>
      </w:r>
      <w:r w:rsidR="003F150F" w:rsidRPr="003F150F">
        <w:t>Schorr</w:t>
      </w:r>
      <w:r w:rsidR="003F150F">
        <w:t xml:space="preserve"> </w:t>
      </w:r>
      <w:r w:rsidR="003F150F">
        <w:rPr>
          <w:i/>
          <w:iCs/>
        </w:rPr>
        <w:t xml:space="preserve">et al. </w:t>
      </w:r>
      <w:r w:rsidR="003F150F">
        <w:t>2021)</w:t>
      </w:r>
      <w:r>
        <w:t xml:space="preserve">. In such a way, digital technology has become powerful tool in promoting cardiovascular health, by attempting to modify the lifestyle factors of the people at risk or potential cardiovascular patients. </w:t>
      </w:r>
    </w:p>
    <w:p w14:paraId="06C3420B" w14:textId="44A2AD25" w:rsidR="00AC16FF" w:rsidRDefault="00AC16FF" w:rsidP="003F150F">
      <w:pPr>
        <w:pStyle w:val="Heading1"/>
      </w:pPr>
      <w:r>
        <w:t>Utilization of Mobile Health App</w:t>
      </w:r>
    </w:p>
    <w:p w14:paraId="2FD93750" w14:textId="4ADF675A" w:rsidR="00AC16FF" w:rsidRDefault="00AC16FF" w:rsidP="00511036">
      <w:r>
        <w:t>The mobile health applications are playing vital role in health promotion through offering users personalized information, interactive features and tracking tools, those encourage healthy behaviours. These applications often offer features like activity tracking, medication reminder, nutritional guidance and advice from professionals for actively managing their cardiovascular health</w:t>
      </w:r>
      <w:r w:rsidR="003F150F">
        <w:t xml:space="preserve"> (</w:t>
      </w:r>
      <w:r w:rsidR="003F150F" w:rsidRPr="003F150F">
        <w:t>Sarwar</w:t>
      </w:r>
      <w:r w:rsidR="003F150F">
        <w:t xml:space="preserve"> </w:t>
      </w:r>
      <w:r w:rsidR="003F150F">
        <w:rPr>
          <w:i/>
          <w:iCs/>
        </w:rPr>
        <w:t>et al.</w:t>
      </w:r>
      <w:r w:rsidR="003F150F">
        <w:t xml:space="preserve"> 2018)</w:t>
      </w:r>
      <w:r>
        <w:t xml:space="preserve">. Additionally, these applications promote remote monitoring, enabling healthcare providers to intervene promptly, if required. </w:t>
      </w:r>
    </w:p>
    <w:p w14:paraId="3103B67A" w14:textId="717A4C07" w:rsidR="00AC16FF" w:rsidRDefault="00AC16FF" w:rsidP="003F150F">
      <w:pPr>
        <w:pStyle w:val="Heading1"/>
      </w:pPr>
      <w:r>
        <w:t>Evidence of Health promotion</w:t>
      </w:r>
    </w:p>
    <w:p w14:paraId="7BC3A751" w14:textId="5F096185" w:rsidR="00AC16FF" w:rsidRDefault="00AC16FF" w:rsidP="00511036">
      <w:r>
        <w:t xml:space="preserve">Several </w:t>
      </w:r>
      <w:r w:rsidR="00177012">
        <w:t>studies have</w:t>
      </w:r>
      <w:r>
        <w:t xml:space="preserve"> highlighted the positive impact of mobile health application on cardiovascular health. </w:t>
      </w:r>
      <w:r w:rsidR="00177012">
        <w:t xml:space="preserve">For instance, </w:t>
      </w:r>
      <w:r w:rsidR="00177012" w:rsidRPr="00177012">
        <w:t>Kelli</w:t>
      </w:r>
      <w:r w:rsidR="00177012">
        <w:t xml:space="preserve"> </w:t>
      </w:r>
      <w:r w:rsidR="00177012">
        <w:rPr>
          <w:i/>
          <w:iCs/>
        </w:rPr>
        <w:t xml:space="preserve">et al. </w:t>
      </w:r>
      <w:r w:rsidR="00177012">
        <w:t xml:space="preserve">(2017) revealed that use of mobile applications is relevant for improving lifestyle behaviour, which reduces cardiovascular disease risk. For instance, integrating self-monitoring of diet and physical activity with text messaging system can improve outcomes. </w:t>
      </w:r>
      <w:r w:rsidR="00177012">
        <w:lastRenderedPageBreak/>
        <w:t xml:space="preserve">Short term behaviour change </w:t>
      </w:r>
      <w:r w:rsidR="003F150F">
        <w:t>has</w:t>
      </w:r>
      <w:r w:rsidR="00177012">
        <w:t xml:space="preserve"> already been found with apps like Fitbit. </w:t>
      </w:r>
      <w:r w:rsidR="003F150F">
        <w:t xml:space="preserve">In another systematic review by </w:t>
      </w:r>
      <w:r w:rsidR="003F150F" w:rsidRPr="003F150F">
        <w:t>Gandhi</w:t>
      </w:r>
      <w:r w:rsidR="003F150F">
        <w:t xml:space="preserve"> </w:t>
      </w:r>
      <w:r w:rsidR="003F150F">
        <w:rPr>
          <w:i/>
          <w:iCs/>
        </w:rPr>
        <w:t xml:space="preserve">et al. </w:t>
      </w:r>
      <w:r w:rsidR="003F150F">
        <w:t xml:space="preserve">(2017) revealed that mHealth has increased adherence to medical therapy compared to usual care. Exercise goal, increased awareness of diet, ability of meeting blood pressure targets are improved with mHealth apps. </w:t>
      </w:r>
    </w:p>
    <w:p w14:paraId="53701B27" w14:textId="05E07404" w:rsidR="003F150F" w:rsidRDefault="003F150F" w:rsidP="003F150F">
      <w:pPr>
        <w:pStyle w:val="Heading1"/>
      </w:pPr>
      <w:r>
        <w:t xml:space="preserve">Impact </w:t>
      </w:r>
    </w:p>
    <w:p w14:paraId="0ECF653E" w14:textId="77F704A3" w:rsidR="003F150F" w:rsidRDefault="003F150F" w:rsidP="00511036">
      <w:r>
        <w:t>The benefits of mobile health apps in cardiovascular health promotion are evident, but there are noteworthy shortcomings. One key disadvantage is potential for health disparities, as people with limited access to smartphone or digital literacy can be excluded from these interventions. Additionally, quality and accuracy of health information offered by some application could vary, which leads to misinformation (</w:t>
      </w:r>
      <w:r w:rsidRPr="003F150F">
        <w:t>Sarwar</w:t>
      </w:r>
      <w:r>
        <w:t xml:space="preserve"> </w:t>
      </w:r>
      <w:r>
        <w:rPr>
          <w:i/>
          <w:iCs/>
        </w:rPr>
        <w:t>et al.</w:t>
      </w:r>
      <w:r>
        <w:t xml:space="preserve"> 2018).</w:t>
      </w:r>
    </w:p>
    <w:p w14:paraId="431D5D9B" w14:textId="0F5D4142" w:rsidR="003F150F" w:rsidRDefault="003F150F" w:rsidP="003F150F">
      <w:pPr>
        <w:pStyle w:val="Heading1"/>
      </w:pPr>
      <w:r>
        <w:t>Addressing shortfalls</w:t>
      </w:r>
    </w:p>
    <w:p w14:paraId="079D46F7" w14:textId="30FA7220" w:rsidR="003F150F" w:rsidRDefault="003F150F" w:rsidP="00511036">
      <w:r>
        <w:t xml:space="preserve">For addressing shortfall of inclusivity, additional effort is needed for ensuring equitable access to digital technology. Besides, standardized guidelines for evaluation of health apps </w:t>
      </w:r>
      <w:proofErr w:type="gramStart"/>
      <w:r>
        <w:t>is</w:t>
      </w:r>
      <w:proofErr w:type="gramEnd"/>
      <w:r>
        <w:t xml:space="preserve"> needed for reliability and accuracy. </w:t>
      </w:r>
    </w:p>
    <w:p w14:paraId="15EFA6CD" w14:textId="77777777" w:rsidR="00C66007" w:rsidRDefault="00C66007">
      <w:pPr>
        <w:spacing w:line="259" w:lineRule="auto"/>
        <w:jc w:val="left"/>
      </w:pPr>
    </w:p>
    <w:p w14:paraId="6DC4031C" w14:textId="77777777" w:rsidR="00C66007" w:rsidRDefault="00C66007">
      <w:pPr>
        <w:spacing w:line="259" w:lineRule="auto"/>
        <w:jc w:val="left"/>
      </w:pPr>
      <w:r>
        <w:br w:type="page"/>
      </w:r>
    </w:p>
    <w:p w14:paraId="2D8FDF44" w14:textId="77777777" w:rsidR="00C66007" w:rsidRPr="00C66007" w:rsidRDefault="00C66007" w:rsidP="00C66007">
      <w:pPr>
        <w:spacing w:after="0" w:line="240" w:lineRule="auto"/>
        <w:contextualSpacing/>
        <w:jc w:val="center"/>
        <w:rPr>
          <w:rFonts w:ascii="Calibri Light" w:eastAsia="Times New Roman" w:hAnsi="Calibri Light" w:cs="Raavi"/>
          <w:spacing w:val="-10"/>
          <w:kern w:val="28"/>
          <w:sz w:val="56"/>
          <w:szCs w:val="56"/>
          <w:lang w:val="en-IN"/>
          <w14:ligatures w14:val="standardContextual"/>
        </w:rPr>
      </w:pPr>
      <w:r w:rsidRPr="00C66007">
        <w:rPr>
          <w:rFonts w:ascii="Calibri Light" w:eastAsia="Times New Roman" w:hAnsi="Calibri Light" w:cs="Raavi"/>
          <w:spacing w:val="-10"/>
          <w:kern w:val="28"/>
          <w:sz w:val="56"/>
          <w:szCs w:val="56"/>
          <w:lang w:val="en-IN"/>
          <w14:ligatures w14:val="standardContextual"/>
        </w:rPr>
        <w:lastRenderedPageBreak/>
        <w:t>Blog 2: Cardiovascular Disease</w:t>
      </w:r>
    </w:p>
    <w:p w14:paraId="74CA99D5" w14:textId="77777777" w:rsidR="00C66007" w:rsidRPr="00C66007" w:rsidRDefault="00C66007" w:rsidP="00C66007">
      <w:pPr>
        <w:rPr>
          <w:rFonts w:eastAsia="Calibri" w:cs="Raavi"/>
          <w:kern w:val="2"/>
          <w:lang w:val="en-IN"/>
          <w14:ligatures w14:val="standardContextual"/>
        </w:rPr>
      </w:pPr>
      <w:r w:rsidRPr="00C66007">
        <w:rPr>
          <w:rFonts w:eastAsia="Calibri" w:cs="Raavi"/>
          <w:kern w:val="2"/>
          <w:lang w:val="en-IN"/>
          <w14:ligatures w14:val="standardContextual"/>
        </w:rPr>
        <w:t>Cardiovascular disease (CVD) is identified as a major public health problem and is considered a major burden in the UK health system (</w:t>
      </w:r>
      <w:r w:rsidRPr="00C66007">
        <w:rPr>
          <w:rFonts w:eastAsia="Calibri" w:cs="Raavi"/>
          <w:kern w:val="2"/>
          <w14:ligatures w14:val="standardContextual"/>
        </w:rPr>
        <w:t>Townsend et al. 2022)</w:t>
      </w:r>
      <w:r w:rsidRPr="00C66007">
        <w:rPr>
          <w:rFonts w:eastAsia="Calibri" w:cs="Raavi"/>
          <w:kern w:val="2"/>
          <w:lang w:val="en-IN"/>
          <w14:ligatures w14:val="standardContextual"/>
        </w:rPr>
        <w:t>. According to the report of the British Heart Foundation (2023), around 460 people die due to CVD. An estimated 7.6 million people are diagnosed with CVD or associated circulatory disease. The rate of hospital admission is around 260 numbers with an increasing factor of heart attacks. CVD is identified as the leading causal factor resulting in premature death. Therefore, it has been considered a major health issue in the UK.</w:t>
      </w:r>
    </w:p>
    <w:p w14:paraId="1B7C7F3C" w14:textId="77777777" w:rsidR="00C66007" w:rsidRPr="00C66007" w:rsidRDefault="00C66007" w:rsidP="00C66007">
      <w:pPr>
        <w:rPr>
          <w:rFonts w:eastAsia="Calibri" w:cs="Raavi"/>
          <w:kern w:val="2"/>
          <w:lang w:val="en-IN"/>
          <w14:ligatures w14:val="standardContextual"/>
        </w:rPr>
      </w:pPr>
      <w:r w:rsidRPr="00C66007">
        <w:rPr>
          <w:rFonts w:eastAsia="Calibri" w:cs="Raavi"/>
          <w:kern w:val="2"/>
          <w:lang w:val="en-IN"/>
          <w14:ligatures w14:val="standardContextual"/>
        </w:rPr>
        <w:t>Smartphone applications are identified as the major digital technology, which helps in strengthening health promotional activities. There is a wide range of smartphone applications available to address the ongoing prevalence of CVD. It is essential to promote adequate, and adherence towards effective healthy behaviours. The modified reason for smartphone application is identified as providing key support in improving the quality of life among people diagnosed with CVD and associated heart disease (</w:t>
      </w:r>
      <w:r w:rsidRPr="00C66007">
        <w:rPr>
          <w:rFonts w:eastAsia="Calibri" w:cs="Raavi"/>
          <w:kern w:val="2"/>
          <w14:ligatures w14:val="standardContextual"/>
        </w:rPr>
        <w:t xml:space="preserve">Villarreal and </w:t>
      </w:r>
      <w:proofErr w:type="spellStart"/>
      <w:r w:rsidRPr="00C66007">
        <w:rPr>
          <w:rFonts w:eastAsia="Calibri" w:cs="Raavi"/>
          <w:kern w:val="2"/>
          <w14:ligatures w14:val="standardContextual"/>
        </w:rPr>
        <w:t>Berbey</w:t>
      </w:r>
      <w:proofErr w:type="spellEnd"/>
      <w:r w:rsidRPr="00C66007">
        <w:rPr>
          <w:rFonts w:eastAsia="Calibri" w:cs="Raavi"/>
          <w:kern w:val="2"/>
          <w14:ligatures w14:val="standardContextual"/>
        </w:rPr>
        <w:t>-Alvarez 2020)</w:t>
      </w:r>
      <w:r w:rsidRPr="00C66007">
        <w:rPr>
          <w:rFonts w:eastAsia="Calibri" w:cs="Raavi"/>
          <w:kern w:val="2"/>
          <w:lang w:val="en-IN"/>
          <w14:ligatures w14:val="standardContextual"/>
        </w:rPr>
        <w:t xml:space="preserve">. The modified smartphone applications will have the potential to connect with remote devices for monitoring and storing health data. The facility of sharing the entire information with the healthcare professionals will help in providing real-time intervention, and consultation.  </w:t>
      </w:r>
    </w:p>
    <w:p w14:paraId="2EB2E054" w14:textId="3CBAFAF1" w:rsidR="00C66007" w:rsidRPr="00C66007" w:rsidRDefault="00C66007" w:rsidP="00C66007">
      <w:pPr>
        <w:rPr>
          <w:rFonts w:eastAsia="Calibri" w:cs="Raavi"/>
          <w:kern w:val="2"/>
          <w:lang w:val="en-IN"/>
          <w14:ligatures w14:val="standardContextual"/>
        </w:rPr>
      </w:pPr>
      <w:r w:rsidRPr="00C66007">
        <w:rPr>
          <w:rFonts w:eastAsia="Calibri" w:cs="Raavi"/>
          <w:kern w:val="2"/>
          <w:lang w:val="en-IN"/>
          <w14:ligatures w14:val="standardContextual"/>
        </w:rPr>
        <w:t>In addition to information sharing, and storing aspects, the application would also provide the needful education to the patients based on the evidence-based practices. The smartphone application would also help in detecting the electrical activity of the heart, which would help in providing potential information to healthcare practitioners. It will develop effective communication and potential relationships with the healthcare providers. The application would help in tracking, and monitoring chronic health conditions. The modified version of the application would provide the opportunity for customisation to the users (patients). Setting the</w:t>
      </w:r>
      <w:r w:rsidRPr="00C66007">
        <w:rPr>
          <w:rFonts w:eastAsia="Calibri" w:cs="Raavi"/>
          <w:kern w:val="2"/>
          <w:lang w:val="en-IN"/>
          <w14:ligatures w14:val="standardContextual"/>
        </w:rPr>
        <w:t xml:space="preserve"> </w:t>
      </w:r>
      <w:r w:rsidRPr="00C66007">
        <w:rPr>
          <w:rFonts w:eastAsia="Calibri" w:cs="Raavi"/>
          <w:kern w:val="2"/>
          <w:lang w:val="en-IN"/>
          <w14:ligatures w14:val="standardContextual"/>
        </w:rPr>
        <w:t>customised heart rate alerts for the considered, and mentioned higher, and lower readings. In addition, the alert system could also be set for exercise, diagnosis of heart diseases, along with other aspects of health issues (</w:t>
      </w:r>
      <w:r w:rsidRPr="00C66007">
        <w:rPr>
          <w:rFonts w:eastAsia="Calibri" w:cs="Raavi"/>
          <w:kern w:val="2"/>
          <w14:ligatures w14:val="standardContextual"/>
        </w:rPr>
        <w:t>Patterson et al. 2021)</w:t>
      </w:r>
      <w:r w:rsidRPr="00C66007">
        <w:rPr>
          <w:rFonts w:eastAsia="Calibri" w:cs="Raavi"/>
          <w:kern w:val="2"/>
          <w:lang w:val="en-IN"/>
          <w14:ligatures w14:val="standardContextual"/>
        </w:rPr>
        <w:t xml:space="preserve">. Although there are wide ranges of smartphone applications available in the market, there is an adequate need to introduce modified versions of smartphone applications. </w:t>
      </w:r>
    </w:p>
    <w:p w14:paraId="1F54C02C" w14:textId="77777777" w:rsidR="00C66007" w:rsidRPr="00C66007" w:rsidRDefault="00C66007" w:rsidP="00C66007">
      <w:pPr>
        <w:rPr>
          <w:rFonts w:eastAsia="Calibri" w:cs="Raavi"/>
          <w:kern w:val="2"/>
          <w:lang w:val="en-IN"/>
          <w14:ligatures w14:val="standardContextual"/>
        </w:rPr>
      </w:pPr>
      <w:r w:rsidRPr="00C66007">
        <w:rPr>
          <w:rFonts w:eastAsia="Calibri" w:cs="Raavi"/>
          <w:kern w:val="2"/>
          <w:lang w:val="en-IN"/>
          <w14:ligatures w14:val="standardContextual"/>
        </w:rPr>
        <w:lastRenderedPageBreak/>
        <w:t xml:space="preserve">The impact of a proposed modified version of the smartphone application will help in sharing and availing real-time information. People can manage, and impose self-management activities in enhancing the quality of life. The disadvantages include the technology challenge and may face challenges in utilising effectively to enhance their living outcomes. The shortfall could be addressed by providing brief training to increase awareness and knowledge about the effective utilisation of smartphone applications. The training may include a video that would include the overall manual and process of operating the application. In addition, a detailed manual is identified to have a significant impact on improving the health outcomes of people diagnosed or living with CVD. </w:t>
      </w:r>
    </w:p>
    <w:p w14:paraId="67C56DDE" w14:textId="115D20AB" w:rsidR="00C66007" w:rsidRDefault="00C66007" w:rsidP="00C66007">
      <w:pPr>
        <w:spacing w:line="259" w:lineRule="auto"/>
        <w:jc w:val="left"/>
        <w:rPr>
          <w:rFonts w:eastAsia="Calibri" w:cs="Raavi"/>
          <w:kern w:val="2"/>
          <w:lang w:val="en-IN"/>
          <w14:ligatures w14:val="standardContextual"/>
        </w:rPr>
      </w:pPr>
    </w:p>
    <w:p w14:paraId="659B9C5E" w14:textId="77777777" w:rsidR="00C66007" w:rsidRDefault="00C66007" w:rsidP="00C66007">
      <w:pPr>
        <w:spacing w:line="259" w:lineRule="auto"/>
        <w:jc w:val="left"/>
        <w:rPr>
          <w:rFonts w:eastAsia="Calibri" w:cs="Raavi"/>
          <w:kern w:val="2"/>
          <w:lang w:val="en-IN"/>
          <w14:ligatures w14:val="standardContextual"/>
        </w:rPr>
      </w:pPr>
    </w:p>
    <w:p w14:paraId="304537A9" w14:textId="77777777" w:rsidR="00C66007" w:rsidRDefault="00C66007" w:rsidP="00C66007">
      <w:pPr>
        <w:spacing w:line="259" w:lineRule="auto"/>
        <w:jc w:val="left"/>
      </w:pPr>
    </w:p>
    <w:p w14:paraId="12F8F58B" w14:textId="1A51B82F" w:rsidR="003F150F" w:rsidRDefault="00C66007" w:rsidP="00C66007">
      <w:pPr>
        <w:spacing w:line="259" w:lineRule="auto"/>
        <w:jc w:val="left"/>
      </w:pPr>
      <w:r>
        <w:rPr>
          <w:noProof/>
        </w:rPr>
        <w:drawing>
          <wp:inline distT="0" distB="0" distL="0" distR="0" wp14:anchorId="03037E7D" wp14:editId="4A7882E3">
            <wp:extent cx="5627370" cy="1579245"/>
            <wp:effectExtent l="0" t="0" r="0" b="1905"/>
            <wp:docPr id="1409324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27370" cy="1579245"/>
                    </a:xfrm>
                    <a:prstGeom prst="rect">
                      <a:avLst/>
                    </a:prstGeom>
                    <a:noFill/>
                  </pic:spPr>
                </pic:pic>
              </a:graphicData>
            </a:graphic>
          </wp:inline>
        </w:drawing>
      </w:r>
      <w:r w:rsidR="003F150F">
        <w:br w:type="page"/>
      </w:r>
    </w:p>
    <w:p w14:paraId="0E2EB5A0" w14:textId="62E5EB5C" w:rsidR="003F150F" w:rsidRDefault="003F150F" w:rsidP="003F150F">
      <w:pPr>
        <w:pStyle w:val="Heading1"/>
      </w:pPr>
      <w:r>
        <w:lastRenderedPageBreak/>
        <w:t>Reference List</w:t>
      </w:r>
    </w:p>
    <w:p w14:paraId="2F5029C7" w14:textId="77777777" w:rsidR="003F150F" w:rsidRPr="003F150F" w:rsidRDefault="003F150F" w:rsidP="003F150F">
      <w:r w:rsidRPr="003F150F">
        <w:t>Gandhi, S., Chen, S., Hong, L., Sun, K., Gong, E., Li, C., Yan, L.L. and Schwalm, J.D., 2017. Effect of mobile health interventions on the secondary prevention of cardiovascular disease: systematic review and meta-analysis. </w:t>
      </w:r>
      <w:r w:rsidRPr="003F150F">
        <w:rPr>
          <w:i/>
          <w:iCs/>
        </w:rPr>
        <w:t>Canadian Journal of Cardiology</w:t>
      </w:r>
      <w:r w:rsidRPr="003F150F">
        <w:t>, </w:t>
      </w:r>
      <w:r w:rsidRPr="003F150F">
        <w:rPr>
          <w:i/>
          <w:iCs/>
        </w:rPr>
        <w:t>33</w:t>
      </w:r>
      <w:r w:rsidRPr="003F150F">
        <w:t>(2), pp.219-231.</w:t>
      </w:r>
    </w:p>
    <w:p w14:paraId="315F8D76" w14:textId="77777777" w:rsidR="003F150F" w:rsidRPr="003F150F" w:rsidRDefault="003F150F" w:rsidP="003F150F">
      <w:r w:rsidRPr="003F150F">
        <w:t xml:space="preserve">Kelli, H.M., </w:t>
      </w:r>
      <w:proofErr w:type="spellStart"/>
      <w:r w:rsidRPr="003F150F">
        <w:t>Witbrodt</w:t>
      </w:r>
      <w:proofErr w:type="spellEnd"/>
      <w:r w:rsidRPr="003F150F">
        <w:t>, B. and Shah, A., 2017. The future of mobile health applications and devices in cardiovascular health. </w:t>
      </w:r>
      <w:r w:rsidRPr="003F150F">
        <w:rPr>
          <w:i/>
          <w:iCs/>
        </w:rPr>
        <w:t>European medical journal. Innovations</w:t>
      </w:r>
      <w:r w:rsidRPr="003F150F">
        <w:t>, </w:t>
      </w:r>
      <w:r w:rsidRPr="003F150F">
        <w:rPr>
          <w:i/>
          <w:iCs/>
        </w:rPr>
        <w:t>2017</w:t>
      </w:r>
      <w:r w:rsidRPr="003F150F">
        <w:t>, p.92.</w:t>
      </w:r>
    </w:p>
    <w:p w14:paraId="39C2BD5C" w14:textId="77777777" w:rsidR="003F150F" w:rsidRPr="003F150F" w:rsidRDefault="003F150F" w:rsidP="003F150F">
      <w:r w:rsidRPr="003F150F">
        <w:t xml:space="preserve">Sarwar, C.M., Vaduganathan, M., Anker, S.D., Coiro, S., Papadimitriou, L., Saltz, J., Schoenfeld, E.R., Clark, R.L., Dinh, W., Kramer, F. and </w:t>
      </w:r>
      <w:proofErr w:type="spellStart"/>
      <w:r w:rsidRPr="003F150F">
        <w:t>Gheorghiade</w:t>
      </w:r>
      <w:proofErr w:type="spellEnd"/>
      <w:r w:rsidRPr="003F150F">
        <w:t>, M., 2018. Mobile health applications in cardiovascular research. </w:t>
      </w:r>
      <w:r w:rsidRPr="003F150F">
        <w:rPr>
          <w:i/>
          <w:iCs/>
        </w:rPr>
        <w:t>International Journal of Cardiology</w:t>
      </w:r>
      <w:r w:rsidRPr="003F150F">
        <w:t>, </w:t>
      </w:r>
      <w:r w:rsidRPr="003F150F">
        <w:rPr>
          <w:i/>
          <w:iCs/>
        </w:rPr>
        <w:t>269</w:t>
      </w:r>
      <w:r w:rsidRPr="003F150F">
        <w:t>, pp.265-271.</w:t>
      </w:r>
    </w:p>
    <w:p w14:paraId="7EE755EC" w14:textId="77777777" w:rsidR="003F150F" w:rsidRDefault="003F150F" w:rsidP="003F150F">
      <w:r w:rsidRPr="003F150F">
        <w:t>Schorr, E.N., Gepner, A.D., Dolansky, M.A., Forman, D.E., Park, L.G., Petersen, K.S., Still, C.H., Wang, T.Y. and Wenger, N.K., 2021. Harnessing mobile health technology for secondary cardiovascular disease prevention in older adults: a scientific statement from the American Heart Association. </w:t>
      </w:r>
      <w:r w:rsidRPr="003F150F">
        <w:rPr>
          <w:i/>
          <w:iCs/>
        </w:rPr>
        <w:t>Circulation: Cardiovascular Quality and Outcomes</w:t>
      </w:r>
      <w:r w:rsidRPr="003F150F">
        <w:t>, </w:t>
      </w:r>
      <w:r w:rsidRPr="003F150F">
        <w:rPr>
          <w:i/>
          <w:iCs/>
        </w:rPr>
        <w:t>14</w:t>
      </w:r>
      <w:r w:rsidRPr="003F150F">
        <w:t>(5), p.e000103.</w:t>
      </w:r>
    </w:p>
    <w:p w14:paraId="196C7C6B" w14:textId="77777777" w:rsidR="00C66007" w:rsidRPr="00C66007" w:rsidRDefault="00C66007" w:rsidP="00C66007">
      <w:pPr>
        <w:rPr>
          <w:rFonts w:eastAsia="Calibri" w:cs="Raavi"/>
          <w:kern w:val="2"/>
          <w:lang w:val="en-IN"/>
          <w14:ligatures w14:val="standardContextual"/>
        </w:rPr>
      </w:pPr>
      <w:r w:rsidRPr="00C66007">
        <w:rPr>
          <w:rFonts w:eastAsia="Calibri" w:cs="Raavi"/>
          <w:kern w:val="2"/>
          <w:lang w:val="en-IN"/>
          <w14:ligatures w14:val="standardContextual"/>
        </w:rPr>
        <w:t xml:space="preserve">British Heart Foundation (2023) </w:t>
      </w:r>
      <w:r w:rsidRPr="00C66007">
        <w:rPr>
          <w:rFonts w:eastAsia="Calibri" w:cs="Raavi"/>
          <w:i/>
          <w:iCs/>
          <w:kern w:val="2"/>
          <w:lang w:val="en-IN"/>
          <w14:ligatures w14:val="standardContextual"/>
        </w:rPr>
        <w:t>Heart and circulatory disease statistics 2023 - British heart foundation</w:t>
      </w:r>
      <w:r w:rsidRPr="00C66007">
        <w:rPr>
          <w:rFonts w:eastAsia="Calibri" w:cs="Raavi"/>
          <w:kern w:val="2"/>
          <w:lang w:val="en-IN"/>
          <w14:ligatures w14:val="standardContextual"/>
        </w:rPr>
        <w:t xml:space="preserve">, </w:t>
      </w:r>
      <w:r w:rsidRPr="00C66007">
        <w:rPr>
          <w:rFonts w:eastAsia="Calibri" w:cs="Raavi"/>
          <w:i/>
          <w:iCs/>
          <w:kern w:val="2"/>
          <w:lang w:val="en-IN"/>
          <w14:ligatures w14:val="standardContextual"/>
        </w:rPr>
        <w:t>BHF UK</w:t>
      </w:r>
      <w:r w:rsidRPr="00C66007">
        <w:rPr>
          <w:rFonts w:eastAsia="Calibri" w:cs="Raavi"/>
          <w:kern w:val="2"/>
          <w:lang w:val="en-IN"/>
          <w14:ligatures w14:val="standardContextual"/>
        </w:rPr>
        <w:t xml:space="preserve">. Available at: https://www.bhf.org.uk/-/media/files/for-professionals/research/heart-statistics/bhf-cvd-statistics-uk-factsheet.pdf (Accessed: 24 November 2023). </w:t>
      </w:r>
    </w:p>
    <w:p w14:paraId="71EDD9E1" w14:textId="77777777" w:rsidR="00C66007" w:rsidRPr="00C66007" w:rsidRDefault="00C66007" w:rsidP="00C66007">
      <w:pPr>
        <w:rPr>
          <w:rFonts w:eastAsia="Calibri" w:cs="Raavi"/>
          <w:kern w:val="2"/>
          <w:lang w:val="en-IN"/>
          <w14:ligatures w14:val="standardContextual"/>
        </w:rPr>
      </w:pPr>
      <w:r w:rsidRPr="00C66007">
        <w:rPr>
          <w:rFonts w:eastAsia="Calibri" w:cs="Raavi"/>
          <w:kern w:val="2"/>
          <w14:ligatures w14:val="standardContextual"/>
        </w:rPr>
        <w:t xml:space="preserve">Patterson, K., Davey, R., Keegan, R. and </w:t>
      </w:r>
      <w:proofErr w:type="spellStart"/>
      <w:r w:rsidRPr="00C66007">
        <w:rPr>
          <w:rFonts w:eastAsia="Calibri" w:cs="Raavi"/>
          <w:kern w:val="2"/>
          <w14:ligatures w14:val="standardContextual"/>
        </w:rPr>
        <w:t>Freene</w:t>
      </w:r>
      <w:proofErr w:type="spellEnd"/>
      <w:r w:rsidRPr="00C66007">
        <w:rPr>
          <w:rFonts w:eastAsia="Calibri" w:cs="Raavi"/>
          <w:kern w:val="2"/>
          <w14:ligatures w14:val="standardContextual"/>
        </w:rPr>
        <w:t>, N., 2021. Smartphone applications for physical activity and sedentary behaviour change in people with cardiovascular disease: A systematic review and meta-analysis. </w:t>
      </w:r>
      <w:proofErr w:type="spellStart"/>
      <w:r w:rsidRPr="00C66007">
        <w:rPr>
          <w:rFonts w:eastAsia="Calibri" w:cs="Raavi"/>
          <w:i/>
          <w:iCs/>
          <w:kern w:val="2"/>
          <w14:ligatures w14:val="standardContextual"/>
        </w:rPr>
        <w:t>PloS</w:t>
      </w:r>
      <w:proofErr w:type="spellEnd"/>
      <w:r w:rsidRPr="00C66007">
        <w:rPr>
          <w:rFonts w:eastAsia="Calibri" w:cs="Raavi"/>
          <w:i/>
          <w:iCs/>
          <w:kern w:val="2"/>
          <w14:ligatures w14:val="standardContextual"/>
        </w:rPr>
        <w:t xml:space="preserve"> one</w:t>
      </w:r>
      <w:r w:rsidRPr="00C66007">
        <w:rPr>
          <w:rFonts w:eastAsia="Calibri" w:cs="Raavi"/>
          <w:kern w:val="2"/>
          <w14:ligatures w14:val="standardContextual"/>
        </w:rPr>
        <w:t>, </w:t>
      </w:r>
      <w:r w:rsidRPr="00C66007">
        <w:rPr>
          <w:rFonts w:eastAsia="Calibri" w:cs="Raavi"/>
          <w:i/>
          <w:iCs/>
          <w:kern w:val="2"/>
          <w14:ligatures w14:val="standardContextual"/>
        </w:rPr>
        <w:t>16</w:t>
      </w:r>
      <w:r w:rsidRPr="00C66007">
        <w:rPr>
          <w:rFonts w:eastAsia="Calibri" w:cs="Raavi"/>
          <w:kern w:val="2"/>
          <w14:ligatures w14:val="standardContextual"/>
        </w:rPr>
        <w:t>(10), p.e0258460.</w:t>
      </w:r>
    </w:p>
    <w:p w14:paraId="4CCC71BE" w14:textId="77777777" w:rsidR="00C66007" w:rsidRPr="00C66007" w:rsidRDefault="00C66007" w:rsidP="00C66007">
      <w:pPr>
        <w:rPr>
          <w:rFonts w:eastAsia="Calibri" w:cs="Raavi"/>
          <w:kern w:val="2"/>
          <w14:ligatures w14:val="standardContextual"/>
        </w:rPr>
      </w:pPr>
      <w:r w:rsidRPr="00C66007">
        <w:rPr>
          <w:rFonts w:eastAsia="Calibri" w:cs="Raavi"/>
          <w:kern w:val="2"/>
          <w14:ligatures w14:val="standardContextual"/>
        </w:rPr>
        <w:t xml:space="preserve">Townsend, N., </w:t>
      </w:r>
      <w:proofErr w:type="spellStart"/>
      <w:r w:rsidRPr="00C66007">
        <w:rPr>
          <w:rFonts w:eastAsia="Calibri" w:cs="Raavi"/>
          <w:kern w:val="2"/>
          <w14:ligatures w14:val="standardContextual"/>
        </w:rPr>
        <w:t>Kazakiewicz</w:t>
      </w:r>
      <w:proofErr w:type="spellEnd"/>
      <w:r w:rsidRPr="00C66007">
        <w:rPr>
          <w:rFonts w:eastAsia="Calibri" w:cs="Raavi"/>
          <w:kern w:val="2"/>
          <w14:ligatures w14:val="standardContextual"/>
        </w:rPr>
        <w:t xml:space="preserve">, D., Lucy Wright, F., Timmis, A., </w:t>
      </w:r>
      <w:proofErr w:type="spellStart"/>
      <w:r w:rsidRPr="00C66007">
        <w:rPr>
          <w:rFonts w:eastAsia="Calibri" w:cs="Raavi"/>
          <w:kern w:val="2"/>
          <w14:ligatures w14:val="standardContextual"/>
        </w:rPr>
        <w:t>Huculeci</w:t>
      </w:r>
      <w:proofErr w:type="spellEnd"/>
      <w:r w:rsidRPr="00C66007">
        <w:rPr>
          <w:rFonts w:eastAsia="Calibri" w:cs="Raavi"/>
          <w:kern w:val="2"/>
          <w14:ligatures w14:val="standardContextual"/>
        </w:rPr>
        <w:t xml:space="preserve">, R., Torbica, A., Gale, C.P., Achenbach, S., Weidinger, F. and </w:t>
      </w:r>
      <w:proofErr w:type="spellStart"/>
      <w:r w:rsidRPr="00C66007">
        <w:rPr>
          <w:rFonts w:eastAsia="Calibri" w:cs="Raavi"/>
          <w:kern w:val="2"/>
          <w14:ligatures w14:val="standardContextual"/>
        </w:rPr>
        <w:t>Vardas</w:t>
      </w:r>
      <w:proofErr w:type="spellEnd"/>
      <w:r w:rsidRPr="00C66007">
        <w:rPr>
          <w:rFonts w:eastAsia="Calibri" w:cs="Raavi"/>
          <w:kern w:val="2"/>
          <w14:ligatures w14:val="standardContextual"/>
        </w:rPr>
        <w:t>, P., 2022. Epidemiology of cardiovascular disease in Europe. </w:t>
      </w:r>
      <w:r w:rsidRPr="00C66007">
        <w:rPr>
          <w:rFonts w:eastAsia="Calibri" w:cs="Raavi"/>
          <w:i/>
          <w:iCs/>
          <w:kern w:val="2"/>
          <w14:ligatures w14:val="standardContextual"/>
        </w:rPr>
        <w:t>Nature Reviews Cardiology</w:t>
      </w:r>
      <w:r w:rsidRPr="00C66007">
        <w:rPr>
          <w:rFonts w:eastAsia="Calibri" w:cs="Raavi"/>
          <w:kern w:val="2"/>
          <w14:ligatures w14:val="standardContextual"/>
        </w:rPr>
        <w:t>, </w:t>
      </w:r>
      <w:r w:rsidRPr="00C66007">
        <w:rPr>
          <w:rFonts w:eastAsia="Calibri" w:cs="Raavi"/>
          <w:i/>
          <w:iCs/>
          <w:kern w:val="2"/>
          <w14:ligatures w14:val="standardContextual"/>
        </w:rPr>
        <w:t>19</w:t>
      </w:r>
      <w:r w:rsidRPr="00C66007">
        <w:rPr>
          <w:rFonts w:eastAsia="Calibri" w:cs="Raavi"/>
          <w:kern w:val="2"/>
          <w14:ligatures w14:val="standardContextual"/>
        </w:rPr>
        <w:t>(2), pp.133-143.</w:t>
      </w:r>
    </w:p>
    <w:p w14:paraId="6F766AD5" w14:textId="1D1923B7" w:rsidR="00C66007" w:rsidRDefault="00C66007" w:rsidP="00C66007">
      <w:pPr>
        <w:rPr>
          <w:rFonts w:eastAsia="Calibri" w:cs="Raavi"/>
          <w:kern w:val="2"/>
          <w14:ligatures w14:val="standardContextual"/>
        </w:rPr>
      </w:pPr>
      <w:r w:rsidRPr="00C66007">
        <w:rPr>
          <w:rFonts w:eastAsia="Calibri" w:cs="Raavi"/>
          <w:kern w:val="2"/>
          <w14:ligatures w14:val="standardContextual"/>
        </w:rPr>
        <w:t xml:space="preserve">Villarreal, V. and </w:t>
      </w:r>
      <w:proofErr w:type="spellStart"/>
      <w:r w:rsidRPr="00C66007">
        <w:rPr>
          <w:rFonts w:eastAsia="Calibri" w:cs="Raavi"/>
          <w:kern w:val="2"/>
          <w14:ligatures w14:val="standardContextual"/>
        </w:rPr>
        <w:t>Berbey</w:t>
      </w:r>
      <w:proofErr w:type="spellEnd"/>
      <w:r w:rsidRPr="00C66007">
        <w:rPr>
          <w:rFonts w:eastAsia="Calibri" w:cs="Raavi"/>
          <w:kern w:val="2"/>
          <w14:ligatures w14:val="standardContextual"/>
        </w:rPr>
        <w:t>-Alvarez, A., 2020. Evaluation of mHealth applications related to cardiovascular diseases: a systematic review. </w:t>
      </w:r>
      <w:r w:rsidRPr="00C66007">
        <w:rPr>
          <w:rFonts w:eastAsia="Calibri" w:cs="Raavi"/>
          <w:i/>
          <w:iCs/>
          <w:kern w:val="2"/>
          <w14:ligatures w14:val="standardContextual"/>
        </w:rPr>
        <w:t xml:space="preserve">Acta Informatica </w:t>
      </w:r>
      <w:proofErr w:type="spellStart"/>
      <w:r w:rsidRPr="00C66007">
        <w:rPr>
          <w:rFonts w:eastAsia="Calibri" w:cs="Raavi"/>
          <w:i/>
          <w:iCs/>
          <w:kern w:val="2"/>
          <w14:ligatures w14:val="standardContextual"/>
        </w:rPr>
        <w:t>Médica</w:t>
      </w:r>
      <w:proofErr w:type="spellEnd"/>
      <w:r w:rsidRPr="00C66007">
        <w:rPr>
          <w:rFonts w:eastAsia="Calibri" w:cs="Raavi"/>
          <w:kern w:val="2"/>
          <w14:ligatures w14:val="standardContextual"/>
        </w:rPr>
        <w:t>, </w:t>
      </w:r>
      <w:r w:rsidRPr="00C66007">
        <w:rPr>
          <w:rFonts w:eastAsia="Calibri" w:cs="Raavi"/>
          <w:i/>
          <w:iCs/>
          <w:kern w:val="2"/>
          <w14:ligatures w14:val="standardContextual"/>
        </w:rPr>
        <w:t>28</w:t>
      </w:r>
      <w:r w:rsidRPr="00C66007">
        <w:rPr>
          <w:rFonts w:eastAsia="Calibri" w:cs="Raavi"/>
          <w:kern w:val="2"/>
          <w14:ligatures w14:val="standardContextual"/>
        </w:rPr>
        <w:t>(2), p.130.</w:t>
      </w:r>
    </w:p>
    <w:p w14:paraId="687BE917" w14:textId="77777777" w:rsidR="00C66007" w:rsidRDefault="00C66007">
      <w:pPr>
        <w:spacing w:line="259" w:lineRule="auto"/>
        <w:jc w:val="left"/>
        <w:rPr>
          <w:rFonts w:eastAsia="Calibri" w:cs="Raavi"/>
          <w:kern w:val="2"/>
          <w14:ligatures w14:val="standardContextual"/>
        </w:rPr>
      </w:pPr>
      <w:r>
        <w:rPr>
          <w:rFonts w:eastAsia="Calibri" w:cs="Raavi"/>
          <w:kern w:val="2"/>
          <w14:ligatures w14:val="standardContextual"/>
        </w:rPr>
        <w:br w:type="page"/>
      </w:r>
    </w:p>
    <w:p w14:paraId="02088D16" w14:textId="09FB1529" w:rsidR="00C66007" w:rsidRDefault="00C66007" w:rsidP="00C66007">
      <w:r>
        <w:rPr>
          <w:noProof/>
        </w:rPr>
        <w:lastRenderedPageBreak/>
        <w:drawing>
          <wp:inline distT="0" distB="0" distL="0" distR="0" wp14:anchorId="275DE23E" wp14:editId="610379B8">
            <wp:extent cx="6202680" cy="6278230"/>
            <wp:effectExtent l="0" t="0" r="7620" b="8890"/>
            <wp:docPr id="1005844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9261" cy="6284892"/>
                    </a:xfrm>
                    <a:prstGeom prst="rect">
                      <a:avLst/>
                    </a:prstGeom>
                    <a:noFill/>
                  </pic:spPr>
                </pic:pic>
              </a:graphicData>
            </a:graphic>
          </wp:inline>
        </w:drawing>
      </w:r>
    </w:p>
    <w:p w14:paraId="0067746E" w14:textId="77777777" w:rsidR="00C66007" w:rsidRDefault="00C66007">
      <w:pPr>
        <w:spacing w:line="259" w:lineRule="auto"/>
        <w:jc w:val="left"/>
      </w:pPr>
      <w:r>
        <w:br w:type="page"/>
      </w:r>
    </w:p>
    <w:p w14:paraId="5F38A32D"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lastRenderedPageBreak/>
        <w:t xml:space="preserve">Al-Arkee, S., Mason, J., Lane, D.A., </w:t>
      </w:r>
      <w:proofErr w:type="spellStart"/>
      <w:r>
        <w:rPr>
          <w:rFonts w:ascii="Arial" w:eastAsia="Calibri" w:hAnsi="Arial" w:cs="Arial"/>
          <w:color w:val="222222"/>
          <w:kern w:val="24"/>
          <w:sz w:val="16"/>
          <w:szCs w:val="16"/>
          <w:lang w:val="en-GB"/>
        </w:rPr>
        <w:t>Fabritz</w:t>
      </w:r>
      <w:proofErr w:type="spellEnd"/>
      <w:r>
        <w:rPr>
          <w:rFonts w:ascii="Arial" w:eastAsia="Calibri" w:hAnsi="Arial" w:cs="Arial"/>
          <w:color w:val="222222"/>
          <w:kern w:val="24"/>
          <w:sz w:val="16"/>
          <w:szCs w:val="16"/>
          <w:lang w:val="en-GB"/>
        </w:rPr>
        <w:t>, L., Chua, W., Haque, M.S. and Jalal, Z., 2021. Mobile apps to improve medication adherence in cardiovascular disease: systematic review and meta-analysis. </w:t>
      </w:r>
      <w:r>
        <w:rPr>
          <w:rFonts w:eastAsia="Calibri" w:cs="Arial"/>
          <w:i/>
          <w:iCs/>
          <w:color w:val="000000" w:themeColor="text1"/>
          <w:kern w:val="24"/>
          <w:sz w:val="16"/>
          <w:szCs w:val="16"/>
          <w:lang w:val="en-GB"/>
        </w:rPr>
        <w:t>Journal of medical Internet research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23</w:t>
      </w:r>
      <w:r>
        <w:rPr>
          <w:rFonts w:eastAsia="Calibri" w:cs="Arial"/>
          <w:color w:val="000000" w:themeColor="text1"/>
          <w:kern w:val="24"/>
          <w:sz w:val="16"/>
          <w:szCs w:val="16"/>
          <w:lang w:val="en-GB"/>
        </w:rPr>
        <w:t>(5), p.e24190.</w:t>
      </w:r>
    </w:p>
    <w:p w14:paraId="1AD8CE4A"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Choi, J.Y., Kim, J.B., Lee, S., Lee, S.J., Shin, S.E., Park, S.H., Park, E.J., Kim, W., Na, J.O., Choi, C.U. and Rha, S.W., 2021. A smartphone app (</w:t>
      </w:r>
      <w:proofErr w:type="spellStart"/>
      <w:r>
        <w:rPr>
          <w:rFonts w:ascii="Arial" w:eastAsia="Calibri" w:hAnsi="Arial" w:cs="Arial"/>
          <w:color w:val="222222"/>
          <w:kern w:val="24"/>
          <w:sz w:val="16"/>
          <w:szCs w:val="16"/>
          <w:lang w:val="en-GB"/>
        </w:rPr>
        <w:t>AnSim</w:t>
      </w:r>
      <w:proofErr w:type="spellEnd"/>
      <w:r>
        <w:rPr>
          <w:rFonts w:ascii="Arial" w:eastAsia="Calibri" w:hAnsi="Arial" w:cs="Arial"/>
          <w:color w:val="222222"/>
          <w:kern w:val="24"/>
          <w:sz w:val="16"/>
          <w:szCs w:val="16"/>
          <w:lang w:val="en-GB"/>
        </w:rPr>
        <w:t>) with various types and forms of messages using the transtheoretical model for cardiac rehabilitation in patients with coronary artery disease: development and usability study. </w:t>
      </w:r>
      <w:r>
        <w:rPr>
          <w:rFonts w:eastAsia="Calibri" w:cs="Arial"/>
          <w:i/>
          <w:iCs/>
          <w:color w:val="000000" w:themeColor="text1"/>
          <w:kern w:val="24"/>
          <w:sz w:val="16"/>
          <w:szCs w:val="16"/>
          <w:lang w:val="en-GB"/>
        </w:rPr>
        <w:t>JMIR Medical Informatics</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9</w:t>
      </w:r>
      <w:r>
        <w:rPr>
          <w:rFonts w:eastAsia="Calibri" w:cs="Arial"/>
          <w:color w:val="000000" w:themeColor="text1"/>
          <w:kern w:val="24"/>
          <w:sz w:val="16"/>
          <w:szCs w:val="16"/>
          <w:lang w:val="en-GB"/>
        </w:rPr>
        <w:t>(12), p.e23285.</w:t>
      </w:r>
    </w:p>
    <w:p w14:paraId="0A6EB7AA"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de Freitas, P.P., de Menezes, M.C., Dos Santos, L.C., Pimenta, A.M., Ferreira, A.V.M. and Lopes, A.C.S., 2020. The transtheoretical model is an effective weight management intervention: a randomized controlled trial. </w:t>
      </w:r>
      <w:r>
        <w:rPr>
          <w:rFonts w:eastAsia="Calibri" w:cs="Arial"/>
          <w:i/>
          <w:iCs/>
          <w:color w:val="000000" w:themeColor="text1"/>
          <w:kern w:val="24"/>
          <w:sz w:val="16"/>
          <w:szCs w:val="16"/>
          <w:lang w:val="en-GB"/>
        </w:rPr>
        <w:t>BMC Public Health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20</w:t>
      </w:r>
      <w:r>
        <w:rPr>
          <w:rFonts w:eastAsia="Calibri" w:cs="Arial"/>
          <w:color w:val="000000" w:themeColor="text1"/>
          <w:kern w:val="24"/>
          <w:sz w:val="16"/>
          <w:szCs w:val="16"/>
          <w:lang w:val="en-GB"/>
        </w:rPr>
        <w:t>(1), pp.1-12.</w:t>
      </w:r>
    </w:p>
    <w:p w14:paraId="5488B2DF"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 xml:space="preserve">Eapen, Z.J., </w:t>
      </w:r>
      <w:proofErr w:type="spellStart"/>
      <w:r>
        <w:rPr>
          <w:rFonts w:ascii="Arial" w:eastAsia="Calibri" w:hAnsi="Arial" w:cs="Arial"/>
          <w:color w:val="222222"/>
          <w:kern w:val="24"/>
          <w:sz w:val="16"/>
          <w:szCs w:val="16"/>
          <w:lang w:val="en-GB"/>
        </w:rPr>
        <w:t>Turakhia</w:t>
      </w:r>
      <w:proofErr w:type="spellEnd"/>
      <w:r>
        <w:rPr>
          <w:rFonts w:ascii="Arial" w:eastAsia="Calibri" w:hAnsi="Arial" w:cs="Arial"/>
          <w:color w:val="222222"/>
          <w:kern w:val="24"/>
          <w:sz w:val="16"/>
          <w:szCs w:val="16"/>
          <w:lang w:val="en-GB"/>
        </w:rPr>
        <w:t>, M.P., McConnell, M.V., Graham, G., Dunn, P., Tiner, C., Rich, C., Harrington, R.A., Peterson, E.D. and Wayte, P., 2016. Defining a mobile health roadmap for cardiovascular health and disease. </w:t>
      </w:r>
      <w:r>
        <w:rPr>
          <w:rFonts w:eastAsia="Calibri" w:cs="Arial"/>
          <w:i/>
          <w:iCs/>
          <w:color w:val="000000" w:themeColor="text1"/>
          <w:kern w:val="24"/>
          <w:sz w:val="16"/>
          <w:szCs w:val="16"/>
          <w:lang w:val="en-GB"/>
        </w:rPr>
        <w:t>Journal of the American Heart Association</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5</w:t>
      </w:r>
      <w:r>
        <w:rPr>
          <w:rFonts w:eastAsia="Calibri" w:cs="Arial"/>
          <w:color w:val="000000" w:themeColor="text1"/>
          <w:kern w:val="24"/>
          <w:sz w:val="16"/>
          <w:szCs w:val="16"/>
          <w:lang w:val="en-GB"/>
        </w:rPr>
        <w:t>(7), p.e003119.</w:t>
      </w:r>
    </w:p>
    <w:p w14:paraId="1B43051B"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Gandhi, S., Chen, S., Hong, L., Sun, K., Gong, E., Li, C., Yan, L.L. and Schwalm, J.D., 2017. Effect of mobile health interventions on the secondary prevention of cardiovascular disease: systematic review and meta-analysis. </w:t>
      </w:r>
      <w:r>
        <w:rPr>
          <w:rFonts w:eastAsia="Calibri" w:cs="Arial"/>
          <w:i/>
          <w:iCs/>
          <w:color w:val="000000" w:themeColor="text1"/>
          <w:kern w:val="24"/>
          <w:sz w:val="16"/>
          <w:szCs w:val="16"/>
          <w:lang w:val="en-GB"/>
        </w:rPr>
        <w:t>Canadian Journal of Cardiology</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33</w:t>
      </w:r>
      <w:r>
        <w:rPr>
          <w:rFonts w:eastAsia="Calibri" w:cs="Arial"/>
          <w:color w:val="000000" w:themeColor="text1"/>
          <w:kern w:val="24"/>
          <w:sz w:val="16"/>
          <w:szCs w:val="16"/>
          <w:lang w:val="en-GB"/>
        </w:rPr>
        <w:t>(2), pp.219-231.</w:t>
      </w:r>
    </w:p>
    <w:p w14:paraId="7527AC74"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Hashemzadeh, M., Rahimi, A., Zare-</w:t>
      </w:r>
      <w:proofErr w:type="spellStart"/>
      <w:r>
        <w:rPr>
          <w:rFonts w:ascii="Arial" w:eastAsia="Calibri" w:hAnsi="Arial" w:cs="Arial"/>
          <w:color w:val="222222"/>
          <w:kern w:val="24"/>
          <w:sz w:val="16"/>
          <w:szCs w:val="16"/>
          <w:lang w:val="en-GB"/>
        </w:rPr>
        <w:t>Farashbandi</w:t>
      </w:r>
      <w:proofErr w:type="spellEnd"/>
      <w:r>
        <w:rPr>
          <w:rFonts w:ascii="Arial" w:eastAsia="Calibri" w:hAnsi="Arial" w:cs="Arial"/>
          <w:color w:val="222222"/>
          <w:kern w:val="24"/>
          <w:sz w:val="16"/>
          <w:szCs w:val="16"/>
          <w:lang w:val="en-GB"/>
        </w:rPr>
        <w:t xml:space="preserve">, F., Alavi-Naeini, A.M. and </w:t>
      </w:r>
      <w:proofErr w:type="spellStart"/>
      <w:r>
        <w:rPr>
          <w:rFonts w:ascii="Arial" w:eastAsia="Calibri" w:hAnsi="Arial" w:cs="Arial"/>
          <w:color w:val="222222"/>
          <w:kern w:val="24"/>
          <w:sz w:val="16"/>
          <w:szCs w:val="16"/>
          <w:lang w:val="en-GB"/>
        </w:rPr>
        <w:t>Daei</w:t>
      </w:r>
      <w:proofErr w:type="spellEnd"/>
      <w:r>
        <w:rPr>
          <w:rFonts w:ascii="Arial" w:eastAsia="Calibri" w:hAnsi="Arial" w:cs="Arial"/>
          <w:color w:val="222222"/>
          <w:kern w:val="24"/>
          <w:sz w:val="16"/>
          <w:szCs w:val="16"/>
          <w:lang w:val="en-GB"/>
        </w:rPr>
        <w:t xml:space="preserve">, A., 2019. Transtheoretical model of health </w:t>
      </w:r>
      <w:proofErr w:type="spellStart"/>
      <w:r>
        <w:rPr>
          <w:rFonts w:ascii="Arial" w:eastAsia="Calibri" w:hAnsi="Arial" w:cs="Arial"/>
          <w:color w:val="222222"/>
          <w:kern w:val="24"/>
          <w:sz w:val="16"/>
          <w:szCs w:val="16"/>
          <w:lang w:val="en-GB"/>
        </w:rPr>
        <w:t>behavioral</w:t>
      </w:r>
      <w:proofErr w:type="spellEnd"/>
      <w:r>
        <w:rPr>
          <w:rFonts w:ascii="Arial" w:eastAsia="Calibri" w:hAnsi="Arial" w:cs="Arial"/>
          <w:color w:val="222222"/>
          <w:kern w:val="24"/>
          <w:sz w:val="16"/>
          <w:szCs w:val="16"/>
          <w:lang w:val="en-GB"/>
        </w:rPr>
        <w:t xml:space="preserve"> change: A systematic review. </w:t>
      </w:r>
      <w:r>
        <w:rPr>
          <w:rFonts w:eastAsia="Calibri" w:cs="Arial"/>
          <w:i/>
          <w:iCs/>
          <w:color w:val="000000" w:themeColor="text1"/>
          <w:kern w:val="24"/>
          <w:sz w:val="16"/>
          <w:szCs w:val="16"/>
          <w:lang w:val="en-GB"/>
        </w:rPr>
        <w:t>Iranian journal of nursing and midwifery research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24</w:t>
      </w:r>
      <w:r>
        <w:rPr>
          <w:rFonts w:eastAsia="Calibri" w:cs="Arial"/>
          <w:color w:val="000000" w:themeColor="text1"/>
          <w:kern w:val="24"/>
          <w:sz w:val="16"/>
          <w:szCs w:val="16"/>
          <w:lang w:val="en-GB"/>
        </w:rPr>
        <w:t>(2), p.83.</w:t>
      </w:r>
    </w:p>
    <w:p w14:paraId="0E0FE191"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 xml:space="preserve">Honeyman, E., Ding, H., </w:t>
      </w:r>
      <w:proofErr w:type="spellStart"/>
      <w:r>
        <w:rPr>
          <w:rFonts w:ascii="Arial" w:eastAsia="Calibri" w:hAnsi="Arial" w:cs="Arial"/>
          <w:color w:val="222222"/>
          <w:kern w:val="24"/>
          <w:sz w:val="16"/>
          <w:szCs w:val="16"/>
          <w:lang w:val="en-GB"/>
        </w:rPr>
        <w:t>Varnfield</w:t>
      </w:r>
      <w:proofErr w:type="spellEnd"/>
      <w:r>
        <w:rPr>
          <w:rFonts w:ascii="Arial" w:eastAsia="Calibri" w:hAnsi="Arial" w:cs="Arial"/>
          <w:color w:val="222222"/>
          <w:kern w:val="24"/>
          <w:sz w:val="16"/>
          <w:szCs w:val="16"/>
          <w:lang w:val="en-GB"/>
        </w:rPr>
        <w:t xml:space="preserve">, M. and </w:t>
      </w:r>
      <w:proofErr w:type="spellStart"/>
      <w:r>
        <w:rPr>
          <w:rFonts w:ascii="Arial" w:eastAsia="Calibri" w:hAnsi="Arial" w:cs="Arial"/>
          <w:color w:val="222222"/>
          <w:kern w:val="24"/>
          <w:sz w:val="16"/>
          <w:szCs w:val="16"/>
          <w:lang w:val="en-GB"/>
        </w:rPr>
        <w:t>Karunanithi</w:t>
      </w:r>
      <w:proofErr w:type="spellEnd"/>
      <w:r>
        <w:rPr>
          <w:rFonts w:ascii="Arial" w:eastAsia="Calibri" w:hAnsi="Arial" w:cs="Arial"/>
          <w:color w:val="222222"/>
          <w:kern w:val="24"/>
          <w:sz w:val="16"/>
          <w:szCs w:val="16"/>
          <w:lang w:val="en-GB"/>
        </w:rPr>
        <w:t>, M., 2014. Mobile health applications in cardiac care. </w:t>
      </w:r>
      <w:r>
        <w:rPr>
          <w:rFonts w:eastAsia="Calibri" w:cs="Arial"/>
          <w:i/>
          <w:iCs/>
          <w:color w:val="000000" w:themeColor="text1"/>
          <w:kern w:val="24"/>
          <w:sz w:val="16"/>
          <w:szCs w:val="16"/>
          <w:lang w:val="en-GB"/>
        </w:rPr>
        <w:t>Interventional Cardiology</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6</w:t>
      </w:r>
      <w:r>
        <w:rPr>
          <w:rFonts w:eastAsia="Calibri" w:cs="Arial"/>
          <w:color w:val="000000" w:themeColor="text1"/>
          <w:kern w:val="24"/>
          <w:sz w:val="16"/>
          <w:szCs w:val="16"/>
          <w:lang w:val="en-GB"/>
        </w:rPr>
        <w:t>(2), p.227.</w:t>
      </w:r>
    </w:p>
    <w:p w14:paraId="124D423C"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Jiménez-Zazo, F., Romero-Blanco, C., Castro-Lemus, N., Dorado-Suárez, A. and Aznar, S., 2020. Transtheoretical model for physical activity in older adults: Systematic review. </w:t>
      </w:r>
      <w:r>
        <w:rPr>
          <w:rFonts w:eastAsia="Calibri" w:cs="Arial"/>
          <w:i/>
          <w:iCs/>
          <w:color w:val="000000" w:themeColor="text1"/>
          <w:kern w:val="24"/>
          <w:sz w:val="16"/>
          <w:szCs w:val="16"/>
          <w:lang w:val="en-GB"/>
        </w:rPr>
        <w:t>International journal of environmental research and public health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17</w:t>
      </w:r>
      <w:r>
        <w:rPr>
          <w:rFonts w:eastAsia="Calibri" w:cs="Arial"/>
          <w:color w:val="000000" w:themeColor="text1"/>
          <w:kern w:val="24"/>
          <w:sz w:val="16"/>
          <w:szCs w:val="16"/>
          <w:lang w:val="en-GB"/>
        </w:rPr>
        <w:t>(24), p.9262.</w:t>
      </w:r>
    </w:p>
    <w:p w14:paraId="38F2A102"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 xml:space="preserve">Kelli, H.M., </w:t>
      </w:r>
      <w:proofErr w:type="spellStart"/>
      <w:r>
        <w:rPr>
          <w:rFonts w:ascii="Arial" w:eastAsia="Calibri" w:hAnsi="Arial" w:cs="Arial"/>
          <w:color w:val="222222"/>
          <w:kern w:val="24"/>
          <w:sz w:val="16"/>
          <w:szCs w:val="16"/>
          <w:lang w:val="en-GB"/>
        </w:rPr>
        <w:t>Witbrodt</w:t>
      </w:r>
      <w:proofErr w:type="spellEnd"/>
      <w:r>
        <w:rPr>
          <w:rFonts w:ascii="Arial" w:eastAsia="Calibri" w:hAnsi="Arial" w:cs="Arial"/>
          <w:color w:val="222222"/>
          <w:kern w:val="24"/>
          <w:sz w:val="16"/>
          <w:szCs w:val="16"/>
          <w:lang w:val="en-GB"/>
        </w:rPr>
        <w:t>, B. and Shah, A., 2017. The future of mobile health applications and devices in cardiovascular health. </w:t>
      </w:r>
      <w:r>
        <w:rPr>
          <w:rFonts w:eastAsia="Calibri" w:cs="Arial"/>
          <w:i/>
          <w:iCs/>
          <w:color w:val="000000" w:themeColor="text1"/>
          <w:kern w:val="24"/>
          <w:sz w:val="16"/>
          <w:szCs w:val="16"/>
          <w:lang w:val="en-GB"/>
        </w:rPr>
        <w:t>European medical journal. Innovations</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2017</w:t>
      </w:r>
      <w:r>
        <w:rPr>
          <w:rFonts w:eastAsia="Calibri" w:cs="Arial"/>
          <w:color w:val="000000" w:themeColor="text1"/>
          <w:kern w:val="24"/>
          <w:sz w:val="16"/>
          <w:szCs w:val="16"/>
          <w:lang w:val="en-GB"/>
        </w:rPr>
        <w:t>, p.92.</w:t>
      </w:r>
    </w:p>
    <w:p w14:paraId="4F179FD2"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Kleis, R.R., Hoch, M.C., Hogg-Graham, R. and Hoch, J.M., 2020. The effectiveness of the transtheoretical model to improve physical activity in healthy adults: a systematic review. </w:t>
      </w:r>
      <w:r>
        <w:rPr>
          <w:rFonts w:eastAsia="Calibri" w:cs="Arial"/>
          <w:i/>
          <w:iCs/>
          <w:color w:val="000000" w:themeColor="text1"/>
          <w:kern w:val="24"/>
          <w:sz w:val="16"/>
          <w:szCs w:val="16"/>
          <w:lang w:val="en-GB"/>
        </w:rPr>
        <w:t>Journal of Physical Activity and Health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18</w:t>
      </w:r>
      <w:r>
        <w:rPr>
          <w:rFonts w:eastAsia="Calibri" w:cs="Arial"/>
          <w:color w:val="000000" w:themeColor="text1"/>
          <w:kern w:val="24"/>
          <w:sz w:val="16"/>
          <w:szCs w:val="16"/>
          <w:lang w:val="en-GB"/>
        </w:rPr>
        <w:t>(1), pp.94-108.</w:t>
      </w:r>
    </w:p>
    <w:p w14:paraId="585B09D0"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Nwankwo-</w:t>
      </w:r>
      <w:proofErr w:type="spellStart"/>
      <w:r>
        <w:rPr>
          <w:rFonts w:ascii="Arial" w:eastAsia="Calibri" w:hAnsi="Arial" w:cs="Arial"/>
          <w:color w:val="222222"/>
          <w:kern w:val="24"/>
          <w:sz w:val="16"/>
          <w:szCs w:val="16"/>
          <w:lang w:val="en-GB"/>
        </w:rPr>
        <w:t>Ezika</w:t>
      </w:r>
      <w:proofErr w:type="spellEnd"/>
      <w:r>
        <w:rPr>
          <w:rFonts w:ascii="Arial" w:eastAsia="Calibri" w:hAnsi="Arial" w:cs="Arial"/>
          <w:color w:val="222222"/>
          <w:kern w:val="24"/>
          <w:sz w:val="16"/>
          <w:szCs w:val="16"/>
          <w:lang w:val="en-GB"/>
        </w:rPr>
        <w:t>, A., 2020. Transtheoretical model as a framework for promoting cardiovascular health through behaviour change: A systematic review. </w:t>
      </w:r>
      <w:r>
        <w:rPr>
          <w:rFonts w:eastAsia="Calibri" w:cs="Arial"/>
          <w:i/>
          <w:iCs/>
          <w:color w:val="000000" w:themeColor="text1"/>
          <w:kern w:val="24"/>
          <w:sz w:val="16"/>
          <w:szCs w:val="16"/>
          <w:lang w:val="en-GB"/>
        </w:rPr>
        <w:t>Health</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4</w:t>
      </w:r>
      <w:r>
        <w:rPr>
          <w:rFonts w:eastAsia="Calibri" w:cs="Arial"/>
          <w:color w:val="000000" w:themeColor="text1"/>
          <w:kern w:val="24"/>
          <w:sz w:val="16"/>
          <w:szCs w:val="16"/>
          <w:lang w:val="en-GB"/>
        </w:rPr>
        <w:t>, p.46.</w:t>
      </w:r>
    </w:p>
    <w:p w14:paraId="37945830"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Parker, E. and Fleming, M.L., 2020. </w:t>
      </w:r>
      <w:r>
        <w:rPr>
          <w:rFonts w:eastAsia="Calibri" w:cs="Arial"/>
          <w:i/>
          <w:iCs/>
          <w:color w:val="000000" w:themeColor="text1"/>
          <w:kern w:val="24"/>
          <w:sz w:val="16"/>
          <w:szCs w:val="16"/>
          <w:lang w:val="en-GB"/>
        </w:rPr>
        <w:t>Health promotion: Principles and practice in the Australian context</w:t>
      </w:r>
      <w:r>
        <w:rPr>
          <w:rFonts w:eastAsia="Calibri" w:cs="Arial"/>
          <w:color w:val="000000" w:themeColor="text1"/>
          <w:kern w:val="24"/>
          <w:sz w:val="16"/>
          <w:szCs w:val="16"/>
          <w:lang w:val="en-GB"/>
        </w:rPr>
        <w:t>. Routledge.</w:t>
      </w:r>
    </w:p>
    <w:p w14:paraId="51080B4B"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 xml:space="preserve">Sarwar, C.M., Vaduganathan, M., Anker, S.D., Coiro, S., Papadimitriou, L., Saltz, J., Schoenfeld, E.R., Clark, R.L., Dinh, W., Kramer, F. and </w:t>
      </w:r>
      <w:proofErr w:type="spellStart"/>
      <w:r>
        <w:rPr>
          <w:rFonts w:ascii="Arial" w:eastAsia="Calibri" w:hAnsi="Arial" w:cs="Arial"/>
          <w:color w:val="222222"/>
          <w:kern w:val="24"/>
          <w:sz w:val="16"/>
          <w:szCs w:val="16"/>
          <w:lang w:val="en-GB"/>
        </w:rPr>
        <w:t>Gheorghiade</w:t>
      </w:r>
      <w:proofErr w:type="spellEnd"/>
      <w:r>
        <w:rPr>
          <w:rFonts w:ascii="Arial" w:eastAsia="Calibri" w:hAnsi="Arial" w:cs="Arial"/>
          <w:color w:val="222222"/>
          <w:kern w:val="24"/>
          <w:sz w:val="16"/>
          <w:szCs w:val="16"/>
          <w:lang w:val="en-GB"/>
        </w:rPr>
        <w:t>, M., 2018. Mobile health applications in cardiovascular research. </w:t>
      </w:r>
      <w:r>
        <w:rPr>
          <w:rFonts w:eastAsia="Calibri" w:cs="Arial"/>
          <w:i/>
          <w:iCs/>
          <w:color w:val="000000" w:themeColor="text1"/>
          <w:kern w:val="24"/>
          <w:sz w:val="16"/>
          <w:szCs w:val="16"/>
          <w:lang w:val="en-GB"/>
        </w:rPr>
        <w:t>International Journal of Cardiology</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269</w:t>
      </w:r>
      <w:r>
        <w:rPr>
          <w:rFonts w:eastAsia="Calibri" w:cs="Arial"/>
          <w:color w:val="000000" w:themeColor="text1"/>
          <w:kern w:val="24"/>
          <w:sz w:val="16"/>
          <w:szCs w:val="16"/>
          <w:lang w:val="en-GB"/>
        </w:rPr>
        <w:t>, pp.265-271.</w:t>
      </w:r>
    </w:p>
    <w:p w14:paraId="3CA61EA1" w14:textId="77777777" w:rsidR="005B1BE6" w:rsidRDefault="005B1BE6" w:rsidP="005B1BE6">
      <w:pPr>
        <w:pStyle w:val="NormalWeb"/>
        <w:spacing w:before="0" w:beforeAutospacing="0" w:after="160" w:afterAutospacing="0" w:line="360" w:lineRule="auto"/>
        <w:jc w:val="both"/>
      </w:pPr>
      <w:r>
        <w:rPr>
          <w:rFonts w:ascii="Arial" w:eastAsia="Calibri" w:hAnsi="Arial" w:cs="Arial"/>
          <w:color w:val="222222"/>
          <w:kern w:val="24"/>
          <w:sz w:val="16"/>
          <w:szCs w:val="16"/>
          <w:lang w:val="en-GB"/>
        </w:rPr>
        <w:t>Schorr, E.N., Gepner, A.D., Dolansky, M.A., Forman, D.E., Park, L.G., Petersen, K.S., Still, C.H., Wang, T.Y. and Wenger, N.K., 2021. Harnessing mobile health technology for secondary cardiovascular disease prevention in older adults: a scientific statement from the American Heart Association. </w:t>
      </w:r>
      <w:r>
        <w:rPr>
          <w:rFonts w:eastAsia="Calibri" w:cs="Arial"/>
          <w:i/>
          <w:iCs/>
          <w:color w:val="000000" w:themeColor="text1"/>
          <w:kern w:val="24"/>
          <w:sz w:val="16"/>
          <w:szCs w:val="16"/>
          <w:lang w:val="en-GB"/>
        </w:rPr>
        <w:t>Circulation: Cardiovascular Quality and Outcomes</w:t>
      </w:r>
      <w:r>
        <w:rPr>
          <w:rFonts w:eastAsia="Calibri" w:cs="Arial"/>
          <w:color w:val="000000" w:themeColor="text1"/>
          <w:kern w:val="24"/>
          <w:sz w:val="16"/>
          <w:szCs w:val="16"/>
          <w:lang w:val="en-GB"/>
        </w:rPr>
        <w:t>, </w:t>
      </w:r>
      <w:r>
        <w:rPr>
          <w:rFonts w:eastAsia="Calibri" w:cs="Arial"/>
          <w:i/>
          <w:iCs/>
          <w:color w:val="000000" w:themeColor="text1"/>
          <w:kern w:val="24"/>
          <w:sz w:val="16"/>
          <w:szCs w:val="16"/>
          <w:lang w:val="en-GB"/>
        </w:rPr>
        <w:t>14</w:t>
      </w:r>
      <w:r>
        <w:rPr>
          <w:rFonts w:eastAsia="Calibri" w:cs="Arial"/>
          <w:color w:val="000000" w:themeColor="text1"/>
          <w:kern w:val="24"/>
          <w:sz w:val="16"/>
          <w:szCs w:val="16"/>
          <w:lang w:val="en-GB"/>
        </w:rPr>
        <w:t>(5), p.e000103.</w:t>
      </w:r>
    </w:p>
    <w:p w14:paraId="7D4638B9" w14:textId="31A6EBC2" w:rsidR="00C66007" w:rsidRPr="003F150F" w:rsidRDefault="00C66007" w:rsidP="00C66007"/>
    <w:p w14:paraId="298315AB" w14:textId="77777777" w:rsidR="003F150F" w:rsidRPr="003F150F" w:rsidRDefault="003F150F" w:rsidP="00511036"/>
    <w:sectPr w:rsidR="003F150F" w:rsidRPr="003F150F" w:rsidSect="0051103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CA10E" w14:textId="77777777" w:rsidR="002C2E47" w:rsidRDefault="002C2E47" w:rsidP="00511036">
      <w:pPr>
        <w:spacing w:after="0" w:line="240" w:lineRule="auto"/>
      </w:pPr>
      <w:r>
        <w:separator/>
      </w:r>
    </w:p>
  </w:endnote>
  <w:endnote w:type="continuationSeparator" w:id="0">
    <w:p w14:paraId="0393BB65" w14:textId="77777777" w:rsidR="002C2E47" w:rsidRDefault="002C2E47" w:rsidP="00511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742164"/>
      <w:docPartObj>
        <w:docPartGallery w:val="Page Numbers (Bottom of Page)"/>
        <w:docPartUnique/>
      </w:docPartObj>
    </w:sdtPr>
    <w:sdtEndPr>
      <w:rPr>
        <w:noProof/>
      </w:rPr>
    </w:sdtEndPr>
    <w:sdtContent>
      <w:p w14:paraId="78366D38" w14:textId="7F05A2DE" w:rsidR="00511036" w:rsidRDefault="005110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63D351" w14:textId="77777777" w:rsidR="00511036" w:rsidRDefault="00511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C526C" w14:textId="77777777" w:rsidR="002C2E47" w:rsidRDefault="002C2E47" w:rsidP="00511036">
      <w:pPr>
        <w:spacing w:after="0" w:line="240" w:lineRule="auto"/>
      </w:pPr>
      <w:r>
        <w:separator/>
      </w:r>
    </w:p>
  </w:footnote>
  <w:footnote w:type="continuationSeparator" w:id="0">
    <w:p w14:paraId="1DEF05D3" w14:textId="77777777" w:rsidR="002C2E47" w:rsidRDefault="002C2E47" w:rsidP="005110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4A"/>
    <w:rsid w:val="00003A28"/>
    <w:rsid w:val="00177012"/>
    <w:rsid w:val="002C2E47"/>
    <w:rsid w:val="002C4083"/>
    <w:rsid w:val="003227B5"/>
    <w:rsid w:val="003D794A"/>
    <w:rsid w:val="003F150F"/>
    <w:rsid w:val="004E22FA"/>
    <w:rsid w:val="00511036"/>
    <w:rsid w:val="005B1BE6"/>
    <w:rsid w:val="00AC16FF"/>
    <w:rsid w:val="00B67CD9"/>
    <w:rsid w:val="00C66007"/>
    <w:rsid w:val="00F17D8B"/>
    <w:rsid w:val="00F479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C1A940F"/>
  <w15:chartTrackingRefBased/>
  <w15:docId w15:val="{01A1CFED-98EE-4BD8-A6FF-9404C69B8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2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22F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4E22FA"/>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2F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4E22FA"/>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511036"/>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11036"/>
    <w:rPr>
      <w:rFonts w:ascii="Times New Roman" w:eastAsiaTheme="majorEastAsia" w:hAnsi="Times New Roman" w:cstheme="majorBidi"/>
      <w:b/>
      <w:spacing w:val="-10"/>
      <w:kern w:val="28"/>
      <w:sz w:val="36"/>
      <w:szCs w:val="56"/>
    </w:rPr>
  </w:style>
  <w:style w:type="paragraph" w:styleId="Header">
    <w:name w:val="header"/>
    <w:basedOn w:val="Normal"/>
    <w:link w:val="HeaderChar"/>
    <w:uiPriority w:val="99"/>
    <w:unhideWhenUsed/>
    <w:rsid w:val="00511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036"/>
    <w:rPr>
      <w:rFonts w:ascii="Times New Roman" w:hAnsi="Times New Roman"/>
      <w:sz w:val="24"/>
    </w:rPr>
  </w:style>
  <w:style w:type="paragraph" w:styleId="Footer">
    <w:name w:val="footer"/>
    <w:basedOn w:val="Normal"/>
    <w:link w:val="FooterChar"/>
    <w:uiPriority w:val="99"/>
    <w:unhideWhenUsed/>
    <w:rsid w:val="00511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036"/>
    <w:rPr>
      <w:rFonts w:ascii="Times New Roman" w:hAnsi="Times New Roman"/>
      <w:sz w:val="24"/>
    </w:rPr>
  </w:style>
  <w:style w:type="paragraph" w:styleId="NormalWeb">
    <w:name w:val="Normal (Web)"/>
    <w:basedOn w:val="Normal"/>
    <w:uiPriority w:val="99"/>
    <w:semiHidden/>
    <w:unhideWhenUsed/>
    <w:rsid w:val="005B1BE6"/>
    <w:pPr>
      <w:spacing w:before="100" w:beforeAutospacing="1" w:after="100" w:afterAutospacing="1" w:line="240" w:lineRule="auto"/>
      <w:jc w:val="left"/>
    </w:pPr>
    <w:rPr>
      <w:rFonts w:eastAsia="Times New Roman" w:cs="Times New Roman"/>
      <w:szCs w:val="24"/>
      <w:lang w:val="en-IN" w:eastAsia="en-IN" w:bidi="pa-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01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2C48F-1724-40A5-9224-8EA17E1DC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HARDEEP KAUR</cp:lastModifiedBy>
  <cp:revision>2</cp:revision>
  <dcterms:created xsi:type="dcterms:W3CDTF">2023-11-26T21:42:00Z</dcterms:created>
  <dcterms:modified xsi:type="dcterms:W3CDTF">2023-11-26T21:42:00Z</dcterms:modified>
</cp:coreProperties>
</file>