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A1C463" w14:textId="77777777" w:rsidR="00C558B0" w:rsidRDefault="00C558B0" w:rsidP="00C558B0">
      <w:pPr>
        <w:spacing w:line="360" w:lineRule="auto"/>
        <w:rPr>
          <w:rFonts w:ascii="Arial" w:hAnsi="Arial" w:cs="Arial"/>
          <w:szCs w:val="24"/>
        </w:rPr>
      </w:pPr>
      <w:r>
        <w:rPr>
          <w:lang w:val="en-US"/>
        </w:rPr>
        <w:drawing>
          <wp:anchor distT="0" distB="0" distL="114300" distR="114300" simplePos="0" relativeHeight="251659264" behindDoc="0" locked="0" layoutInCell="1" allowOverlap="1" wp14:anchorId="4DB84120" wp14:editId="5914BBC6">
            <wp:simplePos x="0" y="0"/>
            <wp:positionH relativeFrom="margin">
              <wp:posOffset>-480060</wp:posOffset>
            </wp:positionH>
            <wp:positionV relativeFrom="paragraph">
              <wp:posOffset>-556260</wp:posOffset>
            </wp:positionV>
            <wp:extent cx="1386840" cy="554355"/>
            <wp:effectExtent l="0" t="0" r="3810" b="0"/>
            <wp:wrapNone/>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386840" cy="554355"/>
                    </a:xfrm>
                    <a:prstGeom prst="rect">
                      <a:avLst/>
                    </a:prstGeom>
                    <a:noFill/>
                  </pic:spPr>
                </pic:pic>
              </a:graphicData>
            </a:graphic>
            <wp14:sizeRelH relativeFrom="page">
              <wp14:pctWidth>0</wp14:pctWidth>
            </wp14:sizeRelH>
            <wp14:sizeRelV relativeFrom="page">
              <wp14:pctHeight>0</wp14:pctHeight>
            </wp14:sizeRelV>
          </wp:anchor>
        </w:drawing>
      </w:r>
    </w:p>
    <w:p w14:paraId="3AF7F3B0" w14:textId="77777777" w:rsidR="00C558B0" w:rsidRDefault="00C558B0" w:rsidP="00C558B0">
      <w:pPr>
        <w:spacing w:line="360" w:lineRule="auto"/>
        <w:rPr>
          <w:rFonts w:ascii="Arial" w:hAnsi="Arial" w:cs="Arial"/>
          <w:szCs w:val="24"/>
        </w:rPr>
      </w:pPr>
    </w:p>
    <w:p w14:paraId="554C8C17" w14:textId="77777777" w:rsidR="00C558B0" w:rsidRDefault="00C558B0" w:rsidP="00C558B0">
      <w:pPr>
        <w:spacing w:line="360" w:lineRule="auto"/>
        <w:rPr>
          <w:rFonts w:ascii="Arial" w:hAnsi="Arial" w:cs="Arial"/>
          <w:szCs w:val="24"/>
        </w:rPr>
      </w:pPr>
    </w:p>
    <w:p w14:paraId="74A7306F" w14:textId="77777777" w:rsidR="00C558B0" w:rsidRDefault="00C558B0" w:rsidP="00C558B0">
      <w:pPr>
        <w:spacing w:line="360" w:lineRule="auto"/>
        <w:rPr>
          <w:rFonts w:ascii="Arial" w:hAnsi="Arial" w:cs="Arial"/>
          <w:szCs w:val="24"/>
        </w:rPr>
      </w:pPr>
    </w:p>
    <w:p w14:paraId="4CFA099C" w14:textId="77777777" w:rsidR="00C558B0" w:rsidRDefault="00C558B0" w:rsidP="00C558B0">
      <w:pPr>
        <w:tabs>
          <w:tab w:val="left" w:pos="6540"/>
        </w:tabs>
        <w:spacing w:line="360" w:lineRule="auto"/>
        <w:rPr>
          <w:rFonts w:ascii="Arial" w:hAnsi="Arial" w:cs="Arial"/>
          <w:sz w:val="28"/>
          <w:szCs w:val="28"/>
        </w:rPr>
      </w:pPr>
    </w:p>
    <w:p w14:paraId="2F4F861B" w14:textId="600CD6A8" w:rsidR="00C558B0" w:rsidRPr="00812340" w:rsidRDefault="00C558B0" w:rsidP="00C558B0">
      <w:pPr>
        <w:tabs>
          <w:tab w:val="left" w:pos="6540"/>
        </w:tabs>
        <w:spacing w:line="360" w:lineRule="auto"/>
        <w:rPr>
          <w:rFonts w:ascii="Arial" w:hAnsi="Arial" w:cs="Arial"/>
          <w:b/>
          <w:bCs/>
          <w:sz w:val="28"/>
          <w:szCs w:val="28"/>
        </w:rPr>
      </w:pPr>
      <w:r w:rsidRPr="00812340">
        <w:rPr>
          <w:rFonts w:ascii="Arial" w:hAnsi="Arial" w:cs="Arial"/>
          <w:b/>
          <w:bCs/>
          <w:sz w:val="28"/>
          <w:szCs w:val="28"/>
        </w:rPr>
        <w:t>Student name:</w:t>
      </w:r>
      <w:r w:rsidR="00423840" w:rsidRPr="00812340">
        <w:rPr>
          <w:rFonts w:ascii="Arial" w:hAnsi="Arial" w:cs="Arial"/>
          <w:b/>
          <w:bCs/>
          <w:sz w:val="28"/>
          <w:szCs w:val="28"/>
        </w:rPr>
        <w:t xml:space="preserve"> Paula Gavriloaei</w:t>
      </w:r>
    </w:p>
    <w:p w14:paraId="18D88AE2" w14:textId="27BD6187" w:rsidR="00C558B0" w:rsidRPr="00812340" w:rsidRDefault="00C558B0" w:rsidP="00C558B0">
      <w:pPr>
        <w:tabs>
          <w:tab w:val="left" w:pos="6540"/>
        </w:tabs>
        <w:spacing w:line="360" w:lineRule="auto"/>
        <w:rPr>
          <w:rFonts w:ascii="Arial" w:hAnsi="Arial" w:cs="Arial"/>
          <w:b/>
          <w:bCs/>
          <w:sz w:val="28"/>
          <w:szCs w:val="28"/>
        </w:rPr>
      </w:pPr>
      <w:r w:rsidRPr="00812340">
        <w:rPr>
          <w:rFonts w:ascii="Arial" w:hAnsi="Arial" w:cs="Arial"/>
          <w:b/>
          <w:bCs/>
          <w:sz w:val="28"/>
          <w:szCs w:val="28"/>
        </w:rPr>
        <w:t>Student ID:</w:t>
      </w:r>
      <w:r w:rsidR="00993468" w:rsidRPr="00812340">
        <w:rPr>
          <w:rFonts w:ascii="Arial" w:hAnsi="Arial" w:cs="Arial"/>
          <w:b/>
          <w:bCs/>
          <w:sz w:val="28"/>
          <w:szCs w:val="28"/>
        </w:rPr>
        <w:t xml:space="preserve"> 4215803</w:t>
      </w:r>
    </w:p>
    <w:p w14:paraId="4654C81C" w14:textId="08D9B2BC" w:rsidR="00C558B0" w:rsidRPr="00812340" w:rsidRDefault="00E645E0" w:rsidP="00C558B0">
      <w:pPr>
        <w:tabs>
          <w:tab w:val="left" w:pos="6540"/>
        </w:tabs>
        <w:spacing w:line="360" w:lineRule="auto"/>
        <w:rPr>
          <w:rFonts w:ascii="Arial" w:hAnsi="Arial" w:cs="Arial"/>
          <w:b/>
          <w:bCs/>
          <w:sz w:val="28"/>
          <w:szCs w:val="28"/>
        </w:rPr>
      </w:pPr>
      <w:r>
        <w:rPr>
          <w:rFonts w:ascii="Arial" w:hAnsi="Arial" w:cs="Arial"/>
          <w:b/>
          <w:bCs/>
          <w:sz w:val="28"/>
          <w:szCs w:val="28"/>
        </w:rPr>
        <w:t>Component: 2</w:t>
      </w:r>
    </w:p>
    <w:p w14:paraId="3D8DA301" w14:textId="659688D6" w:rsidR="00C558B0" w:rsidRPr="00812340" w:rsidRDefault="00C558B0" w:rsidP="00C558B0">
      <w:pPr>
        <w:tabs>
          <w:tab w:val="left" w:pos="6540"/>
        </w:tabs>
        <w:spacing w:line="360" w:lineRule="auto"/>
        <w:rPr>
          <w:rFonts w:ascii="Arial" w:hAnsi="Arial" w:cs="Arial"/>
          <w:b/>
          <w:bCs/>
          <w:sz w:val="28"/>
          <w:szCs w:val="28"/>
        </w:rPr>
      </w:pPr>
      <w:r w:rsidRPr="00812340">
        <w:rPr>
          <w:rFonts w:ascii="Arial" w:hAnsi="Arial" w:cs="Arial"/>
          <w:b/>
          <w:bCs/>
          <w:sz w:val="28"/>
          <w:szCs w:val="28"/>
        </w:rPr>
        <w:t xml:space="preserve">Module name: </w:t>
      </w:r>
      <w:r w:rsidR="00A4102C" w:rsidRPr="00812340">
        <w:rPr>
          <w:rFonts w:ascii="Arial" w:hAnsi="Arial" w:cs="Arial"/>
          <w:b/>
          <w:bCs/>
          <w:sz w:val="28"/>
          <w:szCs w:val="28"/>
        </w:rPr>
        <w:t>Pri</w:t>
      </w:r>
      <w:r w:rsidR="00C86009" w:rsidRPr="00812340">
        <w:rPr>
          <w:rFonts w:ascii="Arial" w:hAnsi="Arial" w:cs="Arial"/>
          <w:b/>
          <w:bCs/>
          <w:sz w:val="28"/>
          <w:szCs w:val="28"/>
        </w:rPr>
        <w:t>nciples of Health  and Social Care</w:t>
      </w:r>
      <w:r w:rsidR="00F54AD9" w:rsidRPr="00812340">
        <w:rPr>
          <w:rFonts w:ascii="Arial" w:hAnsi="Arial" w:cs="Arial"/>
          <w:b/>
          <w:bCs/>
          <w:sz w:val="28"/>
          <w:szCs w:val="28"/>
        </w:rPr>
        <w:t xml:space="preserve"> Practice  A2</w:t>
      </w:r>
    </w:p>
    <w:p w14:paraId="7DB3261D" w14:textId="442EC40D" w:rsidR="00C558B0" w:rsidRPr="00812340" w:rsidRDefault="00C558B0" w:rsidP="00C558B0">
      <w:pPr>
        <w:tabs>
          <w:tab w:val="left" w:pos="6540"/>
        </w:tabs>
        <w:spacing w:line="360" w:lineRule="auto"/>
        <w:rPr>
          <w:rFonts w:ascii="Arial" w:hAnsi="Arial" w:cs="Arial"/>
          <w:b/>
          <w:bCs/>
          <w:sz w:val="28"/>
          <w:szCs w:val="28"/>
        </w:rPr>
      </w:pPr>
      <w:r w:rsidRPr="00812340">
        <w:rPr>
          <w:rFonts w:ascii="Arial" w:hAnsi="Arial" w:cs="Arial"/>
          <w:b/>
          <w:bCs/>
          <w:sz w:val="28"/>
          <w:szCs w:val="28"/>
        </w:rPr>
        <w:t>Module code:</w:t>
      </w:r>
      <w:r w:rsidR="00AD34E6" w:rsidRPr="00812340">
        <w:rPr>
          <w:rFonts w:ascii="Arial" w:hAnsi="Arial" w:cs="Arial"/>
          <w:b/>
          <w:bCs/>
          <w:sz w:val="28"/>
          <w:szCs w:val="28"/>
        </w:rPr>
        <w:t>BMHP</w:t>
      </w:r>
      <w:r w:rsidR="000C72B4" w:rsidRPr="00812340">
        <w:rPr>
          <w:rFonts w:ascii="Arial" w:hAnsi="Arial" w:cs="Arial"/>
          <w:b/>
          <w:bCs/>
          <w:sz w:val="28"/>
          <w:szCs w:val="28"/>
        </w:rPr>
        <w:t>5016</w:t>
      </w:r>
    </w:p>
    <w:p w14:paraId="5CCA350C" w14:textId="624D68D4" w:rsidR="007377DA" w:rsidRPr="00812340" w:rsidRDefault="00C558B0" w:rsidP="00C558B0">
      <w:pPr>
        <w:tabs>
          <w:tab w:val="left" w:pos="6540"/>
        </w:tabs>
        <w:spacing w:line="360" w:lineRule="auto"/>
        <w:rPr>
          <w:rFonts w:ascii="Arial" w:hAnsi="Arial" w:cs="Arial"/>
          <w:b/>
          <w:bCs/>
          <w:sz w:val="28"/>
          <w:szCs w:val="28"/>
        </w:rPr>
      </w:pPr>
      <w:r w:rsidRPr="00812340">
        <w:rPr>
          <w:rFonts w:ascii="Arial" w:hAnsi="Arial" w:cs="Arial"/>
          <w:b/>
          <w:bCs/>
          <w:sz w:val="28"/>
          <w:szCs w:val="28"/>
        </w:rPr>
        <w:t>Lecturer name:</w:t>
      </w:r>
      <w:r w:rsidR="0094308E" w:rsidRPr="00812340">
        <w:rPr>
          <w:rFonts w:ascii="Arial" w:hAnsi="Arial" w:cs="Arial"/>
          <w:b/>
          <w:bCs/>
          <w:sz w:val="28"/>
          <w:szCs w:val="28"/>
        </w:rPr>
        <w:t xml:space="preserve"> Ites </w:t>
      </w:r>
      <w:r w:rsidR="002E4625" w:rsidRPr="00812340">
        <w:rPr>
          <w:rFonts w:ascii="Arial" w:hAnsi="Arial" w:cs="Arial"/>
          <w:b/>
          <w:bCs/>
          <w:sz w:val="28"/>
          <w:szCs w:val="28"/>
        </w:rPr>
        <w:t>Olaoye</w:t>
      </w:r>
    </w:p>
    <w:p w14:paraId="18489D14" w14:textId="77777777" w:rsidR="007377DA" w:rsidRDefault="007377DA">
      <w:pPr>
        <w:spacing w:line="259" w:lineRule="auto"/>
        <w:rPr>
          <w:rFonts w:ascii="Arial" w:hAnsi="Arial" w:cs="Arial"/>
          <w:sz w:val="28"/>
          <w:szCs w:val="28"/>
        </w:rPr>
      </w:pPr>
      <w:r>
        <w:rPr>
          <w:rFonts w:ascii="Arial" w:hAnsi="Arial" w:cs="Arial"/>
          <w:sz w:val="28"/>
          <w:szCs w:val="28"/>
        </w:rPr>
        <w:br w:type="page"/>
      </w:r>
    </w:p>
    <w:sdt>
      <w:sdtPr>
        <w:rPr>
          <w:rFonts w:ascii="Times New Roman" w:eastAsiaTheme="minorHAnsi" w:hAnsi="Times New Roman" w:cstheme="minorBidi"/>
          <w:b/>
          <w:noProof/>
          <w:color w:val="000000" w:themeColor="text1"/>
          <w:sz w:val="28"/>
          <w:szCs w:val="28"/>
          <w:lang w:val="en-GB"/>
        </w:rPr>
        <w:id w:val="-1297298462"/>
        <w:docPartObj>
          <w:docPartGallery w:val="Table of Contents"/>
          <w:docPartUnique/>
        </w:docPartObj>
      </w:sdtPr>
      <w:sdtEndPr>
        <w:rPr>
          <w:bCs/>
          <w:color w:val="auto"/>
          <w:sz w:val="24"/>
          <w:szCs w:val="22"/>
        </w:rPr>
      </w:sdtEndPr>
      <w:sdtContent>
        <w:p w14:paraId="6EF24518" w14:textId="563F66C5" w:rsidR="007377DA" w:rsidRPr="007377DA" w:rsidRDefault="007377DA" w:rsidP="007377DA">
          <w:pPr>
            <w:pStyle w:val="TOCHeading"/>
            <w:jc w:val="center"/>
            <w:rPr>
              <w:rFonts w:ascii="Arial" w:hAnsi="Arial" w:cs="Arial"/>
              <w:b/>
              <w:color w:val="000000" w:themeColor="text1"/>
              <w:sz w:val="28"/>
              <w:szCs w:val="28"/>
            </w:rPr>
          </w:pPr>
          <w:r w:rsidRPr="007377DA">
            <w:rPr>
              <w:rFonts w:ascii="Arial" w:hAnsi="Arial" w:cs="Arial"/>
              <w:b/>
              <w:color w:val="000000" w:themeColor="text1"/>
              <w:sz w:val="28"/>
              <w:szCs w:val="28"/>
            </w:rPr>
            <w:t>Table of Contents</w:t>
          </w:r>
        </w:p>
        <w:p w14:paraId="419F0BE1" w14:textId="77777777" w:rsidR="007377DA" w:rsidRPr="007377DA" w:rsidRDefault="007377DA" w:rsidP="007377DA">
          <w:pPr>
            <w:pStyle w:val="TOC1"/>
            <w:tabs>
              <w:tab w:val="right" w:leader="dot" w:pos="9016"/>
            </w:tabs>
            <w:spacing w:line="360" w:lineRule="auto"/>
            <w:jc w:val="both"/>
            <w:rPr>
              <w:rFonts w:ascii="Arial" w:hAnsi="Arial" w:cs="Arial"/>
              <w:sz w:val="22"/>
            </w:rPr>
          </w:pPr>
          <w:r w:rsidRPr="007377DA">
            <w:rPr>
              <w:rFonts w:ascii="Arial" w:hAnsi="Arial" w:cs="Arial"/>
            </w:rPr>
            <w:fldChar w:fldCharType="begin"/>
          </w:r>
          <w:r w:rsidRPr="007377DA">
            <w:rPr>
              <w:rFonts w:ascii="Arial" w:hAnsi="Arial" w:cs="Arial"/>
            </w:rPr>
            <w:instrText xml:space="preserve"> TOC \o "1-3" \h \z \u </w:instrText>
          </w:r>
          <w:r w:rsidRPr="007377DA">
            <w:rPr>
              <w:rFonts w:ascii="Arial" w:hAnsi="Arial" w:cs="Arial"/>
            </w:rPr>
            <w:fldChar w:fldCharType="separate"/>
          </w:r>
          <w:hyperlink w:anchor="_Toc223302028" w:history="1">
            <w:r w:rsidRPr="007377DA">
              <w:rPr>
                <w:rStyle w:val="Hyperlink"/>
                <w:rFonts w:ascii="Arial" w:hAnsi="Arial" w:cs="Arial"/>
                <w:sz w:val="22"/>
              </w:rPr>
              <w:t>Introduction</w:t>
            </w:r>
            <w:r w:rsidRPr="007377DA">
              <w:rPr>
                <w:rFonts w:ascii="Arial" w:hAnsi="Arial" w:cs="Arial"/>
                <w:webHidden/>
                <w:sz w:val="22"/>
              </w:rPr>
              <w:tab/>
            </w:r>
            <w:r w:rsidRPr="007377DA">
              <w:rPr>
                <w:rFonts w:ascii="Arial" w:hAnsi="Arial" w:cs="Arial"/>
                <w:webHidden/>
                <w:sz w:val="22"/>
              </w:rPr>
              <w:fldChar w:fldCharType="begin"/>
            </w:r>
            <w:r w:rsidRPr="007377DA">
              <w:rPr>
                <w:rFonts w:ascii="Arial" w:hAnsi="Arial" w:cs="Arial"/>
                <w:webHidden/>
                <w:sz w:val="22"/>
              </w:rPr>
              <w:instrText xml:space="preserve"> PAGEREF _Toc223302028 \h </w:instrText>
            </w:r>
            <w:r w:rsidRPr="007377DA">
              <w:rPr>
                <w:rFonts w:ascii="Arial" w:hAnsi="Arial" w:cs="Arial"/>
                <w:webHidden/>
                <w:sz w:val="22"/>
              </w:rPr>
            </w:r>
            <w:r w:rsidRPr="007377DA">
              <w:rPr>
                <w:rFonts w:ascii="Arial" w:hAnsi="Arial" w:cs="Arial"/>
                <w:webHidden/>
                <w:sz w:val="22"/>
              </w:rPr>
              <w:fldChar w:fldCharType="separate"/>
            </w:r>
            <w:r w:rsidRPr="007377DA">
              <w:rPr>
                <w:rFonts w:ascii="Arial" w:hAnsi="Arial" w:cs="Arial"/>
                <w:webHidden/>
                <w:sz w:val="22"/>
              </w:rPr>
              <w:t>3</w:t>
            </w:r>
            <w:r w:rsidRPr="007377DA">
              <w:rPr>
                <w:rFonts w:ascii="Arial" w:hAnsi="Arial" w:cs="Arial"/>
                <w:webHidden/>
                <w:sz w:val="22"/>
              </w:rPr>
              <w:fldChar w:fldCharType="end"/>
            </w:r>
          </w:hyperlink>
        </w:p>
        <w:p w14:paraId="0D978FFB" w14:textId="77777777" w:rsidR="007377DA" w:rsidRPr="007377DA" w:rsidRDefault="007377DA" w:rsidP="007377DA">
          <w:pPr>
            <w:pStyle w:val="TOC1"/>
            <w:tabs>
              <w:tab w:val="right" w:leader="dot" w:pos="9016"/>
            </w:tabs>
            <w:spacing w:line="360" w:lineRule="auto"/>
            <w:jc w:val="both"/>
            <w:rPr>
              <w:rFonts w:ascii="Arial" w:hAnsi="Arial" w:cs="Arial"/>
              <w:sz w:val="22"/>
            </w:rPr>
          </w:pPr>
          <w:hyperlink w:anchor="_Toc223302029" w:history="1">
            <w:r w:rsidRPr="007377DA">
              <w:rPr>
                <w:rStyle w:val="Hyperlink"/>
                <w:rFonts w:ascii="Arial" w:hAnsi="Arial" w:cs="Arial"/>
                <w:sz w:val="22"/>
              </w:rPr>
              <w:t>The development of the chosen concept</w:t>
            </w:r>
            <w:r w:rsidRPr="007377DA">
              <w:rPr>
                <w:rFonts w:ascii="Arial" w:hAnsi="Arial" w:cs="Arial"/>
                <w:webHidden/>
                <w:sz w:val="22"/>
              </w:rPr>
              <w:tab/>
            </w:r>
            <w:r w:rsidRPr="007377DA">
              <w:rPr>
                <w:rFonts w:ascii="Arial" w:hAnsi="Arial" w:cs="Arial"/>
                <w:webHidden/>
                <w:sz w:val="22"/>
              </w:rPr>
              <w:fldChar w:fldCharType="begin"/>
            </w:r>
            <w:r w:rsidRPr="007377DA">
              <w:rPr>
                <w:rFonts w:ascii="Arial" w:hAnsi="Arial" w:cs="Arial"/>
                <w:webHidden/>
                <w:sz w:val="22"/>
              </w:rPr>
              <w:instrText xml:space="preserve"> PAGEREF _Toc223302029 \h </w:instrText>
            </w:r>
            <w:r w:rsidRPr="007377DA">
              <w:rPr>
                <w:rFonts w:ascii="Arial" w:hAnsi="Arial" w:cs="Arial"/>
                <w:webHidden/>
                <w:sz w:val="22"/>
              </w:rPr>
            </w:r>
            <w:r w:rsidRPr="007377DA">
              <w:rPr>
                <w:rFonts w:ascii="Arial" w:hAnsi="Arial" w:cs="Arial"/>
                <w:webHidden/>
                <w:sz w:val="22"/>
              </w:rPr>
              <w:fldChar w:fldCharType="separate"/>
            </w:r>
            <w:r w:rsidRPr="007377DA">
              <w:rPr>
                <w:rFonts w:ascii="Arial" w:hAnsi="Arial" w:cs="Arial"/>
                <w:webHidden/>
                <w:sz w:val="22"/>
              </w:rPr>
              <w:t>3</w:t>
            </w:r>
            <w:r w:rsidRPr="007377DA">
              <w:rPr>
                <w:rFonts w:ascii="Arial" w:hAnsi="Arial" w:cs="Arial"/>
                <w:webHidden/>
                <w:sz w:val="22"/>
              </w:rPr>
              <w:fldChar w:fldCharType="end"/>
            </w:r>
          </w:hyperlink>
        </w:p>
        <w:p w14:paraId="0A7B507A" w14:textId="77777777" w:rsidR="007377DA" w:rsidRPr="007377DA" w:rsidRDefault="007377DA" w:rsidP="007377DA">
          <w:pPr>
            <w:pStyle w:val="TOC1"/>
            <w:tabs>
              <w:tab w:val="right" w:leader="dot" w:pos="9016"/>
            </w:tabs>
            <w:spacing w:line="360" w:lineRule="auto"/>
            <w:jc w:val="both"/>
            <w:rPr>
              <w:rFonts w:ascii="Arial" w:hAnsi="Arial" w:cs="Arial"/>
              <w:sz w:val="22"/>
            </w:rPr>
          </w:pPr>
          <w:hyperlink w:anchor="_Toc223302030" w:history="1">
            <w:r w:rsidRPr="007377DA">
              <w:rPr>
                <w:rStyle w:val="Hyperlink"/>
                <w:rFonts w:ascii="Arial" w:hAnsi="Arial" w:cs="Arial"/>
                <w:sz w:val="22"/>
              </w:rPr>
              <w:t>Application of the concept in practice</w:t>
            </w:r>
            <w:r w:rsidRPr="007377DA">
              <w:rPr>
                <w:rFonts w:ascii="Arial" w:hAnsi="Arial" w:cs="Arial"/>
                <w:webHidden/>
                <w:sz w:val="22"/>
              </w:rPr>
              <w:tab/>
            </w:r>
            <w:r w:rsidRPr="007377DA">
              <w:rPr>
                <w:rFonts w:ascii="Arial" w:hAnsi="Arial" w:cs="Arial"/>
                <w:webHidden/>
                <w:sz w:val="22"/>
              </w:rPr>
              <w:fldChar w:fldCharType="begin"/>
            </w:r>
            <w:r w:rsidRPr="007377DA">
              <w:rPr>
                <w:rFonts w:ascii="Arial" w:hAnsi="Arial" w:cs="Arial"/>
                <w:webHidden/>
                <w:sz w:val="22"/>
              </w:rPr>
              <w:instrText xml:space="preserve"> PAGEREF _Toc223302030 \h </w:instrText>
            </w:r>
            <w:r w:rsidRPr="007377DA">
              <w:rPr>
                <w:rFonts w:ascii="Arial" w:hAnsi="Arial" w:cs="Arial"/>
                <w:webHidden/>
                <w:sz w:val="22"/>
              </w:rPr>
            </w:r>
            <w:r w:rsidRPr="007377DA">
              <w:rPr>
                <w:rFonts w:ascii="Arial" w:hAnsi="Arial" w:cs="Arial"/>
                <w:webHidden/>
                <w:sz w:val="22"/>
              </w:rPr>
              <w:fldChar w:fldCharType="separate"/>
            </w:r>
            <w:r w:rsidRPr="007377DA">
              <w:rPr>
                <w:rFonts w:ascii="Arial" w:hAnsi="Arial" w:cs="Arial"/>
                <w:webHidden/>
                <w:sz w:val="22"/>
              </w:rPr>
              <w:t>4</w:t>
            </w:r>
            <w:r w:rsidRPr="007377DA">
              <w:rPr>
                <w:rFonts w:ascii="Arial" w:hAnsi="Arial" w:cs="Arial"/>
                <w:webHidden/>
                <w:sz w:val="22"/>
              </w:rPr>
              <w:fldChar w:fldCharType="end"/>
            </w:r>
          </w:hyperlink>
        </w:p>
        <w:p w14:paraId="37CB05F4" w14:textId="77777777" w:rsidR="007377DA" w:rsidRPr="007377DA" w:rsidRDefault="007377DA" w:rsidP="007377DA">
          <w:pPr>
            <w:pStyle w:val="TOC1"/>
            <w:tabs>
              <w:tab w:val="right" w:leader="dot" w:pos="9016"/>
            </w:tabs>
            <w:spacing w:line="360" w:lineRule="auto"/>
            <w:jc w:val="both"/>
            <w:rPr>
              <w:rFonts w:ascii="Arial" w:hAnsi="Arial" w:cs="Arial"/>
              <w:sz w:val="22"/>
            </w:rPr>
          </w:pPr>
          <w:hyperlink w:anchor="_Toc223302031" w:history="1">
            <w:r w:rsidRPr="007377DA">
              <w:rPr>
                <w:rStyle w:val="Hyperlink"/>
                <w:rFonts w:ascii="Arial" w:hAnsi="Arial" w:cs="Arial"/>
                <w:sz w:val="22"/>
              </w:rPr>
              <w:t>Recommendations for policy and practice</w:t>
            </w:r>
            <w:r w:rsidRPr="007377DA">
              <w:rPr>
                <w:rFonts w:ascii="Arial" w:hAnsi="Arial" w:cs="Arial"/>
                <w:webHidden/>
                <w:sz w:val="22"/>
              </w:rPr>
              <w:tab/>
            </w:r>
            <w:r w:rsidRPr="007377DA">
              <w:rPr>
                <w:rFonts w:ascii="Arial" w:hAnsi="Arial" w:cs="Arial"/>
                <w:webHidden/>
                <w:sz w:val="22"/>
              </w:rPr>
              <w:fldChar w:fldCharType="begin"/>
            </w:r>
            <w:r w:rsidRPr="007377DA">
              <w:rPr>
                <w:rFonts w:ascii="Arial" w:hAnsi="Arial" w:cs="Arial"/>
                <w:webHidden/>
                <w:sz w:val="22"/>
              </w:rPr>
              <w:instrText xml:space="preserve"> PAGEREF _Toc223302031 \h </w:instrText>
            </w:r>
            <w:r w:rsidRPr="007377DA">
              <w:rPr>
                <w:rFonts w:ascii="Arial" w:hAnsi="Arial" w:cs="Arial"/>
                <w:webHidden/>
                <w:sz w:val="22"/>
              </w:rPr>
            </w:r>
            <w:r w:rsidRPr="007377DA">
              <w:rPr>
                <w:rFonts w:ascii="Arial" w:hAnsi="Arial" w:cs="Arial"/>
                <w:webHidden/>
                <w:sz w:val="22"/>
              </w:rPr>
              <w:fldChar w:fldCharType="separate"/>
            </w:r>
            <w:r w:rsidRPr="007377DA">
              <w:rPr>
                <w:rFonts w:ascii="Arial" w:hAnsi="Arial" w:cs="Arial"/>
                <w:webHidden/>
                <w:sz w:val="22"/>
              </w:rPr>
              <w:t>6</w:t>
            </w:r>
            <w:r w:rsidRPr="007377DA">
              <w:rPr>
                <w:rFonts w:ascii="Arial" w:hAnsi="Arial" w:cs="Arial"/>
                <w:webHidden/>
                <w:sz w:val="22"/>
              </w:rPr>
              <w:fldChar w:fldCharType="end"/>
            </w:r>
          </w:hyperlink>
        </w:p>
        <w:p w14:paraId="02B02CDF" w14:textId="77777777" w:rsidR="007377DA" w:rsidRPr="007377DA" w:rsidRDefault="007377DA" w:rsidP="007377DA">
          <w:pPr>
            <w:pStyle w:val="TOC1"/>
            <w:tabs>
              <w:tab w:val="right" w:leader="dot" w:pos="9016"/>
            </w:tabs>
            <w:spacing w:line="360" w:lineRule="auto"/>
            <w:jc w:val="both"/>
            <w:rPr>
              <w:rFonts w:ascii="Arial" w:hAnsi="Arial" w:cs="Arial"/>
            </w:rPr>
          </w:pPr>
          <w:hyperlink w:anchor="_Toc223302032" w:history="1">
            <w:r w:rsidRPr="007377DA">
              <w:rPr>
                <w:rStyle w:val="Hyperlink"/>
                <w:rFonts w:ascii="Arial" w:hAnsi="Arial" w:cs="Arial"/>
                <w:sz w:val="22"/>
              </w:rPr>
              <w:t>Conclusion</w:t>
            </w:r>
            <w:r w:rsidRPr="007377DA">
              <w:rPr>
                <w:rFonts w:ascii="Arial" w:hAnsi="Arial" w:cs="Arial"/>
                <w:webHidden/>
                <w:sz w:val="22"/>
              </w:rPr>
              <w:tab/>
            </w:r>
            <w:r w:rsidRPr="007377DA">
              <w:rPr>
                <w:rFonts w:ascii="Arial" w:hAnsi="Arial" w:cs="Arial"/>
                <w:webHidden/>
                <w:sz w:val="22"/>
              </w:rPr>
              <w:fldChar w:fldCharType="begin"/>
            </w:r>
            <w:r w:rsidRPr="007377DA">
              <w:rPr>
                <w:rFonts w:ascii="Arial" w:hAnsi="Arial" w:cs="Arial"/>
                <w:webHidden/>
                <w:sz w:val="22"/>
              </w:rPr>
              <w:instrText xml:space="preserve"> PAGEREF _Toc223302032 \h </w:instrText>
            </w:r>
            <w:r w:rsidRPr="007377DA">
              <w:rPr>
                <w:rFonts w:ascii="Arial" w:hAnsi="Arial" w:cs="Arial"/>
                <w:webHidden/>
                <w:sz w:val="22"/>
              </w:rPr>
            </w:r>
            <w:r w:rsidRPr="007377DA">
              <w:rPr>
                <w:rFonts w:ascii="Arial" w:hAnsi="Arial" w:cs="Arial"/>
                <w:webHidden/>
                <w:sz w:val="22"/>
              </w:rPr>
              <w:fldChar w:fldCharType="separate"/>
            </w:r>
            <w:r w:rsidRPr="007377DA">
              <w:rPr>
                <w:rFonts w:ascii="Arial" w:hAnsi="Arial" w:cs="Arial"/>
                <w:webHidden/>
                <w:sz w:val="22"/>
              </w:rPr>
              <w:t>7</w:t>
            </w:r>
            <w:r w:rsidRPr="007377DA">
              <w:rPr>
                <w:rFonts w:ascii="Arial" w:hAnsi="Arial" w:cs="Arial"/>
                <w:webHidden/>
                <w:sz w:val="22"/>
              </w:rPr>
              <w:fldChar w:fldCharType="end"/>
            </w:r>
          </w:hyperlink>
        </w:p>
        <w:p w14:paraId="5F51A679" w14:textId="3BB62893" w:rsidR="007377DA" w:rsidRDefault="007377DA">
          <w:r w:rsidRPr="007377DA">
            <w:rPr>
              <w:rFonts w:ascii="Arial" w:hAnsi="Arial" w:cs="Arial"/>
              <w:b/>
              <w:bCs/>
            </w:rPr>
            <w:fldChar w:fldCharType="end"/>
          </w:r>
        </w:p>
      </w:sdtContent>
    </w:sdt>
    <w:p w14:paraId="086A08C5" w14:textId="77777777" w:rsidR="00C558B0" w:rsidRDefault="00C558B0" w:rsidP="00C558B0">
      <w:pPr>
        <w:tabs>
          <w:tab w:val="left" w:pos="6540"/>
        </w:tabs>
        <w:spacing w:line="360" w:lineRule="auto"/>
        <w:rPr>
          <w:rFonts w:ascii="Arial" w:hAnsi="Arial" w:cs="Arial"/>
          <w:sz w:val="28"/>
          <w:szCs w:val="28"/>
        </w:rPr>
      </w:pPr>
    </w:p>
    <w:p w14:paraId="5461F9C8" w14:textId="77777777" w:rsidR="00C558B0" w:rsidRDefault="00C558B0" w:rsidP="00C558B0">
      <w:pPr>
        <w:tabs>
          <w:tab w:val="left" w:pos="6540"/>
        </w:tabs>
        <w:spacing w:line="360" w:lineRule="auto"/>
        <w:rPr>
          <w:rFonts w:ascii="Arial" w:hAnsi="Arial" w:cs="Arial"/>
          <w:sz w:val="28"/>
          <w:szCs w:val="28"/>
        </w:rPr>
      </w:pPr>
    </w:p>
    <w:p w14:paraId="79C715ED" w14:textId="16914D07" w:rsidR="006D2F2D" w:rsidRPr="004A5A64" w:rsidRDefault="006D2F2D" w:rsidP="004A5A64">
      <w:pPr>
        <w:spacing w:line="360" w:lineRule="auto"/>
        <w:rPr>
          <w:sz w:val="23"/>
          <w:szCs w:val="23"/>
        </w:rPr>
      </w:pPr>
      <w:r w:rsidRPr="004A5A64">
        <w:rPr>
          <w:sz w:val="23"/>
          <w:szCs w:val="23"/>
        </w:rPr>
        <w:br w:type="page"/>
      </w:r>
    </w:p>
    <w:p w14:paraId="5F44B964" w14:textId="5E455BDD" w:rsidR="00317E3D" w:rsidRPr="007744C3" w:rsidRDefault="006D2F2D" w:rsidP="007744C3">
      <w:pPr>
        <w:pStyle w:val="Heading1"/>
      </w:pPr>
      <w:bookmarkStart w:id="0" w:name="_Toc223302028"/>
      <w:r w:rsidRPr="007744C3">
        <w:lastRenderedPageBreak/>
        <w:t>Introduction</w:t>
      </w:r>
      <w:bookmarkEnd w:id="0"/>
    </w:p>
    <w:p w14:paraId="06BD182F" w14:textId="77777777" w:rsidR="003D4DB9" w:rsidRPr="003D4DB9" w:rsidRDefault="003D4DB9" w:rsidP="003D4DB9">
      <w:pPr>
        <w:spacing w:after="0" w:line="360" w:lineRule="auto"/>
        <w:jc w:val="both"/>
        <w:rPr>
          <w:rFonts w:ascii="Arial" w:eastAsia="Arial" w:hAnsi="Arial" w:cs="Arial"/>
          <w:sz w:val="22"/>
          <w:lang w:val="en"/>
        </w:rPr>
      </w:pPr>
      <w:r w:rsidRPr="003D4DB9">
        <w:rPr>
          <w:rFonts w:ascii="Arial" w:eastAsia="Arial" w:hAnsi="Arial" w:cs="Arial"/>
          <w:sz w:val="22"/>
          <w:lang w:val="en"/>
        </w:rPr>
        <w:t>One of the key elements of the modern health and social care policy and practice is person-centred care. It focuses on the importance of individual autonomy, dignity, choice and involvement in the processes of decision-making. Person-centred approaches consider a service user to be the partner of their own care, not as a passive receiver of care, as opposed to other approaches (</w:t>
      </w:r>
      <w:r w:rsidRPr="003D4DB9">
        <w:rPr>
          <w:rFonts w:ascii="Arial" w:eastAsia="Arial" w:hAnsi="Arial" w:cs="Arial"/>
          <w:color w:val="222222"/>
          <w:sz w:val="22"/>
          <w:highlight w:val="white"/>
          <w:lang w:val="en"/>
        </w:rPr>
        <w:t>Berntsen et al. 2021</w:t>
      </w:r>
      <w:r w:rsidRPr="003D4DB9">
        <w:rPr>
          <w:rFonts w:ascii="Arial" w:eastAsia="Arial" w:hAnsi="Arial" w:cs="Arial"/>
          <w:sz w:val="22"/>
          <w:lang w:val="en"/>
        </w:rPr>
        <w:t>). Among the major theoretical models that have formed the basis of this approach is the Social Model of Disability.</w:t>
      </w:r>
    </w:p>
    <w:p w14:paraId="1F557654" w14:textId="77777777" w:rsidR="003D4DB9" w:rsidRPr="003D4DB9" w:rsidRDefault="003D4DB9" w:rsidP="003D4DB9">
      <w:pPr>
        <w:spacing w:after="0" w:line="360" w:lineRule="auto"/>
        <w:jc w:val="both"/>
        <w:rPr>
          <w:rFonts w:ascii="Arial" w:eastAsia="Arial" w:hAnsi="Arial" w:cs="Arial"/>
          <w:sz w:val="22"/>
          <w:lang w:val="en"/>
        </w:rPr>
      </w:pPr>
      <w:r w:rsidRPr="003D4DB9">
        <w:rPr>
          <w:rFonts w:ascii="Arial" w:eastAsia="Arial" w:hAnsi="Arial" w:cs="Arial"/>
          <w:b/>
          <w:bCs/>
          <w:i/>
          <w:iCs/>
          <w:sz w:val="22"/>
          <w:lang w:val="en"/>
        </w:rPr>
        <w:t>Social Model of Disability</w:t>
      </w:r>
      <w:r w:rsidRPr="003D4DB9">
        <w:rPr>
          <w:rFonts w:ascii="Arial" w:eastAsia="Arial" w:hAnsi="Arial" w:cs="Arial"/>
          <w:sz w:val="22"/>
          <w:lang w:val="en"/>
        </w:rPr>
        <w:t xml:space="preserve"> is a form of challenge to the traditional concept of disability in the sense that it does not focus on what impairs people, but rather on the social, environmental and structural conditions that limit participation. It maintains that the person is not disabled due to his or her physical or mental status, but the manner in which society is structured. This approach has had much say on disability rights, as well as the modern policy of health and social care in the United Kingdom.</w:t>
      </w:r>
    </w:p>
    <w:p w14:paraId="2CA93149" w14:textId="77777777" w:rsidR="003D4DB9" w:rsidRPr="003D4DB9" w:rsidRDefault="003D4DB9" w:rsidP="003D4DB9">
      <w:pPr>
        <w:spacing w:after="0" w:line="360" w:lineRule="auto"/>
        <w:jc w:val="both"/>
        <w:rPr>
          <w:rFonts w:ascii="Arial" w:eastAsia="Arial" w:hAnsi="Arial" w:cs="Arial"/>
          <w:b/>
          <w:bCs/>
          <w:sz w:val="28"/>
          <w:szCs w:val="28"/>
          <w:lang w:val="en"/>
        </w:rPr>
      </w:pPr>
      <w:r w:rsidRPr="003D4DB9">
        <w:rPr>
          <w:rFonts w:ascii="Arial" w:eastAsia="Arial" w:hAnsi="Arial" w:cs="Arial"/>
          <w:sz w:val="22"/>
          <w:lang w:val="en"/>
        </w:rPr>
        <w:t>In this essay, the rise and evolution of the Social Model of Disability shall be discussed critically with a significant number of criticisms and refutations of such criticisms put forward. It will then examine how the model has been used in the health and social care policy and practise establishing the gains and constraints. Lastly, suggestions will be made to promote the application of the principles of social models in person-centred care.</w:t>
      </w:r>
    </w:p>
    <w:p w14:paraId="2AB98BE7" w14:textId="61E5B727" w:rsidR="006D2F2D" w:rsidRDefault="003E4ED4" w:rsidP="007744C3">
      <w:pPr>
        <w:pStyle w:val="Heading1"/>
      </w:pPr>
      <w:bookmarkStart w:id="1" w:name="_Toc223302029"/>
      <w:r w:rsidRPr="004A5A64">
        <w:t>T</w:t>
      </w:r>
      <w:r w:rsidR="006D2F2D" w:rsidRPr="004A5A64">
        <w:t xml:space="preserve">he </w:t>
      </w:r>
      <w:r w:rsidRPr="004A5A64">
        <w:t xml:space="preserve">development of the </w:t>
      </w:r>
      <w:r w:rsidR="006D2F2D" w:rsidRPr="004A5A64">
        <w:t xml:space="preserve">chosen </w:t>
      </w:r>
      <w:r w:rsidR="00A06514">
        <w:t>concept</w:t>
      </w:r>
      <w:bookmarkEnd w:id="1"/>
    </w:p>
    <w:p w14:paraId="7CC974CE" w14:textId="77777777" w:rsidR="00A06514" w:rsidRPr="00A06514" w:rsidRDefault="00A06514" w:rsidP="00A06514">
      <w:pPr>
        <w:spacing w:after="0" w:line="360" w:lineRule="auto"/>
        <w:jc w:val="both"/>
        <w:rPr>
          <w:rFonts w:ascii="Arial" w:eastAsia="Arial" w:hAnsi="Arial" w:cs="Arial"/>
          <w:b/>
          <w:bCs/>
          <w:i/>
          <w:iCs/>
          <w:sz w:val="22"/>
          <w:lang w:val="en"/>
        </w:rPr>
      </w:pPr>
      <w:r w:rsidRPr="00A06514">
        <w:rPr>
          <w:rFonts w:ascii="Arial" w:eastAsia="Arial" w:hAnsi="Arial" w:cs="Arial"/>
          <w:b/>
          <w:bCs/>
          <w:i/>
          <w:iCs/>
          <w:sz w:val="22"/>
          <w:lang w:val="en"/>
        </w:rPr>
        <w:t>The Social Model of Disability: Development in the UK.</w:t>
      </w:r>
    </w:p>
    <w:p w14:paraId="5792F5DA" w14:textId="77777777" w:rsidR="00A06514" w:rsidRPr="00A06514" w:rsidRDefault="00A06514" w:rsidP="00A06514">
      <w:pPr>
        <w:spacing w:after="0" w:line="360" w:lineRule="auto"/>
        <w:jc w:val="both"/>
        <w:rPr>
          <w:rFonts w:ascii="Arial" w:eastAsia="Arial" w:hAnsi="Arial" w:cs="Arial"/>
          <w:sz w:val="22"/>
          <w:lang w:val="en"/>
        </w:rPr>
      </w:pPr>
      <w:r w:rsidRPr="00A06514">
        <w:rPr>
          <w:rFonts w:ascii="Arial" w:eastAsia="Arial" w:hAnsi="Arial" w:cs="Arial"/>
          <w:sz w:val="22"/>
          <w:lang w:val="en"/>
        </w:rPr>
        <w:t>In the United Kingdom, the Social Model of Disability originated in the early 1970s as a part of the activism of disabled people, especially the Union of the Physically Impaired Against Segregation (UPIAS) (</w:t>
      </w:r>
      <w:r w:rsidRPr="00A06514">
        <w:rPr>
          <w:rFonts w:ascii="Arial" w:eastAsia="Arial" w:hAnsi="Arial" w:cs="Arial"/>
          <w:color w:val="222222"/>
          <w:sz w:val="22"/>
          <w:highlight w:val="white"/>
          <w:lang w:val="en"/>
        </w:rPr>
        <w:t>McCourt, 2025</w:t>
      </w:r>
      <w:r w:rsidRPr="00A06514">
        <w:rPr>
          <w:rFonts w:ascii="Arial" w:eastAsia="Arial" w:hAnsi="Arial" w:cs="Arial"/>
          <w:sz w:val="22"/>
          <w:lang w:val="en"/>
        </w:rPr>
        <w:t>). Unsatisfied with the medical hegemonic paradigm, which characterised disability as a personal deformity that needed correction, the activists proposed that social set-ups were the real causes of the disadvantage. UPIAS separated the definitions of impairment and disability arguing that disability was caused by environmental factors, discrimination and exclusion and not by physical or mental states. Mike Oliver is a sociologist who has later institutionalised the concept in the 1980s to give it academic notice. The model was formulated in the context of bigger civil rights, disability as an issue of oppression, equality and social justice.</w:t>
      </w:r>
    </w:p>
    <w:p w14:paraId="3BEE7F24" w14:textId="77777777" w:rsidR="00A06514" w:rsidRPr="00A06514" w:rsidRDefault="00A06514" w:rsidP="00A06514">
      <w:pPr>
        <w:spacing w:after="0" w:line="360" w:lineRule="auto"/>
        <w:jc w:val="both"/>
        <w:rPr>
          <w:rFonts w:ascii="Arial" w:eastAsia="Arial" w:hAnsi="Arial" w:cs="Arial"/>
          <w:b/>
          <w:bCs/>
          <w:i/>
          <w:iCs/>
          <w:sz w:val="22"/>
          <w:lang w:val="en"/>
        </w:rPr>
      </w:pPr>
      <w:r w:rsidRPr="00A06514">
        <w:rPr>
          <w:rFonts w:ascii="Arial" w:eastAsia="Arial" w:hAnsi="Arial" w:cs="Arial"/>
          <w:b/>
          <w:bCs/>
          <w:i/>
          <w:iCs/>
          <w:sz w:val="22"/>
          <w:lang w:val="en"/>
        </w:rPr>
        <w:t>History and Process of Model Development.</w:t>
      </w:r>
    </w:p>
    <w:p w14:paraId="479064D7" w14:textId="77777777" w:rsidR="00A06514" w:rsidRPr="00A06514" w:rsidRDefault="00A06514" w:rsidP="00A06514">
      <w:pPr>
        <w:spacing w:after="0" w:line="360" w:lineRule="auto"/>
        <w:jc w:val="both"/>
        <w:rPr>
          <w:rFonts w:ascii="Arial" w:eastAsia="Arial" w:hAnsi="Arial" w:cs="Arial"/>
          <w:sz w:val="22"/>
          <w:lang w:val="en"/>
        </w:rPr>
      </w:pPr>
      <w:r w:rsidRPr="00A06514">
        <w:rPr>
          <w:rFonts w:ascii="Arial" w:eastAsia="Arial" w:hAnsi="Arial" w:cs="Arial"/>
          <w:sz w:val="22"/>
          <w:lang w:val="en"/>
        </w:rPr>
        <w:t>The Social Model developed as an activist movement into UK policy and academic discussion in the 1980s and 1990s. It defined disability research as an academic discipline and professional training in health and social care. The model inspired the campaigns that led to the Disability Discrimination Act 1995 and the second the Equality Act 2010, which were to help in reducing discrimination and enhancing access (</w:t>
      </w:r>
      <w:r w:rsidRPr="00A06514">
        <w:rPr>
          <w:rFonts w:ascii="Arial" w:eastAsia="Arial" w:hAnsi="Arial" w:cs="Arial"/>
          <w:color w:val="222222"/>
          <w:sz w:val="22"/>
          <w:highlight w:val="white"/>
          <w:lang w:val="en"/>
        </w:rPr>
        <w:t>Lawson, 2025</w:t>
      </w:r>
      <w:r w:rsidRPr="00A06514">
        <w:rPr>
          <w:rFonts w:ascii="Arial" w:eastAsia="Arial" w:hAnsi="Arial" w:cs="Arial"/>
          <w:sz w:val="22"/>
          <w:lang w:val="en"/>
        </w:rPr>
        <w:t xml:space="preserve">). It also boosted the </w:t>
      </w:r>
      <w:r w:rsidRPr="00A06514">
        <w:rPr>
          <w:rFonts w:ascii="Arial" w:eastAsia="Arial" w:hAnsi="Arial" w:cs="Arial"/>
          <w:sz w:val="22"/>
          <w:lang w:val="en"/>
        </w:rPr>
        <w:lastRenderedPageBreak/>
        <w:t>independent living movements and direct payment plans which enhanced the level of control disabled people had on care arrangements. The model developed over time based on criticism. Although they disregarded medical approaches at first, subsequent interpretations considered the interplay between impairment and social impediments and saw more integrated biopsychosocial methods in current policy.</w:t>
      </w:r>
    </w:p>
    <w:p w14:paraId="09796101" w14:textId="77777777" w:rsidR="00A06514" w:rsidRPr="00A06514" w:rsidRDefault="00A06514" w:rsidP="00A06514">
      <w:pPr>
        <w:spacing w:after="0" w:line="360" w:lineRule="auto"/>
        <w:jc w:val="both"/>
        <w:rPr>
          <w:rFonts w:ascii="Arial" w:eastAsia="Arial" w:hAnsi="Arial" w:cs="Arial"/>
          <w:b/>
          <w:bCs/>
          <w:i/>
          <w:iCs/>
          <w:sz w:val="22"/>
          <w:lang w:val="en"/>
        </w:rPr>
      </w:pPr>
      <w:r w:rsidRPr="00A06514">
        <w:rPr>
          <w:rFonts w:ascii="Arial" w:eastAsia="Arial" w:hAnsi="Arial" w:cs="Arial"/>
          <w:b/>
          <w:bCs/>
          <w:i/>
          <w:iCs/>
          <w:sz w:val="22"/>
          <w:lang w:val="en"/>
        </w:rPr>
        <w:t>Major Critiques of the Social Model.</w:t>
      </w:r>
    </w:p>
    <w:p w14:paraId="108B0F20" w14:textId="77777777" w:rsidR="00A06514" w:rsidRPr="00A06514" w:rsidRDefault="00A06514" w:rsidP="00A06514">
      <w:pPr>
        <w:spacing w:after="0" w:line="360" w:lineRule="auto"/>
        <w:jc w:val="both"/>
        <w:rPr>
          <w:rFonts w:ascii="Arial" w:eastAsia="Arial" w:hAnsi="Arial" w:cs="Arial"/>
          <w:sz w:val="22"/>
          <w:lang w:val="en"/>
        </w:rPr>
      </w:pPr>
      <w:r w:rsidRPr="00A06514">
        <w:rPr>
          <w:rFonts w:ascii="Arial" w:eastAsia="Arial" w:hAnsi="Arial" w:cs="Arial"/>
          <w:sz w:val="22"/>
          <w:lang w:val="en"/>
        </w:rPr>
        <w:t>Although effective, the Social Model of disability has been criticised within UK scholarship. Underlying the reality of impairment such as chronic pain, fatigue and complex medical needs are one of the main criticisms. Critics also claim that the simplicity of impairment and disability regarding the link between the two is overly simplified and theoretically does not represent embodied experience (</w:t>
      </w:r>
      <w:r w:rsidRPr="00A06514">
        <w:rPr>
          <w:rFonts w:ascii="Arial" w:eastAsia="Arial" w:hAnsi="Arial" w:cs="Arial"/>
          <w:color w:val="222222"/>
          <w:sz w:val="22"/>
          <w:highlight w:val="white"/>
          <w:lang w:val="en"/>
        </w:rPr>
        <w:t>Tedeschi</w:t>
      </w:r>
      <w:r w:rsidRPr="00A06514">
        <w:rPr>
          <w:rFonts w:ascii="Arial" w:eastAsia="Arial" w:hAnsi="Arial" w:cs="Arial"/>
          <w:color w:val="222222"/>
          <w:szCs w:val="24"/>
          <w:highlight w:val="white"/>
          <w:lang w:val="en"/>
        </w:rPr>
        <w:t xml:space="preserve"> </w:t>
      </w:r>
      <w:r w:rsidRPr="00A06514">
        <w:rPr>
          <w:rFonts w:ascii="Arial" w:eastAsia="Arial" w:hAnsi="Arial" w:cs="Arial"/>
          <w:color w:val="222222"/>
          <w:sz w:val="22"/>
          <w:highlight w:val="white"/>
          <w:lang w:val="en"/>
        </w:rPr>
        <w:t>and Limeri, 2024</w:t>
      </w:r>
      <w:r w:rsidRPr="00A06514">
        <w:rPr>
          <w:rFonts w:ascii="Arial" w:eastAsia="Arial" w:hAnsi="Arial" w:cs="Arial"/>
          <w:sz w:val="22"/>
          <w:lang w:val="en"/>
        </w:rPr>
        <w:t>). Some others indicate that the model used to focus on physical impairments and was not holistic enough to consider mental health status and learning disability. There is also criticism over implementation especially after austerity measures which cut spending on social care. Even though social model principles are reflected in legislation, real obstacles still exist which restrict the independent living and place a disconnection between service delivery and policy commitment.</w:t>
      </w:r>
    </w:p>
    <w:p w14:paraId="41CFF519" w14:textId="77777777" w:rsidR="00A06514" w:rsidRPr="00A06514" w:rsidRDefault="00A06514" w:rsidP="00A06514">
      <w:pPr>
        <w:spacing w:after="0" w:line="360" w:lineRule="auto"/>
        <w:jc w:val="both"/>
        <w:rPr>
          <w:rFonts w:ascii="Arial" w:eastAsia="Arial" w:hAnsi="Arial" w:cs="Arial"/>
          <w:b/>
          <w:bCs/>
          <w:i/>
          <w:iCs/>
          <w:sz w:val="22"/>
          <w:lang w:val="en"/>
        </w:rPr>
      </w:pPr>
      <w:r w:rsidRPr="00A06514">
        <w:rPr>
          <w:rFonts w:ascii="Arial" w:eastAsia="Arial" w:hAnsi="Arial" w:cs="Arial"/>
          <w:b/>
          <w:bCs/>
          <w:i/>
          <w:iCs/>
          <w:sz w:val="22"/>
          <w:lang w:val="en"/>
        </w:rPr>
        <w:t>Reactions to Critiques and More Recent Adaptations.</w:t>
      </w:r>
    </w:p>
    <w:p w14:paraId="61FA9BF1" w14:textId="77777777" w:rsidR="00A06514" w:rsidRPr="00A06514" w:rsidRDefault="00A06514" w:rsidP="00A06514">
      <w:pPr>
        <w:spacing w:after="0" w:line="360" w:lineRule="auto"/>
        <w:jc w:val="both"/>
        <w:rPr>
          <w:rFonts w:ascii="Arial" w:eastAsia="Arial" w:hAnsi="Arial" w:cs="Arial"/>
          <w:sz w:val="22"/>
          <w:lang w:val="en"/>
        </w:rPr>
      </w:pPr>
      <w:r w:rsidRPr="00A06514">
        <w:rPr>
          <w:rFonts w:ascii="Arial" w:eastAsia="Arial" w:hAnsi="Arial" w:cs="Arial"/>
          <w:sz w:val="22"/>
          <w:lang w:val="en"/>
        </w:rPr>
        <w:t>In reaction to such reproaches, activists and scholars alike have modified and built on the Social Model instead of abandoning it. The social disability model recognises the impact of impairment and a modifying constraint that is imposed socially and provides a balanced approach to the situation. Modern practices are moving towards a more biopsychosocial approach, whereby medical assistance and community membership are not mutually exclusive (</w:t>
      </w:r>
      <w:r w:rsidRPr="00A06514">
        <w:rPr>
          <w:rFonts w:ascii="Arial" w:eastAsia="Arial" w:hAnsi="Arial" w:cs="Arial"/>
          <w:color w:val="222222"/>
          <w:sz w:val="22"/>
          <w:highlight w:val="white"/>
          <w:lang w:val="en"/>
        </w:rPr>
        <w:t>Roberts, 2023</w:t>
      </w:r>
      <w:r w:rsidRPr="00A06514">
        <w:rPr>
          <w:rFonts w:ascii="Arial" w:eastAsia="Arial" w:hAnsi="Arial" w:cs="Arial"/>
          <w:sz w:val="22"/>
          <w:lang w:val="en"/>
        </w:rPr>
        <w:t>). Intersectionality has also been given more emphasis, and how disability interacts with gender, ethnicity and socioeconomic inequality has been examined. In UK policy and practice, the model has closely matched the person-centred and rights-based models, which emphasise autonomy but also consider clinical needs. Despite the fact that funding remains a limiting factor to implementation initiatives, the Social Model still has an impact in informing legislation and inclusive care practices in relation to equality.</w:t>
      </w:r>
    </w:p>
    <w:p w14:paraId="6D46818E" w14:textId="3B0CDC22" w:rsidR="006D2F2D" w:rsidRPr="004A5A64" w:rsidRDefault="006D2F2D" w:rsidP="007744C3">
      <w:pPr>
        <w:pStyle w:val="Heading1"/>
      </w:pPr>
      <w:bookmarkStart w:id="2" w:name="_Toc223302030"/>
      <w:r w:rsidRPr="004A5A64">
        <w:t xml:space="preserve">Application of the </w:t>
      </w:r>
      <w:r w:rsidR="00A14675" w:rsidRPr="007744C3">
        <w:rPr>
          <w:rStyle w:val="Heading1Char"/>
        </w:rPr>
        <w:t>c</w:t>
      </w:r>
      <w:r w:rsidR="00A14675" w:rsidRPr="004A5A64">
        <w:t>oncept</w:t>
      </w:r>
      <w:r w:rsidRPr="004A5A64">
        <w:t xml:space="preserve"> in practice</w:t>
      </w:r>
      <w:bookmarkEnd w:id="2"/>
    </w:p>
    <w:p w14:paraId="5060304E" w14:textId="77777777" w:rsidR="00E82768" w:rsidRPr="00E82768" w:rsidRDefault="00E82768" w:rsidP="00E82768">
      <w:pPr>
        <w:spacing w:after="0" w:line="360" w:lineRule="auto"/>
        <w:jc w:val="both"/>
        <w:rPr>
          <w:rFonts w:ascii="Arial" w:eastAsia="Arial" w:hAnsi="Arial" w:cs="Arial"/>
          <w:sz w:val="22"/>
          <w:lang w:val="en"/>
        </w:rPr>
      </w:pPr>
      <w:r w:rsidRPr="00E82768">
        <w:rPr>
          <w:rFonts w:ascii="Arial" w:eastAsia="Arial" w:hAnsi="Arial" w:cs="Arial"/>
          <w:sz w:val="22"/>
          <w:lang w:val="en"/>
        </w:rPr>
        <w:t>The Social Model of Disability has played an important role in policy and practise of health and social care in the United Kingdom, especially in influencing individual centred, rights based strategies. Its most fundamental belief that disability is a social, environmental and attitudinal challenge and not a limitation has influenced legislation on equality, social care reform and professional standards. Its impact at the policy level is found in the Disability Discrimination Act of 1995 and subsequently in the Equality Act of 2010 that imposes legal responsibility on organisations to make reasonable adjustments and avoid discrimination (</w:t>
      </w:r>
      <w:r w:rsidRPr="00E82768">
        <w:rPr>
          <w:rFonts w:ascii="Arial" w:eastAsia="Arial" w:hAnsi="Arial" w:cs="Arial"/>
          <w:color w:val="222222"/>
          <w:sz w:val="22"/>
          <w:highlight w:val="white"/>
          <w:lang w:val="en"/>
        </w:rPr>
        <w:t>Lawson, 2025)</w:t>
      </w:r>
      <w:r w:rsidRPr="00E82768">
        <w:rPr>
          <w:rFonts w:ascii="Arial" w:eastAsia="Arial" w:hAnsi="Arial" w:cs="Arial"/>
          <w:sz w:val="22"/>
          <w:lang w:val="en"/>
        </w:rPr>
        <w:t xml:space="preserve">. </w:t>
      </w:r>
      <w:r w:rsidRPr="00E82768">
        <w:rPr>
          <w:rFonts w:ascii="Arial" w:eastAsia="Arial" w:hAnsi="Arial" w:cs="Arial"/>
          <w:sz w:val="22"/>
          <w:lang w:val="en"/>
        </w:rPr>
        <w:lastRenderedPageBreak/>
        <w:t>These models point to the fact that the social model tries to meet the needs of disabled people by eliminating obstacles and encouraging accessibility instead of regarding them as receivers of care.</w:t>
      </w:r>
    </w:p>
    <w:p w14:paraId="1529FD7A" w14:textId="77777777" w:rsidR="00E82768" w:rsidRPr="00E82768" w:rsidRDefault="00E82768" w:rsidP="00E82768">
      <w:pPr>
        <w:spacing w:after="0" w:line="360" w:lineRule="auto"/>
        <w:jc w:val="both"/>
        <w:rPr>
          <w:rFonts w:ascii="Arial" w:eastAsia="Arial" w:hAnsi="Arial" w:cs="Arial"/>
          <w:sz w:val="22"/>
          <w:lang w:val="en"/>
        </w:rPr>
      </w:pPr>
      <w:r w:rsidRPr="00E82768">
        <w:rPr>
          <w:rFonts w:ascii="Arial" w:eastAsia="Arial" w:hAnsi="Arial" w:cs="Arial"/>
          <w:sz w:val="22"/>
          <w:lang w:val="en"/>
        </w:rPr>
        <w:t>The Care Act 2014 also shows the use of social model domestications in adult social care in England (</w:t>
      </w:r>
      <w:r w:rsidRPr="00E82768">
        <w:rPr>
          <w:rFonts w:ascii="Arial" w:eastAsia="Arial" w:hAnsi="Arial" w:cs="Arial"/>
          <w:color w:val="222222"/>
          <w:sz w:val="22"/>
          <w:highlight w:val="white"/>
          <w:lang w:val="en"/>
        </w:rPr>
        <w:t>Local Government Association, 2024</w:t>
      </w:r>
      <w:r w:rsidRPr="00E82768">
        <w:rPr>
          <w:rFonts w:ascii="Arial" w:eastAsia="Arial" w:hAnsi="Arial" w:cs="Arial"/>
          <w:sz w:val="22"/>
          <w:lang w:val="en"/>
        </w:rPr>
        <w:t>). The Act places an emphasis on wellbeing, personalisation and individual control in the areas of care and support planning. Instead of placing emphasis on medical diagnosis, assessments in the Care Act focus on the influence of the environmental and social context on an individual to attain expected results. Such a change goes along with the argument of the Social Model that there are structural conditions of participation and independence. This approach can also be found in direct payments and personal budgets, where the disabled people are allowed to make a choice and control the way their support is organised (</w:t>
      </w:r>
      <w:r w:rsidRPr="00E82768">
        <w:rPr>
          <w:rFonts w:ascii="Arial" w:eastAsia="Arial" w:hAnsi="Arial" w:cs="Arial"/>
          <w:color w:val="222222"/>
          <w:sz w:val="22"/>
          <w:highlight w:val="white"/>
          <w:lang w:val="en"/>
        </w:rPr>
        <w:t>Abbott et al. 2025</w:t>
      </w:r>
      <w:r w:rsidRPr="00E82768">
        <w:rPr>
          <w:rFonts w:ascii="Arial" w:eastAsia="Arial" w:hAnsi="Arial" w:cs="Arial"/>
          <w:sz w:val="22"/>
          <w:lang w:val="en"/>
        </w:rPr>
        <w:t>). These policies consolidate person-centred care by placing more emphasis on autonomy and participation in decision-making.</w:t>
      </w:r>
    </w:p>
    <w:p w14:paraId="06EDDC55" w14:textId="77777777" w:rsidR="00E82768" w:rsidRPr="00E82768" w:rsidRDefault="00E82768" w:rsidP="00E82768">
      <w:pPr>
        <w:spacing w:after="0" w:line="360" w:lineRule="auto"/>
        <w:jc w:val="both"/>
        <w:rPr>
          <w:rFonts w:ascii="Arial" w:eastAsia="Arial" w:hAnsi="Arial" w:cs="Arial"/>
          <w:sz w:val="22"/>
          <w:lang w:val="en"/>
        </w:rPr>
      </w:pPr>
      <w:r w:rsidRPr="00E82768">
        <w:rPr>
          <w:rFonts w:ascii="Arial" w:eastAsia="Arial" w:hAnsi="Arial" w:cs="Arial"/>
          <w:sz w:val="22"/>
          <w:lang w:val="en"/>
        </w:rPr>
        <w:t>The Social Model has had an impact on healthcare practice by making practitioners pay attention to accessibility, communication requirements and service design of inclusiveness. The NHS services must offer reasonable adjustments, including the availability of information in formats that are easy to understand, interpreters, and physical modifications (</w:t>
      </w:r>
      <w:r w:rsidRPr="00E82768">
        <w:rPr>
          <w:rFonts w:ascii="Arial" w:eastAsia="Arial" w:hAnsi="Arial" w:cs="Arial"/>
          <w:color w:val="222222"/>
          <w:sz w:val="22"/>
          <w:highlight w:val="white"/>
          <w:lang w:val="en"/>
        </w:rPr>
        <w:t>Parmar et al. 2025</w:t>
      </w:r>
      <w:r w:rsidRPr="00E82768">
        <w:rPr>
          <w:rFonts w:ascii="Arial" w:eastAsia="Arial" w:hAnsi="Arial" w:cs="Arial"/>
          <w:sz w:val="22"/>
          <w:lang w:val="en"/>
        </w:rPr>
        <w:t>). Accessible Information Standard is a tool that expects health social care providers to locate and fulfil the communication requirements of disabled service users. This demonstrates the social model awareness of the fact that obstacles to service design are commonplace instead of personal deficiency. The growing focus on co-production, where service users actively participate in service planning and evaluation, is also evidence of the influence of the model on the modern practice.</w:t>
      </w:r>
    </w:p>
    <w:p w14:paraId="6E2A6664" w14:textId="77777777" w:rsidR="00E82768" w:rsidRPr="00E82768" w:rsidRDefault="00E82768" w:rsidP="00E82768">
      <w:pPr>
        <w:spacing w:after="0" w:line="360" w:lineRule="auto"/>
        <w:jc w:val="both"/>
        <w:rPr>
          <w:rFonts w:ascii="Arial" w:eastAsia="Arial" w:hAnsi="Arial" w:cs="Arial"/>
          <w:sz w:val="22"/>
          <w:lang w:val="en"/>
        </w:rPr>
      </w:pPr>
      <w:r w:rsidRPr="00E82768">
        <w:rPr>
          <w:rFonts w:ascii="Arial" w:eastAsia="Arial" w:hAnsi="Arial" w:cs="Arial"/>
          <w:sz w:val="22"/>
          <w:lang w:val="en"/>
        </w:rPr>
        <w:t>In disability services and community-based support, the independent living philosophies are based on the Social Model. The residential care has been effectively substituted with the supported living arrangements that support the involvement of the community. Advocacy services, networking of peers and user-led organisations are indicators of the model approach of empowering and having a collective voice. Adopting the position of a paternalistic approach is discouraged, and instead, the professionals are urged to collaborate with the service users (</w:t>
      </w:r>
      <w:r w:rsidRPr="00E82768">
        <w:rPr>
          <w:rFonts w:ascii="Arial" w:eastAsia="Arial" w:hAnsi="Arial" w:cs="Arial"/>
          <w:color w:val="222222"/>
          <w:sz w:val="22"/>
          <w:highlight w:val="white"/>
          <w:lang w:val="en"/>
        </w:rPr>
        <w:t>Ahmed et al. 2025</w:t>
      </w:r>
      <w:r w:rsidRPr="00E82768">
        <w:rPr>
          <w:rFonts w:ascii="Arial" w:eastAsia="Arial" w:hAnsi="Arial" w:cs="Arial"/>
          <w:sz w:val="22"/>
          <w:lang w:val="en"/>
        </w:rPr>
        <w:t>). Health and social care personnel are involved in health and social care training that strongly emphasises equality, diversity and inclusion as based on the social model of thinking.</w:t>
      </w:r>
    </w:p>
    <w:p w14:paraId="6BA70F66" w14:textId="77777777" w:rsidR="00E82768" w:rsidRPr="00E82768" w:rsidRDefault="00E82768" w:rsidP="00E82768">
      <w:pPr>
        <w:spacing w:after="0" w:line="360" w:lineRule="auto"/>
        <w:jc w:val="both"/>
        <w:rPr>
          <w:rFonts w:ascii="Arial" w:eastAsia="Arial" w:hAnsi="Arial" w:cs="Arial"/>
          <w:sz w:val="22"/>
          <w:lang w:val="en"/>
        </w:rPr>
      </w:pPr>
      <w:r w:rsidRPr="00E82768">
        <w:rPr>
          <w:rFonts w:ascii="Arial" w:eastAsia="Arial" w:hAnsi="Arial" w:cs="Arial"/>
          <w:sz w:val="22"/>
          <w:lang w:val="en"/>
        </w:rPr>
        <w:t>Irrespective of these developments, there is still a lot of work to settle on implementing the Social Model to the full extent of its application practice. Tension between the medical and social frameworks of healthcare settings is one of the primary problems. Acute hospital environments, such as these, are still strongly biomedical in their focus, and they may not support or allow consideration of social barriers or long-term participation results (</w:t>
      </w:r>
      <w:r w:rsidRPr="00E82768">
        <w:rPr>
          <w:rFonts w:ascii="Arial" w:eastAsia="Arial" w:hAnsi="Arial" w:cs="Arial"/>
          <w:color w:val="222222"/>
          <w:sz w:val="22"/>
          <w:highlight w:val="white"/>
          <w:lang w:val="en"/>
        </w:rPr>
        <w:t xml:space="preserve">McIlveen et </w:t>
      </w:r>
      <w:r w:rsidRPr="00E82768">
        <w:rPr>
          <w:rFonts w:ascii="Arial" w:eastAsia="Arial" w:hAnsi="Arial" w:cs="Arial"/>
          <w:color w:val="222222"/>
          <w:sz w:val="22"/>
          <w:highlight w:val="white"/>
          <w:lang w:val="en"/>
        </w:rPr>
        <w:lastRenderedPageBreak/>
        <w:t>al. 2025</w:t>
      </w:r>
      <w:r w:rsidRPr="00E82768">
        <w:rPr>
          <w:rFonts w:ascii="Arial" w:eastAsia="Arial" w:hAnsi="Arial" w:cs="Arial"/>
          <w:sz w:val="22"/>
          <w:lang w:val="en"/>
        </w:rPr>
        <w:t>). The lack of time and resources may decrease the chance of holistic, person-centred assessments.</w:t>
      </w:r>
    </w:p>
    <w:p w14:paraId="0306ACAD" w14:textId="77777777" w:rsidR="00E82768" w:rsidRPr="00E82768" w:rsidRDefault="00E82768" w:rsidP="00E82768">
      <w:pPr>
        <w:spacing w:after="0" w:line="360" w:lineRule="auto"/>
        <w:jc w:val="both"/>
        <w:rPr>
          <w:rFonts w:ascii="Arial" w:eastAsia="Arial" w:hAnsi="Arial" w:cs="Arial"/>
          <w:sz w:val="22"/>
          <w:lang w:val="en"/>
        </w:rPr>
      </w:pPr>
      <w:r w:rsidRPr="00E82768">
        <w:rPr>
          <w:rFonts w:ascii="Arial" w:eastAsia="Arial" w:hAnsi="Arial" w:cs="Arial"/>
          <w:sz w:val="22"/>
          <w:lang w:val="en"/>
        </w:rPr>
        <w:t>There are also barriers caused by funding pressures in local authorities. Austerity has translated to an increase in the eligibility requirements of accessing social care support, which restricts access to services that support the ability to live independently. Practical implementation of policy differs in terms of the principles given by the social model, though policy language illustrates these principles. This brings a benefit to the legislative dedication to equality regarding the experiences of disabled people.</w:t>
      </w:r>
    </w:p>
    <w:p w14:paraId="321B1CA0" w14:textId="77777777" w:rsidR="00E82768" w:rsidRPr="00E82768" w:rsidRDefault="00E82768" w:rsidP="00E82768">
      <w:pPr>
        <w:spacing w:after="0" w:line="360" w:lineRule="auto"/>
        <w:jc w:val="both"/>
        <w:rPr>
          <w:rFonts w:ascii="Arial" w:eastAsia="Arial" w:hAnsi="Arial" w:cs="Arial"/>
          <w:sz w:val="22"/>
          <w:lang w:val="en"/>
        </w:rPr>
      </w:pPr>
      <w:r w:rsidRPr="00E82768">
        <w:rPr>
          <w:rFonts w:ascii="Arial" w:eastAsia="Arial" w:hAnsi="Arial" w:cs="Arial"/>
          <w:sz w:val="22"/>
          <w:lang w:val="en"/>
        </w:rPr>
        <w:t>Moreover, there are certain service users whose conditions are complex or fluctuate, which means that they might need serious assistance in medical terms, which begs the question of the purity of operationalisation of purely social interpretations. Medical treatment and social empowerment are the two issues that still have to be integrated (</w:t>
      </w:r>
      <w:r w:rsidRPr="00E82768">
        <w:rPr>
          <w:rFonts w:ascii="Arial" w:eastAsia="Arial" w:hAnsi="Arial" w:cs="Arial"/>
          <w:color w:val="222222"/>
          <w:sz w:val="22"/>
          <w:highlight w:val="white"/>
          <w:lang w:val="en"/>
        </w:rPr>
        <w:t>Sahu et al. 2022</w:t>
      </w:r>
      <w:r w:rsidRPr="00E82768">
        <w:rPr>
          <w:rFonts w:ascii="Arial" w:eastAsia="Arial" w:hAnsi="Arial" w:cs="Arial"/>
          <w:sz w:val="22"/>
          <w:lang w:val="en"/>
        </w:rPr>
        <w:t>). Regional differences in service delivery also exist, and this leads to differences in the execution of the standards of accessibility throughout the UK.</w:t>
      </w:r>
    </w:p>
    <w:p w14:paraId="5525ED4F" w14:textId="77777777" w:rsidR="00E82768" w:rsidRPr="00E82768" w:rsidRDefault="00E82768" w:rsidP="00E82768">
      <w:pPr>
        <w:spacing w:after="0" w:line="360" w:lineRule="auto"/>
        <w:jc w:val="both"/>
        <w:rPr>
          <w:rFonts w:ascii="Arial" w:eastAsia="Arial" w:hAnsi="Arial" w:cs="Arial"/>
          <w:b/>
          <w:bCs/>
          <w:sz w:val="28"/>
          <w:szCs w:val="28"/>
          <w:lang w:val="en"/>
        </w:rPr>
      </w:pPr>
      <w:r w:rsidRPr="00E82768">
        <w:rPr>
          <w:rFonts w:ascii="Arial" w:eastAsia="Arial" w:hAnsi="Arial" w:cs="Arial"/>
          <w:sz w:val="22"/>
          <w:lang w:val="en"/>
        </w:rPr>
        <w:t>Summing up, the Social Model of Disability has influenced the UK health and social care policy and practice extensively by incorporating equality, access and person-centred care principles. It has an educated legislature, self-provided living programmes and service design. Nevertheless, the conflicts between policy intentions and practical choices on the ground, particularly, constrained funding as well as superiority of biomedical solutions, still impact the effectiveness to accomplish it. Although the model is still operational in the achievement of rights and empowerment, significant structural commitment and sufficient resources are needed to make the model effective.</w:t>
      </w:r>
    </w:p>
    <w:p w14:paraId="72FFECFB" w14:textId="1B09A3F7" w:rsidR="006D2F2D" w:rsidRPr="004A5A64" w:rsidRDefault="006D2F2D" w:rsidP="007744C3">
      <w:pPr>
        <w:pStyle w:val="Heading1"/>
      </w:pPr>
      <w:bookmarkStart w:id="3" w:name="_Toc223302031"/>
      <w:r w:rsidRPr="004A5A64">
        <w:t>Recommendations for</w:t>
      </w:r>
      <w:r w:rsidR="003E4ED4" w:rsidRPr="004A5A64">
        <w:t xml:space="preserve"> policy</w:t>
      </w:r>
      <w:r w:rsidRPr="004A5A64">
        <w:t xml:space="preserve"> and practice</w:t>
      </w:r>
      <w:bookmarkEnd w:id="3"/>
    </w:p>
    <w:p w14:paraId="0CDDE9E3" w14:textId="77777777" w:rsidR="00D750B6" w:rsidRPr="00D750B6" w:rsidRDefault="00D750B6" w:rsidP="00D750B6">
      <w:pPr>
        <w:spacing w:after="0" w:line="360" w:lineRule="auto"/>
        <w:jc w:val="both"/>
        <w:rPr>
          <w:rFonts w:ascii="Arial" w:eastAsia="Arial" w:hAnsi="Arial" w:cs="Arial"/>
          <w:sz w:val="22"/>
          <w:lang w:val="en"/>
        </w:rPr>
      </w:pPr>
      <w:r w:rsidRPr="00D750B6">
        <w:rPr>
          <w:rFonts w:ascii="Arial" w:eastAsia="Arial" w:hAnsi="Arial" w:cs="Arial"/>
          <w:sz w:val="22"/>
          <w:lang w:val="en"/>
        </w:rPr>
        <w:t>In order to reinforce the use of the Social Model of Disability in health and social care in the UK, some recommendations need to be effective. First, adult social care must have increased and secure funding to make sure that the principles of independence and personalisation are not violated by limiting eligibility (</w:t>
      </w:r>
      <w:r w:rsidRPr="00D750B6">
        <w:rPr>
          <w:rFonts w:ascii="Arial" w:eastAsia="Arial" w:hAnsi="Arial" w:cs="Arial"/>
          <w:color w:val="222222"/>
          <w:sz w:val="22"/>
          <w:highlight w:val="white"/>
          <w:lang w:val="en"/>
        </w:rPr>
        <w:t>Carey et al. 2022</w:t>
      </w:r>
      <w:r w:rsidRPr="00D750B6">
        <w:rPr>
          <w:rFonts w:ascii="Arial" w:eastAsia="Arial" w:hAnsi="Arial" w:cs="Arial"/>
          <w:sz w:val="22"/>
          <w:lang w:val="en"/>
        </w:rPr>
        <w:t>). Sufficient resources would allow local governments to offer substantial resources instead of responding to the crisis interventions.</w:t>
      </w:r>
    </w:p>
    <w:p w14:paraId="386273F2" w14:textId="77777777" w:rsidR="00D750B6" w:rsidRPr="00D750B6" w:rsidRDefault="00D750B6" w:rsidP="00D750B6">
      <w:pPr>
        <w:spacing w:after="0" w:line="360" w:lineRule="auto"/>
        <w:jc w:val="both"/>
        <w:rPr>
          <w:rFonts w:ascii="Arial" w:eastAsia="Arial" w:hAnsi="Arial" w:cs="Arial"/>
          <w:sz w:val="22"/>
          <w:lang w:val="en"/>
        </w:rPr>
      </w:pPr>
      <w:r w:rsidRPr="00D750B6">
        <w:rPr>
          <w:rFonts w:ascii="Arial" w:eastAsia="Arial" w:hAnsi="Arial" w:cs="Arial"/>
          <w:sz w:val="22"/>
          <w:lang w:val="en"/>
        </w:rPr>
        <w:t>Second, standards of health and social care professionals to be trained should be based on social model principles, reasonable adjustments and co-production. This would assist practise in not being solely medicalised but just encourage more awareness of environmental and attitudinal obstacles.</w:t>
      </w:r>
    </w:p>
    <w:p w14:paraId="3406D385" w14:textId="77777777" w:rsidR="00D750B6" w:rsidRPr="00D750B6" w:rsidRDefault="00D750B6" w:rsidP="00D750B6">
      <w:pPr>
        <w:spacing w:after="0" w:line="360" w:lineRule="auto"/>
        <w:jc w:val="both"/>
        <w:rPr>
          <w:rFonts w:ascii="Arial" w:eastAsia="Arial" w:hAnsi="Arial" w:cs="Arial"/>
          <w:sz w:val="22"/>
          <w:lang w:val="en"/>
        </w:rPr>
      </w:pPr>
      <w:r w:rsidRPr="00D750B6">
        <w:rPr>
          <w:rFonts w:ascii="Arial" w:eastAsia="Arial" w:hAnsi="Arial" w:cs="Arial"/>
          <w:sz w:val="22"/>
          <w:lang w:val="en"/>
        </w:rPr>
        <w:t>Third, they need to pay greater attention to monitoring and enforcing equality laws, especially in the area of accessibility requirements to minimise unequal situations in the region. Services compliance with reasonable adjustment could be delivered through regular audits.</w:t>
      </w:r>
    </w:p>
    <w:p w14:paraId="04ED6F89" w14:textId="77777777" w:rsidR="00D750B6" w:rsidRPr="00D750B6" w:rsidRDefault="00D750B6" w:rsidP="00D750B6">
      <w:pPr>
        <w:spacing w:after="0" w:line="360" w:lineRule="auto"/>
        <w:jc w:val="both"/>
        <w:rPr>
          <w:rFonts w:ascii="Arial" w:eastAsia="Arial" w:hAnsi="Arial" w:cs="Arial"/>
          <w:sz w:val="22"/>
          <w:lang w:val="en"/>
        </w:rPr>
      </w:pPr>
      <w:r w:rsidRPr="00D750B6">
        <w:rPr>
          <w:rFonts w:ascii="Arial" w:eastAsia="Arial" w:hAnsi="Arial" w:cs="Arial"/>
          <w:sz w:val="22"/>
          <w:lang w:val="en"/>
        </w:rPr>
        <w:lastRenderedPageBreak/>
        <w:t>Lastly, through policy, co-production should also be entrenched by consulting disabled people in service inquiry and assessment. This would solidify person-centred care and make sure that the services are responsive to lived experience and not institutionally driven.</w:t>
      </w:r>
    </w:p>
    <w:p w14:paraId="5A4D465C" w14:textId="77777777" w:rsidR="006524ED" w:rsidRPr="004A5A64" w:rsidRDefault="006D2F2D" w:rsidP="007744C3">
      <w:pPr>
        <w:pStyle w:val="Heading1"/>
      </w:pPr>
      <w:bookmarkStart w:id="4" w:name="_Toc223302032"/>
      <w:r w:rsidRPr="004A5A64">
        <w:t>Conclusion</w:t>
      </w:r>
      <w:bookmarkEnd w:id="4"/>
    </w:p>
    <w:p w14:paraId="0C6BB96F" w14:textId="77777777" w:rsidR="00B20680" w:rsidRPr="00B20680" w:rsidRDefault="00B20680" w:rsidP="004525FB">
      <w:pPr>
        <w:spacing w:after="0" w:line="360" w:lineRule="auto"/>
        <w:jc w:val="both"/>
        <w:rPr>
          <w:rFonts w:ascii="Arial" w:eastAsia="Arial" w:hAnsi="Arial" w:cs="Arial"/>
          <w:sz w:val="22"/>
          <w:lang w:val="en"/>
        </w:rPr>
      </w:pPr>
      <w:r w:rsidRPr="00B20680">
        <w:rPr>
          <w:rFonts w:ascii="Arial" w:eastAsia="Arial" w:hAnsi="Arial" w:cs="Arial"/>
          <w:sz w:val="22"/>
          <w:lang w:val="en"/>
        </w:rPr>
        <w:t>This assignment has discussed the Social Model of Disability critically as an important model of person-centred care in the UK health and social care. It examined the formation of the model during the 1970s, and disability activism, mainly the input of UPIAS and subsequent contributions of Mike Oliver that redefined disability as a result of social restriction instead of personal weakness. Through the discussion, it was revealed how the model has shaped legislation in the UK, such as anti-discrimination legislation and adult social care reform, implanting the values of equality, accessibility and autonomy into policy and practice.</w:t>
      </w:r>
    </w:p>
    <w:p w14:paraId="6191299C" w14:textId="1BB57E24" w:rsidR="006524ED" w:rsidRPr="004A5A64" w:rsidRDefault="00B20680" w:rsidP="004525FB">
      <w:pPr>
        <w:pStyle w:val="ListParagraph"/>
        <w:spacing w:line="360" w:lineRule="auto"/>
        <w:ind w:left="0"/>
        <w:jc w:val="both"/>
        <w:rPr>
          <w:rFonts w:ascii="Arial" w:hAnsi="Arial" w:cs="Arial"/>
          <w:sz w:val="23"/>
          <w:szCs w:val="23"/>
        </w:rPr>
      </w:pPr>
      <w:r w:rsidRPr="00B20680">
        <w:rPr>
          <w:rFonts w:ascii="Arial" w:eastAsia="Arial" w:hAnsi="Arial" w:cs="Arial"/>
          <w:sz w:val="22"/>
          <w:lang w:val="en"/>
        </w:rPr>
        <w:t>The important critiques were also factored in in the analysis process which included apprehension that the model might not adequately capture the lived experience of impairment and that the interaction between medical and social factors in the model is simplistic. Limitations that were found to be persisting were implementation challenges especially financing issues and biomedical control in health facilities. Nevertheless, this model is still relevant and can be demonstrated by its developments in modern times like the social relational and biopsychosocial approaches. All in all, the Social Model is still central in the process of empowerment, inclusion and person-centred care, but long-term structural commitment is needed to achieve the entirety in practice.</w:t>
      </w:r>
    </w:p>
    <w:p w14:paraId="3C5AC4C5" w14:textId="77777777" w:rsidR="003E4ED4" w:rsidRPr="004A5A64" w:rsidRDefault="003E4ED4" w:rsidP="004A5A64">
      <w:pPr>
        <w:spacing w:line="360" w:lineRule="auto"/>
        <w:rPr>
          <w:rFonts w:ascii="Arial" w:hAnsi="Arial" w:cs="Arial"/>
          <w:b/>
          <w:bCs/>
          <w:sz w:val="23"/>
          <w:szCs w:val="23"/>
        </w:rPr>
      </w:pPr>
    </w:p>
    <w:p w14:paraId="62A1B056" w14:textId="77777777" w:rsidR="003E4ED4" w:rsidRPr="004A5A64" w:rsidRDefault="003E4ED4" w:rsidP="004A5A64">
      <w:pPr>
        <w:spacing w:line="360" w:lineRule="auto"/>
        <w:rPr>
          <w:rFonts w:ascii="Arial" w:hAnsi="Arial" w:cs="Arial"/>
          <w:b/>
          <w:bCs/>
          <w:sz w:val="23"/>
          <w:szCs w:val="23"/>
        </w:rPr>
      </w:pPr>
    </w:p>
    <w:p w14:paraId="5B855950" w14:textId="77777777" w:rsidR="003E4ED4" w:rsidRPr="004A5A64" w:rsidRDefault="003E4ED4" w:rsidP="004A5A64">
      <w:pPr>
        <w:spacing w:line="360" w:lineRule="auto"/>
        <w:rPr>
          <w:rFonts w:ascii="Arial" w:hAnsi="Arial" w:cs="Arial"/>
          <w:b/>
          <w:bCs/>
          <w:sz w:val="23"/>
          <w:szCs w:val="23"/>
        </w:rPr>
      </w:pPr>
    </w:p>
    <w:p w14:paraId="2B832909" w14:textId="77777777" w:rsidR="004D0469" w:rsidRDefault="004D0469">
      <w:pPr>
        <w:spacing w:line="259" w:lineRule="auto"/>
        <w:rPr>
          <w:rFonts w:ascii="Arial" w:hAnsi="Arial" w:cs="Arial"/>
          <w:b/>
          <w:bCs/>
          <w:sz w:val="23"/>
          <w:szCs w:val="23"/>
        </w:rPr>
      </w:pPr>
      <w:r>
        <w:rPr>
          <w:rFonts w:ascii="Arial" w:hAnsi="Arial" w:cs="Arial"/>
          <w:b/>
          <w:bCs/>
          <w:sz w:val="23"/>
          <w:szCs w:val="23"/>
        </w:rPr>
        <w:br w:type="page"/>
      </w:r>
    </w:p>
    <w:p w14:paraId="0B8755B2" w14:textId="335DAB58" w:rsidR="004D0469" w:rsidRDefault="006D2F2D" w:rsidP="004A5A64">
      <w:pPr>
        <w:spacing w:line="360" w:lineRule="auto"/>
        <w:rPr>
          <w:rFonts w:ascii="Arial" w:hAnsi="Arial" w:cs="Arial"/>
          <w:b/>
          <w:bCs/>
          <w:sz w:val="23"/>
          <w:szCs w:val="23"/>
        </w:rPr>
      </w:pPr>
      <w:r w:rsidRPr="004A5A64">
        <w:rPr>
          <w:rFonts w:ascii="Arial" w:hAnsi="Arial" w:cs="Arial"/>
          <w:b/>
          <w:bCs/>
          <w:sz w:val="23"/>
          <w:szCs w:val="23"/>
        </w:rPr>
        <w:lastRenderedPageBreak/>
        <w:t>Reference</w:t>
      </w:r>
      <w:r w:rsidR="003E4ED4" w:rsidRPr="004A5A64">
        <w:rPr>
          <w:rFonts w:ascii="Arial" w:hAnsi="Arial" w:cs="Arial"/>
          <w:b/>
          <w:bCs/>
          <w:sz w:val="23"/>
          <w:szCs w:val="23"/>
        </w:rPr>
        <w:t>s</w:t>
      </w:r>
    </w:p>
    <w:p w14:paraId="1DE1BC03" w14:textId="77777777" w:rsidR="00B44765" w:rsidRPr="00B44765" w:rsidRDefault="00B44765" w:rsidP="00B44765">
      <w:pPr>
        <w:spacing w:before="200" w:after="200" w:line="360" w:lineRule="auto"/>
        <w:jc w:val="both"/>
        <w:rPr>
          <w:rFonts w:ascii="Arial" w:hAnsi="Arial" w:cs="Arial"/>
          <w:sz w:val="22"/>
          <w:highlight w:val="white"/>
        </w:rPr>
      </w:pPr>
      <w:r w:rsidRPr="00B44765">
        <w:rPr>
          <w:rFonts w:ascii="Arial" w:hAnsi="Arial" w:cs="Arial"/>
          <w:sz w:val="22"/>
          <w:highlight w:val="white"/>
        </w:rPr>
        <w:t xml:space="preserve">Abbott, D., Coleman-Fountain, E. and Humphrey, H., (2025). Disabled people negotiate gender, sexual identity and self-directed social care support in England: how does choice and control operate?. </w:t>
      </w:r>
      <w:r w:rsidRPr="00B44765">
        <w:rPr>
          <w:rFonts w:ascii="Arial" w:hAnsi="Arial" w:cs="Arial"/>
          <w:i/>
          <w:iCs/>
          <w:sz w:val="22"/>
          <w:highlight w:val="white"/>
        </w:rPr>
        <w:t>Critical and Radical Social Work</w:t>
      </w:r>
      <w:r w:rsidRPr="00B44765">
        <w:rPr>
          <w:rFonts w:ascii="Arial" w:hAnsi="Arial" w:cs="Arial"/>
          <w:sz w:val="22"/>
          <w:highlight w:val="white"/>
        </w:rPr>
        <w:t xml:space="preserve">, </w:t>
      </w:r>
      <w:r w:rsidRPr="00B44765">
        <w:rPr>
          <w:rFonts w:ascii="Arial" w:hAnsi="Arial" w:cs="Arial"/>
          <w:i/>
          <w:iCs/>
          <w:sz w:val="22"/>
          <w:highlight w:val="white"/>
        </w:rPr>
        <w:t>13</w:t>
      </w:r>
      <w:r w:rsidRPr="00B44765">
        <w:rPr>
          <w:rFonts w:ascii="Arial" w:hAnsi="Arial" w:cs="Arial"/>
          <w:sz w:val="22"/>
          <w:highlight w:val="white"/>
        </w:rPr>
        <w:t>(1), pp.112-128.</w:t>
      </w:r>
    </w:p>
    <w:p w14:paraId="77F68BBD" w14:textId="77777777" w:rsidR="00B44765" w:rsidRPr="00B44765" w:rsidRDefault="00B44765" w:rsidP="00B44765">
      <w:pPr>
        <w:spacing w:before="200" w:after="200" w:line="360" w:lineRule="auto"/>
        <w:jc w:val="both"/>
        <w:rPr>
          <w:rFonts w:ascii="Arial" w:hAnsi="Arial" w:cs="Arial"/>
          <w:sz w:val="22"/>
          <w:szCs w:val="24"/>
          <w:highlight w:val="white"/>
        </w:rPr>
      </w:pPr>
      <w:r w:rsidRPr="00B44765">
        <w:rPr>
          <w:rFonts w:ascii="Arial" w:hAnsi="Arial" w:cs="Arial"/>
          <w:sz w:val="22"/>
          <w:highlight w:val="white"/>
        </w:rPr>
        <w:t xml:space="preserve">Ahmed, N., Begum, F., Barlow, S., Reynolds, L., Drey, N., Mulligan, K. and Simpson, A., (2025). Perceived Barriers and Enablers to Shared Decision-Making in Assessment and Management of Risk: A Qualitative Interview Study with Mental Health Professionals. </w:t>
      </w:r>
      <w:r w:rsidRPr="00B44765">
        <w:rPr>
          <w:rFonts w:ascii="Arial" w:hAnsi="Arial" w:cs="Arial"/>
          <w:i/>
          <w:iCs/>
          <w:sz w:val="22"/>
          <w:highlight w:val="white"/>
        </w:rPr>
        <w:t>medRxiv</w:t>
      </w:r>
      <w:r w:rsidRPr="00B44765">
        <w:rPr>
          <w:rFonts w:ascii="Arial" w:hAnsi="Arial" w:cs="Arial"/>
          <w:sz w:val="22"/>
          <w:highlight w:val="white"/>
        </w:rPr>
        <w:t>, pp.2025-07.</w:t>
      </w:r>
    </w:p>
    <w:p w14:paraId="485BCAE5" w14:textId="77777777" w:rsidR="00B44765" w:rsidRPr="00B44765" w:rsidRDefault="00B44765" w:rsidP="00B44765">
      <w:pPr>
        <w:spacing w:before="200" w:after="200" w:line="360" w:lineRule="auto"/>
        <w:jc w:val="both"/>
        <w:rPr>
          <w:rFonts w:ascii="Arial" w:hAnsi="Arial" w:cs="Arial"/>
          <w:sz w:val="22"/>
          <w:highlight w:val="white"/>
        </w:rPr>
      </w:pPr>
      <w:r w:rsidRPr="00B44765">
        <w:rPr>
          <w:rFonts w:ascii="Arial" w:hAnsi="Arial" w:cs="Arial"/>
          <w:sz w:val="22"/>
          <w:highlight w:val="white"/>
        </w:rPr>
        <w:t xml:space="preserve">Berntsen, G.R., Yaron, S., Chetty, M., Canfield, C., Ako-Egbe, L., Phan, P., Curran, C. and Castro, I., (2021). Person-centered care (PCC): The people’s perspective. </w:t>
      </w:r>
      <w:r w:rsidRPr="00B44765">
        <w:rPr>
          <w:rFonts w:ascii="Arial" w:hAnsi="Arial" w:cs="Arial"/>
          <w:i/>
          <w:iCs/>
          <w:sz w:val="22"/>
          <w:highlight w:val="white"/>
        </w:rPr>
        <w:t>International Journal for Quality in Health Care</w:t>
      </w:r>
      <w:r w:rsidRPr="00B44765">
        <w:rPr>
          <w:rFonts w:ascii="Arial" w:hAnsi="Arial" w:cs="Arial"/>
          <w:sz w:val="22"/>
          <w:highlight w:val="white"/>
        </w:rPr>
        <w:t xml:space="preserve">, </w:t>
      </w:r>
      <w:r w:rsidRPr="00B44765">
        <w:rPr>
          <w:rFonts w:ascii="Arial" w:hAnsi="Arial" w:cs="Arial"/>
          <w:i/>
          <w:iCs/>
          <w:sz w:val="22"/>
          <w:highlight w:val="white"/>
        </w:rPr>
        <w:t>33</w:t>
      </w:r>
      <w:r w:rsidRPr="00B44765">
        <w:rPr>
          <w:rFonts w:ascii="Arial" w:hAnsi="Arial" w:cs="Arial"/>
          <w:sz w:val="22"/>
          <w:highlight w:val="white"/>
        </w:rPr>
        <w:t>(Supplement_2), pp.ii23-ii26.</w:t>
      </w:r>
    </w:p>
    <w:p w14:paraId="04838923" w14:textId="77777777" w:rsidR="00B44765" w:rsidRPr="00B44765" w:rsidRDefault="00B44765" w:rsidP="00B44765">
      <w:pPr>
        <w:spacing w:before="200" w:after="200" w:line="360" w:lineRule="auto"/>
        <w:jc w:val="both"/>
        <w:rPr>
          <w:rFonts w:ascii="Arial" w:hAnsi="Arial" w:cs="Arial"/>
          <w:sz w:val="22"/>
          <w:szCs w:val="24"/>
          <w:highlight w:val="white"/>
        </w:rPr>
      </w:pPr>
      <w:r w:rsidRPr="00B44765">
        <w:rPr>
          <w:rFonts w:ascii="Arial" w:hAnsi="Arial" w:cs="Arial"/>
          <w:sz w:val="22"/>
          <w:highlight w:val="white"/>
        </w:rPr>
        <w:t xml:space="preserve">Carey, M., (2022). Welfare conditionality, ethics and social care for older people in the UK: From civic rights to abandonment?. </w:t>
      </w:r>
      <w:r w:rsidRPr="00B44765">
        <w:rPr>
          <w:rFonts w:ascii="Arial" w:hAnsi="Arial" w:cs="Arial"/>
          <w:i/>
          <w:iCs/>
          <w:sz w:val="22"/>
          <w:highlight w:val="white"/>
        </w:rPr>
        <w:t>The British Journal of Social Work</w:t>
      </w:r>
      <w:r w:rsidRPr="00B44765">
        <w:rPr>
          <w:rFonts w:ascii="Arial" w:hAnsi="Arial" w:cs="Arial"/>
          <w:sz w:val="22"/>
          <w:highlight w:val="white"/>
        </w:rPr>
        <w:t xml:space="preserve">, </w:t>
      </w:r>
      <w:r w:rsidRPr="00B44765">
        <w:rPr>
          <w:rFonts w:ascii="Arial" w:hAnsi="Arial" w:cs="Arial"/>
          <w:i/>
          <w:iCs/>
          <w:sz w:val="22"/>
          <w:highlight w:val="white"/>
        </w:rPr>
        <w:t>52</w:t>
      </w:r>
      <w:r w:rsidRPr="00B44765">
        <w:rPr>
          <w:rFonts w:ascii="Arial" w:hAnsi="Arial" w:cs="Arial"/>
          <w:sz w:val="22"/>
          <w:highlight w:val="white"/>
        </w:rPr>
        <w:t>(6), pp.3230-3246.</w:t>
      </w:r>
    </w:p>
    <w:p w14:paraId="4530C44E" w14:textId="77777777" w:rsidR="00B44765" w:rsidRPr="00B44765" w:rsidRDefault="00B44765" w:rsidP="00B44765">
      <w:pPr>
        <w:spacing w:before="200" w:after="200" w:line="360" w:lineRule="auto"/>
        <w:jc w:val="both"/>
        <w:rPr>
          <w:rFonts w:ascii="Arial" w:hAnsi="Arial" w:cs="Arial"/>
          <w:sz w:val="22"/>
          <w:szCs w:val="24"/>
          <w:highlight w:val="white"/>
        </w:rPr>
      </w:pPr>
      <w:r w:rsidRPr="00B44765">
        <w:rPr>
          <w:rFonts w:ascii="Arial" w:hAnsi="Arial" w:cs="Arial"/>
          <w:sz w:val="22"/>
          <w:highlight w:val="white"/>
        </w:rPr>
        <w:t xml:space="preserve">Lawson, A., (2025). Accessibility and the Limits of the Equality Act 2010: Time for a UK Accessibility Act?. </w:t>
      </w:r>
      <w:r w:rsidRPr="00B44765">
        <w:rPr>
          <w:rFonts w:ascii="Arial" w:hAnsi="Arial" w:cs="Arial"/>
          <w:i/>
          <w:iCs/>
          <w:sz w:val="22"/>
          <w:highlight w:val="white"/>
        </w:rPr>
        <w:t>Current Legal Problems</w:t>
      </w:r>
      <w:r w:rsidRPr="00B44765">
        <w:rPr>
          <w:rFonts w:ascii="Arial" w:hAnsi="Arial" w:cs="Arial"/>
          <w:sz w:val="22"/>
          <w:highlight w:val="white"/>
        </w:rPr>
        <w:t xml:space="preserve">, </w:t>
      </w:r>
      <w:r w:rsidRPr="00B44765">
        <w:rPr>
          <w:rFonts w:ascii="Arial" w:hAnsi="Arial" w:cs="Arial"/>
          <w:i/>
          <w:iCs/>
          <w:sz w:val="22"/>
          <w:highlight w:val="white"/>
        </w:rPr>
        <w:t>78</w:t>
      </w:r>
      <w:r w:rsidRPr="00B44765">
        <w:rPr>
          <w:rFonts w:ascii="Arial" w:hAnsi="Arial" w:cs="Arial"/>
          <w:sz w:val="22"/>
          <w:highlight w:val="white"/>
        </w:rPr>
        <w:t>(1), pp.127-166.</w:t>
      </w:r>
    </w:p>
    <w:p w14:paraId="7AE7ADD6" w14:textId="77777777" w:rsidR="00B44765" w:rsidRPr="00B44765" w:rsidRDefault="00B44765" w:rsidP="00B44765">
      <w:pPr>
        <w:spacing w:before="200" w:after="200" w:line="360" w:lineRule="auto"/>
        <w:jc w:val="both"/>
        <w:rPr>
          <w:rFonts w:ascii="Arial" w:hAnsi="Arial" w:cs="Arial"/>
          <w:sz w:val="22"/>
          <w:highlight w:val="white"/>
        </w:rPr>
      </w:pPr>
      <w:r w:rsidRPr="00B44765">
        <w:rPr>
          <w:rFonts w:ascii="Arial" w:hAnsi="Arial" w:cs="Arial"/>
          <w:sz w:val="22"/>
          <w:highlight w:val="white"/>
        </w:rPr>
        <w:t xml:space="preserve">Local Government Association (2024) </w:t>
      </w:r>
      <w:r w:rsidRPr="00B44765">
        <w:rPr>
          <w:rFonts w:ascii="Arial" w:hAnsi="Arial" w:cs="Arial"/>
          <w:i/>
          <w:iCs/>
          <w:sz w:val="22"/>
          <w:highlight w:val="white"/>
        </w:rPr>
        <w:t>The Care Act 2014: Ten Years on from Royal Assent</w:t>
      </w:r>
      <w:r w:rsidRPr="00B44765">
        <w:rPr>
          <w:rFonts w:ascii="Arial" w:hAnsi="Arial" w:cs="Arial"/>
          <w:sz w:val="22"/>
          <w:highlight w:val="white"/>
        </w:rPr>
        <w:t xml:space="preserve">, </w:t>
      </w:r>
      <w:r w:rsidRPr="00B44765">
        <w:rPr>
          <w:rFonts w:ascii="Arial" w:hAnsi="Arial" w:cs="Arial"/>
          <w:i/>
          <w:iCs/>
          <w:sz w:val="22"/>
          <w:highlight w:val="white"/>
        </w:rPr>
        <w:t>Local.gov.uk</w:t>
      </w:r>
      <w:r w:rsidRPr="00B44765">
        <w:rPr>
          <w:rFonts w:ascii="Arial" w:hAnsi="Arial" w:cs="Arial"/>
          <w:sz w:val="22"/>
          <w:highlight w:val="white"/>
        </w:rPr>
        <w:t>. Local Government Association. Available at: https://www.local.gov.uk/publications/care-act-2014-ten-years-royal-assent (Accessed: 1 March 2026).</w:t>
      </w:r>
    </w:p>
    <w:p w14:paraId="2504F237" w14:textId="77777777" w:rsidR="00B44765" w:rsidRPr="00B44765" w:rsidRDefault="00B44765" w:rsidP="00B44765">
      <w:pPr>
        <w:spacing w:before="200" w:after="200" w:line="360" w:lineRule="auto"/>
        <w:jc w:val="both"/>
        <w:rPr>
          <w:rFonts w:ascii="Arial" w:hAnsi="Arial" w:cs="Arial"/>
          <w:sz w:val="22"/>
          <w:highlight w:val="white"/>
        </w:rPr>
      </w:pPr>
      <w:r w:rsidRPr="00B44765">
        <w:rPr>
          <w:rFonts w:ascii="Arial" w:hAnsi="Arial" w:cs="Arial"/>
          <w:sz w:val="22"/>
          <w:highlight w:val="white"/>
        </w:rPr>
        <w:t xml:space="preserve">McCourt, D. (2025) </w:t>
      </w:r>
      <w:r w:rsidRPr="00B44765">
        <w:rPr>
          <w:rFonts w:ascii="Arial" w:hAnsi="Arial" w:cs="Arial"/>
          <w:i/>
          <w:iCs/>
          <w:sz w:val="22"/>
          <w:highlight w:val="white"/>
        </w:rPr>
        <w:t>The Social Model of Disability</w:t>
      </w:r>
      <w:r w:rsidRPr="00B44765">
        <w:rPr>
          <w:rFonts w:ascii="Arial" w:hAnsi="Arial" w:cs="Arial"/>
          <w:sz w:val="22"/>
          <w:highlight w:val="white"/>
        </w:rPr>
        <w:t xml:space="preserve">, </w:t>
      </w:r>
      <w:r w:rsidRPr="00B44765">
        <w:rPr>
          <w:rFonts w:ascii="Arial" w:hAnsi="Arial" w:cs="Arial"/>
          <w:i/>
          <w:iCs/>
          <w:sz w:val="22"/>
          <w:highlight w:val="white"/>
        </w:rPr>
        <w:t>Inclusion London</w:t>
      </w:r>
      <w:r w:rsidRPr="00B44765">
        <w:rPr>
          <w:rFonts w:ascii="Arial" w:hAnsi="Arial" w:cs="Arial"/>
          <w:sz w:val="22"/>
          <w:highlight w:val="white"/>
        </w:rPr>
        <w:t>. Available at: https://www.inclusionlondon.org.uk/about-us/disability-in-london/social-model/the-social-model-of-disability-and-the-cultural-model-of-deafness/ (Accessed: 1 March 2026).</w:t>
      </w:r>
    </w:p>
    <w:p w14:paraId="49CCEB0B" w14:textId="77777777" w:rsidR="00B44765" w:rsidRPr="00B44765" w:rsidRDefault="00B44765" w:rsidP="00B44765">
      <w:pPr>
        <w:spacing w:before="200" w:after="200" w:line="360" w:lineRule="auto"/>
        <w:jc w:val="both"/>
        <w:rPr>
          <w:rFonts w:ascii="Arial" w:hAnsi="Arial" w:cs="Arial"/>
          <w:sz w:val="22"/>
          <w:highlight w:val="white"/>
        </w:rPr>
      </w:pPr>
      <w:r w:rsidRPr="00B44765">
        <w:rPr>
          <w:rFonts w:ascii="Arial" w:hAnsi="Arial" w:cs="Arial"/>
          <w:sz w:val="22"/>
          <w:highlight w:val="white"/>
        </w:rPr>
        <w:t xml:space="preserve">McIlveen, J., MacPhail, C., Fox, M. and Noonan, K., (2025). Caring toward end of life through acute hospital and community partnerships: A scoping review. </w:t>
      </w:r>
      <w:r w:rsidRPr="00B44765">
        <w:rPr>
          <w:rFonts w:ascii="Arial" w:hAnsi="Arial" w:cs="Arial"/>
          <w:i/>
          <w:iCs/>
          <w:sz w:val="22"/>
          <w:highlight w:val="white"/>
        </w:rPr>
        <w:t>Palliative Medicine</w:t>
      </w:r>
      <w:r w:rsidRPr="00B44765">
        <w:rPr>
          <w:rFonts w:ascii="Arial" w:hAnsi="Arial" w:cs="Arial"/>
          <w:sz w:val="22"/>
          <w:highlight w:val="white"/>
        </w:rPr>
        <w:t xml:space="preserve">, </w:t>
      </w:r>
      <w:r w:rsidRPr="00B44765">
        <w:rPr>
          <w:rFonts w:ascii="Arial" w:hAnsi="Arial" w:cs="Arial"/>
          <w:i/>
          <w:iCs/>
          <w:sz w:val="22"/>
          <w:highlight w:val="white"/>
        </w:rPr>
        <w:t>39</w:t>
      </w:r>
      <w:r w:rsidRPr="00B44765">
        <w:rPr>
          <w:rFonts w:ascii="Arial" w:hAnsi="Arial" w:cs="Arial"/>
          <w:sz w:val="22"/>
          <w:highlight w:val="white"/>
        </w:rPr>
        <w:t>(3), pp.346-357.</w:t>
      </w:r>
    </w:p>
    <w:p w14:paraId="5561CE46" w14:textId="77777777" w:rsidR="00B44765" w:rsidRPr="00B44765" w:rsidRDefault="00B44765" w:rsidP="00B44765">
      <w:pPr>
        <w:spacing w:before="200" w:after="200" w:line="360" w:lineRule="auto"/>
        <w:jc w:val="both"/>
        <w:rPr>
          <w:rFonts w:ascii="Arial" w:hAnsi="Arial" w:cs="Arial"/>
          <w:sz w:val="22"/>
          <w:highlight w:val="white"/>
        </w:rPr>
      </w:pPr>
      <w:r w:rsidRPr="00B44765">
        <w:rPr>
          <w:rFonts w:ascii="Arial" w:hAnsi="Arial" w:cs="Arial"/>
          <w:sz w:val="22"/>
          <w:highlight w:val="white"/>
        </w:rPr>
        <w:t xml:space="preserve">Parmar, B., Henshaw, H., Howe, S., Dickinson, A.M., Rolfe, C., Le Mere, P., Blondiaux-Ding, E., Musker, Z., Stevenson, R., Hughes, S.E. and Calvert, S., (2025). “I always feel like I’m the first deaf person they have ever met:” Deaf Awareness, Accessibility and Communication in the United Kingdom’s National Health Service (NHS): How can we do better?. </w:t>
      </w:r>
      <w:r w:rsidRPr="00B44765">
        <w:rPr>
          <w:rFonts w:ascii="Arial" w:hAnsi="Arial" w:cs="Arial"/>
          <w:i/>
          <w:iCs/>
          <w:sz w:val="22"/>
          <w:highlight w:val="white"/>
        </w:rPr>
        <w:t>Plos one</w:t>
      </w:r>
      <w:r w:rsidRPr="00B44765">
        <w:rPr>
          <w:rFonts w:ascii="Arial" w:hAnsi="Arial" w:cs="Arial"/>
          <w:sz w:val="22"/>
          <w:highlight w:val="white"/>
        </w:rPr>
        <w:t xml:space="preserve">, </w:t>
      </w:r>
      <w:r w:rsidRPr="00B44765">
        <w:rPr>
          <w:rFonts w:ascii="Arial" w:hAnsi="Arial" w:cs="Arial"/>
          <w:i/>
          <w:iCs/>
          <w:sz w:val="22"/>
          <w:highlight w:val="white"/>
        </w:rPr>
        <w:t>20</w:t>
      </w:r>
      <w:r w:rsidRPr="00B44765">
        <w:rPr>
          <w:rFonts w:ascii="Arial" w:hAnsi="Arial" w:cs="Arial"/>
          <w:sz w:val="22"/>
          <w:highlight w:val="white"/>
        </w:rPr>
        <w:t>(5), p.e0322850.</w:t>
      </w:r>
    </w:p>
    <w:p w14:paraId="243345FF" w14:textId="77777777" w:rsidR="00B44765" w:rsidRPr="00B44765" w:rsidRDefault="00B44765" w:rsidP="00B44765">
      <w:pPr>
        <w:spacing w:before="200" w:after="200" w:line="360" w:lineRule="auto"/>
        <w:jc w:val="both"/>
        <w:rPr>
          <w:rFonts w:ascii="Arial" w:hAnsi="Arial" w:cs="Arial"/>
          <w:sz w:val="22"/>
          <w:highlight w:val="white"/>
        </w:rPr>
      </w:pPr>
      <w:r w:rsidRPr="00B44765">
        <w:rPr>
          <w:rFonts w:ascii="Arial" w:hAnsi="Arial" w:cs="Arial"/>
          <w:sz w:val="22"/>
          <w:highlight w:val="white"/>
        </w:rPr>
        <w:lastRenderedPageBreak/>
        <w:t xml:space="preserve">Roberts, A., (2023). The biopsychosocial model: Its use and abuse. </w:t>
      </w:r>
      <w:r w:rsidRPr="00B44765">
        <w:rPr>
          <w:rFonts w:ascii="Arial" w:hAnsi="Arial" w:cs="Arial"/>
          <w:i/>
          <w:iCs/>
          <w:sz w:val="22"/>
          <w:highlight w:val="white"/>
        </w:rPr>
        <w:t>Medicine, Health Care and Philosophy</w:t>
      </w:r>
      <w:r w:rsidRPr="00B44765">
        <w:rPr>
          <w:rFonts w:ascii="Arial" w:hAnsi="Arial" w:cs="Arial"/>
          <w:sz w:val="22"/>
          <w:highlight w:val="white"/>
        </w:rPr>
        <w:t xml:space="preserve">, </w:t>
      </w:r>
      <w:r w:rsidRPr="00B44765">
        <w:rPr>
          <w:rFonts w:ascii="Arial" w:hAnsi="Arial" w:cs="Arial"/>
          <w:i/>
          <w:iCs/>
          <w:sz w:val="22"/>
          <w:highlight w:val="white"/>
        </w:rPr>
        <w:t>26</w:t>
      </w:r>
      <w:r w:rsidRPr="00B44765">
        <w:rPr>
          <w:rFonts w:ascii="Arial" w:hAnsi="Arial" w:cs="Arial"/>
          <w:sz w:val="22"/>
          <w:highlight w:val="white"/>
        </w:rPr>
        <w:t>(3), pp.367-384.</w:t>
      </w:r>
    </w:p>
    <w:p w14:paraId="5E11170F" w14:textId="77777777" w:rsidR="00B44765" w:rsidRPr="00B44765" w:rsidRDefault="00B44765" w:rsidP="00B44765">
      <w:pPr>
        <w:spacing w:before="200" w:after="200" w:line="360" w:lineRule="auto"/>
        <w:jc w:val="both"/>
        <w:rPr>
          <w:rFonts w:ascii="Arial" w:hAnsi="Arial" w:cs="Arial"/>
          <w:sz w:val="22"/>
          <w:highlight w:val="white"/>
        </w:rPr>
      </w:pPr>
      <w:r w:rsidRPr="00B44765">
        <w:rPr>
          <w:rFonts w:ascii="Arial" w:hAnsi="Arial" w:cs="Arial"/>
          <w:sz w:val="22"/>
          <w:highlight w:val="white"/>
        </w:rPr>
        <w:t xml:space="preserve">Sahu, A., Rin, L., Nematullah, M.D. and Gurung, C., (2022). The empowerment and social integration of individuals with mental disabilities. </w:t>
      </w:r>
      <w:r w:rsidRPr="00B44765">
        <w:rPr>
          <w:rFonts w:ascii="Arial" w:hAnsi="Arial" w:cs="Arial"/>
          <w:i/>
          <w:iCs/>
          <w:sz w:val="22"/>
          <w:highlight w:val="white"/>
        </w:rPr>
        <w:t>Journal for ReAttach Therapy and Developmental Diversities</w:t>
      </w:r>
      <w:r w:rsidRPr="00B44765">
        <w:rPr>
          <w:rFonts w:ascii="Arial" w:hAnsi="Arial" w:cs="Arial"/>
          <w:sz w:val="22"/>
          <w:highlight w:val="white"/>
        </w:rPr>
        <w:t xml:space="preserve">, </w:t>
      </w:r>
      <w:r w:rsidRPr="00B44765">
        <w:rPr>
          <w:rFonts w:ascii="Arial" w:hAnsi="Arial" w:cs="Arial"/>
          <w:i/>
          <w:iCs/>
          <w:sz w:val="22"/>
          <w:highlight w:val="white"/>
        </w:rPr>
        <w:t>5</w:t>
      </w:r>
      <w:r w:rsidRPr="00B44765">
        <w:rPr>
          <w:rFonts w:ascii="Arial" w:hAnsi="Arial" w:cs="Arial"/>
          <w:sz w:val="22"/>
          <w:highlight w:val="white"/>
        </w:rPr>
        <w:t>(1s), pp.83-86.</w:t>
      </w:r>
    </w:p>
    <w:p w14:paraId="50AE88F8" w14:textId="77777777" w:rsidR="00B44765" w:rsidRPr="00B44765" w:rsidRDefault="00B44765" w:rsidP="00B44765">
      <w:pPr>
        <w:spacing w:before="200" w:after="200" w:line="360" w:lineRule="auto"/>
        <w:jc w:val="both"/>
        <w:rPr>
          <w:rFonts w:ascii="Arial" w:hAnsi="Arial" w:cs="Arial"/>
          <w:sz w:val="22"/>
          <w:highlight w:val="white"/>
        </w:rPr>
      </w:pPr>
      <w:r w:rsidRPr="00B44765">
        <w:rPr>
          <w:rFonts w:ascii="Arial" w:hAnsi="Arial" w:cs="Arial"/>
          <w:sz w:val="22"/>
          <w:highlight w:val="white"/>
        </w:rPr>
        <w:t xml:space="preserve">Tedeschi, M.N. and Limeri, L.B., (2024). Models of disability as research frameworks in biology education research. </w:t>
      </w:r>
      <w:r w:rsidRPr="00B44765">
        <w:rPr>
          <w:rFonts w:ascii="Arial" w:hAnsi="Arial" w:cs="Arial"/>
          <w:i/>
          <w:iCs/>
          <w:sz w:val="22"/>
          <w:highlight w:val="white"/>
        </w:rPr>
        <w:t>CBE—Life Sciences Education</w:t>
      </w:r>
      <w:r w:rsidRPr="00B44765">
        <w:rPr>
          <w:rFonts w:ascii="Arial" w:hAnsi="Arial" w:cs="Arial"/>
          <w:sz w:val="22"/>
          <w:highlight w:val="white"/>
        </w:rPr>
        <w:t xml:space="preserve">, </w:t>
      </w:r>
      <w:r w:rsidRPr="00B44765">
        <w:rPr>
          <w:rFonts w:ascii="Arial" w:hAnsi="Arial" w:cs="Arial"/>
          <w:i/>
          <w:iCs/>
          <w:sz w:val="22"/>
          <w:highlight w:val="white"/>
        </w:rPr>
        <w:t>23</w:t>
      </w:r>
      <w:r w:rsidRPr="00B44765">
        <w:rPr>
          <w:rFonts w:ascii="Arial" w:hAnsi="Arial" w:cs="Arial"/>
          <w:sz w:val="22"/>
          <w:highlight w:val="white"/>
        </w:rPr>
        <w:t>(3), p.es8.</w:t>
      </w:r>
    </w:p>
    <w:p w14:paraId="1FD84960" w14:textId="77777777" w:rsidR="00B44765" w:rsidRPr="004D0469" w:rsidRDefault="00B44765" w:rsidP="004A5A64">
      <w:pPr>
        <w:spacing w:line="360" w:lineRule="auto"/>
        <w:rPr>
          <w:rFonts w:ascii="Arial" w:hAnsi="Arial" w:cs="Arial"/>
          <w:b/>
          <w:bCs/>
          <w:sz w:val="23"/>
          <w:szCs w:val="23"/>
        </w:rPr>
      </w:pPr>
    </w:p>
    <w:sectPr w:rsidR="00B44765" w:rsidRPr="004D046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CD77555" w14:textId="77777777" w:rsidR="001E553A" w:rsidRDefault="001E553A" w:rsidP="00032A5B">
      <w:pPr>
        <w:spacing w:after="0" w:line="240" w:lineRule="auto"/>
      </w:pPr>
      <w:r>
        <w:separator/>
      </w:r>
    </w:p>
  </w:endnote>
  <w:endnote w:type="continuationSeparator" w:id="0">
    <w:p w14:paraId="3E52A166" w14:textId="77777777" w:rsidR="001E553A" w:rsidRDefault="001E553A" w:rsidP="00032A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noProof w:val="0"/>
      </w:rPr>
      <w:id w:val="385066092"/>
      <w:docPartObj>
        <w:docPartGallery w:val="Page Numbers (Bottom of Page)"/>
        <w:docPartUnique/>
      </w:docPartObj>
    </w:sdtPr>
    <w:sdtEndPr>
      <w:rPr>
        <w:noProof/>
        <w:sz w:val="20"/>
        <w:szCs w:val="20"/>
      </w:rPr>
    </w:sdtEndPr>
    <w:sdtContent>
      <w:p w14:paraId="5C5EDB3D" w14:textId="2C95E041" w:rsidR="004169FC" w:rsidRPr="004169FC" w:rsidRDefault="004169FC">
        <w:pPr>
          <w:pStyle w:val="Footer"/>
          <w:jc w:val="right"/>
          <w:rPr>
            <w:sz w:val="20"/>
            <w:szCs w:val="20"/>
          </w:rPr>
        </w:pPr>
        <w:r w:rsidRPr="004169FC">
          <w:rPr>
            <w:noProof w:val="0"/>
            <w:sz w:val="20"/>
            <w:szCs w:val="20"/>
          </w:rPr>
          <w:fldChar w:fldCharType="begin"/>
        </w:r>
        <w:r w:rsidRPr="004169FC">
          <w:rPr>
            <w:sz w:val="20"/>
            <w:szCs w:val="20"/>
          </w:rPr>
          <w:instrText xml:space="preserve"> PAGE   \* MERGEFORMAT </w:instrText>
        </w:r>
        <w:r w:rsidRPr="004169FC">
          <w:rPr>
            <w:noProof w:val="0"/>
            <w:sz w:val="20"/>
            <w:szCs w:val="20"/>
          </w:rPr>
          <w:fldChar w:fldCharType="separate"/>
        </w:r>
        <w:r w:rsidR="004D5545">
          <w:rPr>
            <w:sz w:val="20"/>
            <w:szCs w:val="20"/>
          </w:rPr>
          <w:t>1</w:t>
        </w:r>
        <w:r w:rsidRPr="004169FC">
          <w:rPr>
            <w:sz w:val="20"/>
            <w:szCs w:val="20"/>
          </w:rPr>
          <w:fldChar w:fldCharType="end"/>
        </w:r>
      </w:p>
    </w:sdtContent>
  </w:sdt>
  <w:p w14:paraId="1544A295" w14:textId="77777777" w:rsidR="004169FC" w:rsidRDefault="004169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92A74C" w14:textId="77777777" w:rsidR="001E553A" w:rsidRDefault="001E553A" w:rsidP="00032A5B">
      <w:pPr>
        <w:spacing w:after="0" w:line="240" w:lineRule="auto"/>
      </w:pPr>
      <w:r>
        <w:separator/>
      </w:r>
    </w:p>
  </w:footnote>
  <w:footnote w:type="continuationSeparator" w:id="0">
    <w:p w14:paraId="1BF19AE2" w14:textId="77777777" w:rsidR="001E553A" w:rsidRDefault="001E553A" w:rsidP="00032A5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A06929"/>
    <w:multiLevelType w:val="hybridMultilevel"/>
    <w:tmpl w:val="D056302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8C808D1"/>
    <w:multiLevelType w:val="hybridMultilevel"/>
    <w:tmpl w:val="BC9AFFC2"/>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29E56A1B"/>
    <w:multiLevelType w:val="hybridMultilevel"/>
    <w:tmpl w:val="D8827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E26486C"/>
    <w:multiLevelType w:val="hybridMultilevel"/>
    <w:tmpl w:val="44D283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40336563">
    <w:abstractNumId w:val="3"/>
  </w:num>
  <w:num w:numId="2" w16cid:durableId="1816068753">
    <w:abstractNumId w:val="1"/>
  </w:num>
  <w:num w:numId="3" w16cid:durableId="1556698361">
    <w:abstractNumId w:val="0"/>
  </w:num>
  <w:num w:numId="4" w16cid:durableId="36321709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558B0"/>
    <w:rsid w:val="00032A5B"/>
    <w:rsid w:val="00056988"/>
    <w:rsid w:val="000C72B4"/>
    <w:rsid w:val="001333C2"/>
    <w:rsid w:val="00167814"/>
    <w:rsid w:val="001C4A6C"/>
    <w:rsid w:val="001E553A"/>
    <w:rsid w:val="002E4625"/>
    <w:rsid w:val="00317E3D"/>
    <w:rsid w:val="0032791E"/>
    <w:rsid w:val="003D4DB9"/>
    <w:rsid w:val="003E4ED4"/>
    <w:rsid w:val="004169FC"/>
    <w:rsid w:val="00423840"/>
    <w:rsid w:val="004525FB"/>
    <w:rsid w:val="004A5A64"/>
    <w:rsid w:val="004D0469"/>
    <w:rsid w:val="004D5545"/>
    <w:rsid w:val="0058218C"/>
    <w:rsid w:val="005B5DA3"/>
    <w:rsid w:val="006524ED"/>
    <w:rsid w:val="006A3E63"/>
    <w:rsid w:val="006C44F2"/>
    <w:rsid w:val="006D2F2D"/>
    <w:rsid w:val="006E1FF9"/>
    <w:rsid w:val="007377DA"/>
    <w:rsid w:val="007744C3"/>
    <w:rsid w:val="00785886"/>
    <w:rsid w:val="007F3A6A"/>
    <w:rsid w:val="00812340"/>
    <w:rsid w:val="0094308E"/>
    <w:rsid w:val="00993468"/>
    <w:rsid w:val="009E71F3"/>
    <w:rsid w:val="00A01F84"/>
    <w:rsid w:val="00A06514"/>
    <w:rsid w:val="00A14675"/>
    <w:rsid w:val="00A4102C"/>
    <w:rsid w:val="00AD34E6"/>
    <w:rsid w:val="00B20680"/>
    <w:rsid w:val="00B44765"/>
    <w:rsid w:val="00BC79FE"/>
    <w:rsid w:val="00C558B0"/>
    <w:rsid w:val="00C86009"/>
    <w:rsid w:val="00D545BA"/>
    <w:rsid w:val="00D750B6"/>
    <w:rsid w:val="00E645E0"/>
    <w:rsid w:val="00E75FCA"/>
    <w:rsid w:val="00E81204"/>
    <w:rsid w:val="00E82768"/>
    <w:rsid w:val="00E9668F"/>
    <w:rsid w:val="00E96722"/>
    <w:rsid w:val="00F54AD9"/>
    <w:rsid w:val="00F81510"/>
    <w:rsid w:val="00FA1054"/>
    <w:rsid w:val="00FA2DAE"/>
    <w:rsid w:val="00FA624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F7AB11"/>
  <w15:chartTrackingRefBased/>
  <w15:docId w15:val="{647EBCD7-631C-4DB8-B919-7AD492B628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58B0"/>
    <w:pPr>
      <w:spacing w:line="256" w:lineRule="auto"/>
    </w:pPr>
    <w:rPr>
      <w:rFonts w:ascii="Times New Roman" w:hAnsi="Times New Roman"/>
      <w:noProof/>
      <w:sz w:val="24"/>
    </w:rPr>
  </w:style>
  <w:style w:type="paragraph" w:styleId="Heading1">
    <w:name w:val="heading 1"/>
    <w:basedOn w:val="Normal"/>
    <w:next w:val="Normal"/>
    <w:link w:val="Heading1Char"/>
    <w:uiPriority w:val="9"/>
    <w:qFormat/>
    <w:rsid w:val="007744C3"/>
    <w:pPr>
      <w:spacing w:line="360" w:lineRule="auto"/>
      <w:outlineLvl w:val="0"/>
    </w:pPr>
    <w:rPr>
      <w:rFonts w:ascii="Arial" w:hAnsi="Arial" w:cs="Arial"/>
      <w:b/>
      <w:bCs/>
      <w:sz w:val="23"/>
      <w:szCs w:val="23"/>
    </w:rPr>
  </w:style>
  <w:style w:type="paragraph" w:styleId="Heading2">
    <w:name w:val="heading 2"/>
    <w:basedOn w:val="Normal"/>
    <w:next w:val="Normal"/>
    <w:link w:val="Heading2Char"/>
    <w:uiPriority w:val="9"/>
    <w:unhideWhenUsed/>
    <w:qFormat/>
    <w:rsid w:val="007744C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D2F2D"/>
    <w:pPr>
      <w:ind w:left="720"/>
      <w:contextualSpacing/>
    </w:pPr>
  </w:style>
  <w:style w:type="paragraph" w:styleId="Header">
    <w:name w:val="header"/>
    <w:basedOn w:val="Normal"/>
    <w:link w:val="HeaderChar"/>
    <w:uiPriority w:val="99"/>
    <w:unhideWhenUsed/>
    <w:rsid w:val="00032A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2A5B"/>
    <w:rPr>
      <w:rFonts w:ascii="Times New Roman" w:hAnsi="Times New Roman"/>
      <w:sz w:val="24"/>
    </w:rPr>
  </w:style>
  <w:style w:type="paragraph" w:styleId="Footer">
    <w:name w:val="footer"/>
    <w:basedOn w:val="Normal"/>
    <w:link w:val="FooterChar"/>
    <w:uiPriority w:val="99"/>
    <w:unhideWhenUsed/>
    <w:rsid w:val="00032A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2A5B"/>
    <w:rPr>
      <w:rFonts w:ascii="Times New Roman" w:hAnsi="Times New Roman"/>
      <w:sz w:val="24"/>
    </w:rPr>
  </w:style>
  <w:style w:type="character" w:customStyle="1" w:styleId="Heading1Char">
    <w:name w:val="Heading 1 Char"/>
    <w:basedOn w:val="DefaultParagraphFont"/>
    <w:link w:val="Heading1"/>
    <w:uiPriority w:val="9"/>
    <w:rsid w:val="007744C3"/>
    <w:rPr>
      <w:rFonts w:ascii="Arial" w:hAnsi="Arial" w:cs="Arial"/>
      <w:b/>
      <w:bCs/>
      <w:noProof/>
      <w:sz w:val="23"/>
      <w:szCs w:val="23"/>
    </w:rPr>
  </w:style>
  <w:style w:type="character" w:customStyle="1" w:styleId="Heading2Char">
    <w:name w:val="Heading 2 Char"/>
    <w:basedOn w:val="DefaultParagraphFont"/>
    <w:link w:val="Heading2"/>
    <w:uiPriority w:val="9"/>
    <w:rsid w:val="007744C3"/>
    <w:rPr>
      <w:rFonts w:asciiTheme="majorHAnsi" w:eastAsiaTheme="majorEastAsia" w:hAnsiTheme="majorHAnsi" w:cstheme="majorBidi"/>
      <w:noProof/>
      <w:color w:val="2F5496" w:themeColor="accent1" w:themeShade="BF"/>
      <w:sz w:val="26"/>
      <w:szCs w:val="26"/>
    </w:rPr>
  </w:style>
  <w:style w:type="paragraph" w:styleId="TOCHeading">
    <w:name w:val="TOC Heading"/>
    <w:basedOn w:val="Heading1"/>
    <w:next w:val="Normal"/>
    <w:uiPriority w:val="39"/>
    <w:unhideWhenUsed/>
    <w:qFormat/>
    <w:rsid w:val="007377DA"/>
    <w:pPr>
      <w:keepNext/>
      <w:keepLines/>
      <w:spacing w:before="240" w:after="0" w:line="259" w:lineRule="auto"/>
      <w:outlineLvl w:val="9"/>
    </w:pPr>
    <w:rPr>
      <w:rFonts w:asciiTheme="majorHAnsi" w:eastAsiaTheme="majorEastAsia" w:hAnsiTheme="majorHAnsi" w:cstheme="majorBidi"/>
      <w:b w:val="0"/>
      <w:bCs w:val="0"/>
      <w:noProof w:val="0"/>
      <w:color w:val="2F5496" w:themeColor="accent1" w:themeShade="BF"/>
      <w:sz w:val="32"/>
      <w:szCs w:val="32"/>
      <w:lang w:val="en-US"/>
    </w:rPr>
  </w:style>
  <w:style w:type="paragraph" w:styleId="TOC1">
    <w:name w:val="toc 1"/>
    <w:basedOn w:val="Normal"/>
    <w:next w:val="Normal"/>
    <w:autoRedefine/>
    <w:uiPriority w:val="39"/>
    <w:unhideWhenUsed/>
    <w:rsid w:val="007377DA"/>
    <w:pPr>
      <w:spacing w:after="100"/>
    </w:pPr>
  </w:style>
  <w:style w:type="character" w:styleId="Hyperlink">
    <w:name w:val="Hyperlink"/>
    <w:basedOn w:val="DefaultParagraphFont"/>
    <w:uiPriority w:val="99"/>
    <w:unhideWhenUsed/>
    <w:rsid w:val="007377D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E34E9DF-F219-4CC4-9E63-605FA1DC96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TotalTime>
  <Pages>9</Pages>
  <Words>2567</Words>
  <Characters>14633</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Paula Gavriloaei</cp:lastModifiedBy>
  <cp:revision>13</cp:revision>
  <dcterms:created xsi:type="dcterms:W3CDTF">2024-02-19T18:40:00Z</dcterms:created>
  <dcterms:modified xsi:type="dcterms:W3CDTF">2026-03-02T14:05:00Z</dcterms:modified>
</cp:coreProperties>
</file>