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2034B7" w14:textId="242F50D5" w:rsidR="000234AB" w:rsidRDefault="000234AB" w:rsidP="005C382F">
      <w:pPr>
        <w:spacing w:after="0" w:line="259" w:lineRule="auto"/>
        <w:ind w:left="0" w:right="0" w:firstLine="0"/>
        <w:jc w:val="left"/>
      </w:pPr>
    </w:p>
    <w:p w14:paraId="4FA61EC9" w14:textId="77777777" w:rsidR="005C382F" w:rsidRDefault="00000000" w:rsidP="005C382F">
      <w:pPr>
        <w:spacing w:after="184" w:line="259" w:lineRule="auto"/>
        <w:ind w:left="-5" w:right="0"/>
        <w:jc w:val="left"/>
      </w:pPr>
      <w:r>
        <w:rPr>
          <w:rFonts w:ascii="Calibri" w:eastAsia="Calibri" w:hAnsi="Calibri" w:cs="Calibri"/>
        </w:rPr>
        <w:t xml:space="preserve"> </w:t>
      </w:r>
      <w:r w:rsidR="005C382F">
        <w:rPr>
          <w:rFonts w:ascii="Calibri" w:eastAsia="Calibri" w:hAnsi="Calibri" w:cs="Calibri"/>
        </w:rPr>
        <w:t xml:space="preserve">COVER PAGE  </w:t>
      </w:r>
    </w:p>
    <w:p w14:paraId="32F7DCE9" w14:textId="77777777" w:rsidR="005C382F" w:rsidRDefault="005C382F" w:rsidP="005C382F">
      <w:pPr>
        <w:spacing w:after="184" w:line="259" w:lineRule="auto"/>
        <w:ind w:left="-5" w:right="0"/>
        <w:jc w:val="left"/>
      </w:pPr>
      <w:r>
        <w:rPr>
          <w:rFonts w:ascii="Calibri" w:eastAsia="Calibri" w:hAnsi="Calibri" w:cs="Calibri"/>
        </w:rPr>
        <w:t xml:space="preserve">STUDENT NAME: GHEORGHE STEREA  </w:t>
      </w:r>
    </w:p>
    <w:p w14:paraId="69E2B2F4" w14:textId="77777777" w:rsidR="005C382F" w:rsidRDefault="005C382F" w:rsidP="005C382F">
      <w:pPr>
        <w:spacing w:after="184" w:line="259" w:lineRule="auto"/>
        <w:ind w:left="-5" w:right="0"/>
        <w:jc w:val="left"/>
      </w:pPr>
      <w:r>
        <w:rPr>
          <w:rFonts w:ascii="Calibri" w:eastAsia="Calibri" w:hAnsi="Calibri" w:cs="Calibri"/>
        </w:rPr>
        <w:t xml:space="preserve">STUDENT NUMBER :2416523 </w:t>
      </w:r>
    </w:p>
    <w:p w14:paraId="38F83274" w14:textId="77777777" w:rsidR="005C382F" w:rsidRDefault="005C382F" w:rsidP="005C382F">
      <w:pPr>
        <w:spacing w:after="184" w:line="259" w:lineRule="auto"/>
        <w:ind w:left="-5" w:right="0"/>
        <w:jc w:val="left"/>
      </w:pPr>
      <w:r>
        <w:rPr>
          <w:rFonts w:ascii="Calibri" w:eastAsia="Calibri" w:hAnsi="Calibri" w:cs="Calibri"/>
        </w:rPr>
        <w:t xml:space="preserve">MODULE NAME: ACADEMIC SKILLS  </w:t>
      </w:r>
    </w:p>
    <w:p w14:paraId="24B450A1" w14:textId="77777777" w:rsidR="005C382F" w:rsidRDefault="005C382F" w:rsidP="005C382F">
      <w:pPr>
        <w:spacing w:after="184" w:line="259" w:lineRule="auto"/>
        <w:ind w:left="-5" w:right="0"/>
        <w:jc w:val="left"/>
      </w:pPr>
      <w:r>
        <w:rPr>
          <w:rFonts w:ascii="Calibri" w:eastAsia="Calibri" w:hAnsi="Calibri" w:cs="Calibri"/>
        </w:rPr>
        <w:t xml:space="preserve">MODULE NUMBER: LCLM 4001 </w:t>
      </w:r>
    </w:p>
    <w:p w14:paraId="3485E4B7" w14:textId="77777777" w:rsidR="005C382F" w:rsidRDefault="005C382F" w:rsidP="005C382F">
      <w:pPr>
        <w:spacing w:after="184" w:line="259" w:lineRule="auto"/>
        <w:ind w:left="-5" w:right="0"/>
        <w:jc w:val="left"/>
      </w:pPr>
      <w:r>
        <w:rPr>
          <w:rFonts w:ascii="Calibri" w:eastAsia="Calibri" w:hAnsi="Calibri" w:cs="Calibri"/>
        </w:rPr>
        <w:t xml:space="preserve">LECTURER NAME: GREGORY COWAN  </w:t>
      </w:r>
    </w:p>
    <w:p w14:paraId="2D933ABB" w14:textId="0FA40B1D" w:rsidR="000234AB" w:rsidRDefault="000234AB">
      <w:pPr>
        <w:spacing w:after="188" w:line="259" w:lineRule="auto"/>
        <w:ind w:left="0" w:right="0" w:firstLine="0"/>
        <w:jc w:val="left"/>
      </w:pPr>
    </w:p>
    <w:p w14:paraId="0440E124" w14:textId="77777777" w:rsidR="000234AB" w:rsidRDefault="00000000">
      <w:pPr>
        <w:spacing w:after="0" w:line="259" w:lineRule="auto"/>
        <w:ind w:left="0" w:right="0" w:firstLine="0"/>
        <w:jc w:val="left"/>
      </w:pPr>
      <w:r>
        <w:t xml:space="preserve"> </w:t>
      </w:r>
      <w:r>
        <w:tab/>
      </w:r>
      <w:r>
        <w:rPr>
          <w:rFonts w:ascii="Calibri" w:eastAsia="Calibri" w:hAnsi="Calibri" w:cs="Calibri"/>
        </w:rPr>
        <w:t xml:space="preserve"> </w:t>
      </w:r>
      <w:r>
        <w:br w:type="page"/>
      </w:r>
    </w:p>
    <w:p w14:paraId="3EFBBB9C" w14:textId="4504360A" w:rsidR="000234AB" w:rsidRDefault="00000000">
      <w:pPr>
        <w:spacing w:after="184" w:line="259" w:lineRule="auto"/>
        <w:ind w:left="0" w:right="0" w:firstLine="0"/>
        <w:jc w:val="left"/>
      </w:pPr>
      <w:r>
        <w:rPr>
          <w:rFonts w:ascii="Calibri" w:eastAsia="Calibri" w:hAnsi="Calibri" w:cs="Calibri"/>
        </w:rPr>
        <w:lastRenderedPageBreak/>
        <w:t xml:space="preserve"> </w:t>
      </w:r>
    </w:p>
    <w:p w14:paraId="6B7401ED" w14:textId="234B07B7" w:rsidR="005C382F" w:rsidRDefault="00000000" w:rsidP="005C382F">
      <w:pPr>
        <w:spacing w:after="0" w:line="259" w:lineRule="auto"/>
        <w:ind w:left="0" w:right="0" w:firstLine="0"/>
        <w:jc w:val="left"/>
        <w:rPr>
          <w:rFonts w:ascii="Calibri" w:eastAsia="Calibri" w:hAnsi="Calibri" w:cs="Calibri"/>
        </w:rPr>
      </w:pPr>
      <w:r>
        <w:tab/>
      </w:r>
      <w:r>
        <w:rPr>
          <w:rFonts w:ascii="Calibri" w:eastAsia="Calibri" w:hAnsi="Calibri" w:cs="Calibri"/>
        </w:rPr>
        <w:t xml:space="preserve"> </w:t>
      </w:r>
    </w:p>
    <w:sdt>
      <w:sdtPr>
        <w:id w:val="-1650043795"/>
        <w:docPartObj>
          <w:docPartGallery w:val="Table of Contents"/>
        </w:docPartObj>
      </w:sdtPr>
      <w:sdtContent>
        <w:p w14:paraId="16ACFA8A" w14:textId="6E346783" w:rsidR="005C382F" w:rsidRDefault="005C382F" w:rsidP="005C382F">
          <w:pPr>
            <w:spacing w:after="0" w:line="259" w:lineRule="auto"/>
            <w:ind w:left="0" w:right="0" w:firstLine="0"/>
            <w:jc w:val="left"/>
          </w:pPr>
          <w:r>
            <w:rPr>
              <w:rFonts w:ascii="Calibri" w:eastAsia="Calibri" w:hAnsi="Calibri" w:cs="Calibri"/>
              <w:color w:val="0F4761"/>
              <w:sz w:val="32"/>
            </w:rPr>
            <w:t xml:space="preserve">Table of Contents </w:t>
          </w:r>
        </w:p>
        <w:p w14:paraId="05144273" w14:textId="77777777" w:rsidR="005C382F" w:rsidRDefault="005C382F" w:rsidP="005C382F">
          <w:pPr>
            <w:pStyle w:val="TOC1"/>
            <w:tabs>
              <w:tab w:val="right" w:leader="dot" w:pos="9096"/>
            </w:tabs>
          </w:pPr>
          <w:r>
            <w:fldChar w:fldCharType="begin"/>
          </w:r>
          <w:r>
            <w:instrText xml:space="preserve"> TOC \o "1-1" \h \z \u </w:instrText>
          </w:r>
          <w:r>
            <w:fldChar w:fldCharType="separate"/>
          </w:r>
          <w:hyperlink w:anchor="_Toc4091">
            <w:r>
              <w:t>Reflective Report on Academic Skills Development</w:t>
            </w:r>
            <w:r>
              <w:tab/>
            </w:r>
            <w:r>
              <w:fldChar w:fldCharType="begin"/>
            </w:r>
            <w:r>
              <w:instrText>PAGEREF _Toc4091 \h</w:instrText>
            </w:r>
            <w:r>
              <w:fldChar w:fldCharType="separate"/>
            </w:r>
            <w:r>
              <w:t xml:space="preserve">3 </w:t>
            </w:r>
            <w:r>
              <w:fldChar w:fldCharType="end"/>
            </w:r>
          </w:hyperlink>
        </w:p>
        <w:p w14:paraId="7545DFBC" w14:textId="77777777" w:rsidR="005C382F" w:rsidRDefault="005C382F" w:rsidP="005C382F">
          <w:pPr>
            <w:pStyle w:val="TOC1"/>
            <w:tabs>
              <w:tab w:val="right" w:leader="dot" w:pos="9096"/>
            </w:tabs>
          </w:pPr>
          <w:hyperlink w:anchor="_Toc4092">
            <w:r>
              <w:t>Introduction</w:t>
            </w:r>
            <w:r>
              <w:tab/>
            </w:r>
            <w:r>
              <w:fldChar w:fldCharType="begin"/>
            </w:r>
            <w:r>
              <w:instrText>PAGEREF _Toc4092 \h</w:instrText>
            </w:r>
            <w:r>
              <w:fldChar w:fldCharType="separate"/>
            </w:r>
            <w:r>
              <w:t xml:space="preserve">3 </w:t>
            </w:r>
            <w:r>
              <w:fldChar w:fldCharType="end"/>
            </w:r>
          </w:hyperlink>
        </w:p>
        <w:p w14:paraId="14A524B6" w14:textId="77777777" w:rsidR="005C382F" w:rsidRDefault="005C382F" w:rsidP="005C382F">
          <w:pPr>
            <w:pStyle w:val="TOC1"/>
            <w:tabs>
              <w:tab w:val="right" w:leader="dot" w:pos="9096"/>
            </w:tabs>
          </w:pPr>
          <w:hyperlink w:anchor="_Toc4093">
            <w:r>
              <w:t>Description</w:t>
            </w:r>
            <w:r>
              <w:tab/>
            </w:r>
            <w:r>
              <w:fldChar w:fldCharType="begin"/>
            </w:r>
            <w:r>
              <w:instrText>PAGEREF _Toc4093 \h</w:instrText>
            </w:r>
            <w:r>
              <w:fldChar w:fldCharType="separate"/>
            </w:r>
            <w:r>
              <w:t xml:space="preserve">3 </w:t>
            </w:r>
            <w:r>
              <w:fldChar w:fldCharType="end"/>
            </w:r>
          </w:hyperlink>
        </w:p>
        <w:p w14:paraId="1E7E25DF" w14:textId="77777777" w:rsidR="005C382F" w:rsidRDefault="005C382F" w:rsidP="005C382F">
          <w:pPr>
            <w:pStyle w:val="TOC1"/>
            <w:tabs>
              <w:tab w:val="right" w:leader="dot" w:pos="9096"/>
            </w:tabs>
          </w:pPr>
          <w:hyperlink w:anchor="_Toc4094">
            <w:r>
              <w:t>Feelings</w:t>
            </w:r>
            <w:r>
              <w:tab/>
            </w:r>
            <w:r>
              <w:fldChar w:fldCharType="begin"/>
            </w:r>
            <w:r>
              <w:instrText>PAGEREF _Toc4094 \h</w:instrText>
            </w:r>
            <w:r>
              <w:fldChar w:fldCharType="separate"/>
            </w:r>
            <w:r>
              <w:t xml:space="preserve">4 </w:t>
            </w:r>
            <w:r>
              <w:fldChar w:fldCharType="end"/>
            </w:r>
          </w:hyperlink>
        </w:p>
        <w:p w14:paraId="687FA7FD" w14:textId="77777777" w:rsidR="005C382F" w:rsidRDefault="005C382F" w:rsidP="005C382F">
          <w:pPr>
            <w:pStyle w:val="TOC1"/>
            <w:tabs>
              <w:tab w:val="right" w:leader="dot" w:pos="9096"/>
            </w:tabs>
          </w:pPr>
          <w:hyperlink w:anchor="_Toc4095">
            <w:r>
              <w:t>Evaluation</w:t>
            </w:r>
            <w:r>
              <w:tab/>
            </w:r>
            <w:r>
              <w:fldChar w:fldCharType="begin"/>
            </w:r>
            <w:r>
              <w:instrText>PAGEREF _Toc4095 \h</w:instrText>
            </w:r>
            <w:r>
              <w:fldChar w:fldCharType="separate"/>
            </w:r>
            <w:r>
              <w:t xml:space="preserve">4 </w:t>
            </w:r>
            <w:r>
              <w:fldChar w:fldCharType="end"/>
            </w:r>
          </w:hyperlink>
        </w:p>
        <w:p w14:paraId="045C75CC" w14:textId="77777777" w:rsidR="005C382F" w:rsidRDefault="005C382F" w:rsidP="005C382F">
          <w:pPr>
            <w:pStyle w:val="TOC1"/>
            <w:tabs>
              <w:tab w:val="right" w:leader="dot" w:pos="9096"/>
            </w:tabs>
          </w:pPr>
          <w:hyperlink w:anchor="_Toc4096">
            <w:r>
              <w:t>Analysis</w:t>
            </w:r>
            <w:r>
              <w:tab/>
            </w:r>
            <w:r>
              <w:fldChar w:fldCharType="begin"/>
            </w:r>
            <w:r>
              <w:instrText>PAGEREF _Toc4096 \h</w:instrText>
            </w:r>
            <w:r>
              <w:fldChar w:fldCharType="separate"/>
            </w:r>
            <w:r>
              <w:t xml:space="preserve">4 </w:t>
            </w:r>
            <w:r>
              <w:fldChar w:fldCharType="end"/>
            </w:r>
          </w:hyperlink>
        </w:p>
        <w:p w14:paraId="6A1FC143" w14:textId="77777777" w:rsidR="005C382F" w:rsidRDefault="005C382F" w:rsidP="005C382F">
          <w:pPr>
            <w:pStyle w:val="TOC1"/>
            <w:tabs>
              <w:tab w:val="right" w:leader="dot" w:pos="9096"/>
            </w:tabs>
          </w:pPr>
          <w:hyperlink w:anchor="_Toc4097">
            <w:r>
              <w:t>Conclusion</w:t>
            </w:r>
            <w:r>
              <w:tab/>
            </w:r>
            <w:r>
              <w:fldChar w:fldCharType="begin"/>
            </w:r>
            <w:r>
              <w:instrText>PAGEREF _Toc4097 \h</w:instrText>
            </w:r>
            <w:r>
              <w:fldChar w:fldCharType="separate"/>
            </w:r>
            <w:r>
              <w:t xml:space="preserve">5 </w:t>
            </w:r>
            <w:r>
              <w:fldChar w:fldCharType="end"/>
            </w:r>
          </w:hyperlink>
        </w:p>
        <w:p w14:paraId="5F462358" w14:textId="77777777" w:rsidR="005C382F" w:rsidRDefault="005C382F" w:rsidP="005C382F">
          <w:pPr>
            <w:pStyle w:val="TOC1"/>
            <w:tabs>
              <w:tab w:val="right" w:leader="dot" w:pos="9096"/>
            </w:tabs>
          </w:pPr>
          <w:hyperlink w:anchor="_Toc4098">
            <w:r>
              <w:t>Action Plan</w:t>
            </w:r>
            <w:r>
              <w:tab/>
            </w:r>
            <w:r>
              <w:fldChar w:fldCharType="begin"/>
            </w:r>
            <w:r>
              <w:instrText>PAGEREF _Toc4098 \h</w:instrText>
            </w:r>
            <w:r>
              <w:fldChar w:fldCharType="separate"/>
            </w:r>
            <w:r>
              <w:t xml:space="preserve">5 </w:t>
            </w:r>
            <w:r>
              <w:fldChar w:fldCharType="end"/>
            </w:r>
          </w:hyperlink>
        </w:p>
        <w:p w14:paraId="20C6D86A" w14:textId="77777777" w:rsidR="005C382F" w:rsidRDefault="005C382F" w:rsidP="005C382F">
          <w:pPr>
            <w:pStyle w:val="TOC1"/>
            <w:tabs>
              <w:tab w:val="right" w:leader="dot" w:pos="9096"/>
            </w:tabs>
          </w:pPr>
          <w:hyperlink w:anchor="_Toc4099">
            <w:r>
              <w:t>References</w:t>
            </w:r>
            <w:r>
              <w:tab/>
            </w:r>
            <w:r>
              <w:fldChar w:fldCharType="begin"/>
            </w:r>
            <w:r>
              <w:instrText>PAGEREF _Toc4099 \h</w:instrText>
            </w:r>
            <w:r>
              <w:fldChar w:fldCharType="separate"/>
            </w:r>
            <w:r>
              <w:t xml:space="preserve">6 </w:t>
            </w:r>
            <w:r>
              <w:fldChar w:fldCharType="end"/>
            </w:r>
          </w:hyperlink>
        </w:p>
        <w:p w14:paraId="07690E23" w14:textId="77777777" w:rsidR="005C382F" w:rsidRDefault="005C382F" w:rsidP="005C382F">
          <w:r>
            <w:fldChar w:fldCharType="end"/>
          </w:r>
        </w:p>
      </w:sdtContent>
    </w:sdt>
    <w:p w14:paraId="06C8B7D2" w14:textId="64500DF5" w:rsidR="000234AB" w:rsidRDefault="00000000">
      <w:pPr>
        <w:spacing w:after="0" w:line="259" w:lineRule="auto"/>
        <w:ind w:left="0" w:right="0" w:firstLine="0"/>
        <w:jc w:val="left"/>
      </w:pPr>
      <w:r>
        <w:br w:type="page"/>
      </w:r>
    </w:p>
    <w:p w14:paraId="7D4C491B" w14:textId="3E6558AA" w:rsidR="005C382F" w:rsidRDefault="00000000" w:rsidP="005C382F">
      <w:pPr>
        <w:spacing w:after="184" w:line="259" w:lineRule="auto"/>
        <w:ind w:left="0" w:right="0" w:firstLine="0"/>
        <w:jc w:val="left"/>
        <w:rPr>
          <w:rFonts w:ascii="Calibri" w:eastAsia="Calibri" w:hAnsi="Calibri" w:cs="Calibri"/>
          <w:sz w:val="32"/>
        </w:rPr>
      </w:pPr>
      <w:r>
        <w:rPr>
          <w:rFonts w:ascii="Calibri" w:eastAsia="Calibri" w:hAnsi="Calibri" w:cs="Calibri"/>
        </w:rPr>
        <w:lastRenderedPageBreak/>
        <w:t xml:space="preserve">  </w:t>
      </w:r>
      <w:bookmarkStart w:id="0" w:name="_Toc4091"/>
      <w:r>
        <w:rPr>
          <w:rFonts w:ascii="Calibri" w:eastAsia="Calibri" w:hAnsi="Calibri" w:cs="Calibri"/>
          <w:sz w:val="32"/>
        </w:rPr>
        <w:t xml:space="preserve">Reflective Report on Academic Skills Development </w:t>
      </w:r>
      <w:bookmarkStart w:id="1" w:name="_Toc4092"/>
      <w:bookmarkEnd w:id="0"/>
    </w:p>
    <w:p w14:paraId="13086DF4" w14:textId="729D9A13" w:rsidR="000234AB" w:rsidRDefault="00000000" w:rsidP="005C382F">
      <w:pPr>
        <w:pStyle w:val="Heading1"/>
        <w:spacing w:after="194"/>
        <w:ind w:left="-5"/>
      </w:pPr>
      <w:r>
        <w:rPr>
          <w:rFonts w:ascii="Calibri" w:eastAsia="Calibri" w:hAnsi="Calibri" w:cs="Calibri"/>
          <w:sz w:val="32"/>
        </w:rPr>
        <w:t xml:space="preserve">Introduction </w:t>
      </w:r>
      <w:bookmarkEnd w:id="1"/>
    </w:p>
    <w:p w14:paraId="456EE462" w14:textId="77777777" w:rsidR="000234AB" w:rsidRDefault="00000000">
      <w:pPr>
        <w:ind w:left="-5" w:right="55"/>
      </w:pPr>
      <w:r>
        <w:t xml:space="preserve">The Academic Skills course plays a crucial role in developing essential skills that are fundamental for both academic and personal growth. By focusing on effective time management, critical thinking, research techniques, and academic writing, this course equips students with the tools needed to succeed in higher education and beyond. Learning to structure essays, analyze complex texts, and present ideas clearly enhances communication abilities and builds confidence. Moreover, the course encourages a disciplined approach to studying, fostering habits that improve productivity and reduce stress. The development of these academic skills not only supports better performance in coursework but also cultivates transferable skills that are highly valued in the professional world, such as problem-solving, independent learning, and collaboration. Overall, the Academic Skills course provides a strong foundation that helps students navigate academic challenges while preparing them for future success in various career paths. </w:t>
      </w:r>
    </w:p>
    <w:p w14:paraId="4A3C6D06" w14:textId="77777777" w:rsidR="000234AB" w:rsidRDefault="00000000">
      <w:pPr>
        <w:spacing w:after="189"/>
        <w:ind w:left="-5" w:right="55"/>
      </w:pPr>
      <w:r>
        <w:t xml:space="preserve">The learning from this module has played a significant role in the development of my academic skills, particularly in areas such as finding information, note-taking, and academic writing. By applying the tools and strategies introduced in class, I have been able to refine my approach to studying and academic work. This reflective report will explore how the module has helped me develop these skills using Gibbs' Reflective Cycle (1988). The report will provide evidence from class activities and will discuss how I plan to implement the strategies learned into my future academic work. </w:t>
      </w:r>
    </w:p>
    <w:p w14:paraId="0B2F6ED4" w14:textId="77777777" w:rsidR="000234AB" w:rsidRDefault="00000000">
      <w:pPr>
        <w:pStyle w:val="Heading1"/>
        <w:ind w:left="-5"/>
      </w:pPr>
      <w:bookmarkStart w:id="2" w:name="_Toc4093"/>
      <w:r>
        <w:t xml:space="preserve">Description </w:t>
      </w:r>
      <w:bookmarkEnd w:id="2"/>
    </w:p>
    <w:p w14:paraId="35BB60DB" w14:textId="77777777" w:rsidR="000234AB" w:rsidRDefault="00000000">
      <w:pPr>
        <w:ind w:left="-5" w:right="55"/>
      </w:pPr>
      <w:r>
        <w:t xml:space="preserve">The module focused on academic writing, research methods, and strategies to enhance learning. It included practical sessions on how to effectively search for academic resources, structure and present academic arguments, and improve notetaking techniques. One of the most valuable sessions for me was on how to conduct academic research using databases and reference management software. Another crucial topic covered was academic writing, where we learned how to structure essays and use citations correctly. Throughout the module, we were encouraged to practice our skills by applying the methods learned in small assignments and tasks. We also engaged in peer discussions, which helped refine our understanding of how to improve our writing and research practices. </w:t>
      </w:r>
    </w:p>
    <w:p w14:paraId="707F80FB" w14:textId="77777777" w:rsidR="000234AB" w:rsidRDefault="00000000">
      <w:pPr>
        <w:pStyle w:val="Heading1"/>
        <w:ind w:left="-5"/>
      </w:pPr>
      <w:bookmarkStart w:id="3" w:name="_Toc4094"/>
      <w:r>
        <w:t xml:space="preserve">Feelings </w:t>
      </w:r>
      <w:bookmarkEnd w:id="3"/>
    </w:p>
    <w:p w14:paraId="66840BB3" w14:textId="77777777" w:rsidR="000234AB" w:rsidRDefault="00000000">
      <w:pPr>
        <w:spacing w:after="189"/>
        <w:ind w:left="-5" w:right="55"/>
      </w:pPr>
      <w:r>
        <w:t xml:space="preserve">Initially, I felt overwhelmed by the sheer volume of academic resources available and unsure of how to effectively manage them. However, as the course progressed, I began to feel more confident in my ability to find relevant information and critically </w:t>
      </w:r>
      <w:r>
        <w:lastRenderedPageBreak/>
        <w:t xml:space="preserve">evaluate sources. The note-taking sessions were particularly helpful, as I struggled with organizing information effectively in the past. Learning how to use different notetaking methods, such as the Cornell method, gave me a clearer approach to both lecture notes and research material. Regarding academic writing, I felt both challenged and motivated to improve my writing style, as I realized how much it can impact the clarity and effectiveness of my arguments. </w:t>
      </w:r>
    </w:p>
    <w:p w14:paraId="72C1CF3B" w14:textId="77777777" w:rsidR="000234AB" w:rsidRDefault="00000000">
      <w:pPr>
        <w:pStyle w:val="Heading1"/>
        <w:ind w:left="-5"/>
      </w:pPr>
      <w:bookmarkStart w:id="4" w:name="_Toc4095"/>
      <w:r>
        <w:t xml:space="preserve">Evaluation </w:t>
      </w:r>
      <w:bookmarkEnd w:id="4"/>
    </w:p>
    <w:p w14:paraId="1037F848" w14:textId="77777777" w:rsidR="000234AB" w:rsidRDefault="00000000">
      <w:pPr>
        <w:ind w:left="-5" w:right="55"/>
      </w:pPr>
      <w:r>
        <w:t xml:space="preserve">One of the most significant skills I gained during this module was the ability to find reliable and scholarly sources. In previous assignments, I often relied on general search engines, but now I understand the importance of using academic databases such as JSTOR and Google Scholar. This shift has enabled me to access high-quality resources, which has directly improved the credibility and depth of my work. For example, during a class assignment on academic articles, I successfully used Boolean operators to narrow down my search, allowing me to find relevant articles quickly. </w:t>
      </w:r>
    </w:p>
    <w:p w14:paraId="4E3CA0B9" w14:textId="77777777" w:rsidR="000234AB" w:rsidRDefault="00000000">
      <w:pPr>
        <w:ind w:left="-5" w:right="55"/>
      </w:pPr>
      <w:r>
        <w:t xml:space="preserve">The note-taking skills I developed have also had a positive impact on my studies. In the past, I would often jot down everything the lecturer said without considering the structure or importance of the information. Through the session on active listening and structured note taking, I learned to focus on key points, summarize information, and categorize it in a way that is easier to review later. For instance, in a recent lecture on research methodologies, I used the Cornell method to divide my notes into key concepts, summaries, and questions, which allowed me to revise more effectively </w:t>
      </w:r>
    </w:p>
    <w:p w14:paraId="06EEA663" w14:textId="77777777" w:rsidR="000234AB" w:rsidRDefault="00000000">
      <w:pPr>
        <w:spacing w:after="188"/>
        <w:ind w:left="-5" w:right="55"/>
      </w:pPr>
      <w:r>
        <w:t xml:space="preserve">. In terms of academic writing, the module introduced several tools for improving the clarity and coherence of my writing. One particularly useful concept was the “P-E-E” method (Point, Evidence, Explanation), which helped me structure my paragraphs more effectively. Prior to this module, I struggled with writing cohesive arguments. By using this technique, I was able to build stronger, evidence-based arguments and avoid vague or unsupported claims. </w:t>
      </w:r>
    </w:p>
    <w:p w14:paraId="0C71DAE4" w14:textId="77777777" w:rsidR="000234AB" w:rsidRDefault="00000000">
      <w:pPr>
        <w:pStyle w:val="Heading1"/>
        <w:ind w:left="-5"/>
      </w:pPr>
      <w:bookmarkStart w:id="5" w:name="_Toc4096"/>
      <w:r>
        <w:t xml:space="preserve">Analysis </w:t>
      </w:r>
      <w:bookmarkEnd w:id="5"/>
    </w:p>
    <w:p w14:paraId="06E715C7" w14:textId="77777777" w:rsidR="000234AB" w:rsidRDefault="00000000">
      <w:pPr>
        <w:ind w:left="-5" w:right="55"/>
      </w:pPr>
      <w:r>
        <w:t xml:space="preserve">The learning from this module aligns with existing theories on effective learning and academic writing. According to Zimmerman (2002), self-regulated learning is essential for academic success, as it involves planning, monitoring, and evaluating one's learning strategies. The strategies I learned in this module, such as using note-taking techniques and academic search methods, directly support this idea by promoting active engagement with the material. For instance, when I approach a research task, I now plan my search strategy in advance, making use of keywords and academic databases, rather than passively gathering information. </w:t>
      </w:r>
    </w:p>
    <w:p w14:paraId="6A3B2891" w14:textId="77777777" w:rsidR="000234AB" w:rsidRDefault="00000000">
      <w:pPr>
        <w:spacing w:after="189"/>
        <w:ind w:left="-5" w:right="55"/>
      </w:pPr>
      <w:r>
        <w:t xml:space="preserve">The Gibbs' Reflective Cycle (1988) emphasizes the importance of critical reflection, which has been a significant aspect of my learning process. Reflecting on my writing </w:t>
      </w:r>
      <w:r>
        <w:lastRenderedPageBreak/>
        <w:t xml:space="preserve">and research practices allowed me to recognize areas where I can improve, such as strengthening my argumentation skills and refining my citation practices. As suggested by Kroll (2019), reflection on writing helps students recognize the strengths and weaknesses in their work, enabling them to make more intentional improvements in future assignments. Another important aspect of the module was learning how to manage references using software like Zotero and EndNote. This skill is vital for academic writing, as it not only helps in organizing sources but also ensures proper citation formatting, which is crucial for academic integrity. I had previously underestimated the importance of referencing software, but now I understand its value in streamlining the process of collecting and managing academic sources. </w:t>
      </w:r>
    </w:p>
    <w:p w14:paraId="7A902222" w14:textId="77777777" w:rsidR="000234AB" w:rsidRDefault="00000000">
      <w:pPr>
        <w:pStyle w:val="Heading1"/>
        <w:ind w:left="-5"/>
      </w:pPr>
      <w:bookmarkStart w:id="6" w:name="_Toc4097"/>
      <w:r>
        <w:t xml:space="preserve">Conclusion </w:t>
      </w:r>
      <w:bookmarkEnd w:id="6"/>
    </w:p>
    <w:p w14:paraId="067A5BEE" w14:textId="77777777" w:rsidR="000234AB" w:rsidRDefault="00000000">
      <w:pPr>
        <w:spacing w:after="189"/>
        <w:ind w:left="-5" w:right="55"/>
      </w:pPr>
      <w:r>
        <w:t xml:space="preserve">In conclusion, this module has been instrumental in improving my academic skills. The tools, methods, and strategies I have learned will undoubtedly enhance my future academic work. I now feel more confident in my ability to find reliable sources, take structured notes, and write clear, well-supported academic arguments. I have also gained an understanding of the importance of referencing and citation in academic work, which will help me maintain academic integrity. </w:t>
      </w:r>
    </w:p>
    <w:p w14:paraId="1F256A64" w14:textId="77777777" w:rsidR="000234AB" w:rsidRDefault="00000000">
      <w:pPr>
        <w:pStyle w:val="Heading1"/>
        <w:ind w:left="-5"/>
      </w:pPr>
      <w:bookmarkStart w:id="7" w:name="_Toc4098"/>
      <w:r>
        <w:t xml:space="preserve">Action Plan </w:t>
      </w:r>
      <w:bookmarkEnd w:id="7"/>
    </w:p>
    <w:p w14:paraId="796F4941" w14:textId="77777777" w:rsidR="000234AB" w:rsidRDefault="00000000">
      <w:pPr>
        <w:ind w:left="-5" w:right="55"/>
      </w:pPr>
      <w:r>
        <w:t xml:space="preserve">Moving forward, I plan to implement the following strategies to continue improving my academic skills: </w:t>
      </w:r>
    </w:p>
    <w:p w14:paraId="3D5A3507" w14:textId="77777777" w:rsidR="000234AB" w:rsidRDefault="00000000">
      <w:pPr>
        <w:ind w:left="-5" w:right="55"/>
      </w:pPr>
      <w:r>
        <w:rPr>
          <w:b/>
        </w:rPr>
        <w:t>Information Search</w:t>
      </w:r>
      <w:r>
        <w:t xml:space="preserve">: I will continue using academic databases and practice refining my search queries with Boolean operators to improve the relevance of my sources. </w:t>
      </w:r>
    </w:p>
    <w:p w14:paraId="48B13578" w14:textId="77777777" w:rsidR="000234AB" w:rsidRDefault="00000000">
      <w:pPr>
        <w:ind w:left="-5" w:right="55"/>
      </w:pPr>
      <w:r>
        <w:rPr>
          <w:b/>
        </w:rPr>
        <w:t>Note-Taking</w:t>
      </w:r>
      <w:r>
        <w:t xml:space="preserve">: I will use the Cornell method more consistently during lectures and reading sessions, ensuring that I summarize key points and highlight important concepts for easier revision. </w:t>
      </w:r>
    </w:p>
    <w:p w14:paraId="515D13F6" w14:textId="77777777" w:rsidR="000234AB" w:rsidRDefault="00000000">
      <w:pPr>
        <w:ind w:left="-5" w:right="55"/>
      </w:pPr>
      <w:r>
        <w:rPr>
          <w:b/>
        </w:rPr>
        <w:t>Academic Writing</w:t>
      </w:r>
      <w:r>
        <w:t xml:space="preserve">: I will incorporate the “P-E-E” structure in all my writing assignments to ensure my arguments are clear, evidence-based, and well-explained. Additionally, I will pay closer attention to referencing and use citation management tools to streamline the process. </w:t>
      </w:r>
    </w:p>
    <w:p w14:paraId="7AD39643" w14:textId="77777777" w:rsidR="000234AB" w:rsidRDefault="00000000">
      <w:pPr>
        <w:ind w:left="-5" w:right="55"/>
      </w:pPr>
      <w:r>
        <w:rPr>
          <w:b/>
        </w:rPr>
        <w:t>Reflection</w:t>
      </w:r>
      <w:r>
        <w:t xml:space="preserve">: I will regularly engage in reflective practices to assess my strengths and areas for improvement, ensuring that I continue to grow academically. </w:t>
      </w:r>
    </w:p>
    <w:p w14:paraId="223876A3" w14:textId="77777777" w:rsidR="000234AB" w:rsidRDefault="00000000">
      <w:pPr>
        <w:spacing w:after="194"/>
        <w:ind w:left="-5" w:right="55"/>
      </w:pPr>
      <w:r>
        <w:t xml:space="preserve">By adopting these strategies, I believe I will be able to continue developing as an academic writer and researcher, building on the foundations laid by this module. </w:t>
      </w:r>
    </w:p>
    <w:p w14:paraId="6B2C0D13" w14:textId="77777777" w:rsidR="000234AB" w:rsidRDefault="00000000">
      <w:pPr>
        <w:spacing w:after="0" w:line="259" w:lineRule="auto"/>
        <w:ind w:left="-8" w:right="0" w:firstLine="0"/>
        <w:jc w:val="right"/>
      </w:pPr>
      <w:r>
        <w:rPr>
          <w:rFonts w:ascii="Calibri" w:eastAsia="Calibri" w:hAnsi="Calibri" w:cs="Calibri"/>
          <w:noProof/>
          <w:sz w:val="22"/>
        </w:rPr>
        <mc:AlternateContent>
          <mc:Choice Requires="wpg">
            <w:drawing>
              <wp:inline distT="0" distB="0" distL="0" distR="0" wp14:anchorId="0ADF6608" wp14:editId="3759F38F">
                <wp:extent cx="5741099" cy="10795"/>
                <wp:effectExtent l="0" t="0" r="0" b="0"/>
                <wp:docPr id="3674" name="Group 3674"/>
                <wp:cNvGraphicFramePr/>
                <a:graphic xmlns:a="http://schemas.openxmlformats.org/drawingml/2006/main">
                  <a:graphicData uri="http://schemas.microsoft.com/office/word/2010/wordprocessingGroup">
                    <wpg:wgp>
                      <wpg:cNvGrpSpPr/>
                      <wpg:grpSpPr>
                        <a:xfrm>
                          <a:off x="0" y="0"/>
                          <a:ext cx="5741099" cy="10795"/>
                          <a:chOff x="0" y="0"/>
                          <a:chExt cx="5741099" cy="10795"/>
                        </a:xfrm>
                      </wpg:grpSpPr>
                      <pic:pic xmlns:pic="http://schemas.openxmlformats.org/drawingml/2006/picture">
                        <pic:nvPicPr>
                          <pic:cNvPr id="4011" name="Picture 4011"/>
                          <pic:cNvPicPr/>
                        </pic:nvPicPr>
                        <pic:blipFill>
                          <a:blip r:embed="rId4"/>
                          <a:stretch>
                            <a:fillRect/>
                          </a:stretch>
                        </pic:blipFill>
                        <pic:spPr>
                          <a:xfrm>
                            <a:off x="-3364" y="-3174"/>
                            <a:ext cx="5745481" cy="15240"/>
                          </a:xfrm>
                          <a:prstGeom prst="rect">
                            <a:avLst/>
                          </a:prstGeom>
                        </pic:spPr>
                      </pic:pic>
                    </wpg:wgp>
                  </a:graphicData>
                </a:graphic>
              </wp:inline>
            </w:drawing>
          </mc:Choice>
          <mc:Fallback xmlns:a="http://schemas.openxmlformats.org/drawingml/2006/main">
            <w:pict>
              <v:group id="Group 3674" style="width:452.055pt;height:0.850037pt;mso-position-horizontal-relative:char;mso-position-vertical-relative:line" coordsize="57410,107">
                <v:shape id="Picture 4011" style="position:absolute;width:57454;height:152;left:-33;top:-31;" filled="f">
                  <v:imagedata r:id="rId5"/>
                </v:shape>
              </v:group>
            </w:pict>
          </mc:Fallback>
        </mc:AlternateContent>
      </w:r>
      <w:r>
        <w:t xml:space="preserve"> </w:t>
      </w:r>
    </w:p>
    <w:p w14:paraId="13FE8525" w14:textId="77777777" w:rsidR="000234AB" w:rsidRDefault="00000000">
      <w:pPr>
        <w:pStyle w:val="Heading1"/>
        <w:spacing w:after="144"/>
        <w:ind w:left="-5"/>
      </w:pPr>
      <w:bookmarkStart w:id="8" w:name="_Toc4099"/>
      <w:r>
        <w:lastRenderedPageBreak/>
        <w:t xml:space="preserve">References </w:t>
      </w:r>
      <w:bookmarkEnd w:id="8"/>
    </w:p>
    <w:p w14:paraId="26469E01" w14:textId="77777777" w:rsidR="000234AB" w:rsidRDefault="00000000">
      <w:pPr>
        <w:spacing w:after="165" w:line="314" w:lineRule="auto"/>
        <w:ind w:left="-5" w:right="0"/>
        <w:jc w:val="left"/>
      </w:pPr>
      <w:r>
        <w:t xml:space="preserve">Gibbs, G. (1988). </w:t>
      </w:r>
      <w:r>
        <w:rPr>
          <w:i/>
        </w:rPr>
        <w:t>Learning by doing: A guide to teaching and learning methods</w:t>
      </w:r>
      <w:r>
        <w:t xml:space="preserve">. Oxford: Oxford Brookes University. </w:t>
      </w:r>
    </w:p>
    <w:p w14:paraId="7E2863BA" w14:textId="77777777" w:rsidR="000234AB" w:rsidRDefault="00000000">
      <w:pPr>
        <w:spacing w:after="194"/>
        <w:ind w:left="-5" w:right="55"/>
      </w:pPr>
      <w:r>
        <w:t xml:space="preserve">Kroll, B. M. (2019). </w:t>
      </w:r>
      <w:r>
        <w:rPr>
          <w:i/>
        </w:rPr>
        <w:t>Reflective Writing in Higher Education</w:t>
      </w:r>
      <w:r>
        <w:t xml:space="preserve">. Palgrave Macmillan. </w:t>
      </w:r>
    </w:p>
    <w:p w14:paraId="6E86CED4" w14:textId="77777777" w:rsidR="000234AB" w:rsidRDefault="00000000">
      <w:pPr>
        <w:spacing w:after="186"/>
        <w:ind w:left="-5" w:right="55"/>
      </w:pPr>
      <w:r>
        <w:t xml:space="preserve">Zimmerman, B. J. (2002). "Becoming a self-regulated learner: An overview." </w:t>
      </w:r>
      <w:r>
        <w:rPr>
          <w:i/>
        </w:rPr>
        <w:t>Theory into Practice, 41</w:t>
      </w:r>
      <w:r>
        <w:t xml:space="preserve">(2), 64-70. </w:t>
      </w:r>
    </w:p>
    <w:p w14:paraId="44B98963" w14:textId="77777777" w:rsidR="000234AB" w:rsidRDefault="00000000">
      <w:pPr>
        <w:spacing w:after="135" w:line="314" w:lineRule="auto"/>
        <w:ind w:left="-5" w:right="0"/>
        <w:jc w:val="left"/>
      </w:pPr>
      <w:r>
        <w:t xml:space="preserve">Hart, C. (2018). </w:t>
      </w:r>
      <w:r>
        <w:rPr>
          <w:i/>
        </w:rPr>
        <w:t>Doing a Literature Review: Releasing the Research Imagination</w:t>
      </w:r>
      <w:r>
        <w:t xml:space="preserve">. Sage Publications. </w:t>
      </w:r>
    </w:p>
    <w:p w14:paraId="1CD863DF" w14:textId="77777777" w:rsidR="000234AB" w:rsidRDefault="00000000">
      <w:pPr>
        <w:spacing w:after="185"/>
        <w:ind w:left="-5" w:right="55"/>
      </w:pPr>
      <w:r>
        <w:t xml:space="preserve">University </w:t>
      </w:r>
      <w:r>
        <w:tab/>
        <w:t xml:space="preserve">of </w:t>
      </w:r>
      <w:r>
        <w:tab/>
        <w:t xml:space="preserve">Leicester. </w:t>
      </w:r>
      <w:r>
        <w:tab/>
        <w:t xml:space="preserve">(2024). </w:t>
      </w:r>
      <w:r>
        <w:tab/>
        <w:t xml:space="preserve">"Academic </w:t>
      </w:r>
      <w:r>
        <w:tab/>
        <w:t xml:space="preserve">writing." </w:t>
      </w:r>
      <w:r>
        <w:tab/>
        <w:t xml:space="preserve">Retrieved from https://www.le.ac.uk/ </w:t>
      </w:r>
    </w:p>
    <w:p w14:paraId="347C31BD" w14:textId="77777777" w:rsidR="000234AB" w:rsidRDefault="00000000">
      <w:pPr>
        <w:spacing w:after="165" w:line="314" w:lineRule="auto"/>
        <w:ind w:left="-5" w:right="0"/>
        <w:jc w:val="left"/>
      </w:pPr>
      <w:r>
        <w:t xml:space="preserve">O’Meara, K. (2023). </w:t>
      </w:r>
      <w:r>
        <w:rPr>
          <w:i/>
        </w:rPr>
        <w:t>Academic Reading and Writing: A Practical Guide</w:t>
      </w:r>
      <w:r>
        <w:t xml:space="preserve">. Routledge. </w:t>
      </w:r>
    </w:p>
    <w:p w14:paraId="1B8CDD54" w14:textId="77777777" w:rsidR="000234AB" w:rsidRDefault="00000000">
      <w:pPr>
        <w:ind w:left="-5" w:right="55"/>
      </w:pPr>
      <w:r>
        <w:t xml:space="preserve">Cronin, P., Ryan, F., &amp; Coughlan, M. (2020). </w:t>
      </w:r>
      <w:r>
        <w:rPr>
          <w:i/>
        </w:rPr>
        <w:t>Understanding Research: A Guide for Beginners</w:t>
      </w:r>
      <w:r>
        <w:t xml:space="preserve">. Sage Publications. </w:t>
      </w:r>
    </w:p>
    <w:p w14:paraId="0613A5CD" w14:textId="77777777" w:rsidR="000234AB" w:rsidRDefault="00000000">
      <w:pPr>
        <w:spacing w:after="182" w:line="259" w:lineRule="auto"/>
        <w:ind w:left="0" w:right="0" w:firstLine="0"/>
        <w:jc w:val="left"/>
      </w:pPr>
      <w:r>
        <w:t xml:space="preserve"> </w:t>
      </w:r>
    </w:p>
    <w:p w14:paraId="3ACC6B7C" w14:textId="77777777" w:rsidR="000234AB" w:rsidRDefault="00000000">
      <w:pPr>
        <w:spacing w:after="182" w:line="259" w:lineRule="auto"/>
        <w:ind w:left="0" w:right="0" w:firstLine="0"/>
        <w:jc w:val="left"/>
      </w:pPr>
      <w:r>
        <w:t xml:space="preserve"> </w:t>
      </w:r>
    </w:p>
    <w:p w14:paraId="4F444EDC" w14:textId="77777777" w:rsidR="000234AB" w:rsidRDefault="00000000">
      <w:pPr>
        <w:spacing w:after="182" w:line="259" w:lineRule="auto"/>
        <w:ind w:left="0" w:right="0" w:firstLine="0"/>
        <w:jc w:val="left"/>
      </w:pPr>
      <w:r>
        <w:t xml:space="preserve"> </w:t>
      </w:r>
    </w:p>
    <w:p w14:paraId="0A922D76" w14:textId="77777777" w:rsidR="000234AB" w:rsidRDefault="00000000">
      <w:pPr>
        <w:spacing w:after="182" w:line="259" w:lineRule="auto"/>
        <w:ind w:left="0" w:right="0" w:firstLine="0"/>
        <w:jc w:val="left"/>
      </w:pPr>
      <w:r>
        <w:t xml:space="preserve"> </w:t>
      </w:r>
    </w:p>
    <w:p w14:paraId="24E6ABAF" w14:textId="77777777" w:rsidR="000234AB" w:rsidRDefault="00000000">
      <w:pPr>
        <w:spacing w:after="184" w:line="259" w:lineRule="auto"/>
        <w:ind w:left="0" w:right="0" w:firstLine="0"/>
        <w:jc w:val="left"/>
      </w:pPr>
      <w:r>
        <w:rPr>
          <w:rFonts w:ascii="Calibri" w:eastAsia="Calibri" w:hAnsi="Calibri" w:cs="Calibri"/>
        </w:rPr>
        <w:t xml:space="preserve"> </w:t>
      </w:r>
    </w:p>
    <w:p w14:paraId="40552BAC" w14:textId="77777777" w:rsidR="000234AB" w:rsidRDefault="00000000">
      <w:pPr>
        <w:spacing w:after="184" w:line="259" w:lineRule="auto"/>
        <w:ind w:left="0" w:right="0" w:firstLine="0"/>
        <w:jc w:val="left"/>
      </w:pPr>
      <w:r>
        <w:rPr>
          <w:rFonts w:ascii="Calibri" w:eastAsia="Calibri" w:hAnsi="Calibri" w:cs="Calibri"/>
        </w:rPr>
        <w:t xml:space="preserve"> </w:t>
      </w:r>
    </w:p>
    <w:p w14:paraId="1E7929D2" w14:textId="77777777" w:rsidR="000234AB" w:rsidRDefault="00000000">
      <w:pPr>
        <w:spacing w:after="184" w:line="259" w:lineRule="auto"/>
        <w:ind w:left="0" w:right="0" w:firstLine="0"/>
        <w:jc w:val="left"/>
      </w:pPr>
      <w:r>
        <w:rPr>
          <w:rFonts w:ascii="Calibri" w:eastAsia="Calibri" w:hAnsi="Calibri" w:cs="Calibri"/>
        </w:rPr>
        <w:t xml:space="preserve"> </w:t>
      </w:r>
    </w:p>
    <w:p w14:paraId="294629F1" w14:textId="77777777" w:rsidR="000234AB" w:rsidRDefault="00000000">
      <w:pPr>
        <w:spacing w:after="179" w:line="259" w:lineRule="auto"/>
        <w:ind w:left="0" w:right="0" w:firstLine="0"/>
        <w:jc w:val="left"/>
      </w:pPr>
      <w:r>
        <w:rPr>
          <w:rFonts w:ascii="Calibri" w:eastAsia="Calibri" w:hAnsi="Calibri" w:cs="Calibri"/>
        </w:rPr>
        <w:t xml:space="preserve"> </w:t>
      </w:r>
    </w:p>
    <w:p w14:paraId="03C3D56D" w14:textId="77777777" w:rsidR="000234AB" w:rsidRDefault="00000000">
      <w:pPr>
        <w:spacing w:after="0" w:line="259" w:lineRule="auto"/>
        <w:ind w:left="0" w:right="0" w:firstLine="0"/>
        <w:jc w:val="left"/>
      </w:pPr>
      <w:r>
        <w:rPr>
          <w:rFonts w:ascii="Calibri" w:eastAsia="Calibri" w:hAnsi="Calibri" w:cs="Calibri"/>
        </w:rPr>
        <w:t xml:space="preserve"> </w:t>
      </w:r>
    </w:p>
    <w:sectPr w:rsidR="000234AB">
      <w:pgSz w:w="11905" w:h="16840"/>
      <w:pgMar w:top="1440" w:right="1369" w:bottom="177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4AB"/>
    <w:rsid w:val="000234AB"/>
    <w:rsid w:val="005C382F"/>
    <w:rsid w:val="006A66F5"/>
  </w:rsids>
  <m:mathPr>
    <m:mathFont m:val="Cambria Math"/>
    <m:brkBin m:val="before"/>
    <m:brkBinSub m:val="--"/>
    <m:smallFrac m:val="0"/>
    <m:dispDef/>
    <m:lMargin m:val="0"/>
    <m:rMargin m:val="0"/>
    <m:defJc m:val="centerGroup"/>
    <m:wrapIndent m:val="1440"/>
    <m:intLim m:val="subSup"/>
    <m:naryLim m:val="undOvr"/>
  </m:mathPr>
  <w:themeFontLang w:val="en-V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A1F49"/>
  <w15:docId w15:val="{CBFCE64C-3C2F-4CD1-9E9F-4C3742E61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VG" w:eastAsia="en-V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46" w:line="289" w:lineRule="auto"/>
      <w:ind w:left="10" w:right="63" w:hanging="10"/>
      <w:jc w:val="both"/>
    </w:pPr>
    <w:rPr>
      <w:rFonts w:ascii="Arial" w:eastAsia="Arial" w:hAnsi="Arial" w:cs="Arial"/>
      <w:color w:val="000000"/>
    </w:rPr>
  </w:style>
  <w:style w:type="paragraph" w:styleId="Heading1">
    <w:name w:val="heading 1"/>
    <w:next w:val="Normal"/>
    <w:link w:val="Heading1Char"/>
    <w:uiPriority w:val="9"/>
    <w:qFormat/>
    <w:pPr>
      <w:keepNext/>
      <w:keepLines/>
      <w:spacing w:after="102" w:line="259" w:lineRule="auto"/>
      <w:ind w:left="10" w:hanging="10"/>
      <w:outlineLvl w:val="0"/>
    </w:pPr>
    <w:rPr>
      <w:rFonts w:ascii="Arial" w:eastAsia="Arial" w:hAnsi="Arial" w:cs="Arial"/>
      <w:color w:val="0F47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color w:val="0F4761"/>
      <w:sz w:val="24"/>
    </w:rPr>
  </w:style>
  <w:style w:type="paragraph" w:styleId="TOC1">
    <w:name w:val="toc 1"/>
    <w:hidden/>
    <w:pPr>
      <w:spacing w:after="121" w:line="259" w:lineRule="auto"/>
      <w:ind w:left="265" w:right="78" w:hanging="10"/>
    </w:pPr>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0.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1437</Words>
  <Characters>8192</Characters>
  <Application>Microsoft Office Word</Application>
  <DocSecurity>0</DocSecurity>
  <Lines>68</Lines>
  <Paragraphs>19</Paragraphs>
  <ScaleCrop>false</ScaleCrop>
  <Company/>
  <LinksUpToDate>false</LinksUpToDate>
  <CharactersWithSpaces>9610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Ana Puiu (2232323)</dc:creator>
  <cp:keywords/>
  <cp:lastModifiedBy>Gheorghe Sterea (2416523)</cp:lastModifiedBy>
  <cp:revision>3</cp:revision>
  <dcterms:created xsi:type="dcterms:W3CDTF">2024-12-10T12:54:00Z</dcterms:created>
  <dcterms:modified xsi:type="dcterms:W3CDTF">2024-12-10T12:54:00Z</dcterms:modified>
</cp:coreProperties>
</file>