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26170F" w14:textId="77777777" w:rsidR="00AD0653" w:rsidRDefault="00000000">
      <w:pPr>
        <w:spacing w:before="2000" w:after="240"/>
        <w:jc w:val="center"/>
      </w:pPr>
      <w:r>
        <w:rPr>
          <w:b/>
          <w:bCs/>
          <w:sz w:val="36"/>
          <w:szCs w:val="36"/>
        </w:rPr>
        <w:t>GROUP 4</w:t>
      </w:r>
    </w:p>
    <w:p w14:paraId="644F6F57" w14:textId="77777777" w:rsidR="00AD0653" w:rsidRDefault="00000000">
      <w:pPr>
        <w:spacing w:after="240"/>
        <w:jc w:val="center"/>
      </w:pPr>
      <w:r>
        <w:rPr>
          <w:b/>
          <w:bCs/>
          <w:color w:val="2E75B6"/>
          <w:sz w:val="72"/>
          <w:szCs w:val="72"/>
        </w:rPr>
        <w:t>ArtBridge</w:t>
      </w:r>
    </w:p>
    <w:p w14:paraId="566F5517" w14:textId="77777777" w:rsidR="00AD0653" w:rsidRDefault="00000000">
      <w:pPr>
        <w:spacing w:after="480"/>
        <w:jc w:val="center"/>
      </w:pPr>
      <w:r>
        <w:rPr>
          <w:i/>
          <w:iCs/>
          <w:sz w:val="28"/>
          <w:szCs w:val="28"/>
        </w:rPr>
        <w:t>A Social Enterprise Gallery for Youth Inclusion</w:t>
      </w:r>
    </w:p>
    <w:p w14:paraId="08203032" w14:textId="77777777" w:rsidR="00AD0653" w:rsidRDefault="00000000">
      <w:pPr>
        <w:spacing w:after="240"/>
        <w:jc w:val="center"/>
      </w:pPr>
      <w:r>
        <w:rPr>
          <w:b/>
          <w:bCs/>
          <w:sz w:val="32"/>
          <w:szCs w:val="32"/>
        </w:rPr>
        <w:t>Reflective Blogs</w:t>
      </w:r>
    </w:p>
    <w:p w14:paraId="55E5A3A9" w14:textId="77777777" w:rsidR="00AD0653" w:rsidRDefault="00000000">
      <w:pPr>
        <w:spacing w:after="240"/>
        <w:jc w:val="center"/>
      </w:pPr>
      <w:r>
        <w:rPr>
          <w:sz w:val="28"/>
          <w:szCs w:val="28"/>
        </w:rPr>
        <w:t>Cristian Dinicuta</w:t>
      </w:r>
    </w:p>
    <w:p w14:paraId="65C47EC2" w14:textId="77777777" w:rsidR="00AD0653" w:rsidRDefault="00000000">
      <w:r>
        <w:br w:type="page"/>
      </w:r>
    </w:p>
    <w:p w14:paraId="3E3FB5B0" w14:textId="77777777" w:rsidR="00AD0653" w:rsidRDefault="00000000">
      <w:pPr>
        <w:spacing w:before="120" w:after="200"/>
      </w:pPr>
      <w:r>
        <w:rPr>
          <w:b/>
          <w:bCs/>
          <w:color w:val="2E75B6"/>
          <w:sz w:val="28"/>
          <w:szCs w:val="28"/>
        </w:rPr>
        <w:lastRenderedPageBreak/>
        <w:t>Blog 1 – Project Introduction and Team Role</w:t>
      </w:r>
    </w:p>
    <w:p w14:paraId="2D29F948" w14:textId="1E3D7043" w:rsidR="00AD0653" w:rsidRDefault="00000000">
      <w:pPr>
        <w:spacing w:after="160" w:line="276" w:lineRule="auto"/>
        <w:jc w:val="both"/>
      </w:pPr>
      <w:r>
        <w:t>Week 1 was mostly about turning a room of near-strangers into a group with a plan. We settle</w:t>
      </w:r>
      <w:r w:rsidR="00E445F9">
        <w:t>d</w:t>
      </w:r>
      <w:r>
        <w:t xml:space="preserve"> fairly quickly on ArtBridge: A Social Enterprise Gallery for Youth Inclusion – a gallery supporting disadvantaged young people and local creatives through workshops, exhibitions and mentoring – and then, almost as an afterthought, picked a team leader. Looking back, that choice is the thing I’d question most. We went with whoever seemed most confident and available on the day rather than thinking hard about who could actually carry the role, and that came back to bite us later.</w:t>
      </w:r>
    </w:p>
    <w:p w14:paraId="3E4CF88D" w14:textId="77777777" w:rsidR="00AD0653" w:rsidRDefault="00000000">
      <w:pPr>
        <w:spacing w:after="160" w:line="276" w:lineRule="auto"/>
        <w:jc w:val="both"/>
      </w:pPr>
      <w:r>
        <w:t>For my own part, I gravitated towards the organising and pulling-things-together end of the work: tracking what needed doing, keeping versions straight, chasing the detail. Clegg, Skyttermoen and Vaagaasar (2021) frame a project as something that only justifies itself if it creates real value, and that stuck with me – it’s easy to get busy and lose sight of whether the work is actually worth anything to the young people we are aiming at. Week 1 gave us momentum, but with hindsight we mistook moving fast for having a solid foundation. The structure underneath us was thinner than it looked, which the next few weeks would expose.</w:t>
      </w:r>
    </w:p>
    <w:p w14:paraId="29E8184F" w14:textId="77777777" w:rsidR="00AD0653" w:rsidRDefault="00000000">
      <w:pPr>
        <w:spacing w:before="80" w:after="80"/>
      </w:pPr>
      <w:r>
        <w:rPr>
          <w:b/>
          <w:bCs/>
        </w:rPr>
        <w:t>Reference</w:t>
      </w:r>
    </w:p>
    <w:p w14:paraId="47F9556E" w14:textId="77777777" w:rsidR="00AD0653" w:rsidRDefault="00000000">
      <w:pPr>
        <w:spacing w:after="200" w:line="276" w:lineRule="auto"/>
        <w:ind w:left="720" w:hanging="720"/>
      </w:pPr>
      <w:r>
        <w:t xml:space="preserve">Clegg, S.R., Skyttermoen, T. and Vaagaasar, A.L. (2021) </w:t>
      </w:r>
      <w:r>
        <w:rPr>
          <w:i/>
          <w:iCs/>
        </w:rPr>
        <w:t>Project Management: A Value Creation Approach.</w:t>
      </w:r>
      <w:r>
        <w:t xml:space="preserve"> Thousand Oaks, CA: SAGE.</w:t>
      </w:r>
    </w:p>
    <w:p w14:paraId="434F48C8" w14:textId="77777777" w:rsidR="00AD0653" w:rsidRDefault="00AD0653">
      <w:pPr>
        <w:spacing w:after="120"/>
      </w:pPr>
    </w:p>
    <w:p w14:paraId="53A8091B" w14:textId="77777777" w:rsidR="00AD0653" w:rsidRDefault="00000000">
      <w:pPr>
        <w:spacing w:before="120" w:after="200"/>
      </w:pPr>
      <w:r>
        <w:rPr>
          <w:b/>
          <w:bCs/>
          <w:color w:val="2E75B6"/>
          <w:sz w:val="28"/>
          <w:szCs w:val="28"/>
        </w:rPr>
        <w:t>Blog 2 – Project Initiation, Scope, Aims and Objectives</w:t>
      </w:r>
    </w:p>
    <w:p w14:paraId="70723296" w14:textId="77777777" w:rsidR="00AD0653" w:rsidRDefault="00000000">
      <w:pPr>
        <w:spacing w:after="160" w:line="276" w:lineRule="auto"/>
        <w:jc w:val="both"/>
      </w:pPr>
      <w:r>
        <w:t>Week 2 was where ArtBridge stopped being a nice idea and started needing edges. The focus was initiation – turning the concept into an aim, objectives and a defined scope. We agreed our aim was a financially sustainable community gallery for disadvantaged young people and emerging creatives, then broke that into objectives around opportunities, partnerships and longer-term funding. Heagney (2022) is blunt that vague objectives are where projects quietly fail, and writing ours down made me realise how loose our first attempts had actually been.</w:t>
      </w:r>
    </w:p>
    <w:p w14:paraId="680BA644" w14:textId="77777777" w:rsidR="00AD0653" w:rsidRDefault="00000000">
      <w:pPr>
        <w:spacing w:after="160" w:line="276" w:lineRule="auto"/>
        <w:jc w:val="both"/>
      </w:pPr>
      <w:r>
        <w:t>Scope was the harder conversation, and honestly the one we rushed. It is far too easy to keep adding ‘we could also…’ until the project is impossible, and I don’t think we drew our boundaries tightly enough at this stage. The Iron Triangle of time, cost and quality was useful for a reality check, but I’m sceptical it tells you much on its own – for a social project, ‘quality’ means whether young people actually benefit, which no schedule captures. What I take from Week 2 is that initiation is less about ambition and more about discipline, and we were far better at the ambition. The gap between what we said and what we’d realistically resourced was already starting to show.</w:t>
      </w:r>
    </w:p>
    <w:p w14:paraId="21F66F9F" w14:textId="77777777" w:rsidR="00AD0653" w:rsidRDefault="00000000">
      <w:pPr>
        <w:spacing w:before="80" w:after="80"/>
      </w:pPr>
      <w:r>
        <w:rPr>
          <w:b/>
          <w:bCs/>
        </w:rPr>
        <w:lastRenderedPageBreak/>
        <w:t>Reference</w:t>
      </w:r>
    </w:p>
    <w:p w14:paraId="0624F657" w14:textId="77777777" w:rsidR="00AD0653" w:rsidRDefault="00000000">
      <w:pPr>
        <w:spacing w:after="200" w:line="276" w:lineRule="auto"/>
        <w:ind w:left="720" w:hanging="720"/>
      </w:pPr>
      <w:r>
        <w:t xml:space="preserve">Heagney, J. (2022) </w:t>
      </w:r>
      <w:r>
        <w:rPr>
          <w:i/>
          <w:iCs/>
        </w:rPr>
        <w:t>Fundamentals of Project Management.</w:t>
      </w:r>
      <w:r>
        <w:t xml:space="preserve"> 6th edn. Nashville, TN: HarperCollins Leadership.</w:t>
      </w:r>
    </w:p>
    <w:p w14:paraId="530B1755" w14:textId="77777777" w:rsidR="00AD0653" w:rsidRDefault="00AD0653">
      <w:pPr>
        <w:spacing w:after="120"/>
      </w:pPr>
    </w:p>
    <w:p w14:paraId="6B8B0CC4" w14:textId="77777777" w:rsidR="00AD0653" w:rsidRDefault="00000000">
      <w:pPr>
        <w:spacing w:before="120" w:after="200"/>
      </w:pPr>
      <w:r>
        <w:rPr>
          <w:b/>
          <w:bCs/>
          <w:color w:val="2E75B6"/>
          <w:sz w:val="28"/>
          <w:szCs w:val="28"/>
        </w:rPr>
        <w:t>Blog 3 – Stakeholder Analysis and Communication</w:t>
      </w:r>
    </w:p>
    <w:p w14:paraId="5075A2D4" w14:textId="77777777" w:rsidR="00AD0653" w:rsidRDefault="00000000">
      <w:pPr>
        <w:spacing w:after="160" w:line="276" w:lineRule="auto"/>
        <w:jc w:val="both"/>
      </w:pPr>
      <w:r>
        <w:t>Week 3 was about stakeholders and communication, and it landed at exactly the moment our own communication wobbled. Our original team leader stepped down from the role and, for a stretch, was hard to reach, so the rest of us had to keep the project moving while another member took over coordinating the group. So while the seminar talked about managing external stakeholders, the sharpest lesson came from inside our own team.</w:t>
      </w:r>
    </w:p>
    <w:p w14:paraId="4BF480F2" w14:textId="77777777" w:rsidR="00AD0653" w:rsidRDefault="00000000">
      <w:pPr>
        <w:spacing w:after="160" w:line="276" w:lineRule="auto"/>
        <w:jc w:val="both"/>
      </w:pPr>
      <w:r>
        <w:t>We did the proper exercise too: mapping young people, creatives, schools, funders and community partners by their influence and interest, and Reiss (2007) makes the sensible point that communication has to be matched to each audience rather than treated as one broadcast. Fair enough. But what struck me was how badly we’d applied that thinking to ourselves. We had no plan for what happened if a key person stepped away, no shared record of decisions, nothing. One person leaving the role shouldn’t nearly stall a project, yet it almost did. I leaned harder into my own area – stakeholders and communication – and filled gaps where I could, partly because I’d been tracking the detail anyway. The week taught me that stakeholder management isn’t only outward-facing – the most damaging communication gap can be the one sitting inside your own team.</w:t>
      </w:r>
    </w:p>
    <w:p w14:paraId="7E03AD43" w14:textId="77777777" w:rsidR="00AD0653" w:rsidRDefault="00000000">
      <w:pPr>
        <w:spacing w:before="80" w:after="80"/>
      </w:pPr>
      <w:r>
        <w:rPr>
          <w:b/>
          <w:bCs/>
        </w:rPr>
        <w:t>Reference</w:t>
      </w:r>
    </w:p>
    <w:p w14:paraId="6E1ACC03" w14:textId="77777777" w:rsidR="00AD0653" w:rsidRDefault="00000000">
      <w:pPr>
        <w:spacing w:after="200" w:line="276" w:lineRule="auto"/>
        <w:ind w:left="720" w:hanging="720"/>
      </w:pPr>
      <w:r>
        <w:t xml:space="preserve">Reiss, G. (2007) </w:t>
      </w:r>
      <w:r>
        <w:rPr>
          <w:i/>
          <w:iCs/>
        </w:rPr>
        <w:t>Project Management Demystified.</w:t>
      </w:r>
      <w:r>
        <w:t xml:space="preserve"> 3rd edn. London: Taylor &amp; Francis.</w:t>
      </w:r>
    </w:p>
    <w:p w14:paraId="151185DB" w14:textId="77777777" w:rsidR="00AD0653" w:rsidRDefault="00AD0653">
      <w:pPr>
        <w:spacing w:after="120"/>
      </w:pPr>
    </w:p>
    <w:p w14:paraId="5C48D249" w14:textId="77777777" w:rsidR="00AD0653" w:rsidRDefault="00000000">
      <w:pPr>
        <w:spacing w:before="120" w:after="200"/>
      </w:pPr>
      <w:r>
        <w:rPr>
          <w:b/>
          <w:bCs/>
          <w:color w:val="2E75B6"/>
          <w:sz w:val="28"/>
          <w:szCs w:val="28"/>
        </w:rPr>
        <w:t>Blog 4 – Work Breakdown Structure and Gantt Chart</w:t>
      </w:r>
    </w:p>
    <w:p w14:paraId="70B82F68" w14:textId="77777777" w:rsidR="00AD0653" w:rsidRDefault="00000000">
      <w:pPr>
        <w:spacing w:after="160" w:line="276" w:lineRule="auto"/>
        <w:jc w:val="both"/>
      </w:pPr>
      <w:r>
        <w:t>Week 4 introduced the Work Breakdown Structure and the Gantt chart, and they arrived just as we needed them – we were effectively replanning with one fewer presenter. Breaking ArtBridge into planning, partnerships, funding, marketing and the presentation itself made the work visible, and visible work is far easier to share out fairly. Kidston and Holmes (2015) treat planning as continuous control rather than a one-off document, and that matched our messy reality much better than a neat chart drawn once and then forgotten.</w:t>
      </w:r>
    </w:p>
    <w:p w14:paraId="64FF9068" w14:textId="77777777" w:rsidR="00AD0653" w:rsidRDefault="00000000">
      <w:pPr>
        <w:spacing w:after="160" w:line="276" w:lineRule="auto"/>
        <w:jc w:val="both"/>
      </w:pPr>
      <w:r>
        <w:t xml:space="preserve">The Gantt chart was useful for sequencing, but I’m wary of how confident it looks. Ours rested on estimates that were really guesses, especially for partnerships that depend on other people replying on their own timetable. With the team reshuffled, the schedule also quietly assumed the rest of us would simply absorb the redistributed work, which isn’t a plan so much as hope. </w:t>
      </w:r>
      <w:r>
        <w:lastRenderedPageBreak/>
        <w:t>We also had to settle whether the final presentation would run with five or six speakers, and that single decision rippled straight back into the chart. If I’m honest, the WBS did more for us than the Gantt: knowing exactly what the work was mattered more than pretending we knew precisely when it would happen.</w:t>
      </w:r>
    </w:p>
    <w:p w14:paraId="3B53C7B7" w14:textId="77777777" w:rsidR="00AD0653" w:rsidRDefault="00000000">
      <w:pPr>
        <w:spacing w:before="80" w:after="80"/>
      </w:pPr>
      <w:r>
        <w:rPr>
          <w:b/>
          <w:bCs/>
        </w:rPr>
        <w:t>Reference</w:t>
      </w:r>
    </w:p>
    <w:p w14:paraId="18217A78" w14:textId="77777777" w:rsidR="00AD0653" w:rsidRDefault="00000000">
      <w:pPr>
        <w:spacing w:after="200" w:line="276" w:lineRule="auto"/>
        <w:ind w:left="720" w:hanging="720"/>
      </w:pPr>
      <w:r>
        <w:t xml:space="preserve">Kidston, P. and Holmes, G. (2015) </w:t>
      </w:r>
      <w:r>
        <w:rPr>
          <w:i/>
          <w:iCs/>
        </w:rPr>
        <w:t>Planning, Scheduling, Monitoring and Control: The Practical Project Management of Time, Cost and Risk.</w:t>
      </w:r>
      <w:r>
        <w:t xml:space="preserve"> Princes Risborough: Association for Project Management.</w:t>
      </w:r>
    </w:p>
    <w:p w14:paraId="57640FE7" w14:textId="77777777" w:rsidR="00AD0653" w:rsidRDefault="00AD0653">
      <w:pPr>
        <w:spacing w:after="120"/>
      </w:pPr>
    </w:p>
    <w:p w14:paraId="34C3079B" w14:textId="77777777" w:rsidR="00AD0653" w:rsidRDefault="00000000">
      <w:pPr>
        <w:spacing w:before="120" w:after="200"/>
      </w:pPr>
      <w:r>
        <w:rPr>
          <w:b/>
          <w:bCs/>
          <w:color w:val="2E75B6"/>
          <w:sz w:val="28"/>
          <w:szCs w:val="28"/>
        </w:rPr>
        <w:t>Blog 5 – Reflection and Self-Development</w:t>
      </w:r>
    </w:p>
    <w:p w14:paraId="3907945C" w14:textId="77777777" w:rsidR="00AD0653" w:rsidRDefault="00000000">
      <w:pPr>
        <w:spacing w:after="160" w:line="276" w:lineRule="auto"/>
        <w:jc w:val="both"/>
      </w:pPr>
      <w:r>
        <w:t>Week 5 forced me to look at how I had actually behaved, not just at what we produced. Using Kolb’s (1984) idea that you only learn from an experience if you stop and make sense of it, I tried to be honest rather than flattering. The defining experience was our team leader stepping down. My instinct was to overstep my own remit – tracking everything, redoing work I didn’t fully trust and pushing on deliverables that weren’t really mine. It helped keep the project on track, and I’m not sorry it did. But it was also a weakness.</w:t>
      </w:r>
    </w:p>
    <w:p w14:paraId="72D35919" w14:textId="77777777" w:rsidR="00AD0653" w:rsidRDefault="00000000">
      <w:pPr>
        <w:spacing w:after="160" w:line="276" w:lineRule="auto"/>
        <w:jc w:val="both"/>
      </w:pPr>
      <w:r>
        <w:t>By taking so much on, I let others step back, and I was sharper with people than I should have been when things slipped. I also left it too long before we accepted he wouldn’t present with us and reorganised around five speakers, still assuming he’d return. The deeper lesson: doing more than your share isn’t the same as helping; quietly carrying everything just turns one person into a single point of failure. My development plan is concrete: stay within my role unless the group decides otherwise, raise problems early instead of absorbing them, and watch my tone under pressure. It proved I can step up – but that I shouldn’t have to alone.</w:t>
      </w:r>
    </w:p>
    <w:p w14:paraId="310DFF75" w14:textId="77777777" w:rsidR="00AD0653" w:rsidRDefault="00000000">
      <w:pPr>
        <w:spacing w:before="80" w:after="80"/>
      </w:pPr>
      <w:r>
        <w:rPr>
          <w:b/>
          <w:bCs/>
        </w:rPr>
        <w:t>Reference</w:t>
      </w:r>
    </w:p>
    <w:p w14:paraId="010DEA39" w14:textId="77777777" w:rsidR="00AD0653" w:rsidRDefault="00000000">
      <w:pPr>
        <w:spacing w:after="200" w:line="276" w:lineRule="auto"/>
        <w:ind w:left="720" w:hanging="720"/>
      </w:pPr>
      <w:r>
        <w:t xml:space="preserve">Kolb, D.A. (1984) </w:t>
      </w:r>
      <w:r>
        <w:rPr>
          <w:i/>
          <w:iCs/>
        </w:rPr>
        <w:t>Experiential Learning: Experience as the Source of Learning and Development.</w:t>
      </w:r>
      <w:r>
        <w:t xml:space="preserve"> Englewood Cliffs, NJ: Prentice Hall.</w:t>
      </w:r>
    </w:p>
    <w:sectPr w:rsidR="00AD0653">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77664A"/>
    <w:multiLevelType w:val="hybridMultilevel"/>
    <w:tmpl w:val="7BEC71EA"/>
    <w:lvl w:ilvl="0" w:tplc="BC36EA20">
      <w:start w:val="1"/>
      <w:numFmt w:val="bullet"/>
      <w:lvlText w:val="●"/>
      <w:lvlJc w:val="left"/>
      <w:pPr>
        <w:ind w:left="720" w:hanging="360"/>
      </w:pPr>
    </w:lvl>
    <w:lvl w:ilvl="1" w:tplc="8390BB08">
      <w:start w:val="1"/>
      <w:numFmt w:val="bullet"/>
      <w:lvlText w:val="○"/>
      <w:lvlJc w:val="left"/>
      <w:pPr>
        <w:ind w:left="1440" w:hanging="360"/>
      </w:pPr>
    </w:lvl>
    <w:lvl w:ilvl="2" w:tplc="D57EBDBE">
      <w:start w:val="1"/>
      <w:numFmt w:val="bullet"/>
      <w:lvlText w:val="■"/>
      <w:lvlJc w:val="left"/>
      <w:pPr>
        <w:ind w:left="2160" w:hanging="360"/>
      </w:pPr>
    </w:lvl>
    <w:lvl w:ilvl="3" w:tplc="91CCE1E4">
      <w:start w:val="1"/>
      <w:numFmt w:val="bullet"/>
      <w:lvlText w:val="●"/>
      <w:lvlJc w:val="left"/>
      <w:pPr>
        <w:ind w:left="2880" w:hanging="360"/>
      </w:pPr>
    </w:lvl>
    <w:lvl w:ilvl="4" w:tplc="7D7C656E">
      <w:start w:val="1"/>
      <w:numFmt w:val="bullet"/>
      <w:lvlText w:val="○"/>
      <w:lvlJc w:val="left"/>
      <w:pPr>
        <w:ind w:left="3600" w:hanging="360"/>
      </w:pPr>
    </w:lvl>
    <w:lvl w:ilvl="5" w:tplc="AE4663B2">
      <w:start w:val="1"/>
      <w:numFmt w:val="bullet"/>
      <w:lvlText w:val="■"/>
      <w:lvlJc w:val="left"/>
      <w:pPr>
        <w:ind w:left="4320" w:hanging="360"/>
      </w:pPr>
    </w:lvl>
    <w:lvl w:ilvl="6" w:tplc="067ABD2A">
      <w:start w:val="1"/>
      <w:numFmt w:val="bullet"/>
      <w:lvlText w:val="●"/>
      <w:lvlJc w:val="left"/>
      <w:pPr>
        <w:ind w:left="5040" w:hanging="360"/>
      </w:pPr>
    </w:lvl>
    <w:lvl w:ilvl="7" w:tplc="764E0560">
      <w:start w:val="1"/>
      <w:numFmt w:val="bullet"/>
      <w:lvlText w:val="●"/>
      <w:lvlJc w:val="left"/>
      <w:pPr>
        <w:ind w:left="5760" w:hanging="360"/>
      </w:pPr>
    </w:lvl>
    <w:lvl w:ilvl="8" w:tplc="7A94FA3C">
      <w:start w:val="1"/>
      <w:numFmt w:val="bullet"/>
      <w:lvlText w:val="●"/>
      <w:lvlJc w:val="left"/>
      <w:pPr>
        <w:ind w:left="6480" w:hanging="360"/>
      </w:pPr>
    </w:lvl>
  </w:abstractNum>
  <w:num w:numId="1" w16cid:durableId="1675642126">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653"/>
    <w:rsid w:val="00AD0653"/>
    <w:rsid w:val="00E445F9"/>
    <w:rsid w:val="00E83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35C426"/>
  <w15:docId w15:val="{24B51A88-1560-8943-97B7-69C14C973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1067</Words>
  <Characters>6088</Characters>
  <Application>Microsoft Office Word</Application>
  <DocSecurity>0</DocSecurity>
  <Lines>50</Lines>
  <Paragraphs>14</Paragraphs>
  <ScaleCrop>false</ScaleCrop>
  <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Cristian Dinicuta (2323940)</cp:lastModifiedBy>
  <cp:revision>2</cp:revision>
  <dcterms:created xsi:type="dcterms:W3CDTF">2026-06-10T07:35:00Z</dcterms:created>
  <dcterms:modified xsi:type="dcterms:W3CDTF">2026-06-18T17:44:00Z</dcterms:modified>
</cp:coreProperties>
</file>