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66E1F" w14:textId="65F420B6" w:rsidR="3A14796F" w:rsidRDefault="3A14796F" w:rsidP="50EC019F">
      <w:pPr>
        <w:jc w:val="center"/>
        <w:rPr>
          <w:sz w:val="28"/>
          <w:szCs w:val="28"/>
        </w:rPr>
      </w:pPr>
      <w:r w:rsidRPr="50EC019F">
        <w:rPr>
          <w:sz w:val="28"/>
          <w:szCs w:val="28"/>
        </w:rPr>
        <w:t>A CRITICAL EVALUATION OF THE UNCERTAINTIES, TECHNICAL RISKS AND BUSINESS RISKS INHERENT WITH INNOVATION BASED ACTIVITIES RELATING TO ABB’S E-MOBILITY VEHICLE CHARGING TECHNOLOGY</w:t>
      </w:r>
    </w:p>
    <w:p w14:paraId="54551550" w14:textId="6C4D328F" w:rsidR="50EC019F" w:rsidRDefault="50EC019F" w:rsidP="50EC019F">
      <w:pPr>
        <w:rPr>
          <w:sz w:val="20"/>
          <w:szCs w:val="20"/>
        </w:rPr>
      </w:pPr>
    </w:p>
    <w:p w14:paraId="3FBE9DD8" w14:textId="1BCAB1D1" w:rsidR="50EC019F" w:rsidRDefault="50EC019F" w:rsidP="50EC019F">
      <w:pPr>
        <w:jc w:val="center"/>
      </w:pPr>
      <w:r>
        <w:rPr>
          <w:noProof/>
        </w:rPr>
        <w:drawing>
          <wp:inline distT="0" distB="0" distL="0" distR="0" wp14:anchorId="0111E952" wp14:editId="7CAC4001">
            <wp:extent cx="2857500" cy="1095375"/>
            <wp:effectExtent l="0" t="0" r="0" b="0"/>
            <wp:docPr id="1916041748" name="Picture 1916041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57500" cy="1095375"/>
                    </a:xfrm>
                    <a:prstGeom prst="rect">
                      <a:avLst/>
                    </a:prstGeom>
                  </pic:spPr>
                </pic:pic>
              </a:graphicData>
            </a:graphic>
          </wp:inline>
        </w:drawing>
      </w:r>
    </w:p>
    <w:p w14:paraId="2D5EF917" w14:textId="37C022C0" w:rsidR="50EC019F" w:rsidRDefault="50EC019F" w:rsidP="50EC019F">
      <w:pPr>
        <w:jc w:val="center"/>
      </w:pPr>
    </w:p>
    <w:p w14:paraId="4645F4FA" w14:textId="5306B8E4" w:rsidR="50EC019F" w:rsidRDefault="50EC019F" w:rsidP="50EC019F">
      <w:pPr>
        <w:jc w:val="center"/>
      </w:pPr>
    </w:p>
    <w:p w14:paraId="3559BAF2" w14:textId="76E7DD09" w:rsidR="50EC019F" w:rsidRDefault="50EC019F" w:rsidP="50EC019F"/>
    <w:p w14:paraId="76E4848F" w14:textId="119B8164" w:rsidR="50EC019F" w:rsidRDefault="50EC019F" w:rsidP="50EC019F">
      <w:pPr>
        <w:rPr>
          <w:sz w:val="20"/>
          <w:szCs w:val="20"/>
        </w:rPr>
      </w:pPr>
    </w:p>
    <w:p w14:paraId="5CCB53D9" w14:textId="50E4194E" w:rsidR="50EC019F" w:rsidRDefault="50EC019F" w:rsidP="50EC019F">
      <w:pPr>
        <w:rPr>
          <w:sz w:val="20"/>
          <w:szCs w:val="20"/>
        </w:rPr>
      </w:pPr>
    </w:p>
    <w:p w14:paraId="6042BA6A" w14:textId="3886DE73" w:rsidR="50EC019F" w:rsidRDefault="50EC019F">
      <w:r>
        <w:br w:type="page"/>
      </w:r>
    </w:p>
    <w:p w14:paraId="66825CAE" w14:textId="531E73E6" w:rsidR="50EC019F" w:rsidRDefault="50EC019F" w:rsidP="50EC019F">
      <w:pPr>
        <w:jc w:val="center"/>
        <w:rPr>
          <w:sz w:val="20"/>
          <w:szCs w:val="20"/>
        </w:rPr>
      </w:pPr>
    </w:p>
    <w:p w14:paraId="19BD63D7" w14:textId="65F420B6" w:rsidR="4633F1D1" w:rsidRDefault="5AF7231C" w:rsidP="7552DEC5">
      <w:pPr>
        <w:jc w:val="center"/>
        <w:rPr>
          <w:sz w:val="20"/>
          <w:szCs w:val="20"/>
        </w:rPr>
      </w:pPr>
      <w:r w:rsidRPr="16BF73DD">
        <w:rPr>
          <w:sz w:val="20"/>
          <w:szCs w:val="20"/>
        </w:rPr>
        <w:t>A CRITICAL EVALUATION OF THE UNCERTAINTIES, TECHNICAL RISKS AND BUSINESS RISKS INHERENT WITH INNOVATION BASED ACTIVITIES RELATING TO ABB’S E-MOBILITY VEHICLE CHARGING TECHNOLOGY</w:t>
      </w:r>
    </w:p>
    <w:p w14:paraId="3FAB2DEB" w14:textId="4CA96F02" w:rsidR="4633F1D1" w:rsidRDefault="45E914B0" w:rsidP="4633F1D1">
      <w:pPr>
        <w:jc w:val="center"/>
      </w:pPr>
      <w:r>
        <w:rPr>
          <w:noProof/>
        </w:rPr>
        <w:drawing>
          <wp:inline distT="0" distB="0" distL="0" distR="0" wp14:anchorId="0FDFF241" wp14:editId="52151561">
            <wp:extent cx="5906100" cy="1759526"/>
            <wp:effectExtent l="0" t="0" r="0" b="0"/>
            <wp:docPr id="503650659" name="Picture 503650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06100" cy="1759526"/>
                    </a:xfrm>
                    <a:prstGeom prst="rect">
                      <a:avLst/>
                    </a:prstGeom>
                  </pic:spPr>
                </pic:pic>
              </a:graphicData>
            </a:graphic>
          </wp:inline>
        </w:drawing>
      </w:r>
    </w:p>
    <w:p w14:paraId="75DF3733" w14:textId="0EEBCB5F" w:rsidR="2DEFBAD2" w:rsidRDefault="7F1621BE" w:rsidP="50EC019F">
      <w:pPr>
        <w:pStyle w:val="Heading1"/>
      </w:pPr>
      <w:bookmarkStart w:id="0" w:name="_Toc695612074"/>
      <w:r>
        <w:t>1. INTRODUCTION</w:t>
      </w:r>
      <w:bookmarkEnd w:id="0"/>
    </w:p>
    <w:p w14:paraId="5164F105" w14:textId="02D65167" w:rsidR="00A025F9" w:rsidRDefault="00A025F9" w:rsidP="005645B7">
      <w:r w:rsidRPr="4A2FA78B">
        <w:rPr>
          <w:b/>
          <w:bCs/>
        </w:rPr>
        <w:t>E-Mobility</w:t>
      </w:r>
      <w:r>
        <w:t xml:space="preserve"> is part of the Electrification Business Unit within ABB, which is one of the 4 Business Units in ABB’s new streamlined organisation structure.</w:t>
      </w:r>
    </w:p>
    <w:p w14:paraId="20B9D4F0" w14:textId="7DA15B77" w:rsidR="00A025F9" w:rsidRDefault="00A025F9" w:rsidP="005645B7">
      <w:r>
        <w:t>These four business units are supported by a Group Corporate Services unit and ABB Ability which delivers digitalisation services and expertise as part of the ABB Ecosystem.</w:t>
      </w:r>
    </w:p>
    <w:p w14:paraId="48F94DB3" w14:textId="16736D1F" w:rsidR="00A025F9" w:rsidRDefault="00A025F9" w:rsidP="005645B7">
      <w:r>
        <w:t>E-Mobility has 8 Market Segments</w:t>
      </w:r>
      <w:r w:rsidR="00DA7217">
        <w:t xml:space="preserve"> which are categorised as follows:</w:t>
      </w:r>
    </w:p>
    <w:p w14:paraId="652DF808" w14:textId="5B5738C5" w:rsidR="00DA7217" w:rsidRDefault="00DA7217" w:rsidP="00DA7217">
      <w:pPr>
        <w:pStyle w:val="ListParagraph"/>
        <w:numPr>
          <w:ilvl w:val="0"/>
          <w:numId w:val="14"/>
        </w:numPr>
      </w:pPr>
      <w:r>
        <w:t>Single Home Residential</w:t>
      </w:r>
    </w:p>
    <w:p w14:paraId="3C29B229" w14:textId="4D8D37A3" w:rsidR="00DA7217" w:rsidRDefault="00DA7217" w:rsidP="00DA7217">
      <w:pPr>
        <w:pStyle w:val="ListParagraph"/>
        <w:numPr>
          <w:ilvl w:val="0"/>
          <w:numId w:val="14"/>
        </w:numPr>
      </w:pPr>
      <w:r>
        <w:t>Apartment, Hotel and Workplace Destination</w:t>
      </w:r>
    </w:p>
    <w:p w14:paraId="3D9C431A" w14:textId="0488BCBE" w:rsidR="00DA7217" w:rsidRDefault="00DA7217" w:rsidP="00DA7217">
      <w:pPr>
        <w:pStyle w:val="ListParagraph"/>
        <w:numPr>
          <w:ilvl w:val="0"/>
          <w:numId w:val="14"/>
        </w:numPr>
      </w:pPr>
      <w:r>
        <w:t>Public Commercial Parking</w:t>
      </w:r>
    </w:p>
    <w:p w14:paraId="0CBD7A3A" w14:textId="464A3D73" w:rsidR="00DA7217" w:rsidRDefault="00DA7217" w:rsidP="00DA7217">
      <w:pPr>
        <w:pStyle w:val="ListParagraph"/>
        <w:numPr>
          <w:ilvl w:val="0"/>
          <w:numId w:val="14"/>
        </w:numPr>
      </w:pPr>
      <w:r>
        <w:t>Fast-Charging Roadside Stations</w:t>
      </w:r>
    </w:p>
    <w:p w14:paraId="29243A92" w14:textId="0C177BF2" w:rsidR="00DA7217" w:rsidRDefault="00DA7217" w:rsidP="00DA7217">
      <w:pPr>
        <w:pStyle w:val="ListParagraph"/>
        <w:numPr>
          <w:ilvl w:val="0"/>
          <w:numId w:val="14"/>
        </w:numPr>
      </w:pPr>
      <w:r>
        <w:t>Commercial Fleet</w:t>
      </w:r>
    </w:p>
    <w:p w14:paraId="7BFAB1C7" w14:textId="1BFAF25D" w:rsidR="00DA7217" w:rsidRDefault="00DA7217" w:rsidP="00DA7217">
      <w:pPr>
        <w:pStyle w:val="ListParagraph"/>
        <w:numPr>
          <w:ilvl w:val="0"/>
          <w:numId w:val="14"/>
        </w:numPr>
      </w:pPr>
      <w:r>
        <w:t>Industrial Fleet</w:t>
      </w:r>
    </w:p>
    <w:p w14:paraId="05309EB9" w14:textId="600A331F" w:rsidR="00DA7217" w:rsidRDefault="00DA7217" w:rsidP="00DA7217">
      <w:pPr>
        <w:pStyle w:val="ListParagraph"/>
        <w:numPr>
          <w:ilvl w:val="0"/>
          <w:numId w:val="14"/>
        </w:numPr>
      </w:pPr>
      <w:r>
        <w:t>Heavy Duty Truck Charging</w:t>
      </w:r>
    </w:p>
    <w:p w14:paraId="025818C3" w14:textId="2327F80A" w:rsidR="00DA7217" w:rsidRDefault="00DA7217" w:rsidP="00DA7217">
      <w:pPr>
        <w:pStyle w:val="ListParagraph"/>
        <w:numPr>
          <w:ilvl w:val="0"/>
          <w:numId w:val="14"/>
        </w:numPr>
      </w:pPr>
      <w:r>
        <w:t>Bus Charging</w:t>
      </w:r>
    </w:p>
    <w:p w14:paraId="4F635333" w14:textId="05B103A9" w:rsidR="00DA7217" w:rsidRDefault="00DA7217" w:rsidP="00A20C91">
      <w:pPr>
        <w:jc w:val="both"/>
      </w:pPr>
      <w:r>
        <w:t>ABB’s Annual Reports and Quarterly Reports provide a depth of fascinating information which covers the Group’s innovation focus and pedigree.</w:t>
      </w:r>
    </w:p>
    <w:p w14:paraId="4B063A28" w14:textId="447908DE" w:rsidR="2DEFBAD2" w:rsidRDefault="2956742F" w:rsidP="50EC019F">
      <w:pPr>
        <w:jc w:val="both"/>
        <w:rPr>
          <w:rFonts w:ascii="Calibri" w:eastAsia="Calibri" w:hAnsi="Calibri" w:cs="Calibri"/>
          <w:color w:val="000000" w:themeColor="text1"/>
        </w:rPr>
      </w:pPr>
      <w:r>
        <w:t>It is clear from reading the</w:t>
      </w:r>
      <w:r w:rsidR="1703E044">
        <w:t xml:space="preserve">se reports that ABB has gone through some significant organisation structural changes with the aim of getting closer to its customers across its four business units. Indeed, this ‘closeness to customers’ has been an important ingredient in finding innovative products and services which have sustainability at their core </w:t>
      </w:r>
      <w:sdt>
        <w:sdtPr>
          <w:alias w:val="Citation"/>
          <w:tag w:val="{&quot;referencesIds&quot;:[&quot;doc:627f63888f08f5b36bddf3c8&quot;],&quot;referencesOptions&quot;:{&quot;doc:627f63888f08f5b36bddf3c8&quot;:{&quot;author&quot;:true,&quot;year&quot;:true,&quot;pageReplace&quot;:&quot;&quot;,&quot;prefix&quot;:&quot;&quot;,&quot;suffix&quot;:&quot;&quot;}},&quot;hasBrokenReferences&quot;:false,&quot;hasManualEdits&quot;:false,&quot;citationType&quot;:&quot;inline&quot;,&quot;id&quot;:819000546,&quot;citationText&quot;:&quot;&lt;span style=\&quot;font-family:Calibri;font-size:14.666666666666666px;color:#000000\&quot;&gt;(ABB Group 2022a)&lt;/span&gt;&quot;}"/>
          <w:id w:val="1596830955"/>
          <w:placeholder>
            <w:docPart w:val="DefaultPlaceholder_1081868574"/>
          </w:placeholder>
        </w:sdtPr>
        <w:sdtEndPr/>
        <w:sdtContent>
          <w:r w:rsidR="03530F7B" w:rsidRPr="03530F7B">
            <w:rPr>
              <w:rFonts w:ascii="Calibri" w:eastAsia="Calibri" w:hAnsi="Calibri" w:cs="Calibri"/>
              <w:color w:val="000000" w:themeColor="text1"/>
            </w:rPr>
            <w:t>(ABB Group 2022a)</w:t>
          </w:r>
        </w:sdtContent>
      </w:sdt>
      <w:r w:rsidR="4B4628C9" w:rsidRPr="03530F7B">
        <w:rPr>
          <w:rFonts w:ascii="Calibri" w:eastAsia="Calibri" w:hAnsi="Calibri" w:cs="Calibri"/>
          <w:color w:val="000000" w:themeColor="text1"/>
        </w:rPr>
        <w:t>.</w:t>
      </w:r>
    </w:p>
    <w:p w14:paraId="50DE324B" w14:textId="7BA9D814" w:rsidR="50EC019F" w:rsidRDefault="50EC019F">
      <w:r>
        <w:br w:type="page"/>
      </w:r>
    </w:p>
    <w:p w14:paraId="0374FE07" w14:textId="2192F648" w:rsidR="005645B7" w:rsidRDefault="79E5A5A6" w:rsidP="50EC019F">
      <w:pPr>
        <w:pStyle w:val="Heading1"/>
      </w:pPr>
      <w:bookmarkStart w:id="1" w:name="_Toc457906302"/>
      <w:r>
        <w:lastRenderedPageBreak/>
        <w:t>2. The principal drivers for the innovation</w:t>
      </w:r>
      <w:bookmarkEnd w:id="1"/>
    </w:p>
    <w:p w14:paraId="518DF71D" w14:textId="0601C291" w:rsidR="2F93D97E" w:rsidRDefault="276D8ED4" w:rsidP="6384B087">
      <w:pPr>
        <w:jc w:val="center"/>
        <w:rPr>
          <w:rFonts w:ascii="Calibri" w:eastAsia="Calibri" w:hAnsi="Calibri" w:cs="Calibri"/>
          <w:color w:val="000000" w:themeColor="text1"/>
        </w:rPr>
      </w:pPr>
      <w:r>
        <w:rPr>
          <w:noProof/>
        </w:rPr>
        <w:drawing>
          <wp:inline distT="0" distB="0" distL="0" distR="0" wp14:anchorId="41C337F8" wp14:editId="184491EE">
            <wp:extent cx="5690151" cy="2181225"/>
            <wp:effectExtent l="0" t="0" r="0" b="0"/>
            <wp:docPr id="429306011" name="Picture 429306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690151" cy="2181225"/>
                    </a:xfrm>
                    <a:prstGeom prst="rect">
                      <a:avLst/>
                    </a:prstGeom>
                  </pic:spPr>
                </pic:pic>
              </a:graphicData>
            </a:graphic>
          </wp:inline>
        </w:drawing>
      </w:r>
      <w:r w:rsidRPr="03530F7B">
        <w:rPr>
          <w:i/>
          <w:iCs/>
          <w:sz w:val="18"/>
          <w:szCs w:val="18"/>
        </w:rPr>
        <w:t>Source</w:t>
      </w:r>
      <w:r w:rsidR="6384B087" w:rsidRPr="03530F7B">
        <w:rPr>
          <w:i/>
          <w:iCs/>
          <w:sz w:val="18"/>
          <w:szCs w:val="18"/>
        </w:rPr>
        <w:t xml:space="preserve"> </w:t>
      </w:r>
      <w:sdt>
        <w:sdtPr>
          <w:alias w:val="Citation"/>
          <w:tag w:val="{&quot;referencesIds&quot;:[&quot;doc:6287f9af8f080ff0f844eb22&quot;],&quot;referencesOptions&quot;:{&quot;doc:6287f9af8f080ff0f844eb22&quot;:{&quot;author&quot;:true,&quot;year&quot;:true,&quot;pageReplace&quot;:&quot;&quot;,&quot;prefix&quot;:&quot;&quot;,&quot;suffix&quot;:&quot;&quot;}},&quot;hasBrokenReferences&quot;:false,&quot;hasManualEdits&quot;:false,&quot;citationType&quot;:&quot;inline&quot;,&quot;id&quot;:232042005,&quot;citationText&quot;:&quot;&lt;span style=\&quot;font-family:Calibri;font-size:14.666666666666666px;color:#000000\&quot;&gt;(, Terra AC Wallbox | The Superior EV Home Charger2022)&lt;/span&gt;&quot;}"/>
          <w:id w:val="2015986992"/>
          <w:placeholder>
            <w:docPart w:val="DefaultPlaceholder_1081868574"/>
          </w:placeholder>
        </w:sdtPr>
        <w:sdtEndPr/>
        <w:sdtContent>
          <w:r w:rsidR="03530F7B" w:rsidRPr="03530F7B">
            <w:rPr>
              <w:rFonts w:ascii="Calibri" w:eastAsia="Calibri" w:hAnsi="Calibri" w:cs="Calibri"/>
              <w:color w:val="000000" w:themeColor="text1"/>
            </w:rPr>
            <w:t xml:space="preserve">(, Terra AC </w:t>
          </w:r>
          <w:proofErr w:type="spellStart"/>
          <w:r w:rsidR="03530F7B" w:rsidRPr="03530F7B">
            <w:rPr>
              <w:rFonts w:ascii="Calibri" w:eastAsia="Calibri" w:hAnsi="Calibri" w:cs="Calibri"/>
              <w:color w:val="000000" w:themeColor="text1"/>
            </w:rPr>
            <w:t>Wallbox</w:t>
          </w:r>
          <w:proofErr w:type="spellEnd"/>
          <w:r w:rsidR="03530F7B" w:rsidRPr="03530F7B">
            <w:rPr>
              <w:rFonts w:ascii="Calibri" w:eastAsia="Calibri" w:hAnsi="Calibri" w:cs="Calibri"/>
              <w:color w:val="000000" w:themeColor="text1"/>
            </w:rPr>
            <w:t xml:space="preserve"> | The Superior EV Home Charger2022)</w:t>
          </w:r>
        </w:sdtContent>
      </w:sdt>
    </w:p>
    <w:p w14:paraId="6F30DFB8" w14:textId="5BCFA31A" w:rsidR="2F93D97E" w:rsidRDefault="532780BC" w:rsidP="2F93D97E">
      <w:pPr>
        <w:jc w:val="both"/>
        <w:rPr>
          <w:rFonts w:ascii="Calibri" w:eastAsia="Calibri" w:hAnsi="Calibri" w:cs="Calibri"/>
          <w:color w:val="000000" w:themeColor="text1"/>
        </w:rPr>
      </w:pPr>
      <w:r>
        <w:t xml:space="preserve">In the introduction to </w:t>
      </w:r>
      <w:sdt>
        <w:sdtPr>
          <w:alias w:val="Citation"/>
          <w:tag w:val="{&quot;referencesIds&quot;:[&quot;doc:628382a08f084bf47f33aa65&quot;],&quot;referencesOptions&quot;:{&quot;doc:628382a08f084bf47f33aa65&quot;:{&quot;author&quot;:true,&quot;year&quot;:true,&quot;pageReplace&quot;:&quot;&quot;,&quot;prefix&quot;:&quot;&quot;,&quot;suffix&quot;:&quot;&quot;}},&quot;hasBrokenReferences&quot;:false,&quot;hasManualEdits&quot;:false,&quot;citationType&quot;:&quot;inline&quot;,&quot;id&quot;:2028153761,&quot;citationText&quot;:&quot;&lt;span style=\&quot;font-family:Calibri;font-size:14.666666666666666px;color:#000000\&quot;&gt;(Schilling 2022)&lt;/span&gt;&quot;}"/>
          <w:id w:val="675095409"/>
          <w:placeholder>
            <w:docPart w:val="DefaultPlaceholder_1081868574"/>
          </w:placeholder>
        </w:sdtPr>
        <w:sdtEndPr/>
        <w:sdtContent>
          <w:r w:rsidR="03530F7B" w:rsidRPr="03530F7B">
            <w:rPr>
              <w:rFonts w:ascii="Calibri" w:eastAsia="Calibri" w:hAnsi="Calibri" w:cs="Calibri"/>
              <w:color w:val="000000" w:themeColor="text1"/>
            </w:rPr>
            <w:t>(Schilling 2022)</w:t>
          </w:r>
        </w:sdtContent>
      </w:sdt>
      <w:r w:rsidRPr="03530F7B">
        <w:rPr>
          <w:rFonts w:ascii="Calibri" w:eastAsia="Calibri" w:hAnsi="Calibri" w:cs="Calibri"/>
          <w:color w:val="000000" w:themeColor="text1"/>
        </w:rPr>
        <w:t xml:space="preserve"> Melissa Schilling identifies the importance of innovation to an organisation given the increase of globalisation which has been helped through advances in manufacturing technology. </w:t>
      </w:r>
    </w:p>
    <w:p w14:paraId="051E31D1" w14:textId="13FB4EEC" w:rsidR="1BCB47B4" w:rsidRDefault="1BCB47B4" w:rsidP="1BCB47B4">
      <w:pPr>
        <w:spacing w:before="120"/>
        <w:jc w:val="both"/>
        <w:rPr>
          <w:rFonts w:ascii="Calibri" w:eastAsia="Calibri" w:hAnsi="Calibri" w:cs="Calibri"/>
          <w:color w:val="000000" w:themeColor="text1"/>
        </w:rPr>
      </w:pPr>
      <w:r w:rsidRPr="2DEFBAD2">
        <w:rPr>
          <w:rFonts w:ascii="Calibri" w:eastAsia="Calibri" w:hAnsi="Calibri" w:cs="Calibri"/>
          <w:color w:val="000000" w:themeColor="text1"/>
        </w:rPr>
        <w:t>ABB operates on a global scale and therefore must keep ahead of the competition. This translates into setting targets for all its business units to achieve either 1</w:t>
      </w:r>
      <w:r w:rsidRPr="2DEFBAD2">
        <w:rPr>
          <w:rFonts w:ascii="Calibri" w:eastAsia="Calibri" w:hAnsi="Calibri" w:cs="Calibri"/>
          <w:color w:val="000000" w:themeColor="text1"/>
          <w:vertAlign w:val="superscript"/>
        </w:rPr>
        <w:t>st</w:t>
      </w:r>
      <w:r w:rsidRPr="2DEFBAD2">
        <w:rPr>
          <w:rFonts w:ascii="Calibri" w:eastAsia="Calibri" w:hAnsi="Calibri" w:cs="Calibri"/>
          <w:color w:val="000000" w:themeColor="text1"/>
        </w:rPr>
        <w:t xml:space="preserve"> or 2</w:t>
      </w:r>
      <w:r w:rsidRPr="2DEFBAD2">
        <w:rPr>
          <w:rFonts w:ascii="Calibri" w:eastAsia="Calibri" w:hAnsi="Calibri" w:cs="Calibri"/>
          <w:color w:val="000000" w:themeColor="text1"/>
          <w:vertAlign w:val="superscript"/>
        </w:rPr>
        <w:t>nd</w:t>
      </w:r>
      <w:r w:rsidRPr="2DEFBAD2">
        <w:rPr>
          <w:rFonts w:ascii="Calibri" w:eastAsia="Calibri" w:hAnsi="Calibri" w:cs="Calibri"/>
          <w:color w:val="000000" w:themeColor="text1"/>
        </w:rPr>
        <w:t xml:space="preserve"> place in their respective markets. The drivers are therefore to:</w:t>
      </w:r>
    </w:p>
    <w:p w14:paraId="16F51A7E" w14:textId="038DBB47" w:rsidR="2F93D97E" w:rsidRDefault="2F93D97E" w:rsidP="2F93D97E">
      <w:pPr>
        <w:pStyle w:val="ListParagraph"/>
        <w:numPr>
          <w:ilvl w:val="0"/>
          <w:numId w:val="6"/>
        </w:numPr>
        <w:jc w:val="both"/>
        <w:rPr>
          <w:rFonts w:eastAsiaTheme="minorEastAsia"/>
          <w:color w:val="000000" w:themeColor="text1"/>
        </w:rPr>
      </w:pPr>
      <w:r w:rsidRPr="7563A32A">
        <w:rPr>
          <w:rFonts w:ascii="Calibri" w:eastAsia="Calibri" w:hAnsi="Calibri" w:cs="Calibri"/>
          <w:color w:val="000000" w:themeColor="text1"/>
        </w:rPr>
        <w:t>Improve manufacturing processes</w:t>
      </w:r>
    </w:p>
    <w:p w14:paraId="69C4648D" w14:textId="3387E2FE" w:rsidR="2F93D97E" w:rsidRDefault="2F93D97E" w:rsidP="2F93D97E">
      <w:pPr>
        <w:pStyle w:val="ListParagraph"/>
        <w:numPr>
          <w:ilvl w:val="0"/>
          <w:numId w:val="6"/>
        </w:numPr>
        <w:jc w:val="both"/>
        <w:rPr>
          <w:color w:val="000000" w:themeColor="text1"/>
        </w:rPr>
      </w:pPr>
      <w:r w:rsidRPr="7563A32A">
        <w:rPr>
          <w:rFonts w:ascii="Calibri" w:eastAsia="Calibri" w:hAnsi="Calibri" w:cs="Calibri"/>
          <w:color w:val="000000" w:themeColor="text1"/>
        </w:rPr>
        <w:t>Develop new products</w:t>
      </w:r>
    </w:p>
    <w:p w14:paraId="3D1ACA29" w14:textId="7A1D3D6D" w:rsidR="2F93D97E" w:rsidRDefault="2F93D97E" w:rsidP="2F93D97E">
      <w:pPr>
        <w:pStyle w:val="ListParagraph"/>
        <w:numPr>
          <w:ilvl w:val="0"/>
          <w:numId w:val="6"/>
        </w:numPr>
        <w:jc w:val="both"/>
        <w:rPr>
          <w:color w:val="000000" w:themeColor="text1"/>
        </w:rPr>
      </w:pPr>
      <w:r w:rsidRPr="7563A32A">
        <w:rPr>
          <w:rFonts w:ascii="Calibri" w:eastAsia="Calibri" w:hAnsi="Calibri" w:cs="Calibri"/>
          <w:color w:val="000000" w:themeColor="text1"/>
        </w:rPr>
        <w:t>Push the boundaries of what is possible using information technology</w:t>
      </w:r>
    </w:p>
    <w:p w14:paraId="3286E5AC" w14:textId="33D2E6BC" w:rsidR="2F93D97E" w:rsidRDefault="55C43D80" w:rsidP="2F93D97E">
      <w:pPr>
        <w:pStyle w:val="ListParagraph"/>
        <w:numPr>
          <w:ilvl w:val="0"/>
          <w:numId w:val="6"/>
        </w:numPr>
        <w:jc w:val="both"/>
        <w:rPr>
          <w:color w:val="000000" w:themeColor="text1"/>
        </w:rPr>
      </w:pPr>
      <w:r w:rsidRPr="45E914B0">
        <w:rPr>
          <w:rFonts w:ascii="Calibri" w:eastAsia="Calibri" w:hAnsi="Calibri" w:cs="Calibri"/>
          <w:color w:val="000000" w:themeColor="text1"/>
        </w:rPr>
        <w:t>Digitalise wherever possible (and that is virtually everything now)</w:t>
      </w:r>
    </w:p>
    <w:p w14:paraId="27F464E8" w14:textId="133A1CAC" w:rsidR="2F93D97E" w:rsidRDefault="2F93D97E" w:rsidP="7563A32A">
      <w:pPr>
        <w:pStyle w:val="ListParagraph"/>
        <w:numPr>
          <w:ilvl w:val="0"/>
          <w:numId w:val="6"/>
        </w:numPr>
        <w:jc w:val="both"/>
        <w:rPr>
          <w:rFonts w:eastAsiaTheme="minorEastAsia"/>
          <w:color w:val="000000" w:themeColor="text1"/>
        </w:rPr>
      </w:pPr>
      <w:r w:rsidRPr="4F9EC538">
        <w:rPr>
          <w:rFonts w:ascii="Calibri" w:eastAsia="Calibri" w:hAnsi="Calibri" w:cs="Calibri"/>
          <w:color w:val="000000" w:themeColor="text1"/>
        </w:rPr>
        <w:t>Each business unit shoul</w:t>
      </w:r>
      <w:r w:rsidR="7563A32A" w:rsidRPr="4F9EC538">
        <w:rPr>
          <w:rFonts w:ascii="Calibri" w:eastAsia="Calibri" w:hAnsi="Calibri" w:cs="Calibri"/>
          <w:color w:val="000000" w:themeColor="text1"/>
        </w:rPr>
        <w:t>d lead the field in technology</w:t>
      </w:r>
    </w:p>
    <w:p w14:paraId="6D4B64C6" w14:textId="2FBF434E" w:rsidR="2F93D97E" w:rsidRDefault="2F93D97E" w:rsidP="2F93D97E">
      <w:pPr>
        <w:pStyle w:val="ListParagraph"/>
        <w:numPr>
          <w:ilvl w:val="0"/>
          <w:numId w:val="6"/>
        </w:numPr>
        <w:jc w:val="both"/>
        <w:rPr>
          <w:color w:val="000000" w:themeColor="text1"/>
        </w:rPr>
      </w:pPr>
      <w:r w:rsidRPr="16BF73DD">
        <w:rPr>
          <w:rFonts w:ascii="Calibri" w:eastAsia="Calibri" w:hAnsi="Calibri" w:cs="Calibri"/>
          <w:color w:val="000000" w:themeColor="text1"/>
        </w:rPr>
        <w:t>Watch the competition and responding accordingly</w:t>
      </w:r>
    </w:p>
    <w:p w14:paraId="52E4D5EE" w14:textId="3549B727" w:rsidR="4633F1D1" w:rsidRDefault="16BF73DD" w:rsidP="4633F1D1">
      <w:pPr>
        <w:jc w:val="center"/>
      </w:pPr>
      <w:r>
        <w:rPr>
          <w:noProof/>
        </w:rPr>
        <w:drawing>
          <wp:inline distT="0" distB="0" distL="0" distR="0" wp14:anchorId="1A6388B6" wp14:editId="11E336EF">
            <wp:extent cx="4572000" cy="2314575"/>
            <wp:effectExtent l="0" t="0" r="0" b="0"/>
            <wp:docPr id="515835573" name="Picture 515835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314575"/>
                    </a:xfrm>
                    <a:prstGeom prst="rect">
                      <a:avLst/>
                    </a:prstGeom>
                  </pic:spPr>
                </pic:pic>
              </a:graphicData>
            </a:graphic>
          </wp:inline>
        </w:drawing>
      </w:r>
    </w:p>
    <w:p w14:paraId="75F096F1" w14:textId="143856E9" w:rsidR="2FBD0A93" w:rsidRDefault="2FBD0A93" w:rsidP="03530F7B">
      <w:pPr>
        <w:jc w:val="center"/>
        <w:rPr>
          <w:rFonts w:ascii="Calibri" w:eastAsia="Calibri" w:hAnsi="Calibri" w:cs="Calibri"/>
          <w:color w:val="000000" w:themeColor="text1"/>
        </w:rPr>
      </w:pPr>
      <w:r w:rsidRPr="03530F7B">
        <w:rPr>
          <w:i/>
          <w:iCs/>
          <w:sz w:val="18"/>
          <w:szCs w:val="18"/>
        </w:rPr>
        <w:t xml:space="preserve">Source: </w:t>
      </w:r>
      <w:sdt>
        <w:sdtPr>
          <w:alias w:val="Citation"/>
          <w:tag w:val="{&quot;referencesIds&quot;:[&quot;doc:628293c28f084bf47f338fa1&quot;],&quot;referencesOptions&quot;:{&quot;doc:628293c28f084bf47f338fa1&quot;:{&quot;author&quot;:true,&quot;year&quot;:true,&quot;pageReplace&quot;:&quot;&quot;,&quot;prefix&quot;:&quot;&quot;,&quot;suffix&quot;:&quot;&quot;}},&quot;hasBrokenReferences&quot;:false,&quot;hasManualEdits&quot;:false,&quot;citationType&quot;:&quot;inline&quot;,&quot;id&quot;:1559298862,&quot;citationText&quot;:&quot;&lt;span style=\&quot;font-family:Calibri;font-size:14.666666666666666px;color:#000000\&quot;&gt;(ABB Group 2022b)&lt;/span&gt;&quot;}"/>
          <w:id w:val="2102024370"/>
          <w:placeholder>
            <w:docPart w:val="DefaultPlaceholder_1081868574"/>
          </w:placeholder>
        </w:sdtPr>
        <w:sdtEndPr/>
        <w:sdtContent>
          <w:r w:rsidR="03530F7B" w:rsidRPr="03530F7B">
            <w:rPr>
              <w:rFonts w:ascii="Calibri" w:eastAsia="Calibri" w:hAnsi="Calibri" w:cs="Calibri"/>
              <w:color w:val="000000" w:themeColor="text1"/>
            </w:rPr>
            <w:t>(ABB Group 2022b)</w:t>
          </w:r>
        </w:sdtContent>
      </w:sdt>
    </w:p>
    <w:p w14:paraId="05698005" w14:textId="50933B02" w:rsidR="50EC019F" w:rsidRDefault="50EC019F" w:rsidP="50EC019F">
      <w:pPr>
        <w:jc w:val="both"/>
      </w:pPr>
    </w:p>
    <w:p w14:paraId="645B211D" w14:textId="70A4740A" w:rsidR="55F21CD0" w:rsidRDefault="55F21CD0" w:rsidP="4633F1D1">
      <w:pPr>
        <w:jc w:val="both"/>
        <w:rPr>
          <w:highlight w:val="yellow"/>
        </w:rPr>
      </w:pPr>
      <w:r>
        <w:t>ABB’s Principal Drivers for E-Mobility also include:</w:t>
      </w:r>
    </w:p>
    <w:p w14:paraId="3D1A1E1F" w14:textId="10BFE009" w:rsidR="55F21CD0" w:rsidRDefault="2BAC4FA3" w:rsidP="03530F7B">
      <w:pPr>
        <w:pStyle w:val="ListParagraph"/>
        <w:numPr>
          <w:ilvl w:val="0"/>
          <w:numId w:val="7"/>
        </w:numPr>
        <w:jc w:val="both"/>
        <w:rPr>
          <w:rFonts w:eastAsiaTheme="minorEastAsia"/>
          <w:color w:val="000000" w:themeColor="text1"/>
        </w:rPr>
      </w:pPr>
      <w:r>
        <w:t xml:space="preserve">A commitment to sustainability which translates into delivering technologies that have the potential to reduce carbon emissions for all ABB customers </w:t>
      </w:r>
      <w:sdt>
        <w:sdtPr>
          <w:alias w:val="Citation"/>
          <w:tag w:val="{&quot;referencesIds&quot;:[&quot;doc:628226578f08f5b36bde4df4&quot;],&quot;referencesOptions&quot;:{&quot;doc:628226578f08f5b36bde4df4&quot;:{&quot;author&quot;:true,&quot;year&quot;:true,&quot;pageReplace&quot;:&quot;&quot;,&quot;prefix&quot;:&quot;&quot;,&quot;suffix&quot;:&quot;&quot;}},&quot;hasBrokenReferences&quot;:false,&quot;hasManualEdits&quot;:false,&quot;citationType&quot;:&quot;inline&quot;,&quot;id&quot;:1485246726,&quot;citationText&quot;:&quot;&lt;span style=\&quot;font-family:Calibri;font-size:14.666666666666666px;color:#000000\&quot;&gt;(, ABB Group Annual Report 2020 - English2022)&lt;/span&gt;&quot;}"/>
          <w:id w:val="1754961277"/>
          <w:placeholder>
            <w:docPart w:val="DefaultPlaceholder_1081868574"/>
          </w:placeholder>
        </w:sdtPr>
        <w:sdtEndPr/>
        <w:sdtContent>
          <w:r w:rsidR="03530F7B" w:rsidRPr="4F9EC538">
            <w:rPr>
              <w:rFonts w:ascii="Calibri" w:eastAsia="Calibri" w:hAnsi="Calibri" w:cs="Calibri"/>
              <w:color w:val="000000" w:themeColor="text1"/>
            </w:rPr>
            <w:t>(, ABB Group Annual Report 2020 - English2022)</w:t>
          </w:r>
        </w:sdtContent>
      </w:sdt>
    </w:p>
    <w:p w14:paraId="22014FCC" w14:textId="47F50532" w:rsidR="0D93910A" w:rsidRDefault="0D93910A" w:rsidP="4633F1D1">
      <w:pPr>
        <w:pStyle w:val="ListParagraph"/>
        <w:numPr>
          <w:ilvl w:val="0"/>
          <w:numId w:val="7"/>
        </w:numPr>
        <w:jc w:val="both"/>
      </w:pPr>
      <w:r w:rsidRPr="4633F1D1">
        <w:rPr>
          <w:rFonts w:eastAsiaTheme="minorEastAsia"/>
        </w:rPr>
        <w:t xml:space="preserve">Innovation is in the DNA of ABB Group as is the development of sustainable technologies </w:t>
      </w:r>
    </w:p>
    <w:p w14:paraId="41586721" w14:textId="41156F4A" w:rsidR="55F21CD0" w:rsidRDefault="2BAC4FA3" w:rsidP="03530F7B">
      <w:pPr>
        <w:pStyle w:val="ListParagraph"/>
        <w:numPr>
          <w:ilvl w:val="0"/>
          <w:numId w:val="7"/>
        </w:numPr>
        <w:jc w:val="both"/>
        <w:rPr>
          <w:rFonts w:eastAsiaTheme="minorEastAsia"/>
          <w:color w:val="000000" w:themeColor="text1"/>
        </w:rPr>
      </w:pPr>
      <w:r>
        <w:t xml:space="preserve">A clear understanding of the predicted growth in the demand for Electric Vehicles based upon commitments made by National Governments in response to COP 26 </w:t>
      </w:r>
      <w:sdt>
        <w:sdtPr>
          <w:alias w:val="Citation"/>
          <w:tag w:val="{&quot;referencesIds&quot;:[&quot;doc:62814da38f081c0392aaf9ed&quot;],&quot;referencesOptions&quot;:{&quot;doc:62814da38f081c0392aaf9ed&quot;:{&quot;author&quot;:true,&quot;year&quot;:true,&quot;pageReplace&quot;:&quot;&quot;,&quot;prefix&quot;:&quot;&quot;,&quot;suffix&quot;:&quot;&quot;}},&quot;hasBrokenReferences&quot;:false,&quot;hasManualEdits&quot;:false,&quot;citationType&quot;:&quot;inline&quot;,&quot;id&quot;:715420465,&quot;citationText&quot;:&quot;&lt;span style=\&quot;font-family:Calibri;font-size:14.666666666666666px;color:#000000\&quot;&gt;(UN Climate Change Conference UK 2021 2021)&lt;/span&gt;&quot;}"/>
          <w:id w:val="2066052294"/>
          <w:placeholder>
            <w:docPart w:val="DefaultPlaceholder_1081868574"/>
          </w:placeholder>
        </w:sdtPr>
        <w:sdtEndPr/>
        <w:sdtContent>
          <w:r w:rsidR="03530F7B" w:rsidRPr="03530F7B">
            <w:rPr>
              <w:rFonts w:ascii="Calibri" w:eastAsia="Calibri" w:hAnsi="Calibri" w:cs="Calibri"/>
              <w:color w:val="000000" w:themeColor="text1"/>
            </w:rPr>
            <w:t>(UN Climate Change Conference UK 2021 2021)</w:t>
          </w:r>
        </w:sdtContent>
      </w:sdt>
    </w:p>
    <w:p w14:paraId="7AB1C0DD" w14:textId="34E1DB90" w:rsidR="0D93910A" w:rsidRDefault="7AE79CFE" w:rsidP="03530F7B">
      <w:pPr>
        <w:pStyle w:val="ListParagraph"/>
        <w:numPr>
          <w:ilvl w:val="0"/>
          <w:numId w:val="7"/>
        </w:numPr>
        <w:jc w:val="both"/>
        <w:rPr>
          <w:rFonts w:eastAsiaTheme="minorEastAsia"/>
          <w:color w:val="000000" w:themeColor="text1"/>
        </w:rPr>
      </w:pPr>
      <w:r w:rsidRPr="03530F7B">
        <w:rPr>
          <w:rFonts w:ascii="Calibri" w:eastAsia="Calibri" w:hAnsi="Calibri" w:cs="Calibri"/>
          <w:color w:val="000000" w:themeColor="text1"/>
        </w:rPr>
        <w:t xml:space="preserve">A wider perspective on the opportunities which arise through digitalisation, with the support of ABB Ability, to provide E-Mobility solutions for Commercial Fleet operators, Buses, and Trucks etc </w:t>
      </w:r>
      <w:sdt>
        <w:sdtPr>
          <w:alias w:val="Citation"/>
          <w:tag w:val="{&quot;referencesIds&quot;:[&quot;doc:6280b6e58f0873b18018b0d2&quot;],&quot;referencesOptions&quot;:{&quot;doc:6280b6e58f0873b18018b0d2&quot;:{&quot;author&quot;:true,&quot;year&quot;:true,&quot;pageReplace&quot;:&quot;&quot;,&quot;prefix&quot;:&quot;&quot;,&quot;suffix&quot;:&quot;&quot;}},&quot;hasBrokenReferences&quot;:false,&quot;hasManualEdits&quot;:false,&quot;citationType&quot;:&quot;inline&quot;,&quot;id&quot;:637272834,&quot;citationText&quot;:&quot;&lt;span style=\&quot;font-family:Calibri;font-size:14.666666666666666px;color:#000000\&quot;&gt;(The future of EV charging infrastructure: Executive perspectives. 2021)&lt;/span&gt;&quot;}"/>
          <w:id w:val="742428977"/>
          <w:placeholder>
            <w:docPart w:val="DefaultPlaceholder_1081868574"/>
          </w:placeholder>
        </w:sdtPr>
        <w:sdtEndPr/>
        <w:sdtContent>
          <w:r w:rsidR="03530F7B" w:rsidRPr="03530F7B">
            <w:rPr>
              <w:rFonts w:ascii="Calibri" w:eastAsia="Calibri" w:hAnsi="Calibri" w:cs="Calibri"/>
              <w:color w:val="000000" w:themeColor="text1"/>
            </w:rPr>
            <w:t>(The future of EV charging infrastructure: Executive perspectives. 2021)</w:t>
          </w:r>
        </w:sdtContent>
      </w:sdt>
    </w:p>
    <w:p w14:paraId="7EAB6971" w14:textId="3A1041E8" w:rsidR="0D93910A" w:rsidRDefault="0D93910A" w:rsidP="24EA015F">
      <w:pPr>
        <w:pStyle w:val="ListParagraph"/>
        <w:numPr>
          <w:ilvl w:val="0"/>
          <w:numId w:val="7"/>
        </w:numPr>
        <w:jc w:val="both"/>
        <w:rPr>
          <w:color w:val="000000" w:themeColor="text1"/>
        </w:rPr>
      </w:pPr>
      <w:r w:rsidRPr="4F9EC538">
        <w:rPr>
          <w:rFonts w:ascii="Calibri" w:eastAsia="Calibri" w:hAnsi="Calibri" w:cs="Calibri"/>
          <w:color w:val="000000" w:themeColor="text1"/>
        </w:rPr>
        <w:t>Obtaining a healthy return of investment on internal R&amp;D and acquisitions for EV charging dating back to 2011</w:t>
      </w:r>
    </w:p>
    <w:p w14:paraId="3D6F4900" w14:textId="62536C07" w:rsidR="24EA015F" w:rsidRDefault="24EA015F" w:rsidP="2F93D97E">
      <w:pPr>
        <w:pStyle w:val="ListParagraph"/>
        <w:numPr>
          <w:ilvl w:val="0"/>
          <w:numId w:val="7"/>
        </w:numPr>
        <w:jc w:val="both"/>
        <w:rPr>
          <w:color w:val="000000" w:themeColor="text1"/>
        </w:rPr>
      </w:pPr>
      <w:r w:rsidRPr="6384B087">
        <w:rPr>
          <w:rFonts w:ascii="Calibri" w:eastAsia="Calibri" w:hAnsi="Calibri" w:cs="Calibri"/>
          <w:color w:val="000000" w:themeColor="text1"/>
        </w:rPr>
        <w:t xml:space="preserve">The ABB Way includes 5 ‘Purpose Themes which are stated as: creating success; addressing the world’s energy challenges; transforming industries; embedding sustainability and leading with technology </w:t>
      </w:r>
    </w:p>
    <w:p w14:paraId="535181BA" w14:textId="421F004F" w:rsidR="55F21CD0" w:rsidRDefault="3C939017" w:rsidP="2281A598">
      <w:pPr>
        <w:jc w:val="both"/>
        <w:rPr>
          <w:rFonts w:ascii="Calibri" w:eastAsia="Calibri" w:hAnsi="Calibri" w:cs="Calibri"/>
          <w:color w:val="000000" w:themeColor="text1"/>
        </w:rPr>
      </w:pPr>
      <w:r>
        <w:t xml:space="preserve">Expanding further on ABB’s commitment to sustainability </w:t>
      </w:r>
      <w:sdt>
        <w:sdtPr>
          <w:alias w:val="Citation"/>
          <w:tag w:val="{&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028340166,&quot;citationText&quot;:&quot;&lt;span style=\&quot;font-family:Calibri;font-size:14.666666666666666px;color:#000000\&quot;&gt;(Tingström, Swanström et al. 2006)&lt;/span&gt;&quot;}"/>
          <w:id w:val="296117589"/>
          <w:placeholder>
            <w:docPart w:val="DefaultPlaceholder_1081868574"/>
          </w:placeholder>
        </w:sdtPr>
        <w:sdtEndPr/>
        <w:sdtContent>
          <w:r w:rsidR="03530F7B" w:rsidRPr="03530F7B">
            <w:rPr>
              <w:rFonts w:ascii="Calibri" w:eastAsia="Calibri" w:hAnsi="Calibri" w:cs="Calibri"/>
              <w:color w:val="000000" w:themeColor="text1"/>
            </w:rPr>
            <w:t>(</w:t>
          </w:r>
          <w:proofErr w:type="spellStart"/>
          <w:r w:rsidR="03530F7B" w:rsidRPr="03530F7B">
            <w:rPr>
              <w:rFonts w:ascii="Calibri" w:eastAsia="Calibri" w:hAnsi="Calibri" w:cs="Calibri"/>
              <w:color w:val="000000" w:themeColor="text1"/>
            </w:rPr>
            <w:t>Tingström</w:t>
          </w:r>
          <w:proofErr w:type="spellEnd"/>
          <w:r w:rsidR="03530F7B" w:rsidRPr="03530F7B">
            <w:rPr>
              <w:rFonts w:ascii="Calibri" w:eastAsia="Calibri" w:hAnsi="Calibri" w:cs="Calibri"/>
              <w:color w:val="000000" w:themeColor="text1"/>
            </w:rPr>
            <w:t xml:space="preserve">, </w:t>
          </w:r>
          <w:proofErr w:type="spellStart"/>
          <w:r w:rsidR="03530F7B" w:rsidRPr="03530F7B">
            <w:rPr>
              <w:rFonts w:ascii="Calibri" w:eastAsia="Calibri" w:hAnsi="Calibri" w:cs="Calibri"/>
              <w:color w:val="000000" w:themeColor="text1"/>
            </w:rPr>
            <w:t>Swanström</w:t>
          </w:r>
          <w:proofErr w:type="spellEnd"/>
          <w:r w:rsidR="03530F7B" w:rsidRPr="03530F7B">
            <w:rPr>
              <w:rFonts w:ascii="Calibri" w:eastAsia="Calibri" w:hAnsi="Calibri" w:cs="Calibri"/>
              <w:color w:val="000000" w:themeColor="text1"/>
            </w:rPr>
            <w:t xml:space="preserve"> et al. 2006)</w:t>
          </w:r>
        </w:sdtContent>
      </w:sdt>
      <w:r w:rsidRPr="03530F7B">
        <w:rPr>
          <w:rFonts w:ascii="Calibri" w:eastAsia="Calibri" w:hAnsi="Calibri" w:cs="Calibri"/>
          <w:color w:val="000000" w:themeColor="text1"/>
        </w:rPr>
        <w:t xml:space="preserve"> identifies how the company sought to embrace and integrate sustainability into its product development and manufacturing processes as early as 1991, when it launched its formal environmental program.</w:t>
      </w:r>
    </w:p>
    <w:p w14:paraId="22C72190" w14:textId="113C16C8" w:rsidR="2281A598" w:rsidRDefault="3C939017" w:rsidP="2281A598">
      <w:pPr>
        <w:jc w:val="both"/>
        <w:rPr>
          <w:rFonts w:ascii="Calibri" w:eastAsia="Calibri" w:hAnsi="Calibri" w:cs="Calibri"/>
          <w:color w:val="000000" w:themeColor="text1"/>
        </w:rPr>
      </w:pPr>
      <w:r w:rsidRPr="03530F7B">
        <w:rPr>
          <w:rFonts w:ascii="Calibri" w:eastAsia="Calibri" w:hAnsi="Calibri" w:cs="Calibri"/>
          <w:color w:val="000000" w:themeColor="text1"/>
        </w:rPr>
        <w:t xml:space="preserve">Significantly in 2001 an updated version of the ABB Gate model was introduced which included sustainability goals as a core element </w:t>
      </w:r>
      <w:sdt>
        <w:sdtPr>
          <w:alias w:val="Citation"/>
          <w:tag w:val="{&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355744185,&quot;citationText&quot;:&quot;&lt;span style=\&quot;font-family:Calibri;font-size:14.666666666666666px;color:#000000\&quot;&gt;(Tingström, Swanström et al. 2006)&lt;/span&gt;&quot;}"/>
          <w:id w:val="173556033"/>
          <w:placeholder>
            <w:docPart w:val="DefaultPlaceholder_1081868574"/>
          </w:placeholder>
        </w:sdtPr>
        <w:sdtEndPr/>
        <w:sdtContent>
          <w:r w:rsidR="03530F7B" w:rsidRPr="03530F7B">
            <w:rPr>
              <w:rFonts w:ascii="Calibri" w:eastAsia="Calibri" w:hAnsi="Calibri" w:cs="Calibri"/>
              <w:color w:val="000000" w:themeColor="text1"/>
            </w:rPr>
            <w:t>(</w:t>
          </w:r>
          <w:proofErr w:type="spellStart"/>
          <w:r w:rsidR="03530F7B" w:rsidRPr="03530F7B">
            <w:rPr>
              <w:rFonts w:ascii="Calibri" w:eastAsia="Calibri" w:hAnsi="Calibri" w:cs="Calibri"/>
              <w:color w:val="000000" w:themeColor="text1"/>
            </w:rPr>
            <w:t>Tingström</w:t>
          </w:r>
          <w:proofErr w:type="spellEnd"/>
          <w:r w:rsidR="03530F7B" w:rsidRPr="03530F7B">
            <w:rPr>
              <w:rFonts w:ascii="Calibri" w:eastAsia="Calibri" w:hAnsi="Calibri" w:cs="Calibri"/>
              <w:color w:val="000000" w:themeColor="text1"/>
            </w:rPr>
            <w:t xml:space="preserve">, </w:t>
          </w:r>
          <w:proofErr w:type="spellStart"/>
          <w:r w:rsidR="03530F7B" w:rsidRPr="03530F7B">
            <w:rPr>
              <w:rFonts w:ascii="Calibri" w:eastAsia="Calibri" w:hAnsi="Calibri" w:cs="Calibri"/>
              <w:color w:val="000000" w:themeColor="text1"/>
            </w:rPr>
            <w:t>Swanström</w:t>
          </w:r>
          <w:proofErr w:type="spellEnd"/>
          <w:r w:rsidR="03530F7B" w:rsidRPr="03530F7B">
            <w:rPr>
              <w:rFonts w:ascii="Calibri" w:eastAsia="Calibri" w:hAnsi="Calibri" w:cs="Calibri"/>
              <w:color w:val="000000" w:themeColor="text1"/>
            </w:rPr>
            <w:t xml:space="preserve"> et al. 2006)</w:t>
          </w:r>
        </w:sdtContent>
      </w:sdt>
      <w:r w:rsidRPr="03530F7B">
        <w:rPr>
          <w:rFonts w:ascii="Calibri" w:eastAsia="Calibri" w:hAnsi="Calibri" w:cs="Calibri"/>
          <w:color w:val="000000" w:themeColor="text1"/>
        </w:rPr>
        <w:t xml:space="preserve">. This is expanded upon later in the section covering </w:t>
      </w:r>
      <w:r w:rsidRPr="03530F7B">
        <w:rPr>
          <w:rFonts w:ascii="Calibri" w:eastAsia="Calibri" w:hAnsi="Calibri" w:cs="Calibri"/>
          <w:b/>
          <w:bCs/>
          <w:color w:val="000000" w:themeColor="text1"/>
        </w:rPr>
        <w:t>management of the innovation process</w:t>
      </w:r>
      <w:r w:rsidRPr="03530F7B">
        <w:rPr>
          <w:rFonts w:ascii="Calibri" w:eastAsia="Calibri" w:hAnsi="Calibri" w:cs="Calibri"/>
          <w:color w:val="000000" w:themeColor="text1"/>
        </w:rPr>
        <w:t>.</w:t>
      </w:r>
    </w:p>
    <w:p w14:paraId="7EEACF87" w14:textId="0D14852E" w:rsidR="2281A598" w:rsidRDefault="2281A598" w:rsidP="2281A598">
      <w:pPr>
        <w:jc w:val="both"/>
        <w:rPr>
          <w:rFonts w:ascii="Calibri" w:eastAsia="Calibri" w:hAnsi="Calibri" w:cs="Calibri"/>
          <w:color w:val="000000" w:themeColor="text1"/>
        </w:rPr>
      </w:pPr>
      <w:r w:rsidRPr="2F93D97E">
        <w:rPr>
          <w:rFonts w:ascii="Calibri" w:eastAsia="Calibri" w:hAnsi="Calibri" w:cs="Calibri"/>
          <w:color w:val="000000" w:themeColor="text1"/>
        </w:rPr>
        <w:t>At this point it is sufficient to emphasise that ABB began to walk the ‘sustainability’ walk with real conviction at the beginning of the 1990’s and this seed of environmental stewardship has grown and flourished into a genuine culture which pervades everything that ABB does and stands for.</w:t>
      </w:r>
    </w:p>
    <w:p w14:paraId="6CB50040" w14:textId="6D38C520" w:rsidR="2281A598" w:rsidRDefault="55C43D80" w:rsidP="2281A598">
      <w:pPr>
        <w:jc w:val="both"/>
        <w:rPr>
          <w:rFonts w:ascii="Calibri" w:eastAsia="Calibri" w:hAnsi="Calibri" w:cs="Calibri"/>
          <w:color w:val="000000" w:themeColor="text1"/>
        </w:rPr>
      </w:pPr>
      <w:r w:rsidRPr="45E914B0">
        <w:rPr>
          <w:rFonts w:ascii="Calibri" w:eastAsia="Calibri" w:hAnsi="Calibri" w:cs="Calibri"/>
          <w:color w:val="000000" w:themeColor="text1"/>
        </w:rPr>
        <w:t>The emerging opportunities for electrification are built upon ABB’s core competencies and innovations in power generation, transmission, distribution, and efficient consumption solutions (through both energy efficient transmission hardware and end user electric motors and drives etc).</w:t>
      </w:r>
    </w:p>
    <w:p w14:paraId="2F5CCC3E" w14:textId="5BEEFFA3" w:rsidR="2F93D97E" w:rsidRDefault="532780BC" w:rsidP="2F93D97E">
      <w:pPr>
        <w:jc w:val="both"/>
        <w:rPr>
          <w:rFonts w:ascii="Calibri" w:eastAsia="Calibri" w:hAnsi="Calibri" w:cs="Calibri"/>
          <w:color w:val="000000" w:themeColor="text1"/>
        </w:rPr>
      </w:pPr>
      <w:r w:rsidRPr="03530F7B">
        <w:rPr>
          <w:rFonts w:ascii="Calibri" w:eastAsia="Calibri" w:hAnsi="Calibri" w:cs="Calibri"/>
          <w:color w:val="000000" w:themeColor="text1"/>
        </w:rPr>
        <w:t xml:space="preserve">The need for rapid charging technology has major positive </w:t>
      </w:r>
      <w:r w:rsidRPr="03530F7B">
        <w:rPr>
          <w:rFonts w:ascii="Calibri" w:eastAsia="Calibri" w:hAnsi="Calibri" w:cs="Calibri"/>
          <w:b/>
          <w:bCs/>
          <w:color w:val="000000" w:themeColor="text1"/>
        </w:rPr>
        <w:t>externalities</w:t>
      </w:r>
      <w:r w:rsidRPr="03530F7B">
        <w:rPr>
          <w:rFonts w:ascii="Calibri" w:eastAsia="Calibri" w:hAnsi="Calibri" w:cs="Calibri"/>
          <w:color w:val="000000" w:themeColor="text1"/>
        </w:rPr>
        <w:t xml:space="preserve"> which are described by </w:t>
      </w:r>
      <w:sdt>
        <w:sdtPr>
          <w:alias w:val="Citation"/>
          <w:tag w:val="{&quot;referencesIds&quot;:[&quot;doc:628382a08f084bf47f33aa65&quot;],&quot;referencesOptions&quot;:{&quot;doc:628382a08f084bf47f33aa65&quot;:{&quot;author&quot;:true,&quot;year&quot;:true,&quot;pageReplace&quot;:&quot;&quot;,&quot;prefix&quot;:&quot;&quot;,&quot;suffix&quot;:&quot;&quot;}},&quot;hasBrokenReferences&quot;:false,&quot;hasManualEdits&quot;:false,&quot;citationType&quot;:&quot;inline&quot;,&quot;id&quot;:79384498,&quot;citationText&quot;:&quot;&lt;span style=\&quot;font-family:Calibri;font-size:14.666666666666666px;color:#000000\&quot;&gt;(Schilling 2022)&lt;/span&gt;&quot;}"/>
          <w:id w:val="1184851712"/>
          <w:placeholder>
            <w:docPart w:val="DefaultPlaceholder_1081868574"/>
          </w:placeholder>
        </w:sdtPr>
        <w:sdtEndPr/>
        <w:sdtContent>
          <w:r w:rsidR="03530F7B" w:rsidRPr="03530F7B">
            <w:rPr>
              <w:rFonts w:ascii="Calibri" w:eastAsia="Calibri" w:hAnsi="Calibri" w:cs="Calibri"/>
              <w:color w:val="000000" w:themeColor="text1"/>
            </w:rPr>
            <w:t>(Schilling 2022)</w:t>
          </w:r>
        </w:sdtContent>
      </w:sdt>
      <w:r>
        <w:t xml:space="preserve"> as ’</w:t>
      </w:r>
      <w:r w:rsidRPr="03530F7B">
        <w:rPr>
          <w:i/>
          <w:iCs/>
        </w:rPr>
        <w:t>Costs (or benefits) that are borne (or reaped) by individuals other than those responsible for creating them’.</w:t>
      </w:r>
    </w:p>
    <w:p w14:paraId="371A04A5" w14:textId="3013B5EB" w:rsidR="71F291AF" w:rsidRDefault="2F93D97E" w:rsidP="43298F21">
      <w:pPr>
        <w:jc w:val="both"/>
      </w:pPr>
      <w:r w:rsidRPr="43298F21">
        <w:t xml:space="preserve">Simply stated, the world needs companies like ABB to lead in the development of sustainable innovation by delivering technologies and solutions to the problems that we face in connection with climate change. </w:t>
      </w:r>
      <w:r w:rsidR="71F291AF" w:rsidRPr="43298F21">
        <w:t xml:space="preserve">Delivering rapid charging solutions will directly positively affect the demand for Electric Vehicles and this in turn will have a global scale positive external impact for us all. </w:t>
      </w:r>
    </w:p>
    <w:p w14:paraId="0BF447ED" w14:textId="3236808F" w:rsidR="50EC019F" w:rsidRDefault="50EC019F" w:rsidP="50EC019F">
      <w:pPr>
        <w:pStyle w:val="NoSpacing"/>
        <w:rPr>
          <w:rStyle w:val="Heading1Char"/>
        </w:rPr>
      </w:pPr>
    </w:p>
    <w:p w14:paraId="08A4D235" w14:textId="378C2E02" w:rsidR="50EC019F" w:rsidRDefault="50EC019F" w:rsidP="50EC019F">
      <w:pPr>
        <w:pStyle w:val="NoSpacing"/>
        <w:rPr>
          <w:rStyle w:val="Heading1Char"/>
        </w:rPr>
      </w:pPr>
    </w:p>
    <w:p w14:paraId="019FC057" w14:textId="6F398D9C" w:rsidR="43298F21" w:rsidRDefault="43298F21" w:rsidP="43298F21">
      <w:pPr>
        <w:pStyle w:val="NoSpacing"/>
        <w:rPr>
          <w:rStyle w:val="Heading1Char"/>
        </w:rPr>
      </w:pPr>
    </w:p>
    <w:p w14:paraId="2F791858" w14:textId="69515ADC" w:rsidR="008B6F09" w:rsidRDefault="68EB3128" w:rsidP="50EC019F">
      <w:pPr>
        <w:pStyle w:val="NoSpacing"/>
        <w:rPr>
          <w:b/>
          <w:bCs/>
        </w:rPr>
      </w:pPr>
      <w:bookmarkStart w:id="2" w:name="_Toc1659432397"/>
      <w:r w:rsidRPr="4F9EC538">
        <w:rPr>
          <w:rStyle w:val="Heading1Char"/>
        </w:rPr>
        <w:t xml:space="preserve">3. The barriers and risks faced by the company in developing this innovation </w:t>
      </w:r>
      <w:bookmarkEnd w:id="2"/>
    </w:p>
    <w:p w14:paraId="45ED301A" w14:textId="1C1195AF" w:rsidR="4F9EC538" w:rsidRDefault="4F9EC538" w:rsidP="4F9EC538">
      <w:pPr>
        <w:pStyle w:val="NoSpacing"/>
        <w:rPr>
          <w:b/>
          <w:bCs/>
        </w:rPr>
      </w:pPr>
    </w:p>
    <w:p w14:paraId="5FD7B3F5" w14:textId="31E95704" w:rsidR="4A2FA78B" w:rsidRDefault="4A2FA78B" w:rsidP="4A2FA78B">
      <w:pPr>
        <w:jc w:val="both"/>
      </w:pPr>
      <w:r>
        <w:t>ABB is operating at a global level and investing significantly in a zero-emission future to which it is fully committed. This commitment extends to huge investments in Research and Development which comes with related risks, som</w:t>
      </w:r>
      <w:r w:rsidR="1F55B360">
        <w:t>e of which are listed as:</w:t>
      </w:r>
    </w:p>
    <w:p w14:paraId="5EA17448" w14:textId="2E78E890" w:rsidR="008B6F09" w:rsidRDefault="7969E15A" w:rsidP="03530F7B">
      <w:pPr>
        <w:pStyle w:val="ListParagraph"/>
        <w:numPr>
          <w:ilvl w:val="0"/>
          <w:numId w:val="9"/>
        </w:numPr>
        <w:jc w:val="both"/>
        <w:rPr>
          <w:rFonts w:eastAsiaTheme="minorEastAsia"/>
          <w:color w:val="000000" w:themeColor="text1"/>
        </w:rPr>
      </w:pPr>
      <w:r>
        <w:t xml:space="preserve">Government policy for expanding the EV charging infrastructure </w:t>
      </w:r>
      <w:sdt>
        <w:sdtPr>
          <w:alias w:val="Citation"/>
          <w:tag w:val="{&quot;referencesIds&quot;:[&quot;doc:6280b6e58f0873b18018b0d2&quot;],&quot;referencesOptions&quot;:{&quot;doc:6280b6e58f0873b18018b0d2&quot;:{&quot;author&quot;:true,&quot;year&quot;:true,&quot;pageReplace&quot;:&quot;&quot;,&quot;prefix&quot;:&quot;&quot;,&quot;suffix&quot;:&quot;&quot;}},&quot;hasBrokenReferences&quot;:false,&quot;hasManualEdits&quot;:false,&quot;citationType&quot;:&quot;inline&quot;,&quot;id&quot;:2063099720,&quot;citationText&quot;:&quot;&lt;span style=\&quot;font-family:Calibri;font-size:14.666666666666666px;color:#000000\&quot;&gt;(The future of EV charging infrastructure: Executive perspectives. 2021)&lt;/span&gt;&quot;}"/>
          <w:id w:val="1219185581"/>
          <w:placeholder>
            <w:docPart w:val="DefaultPlaceholder_1081868574"/>
          </w:placeholder>
        </w:sdtPr>
        <w:sdtEndPr/>
        <w:sdtContent>
          <w:r w:rsidR="03530F7B" w:rsidRPr="03530F7B">
            <w:rPr>
              <w:rFonts w:ascii="Calibri" w:eastAsia="Calibri" w:hAnsi="Calibri" w:cs="Calibri"/>
              <w:color w:val="000000" w:themeColor="text1"/>
            </w:rPr>
            <w:t>(The future of EV charging infrastructure: Executive perspectives. 2021)</w:t>
          </w:r>
        </w:sdtContent>
      </w:sdt>
    </w:p>
    <w:p w14:paraId="72482028" w14:textId="4C04E8A7" w:rsidR="36A3FF5A" w:rsidRDefault="2CDDDCBC" w:rsidP="03530F7B">
      <w:pPr>
        <w:pStyle w:val="ListParagraph"/>
        <w:numPr>
          <w:ilvl w:val="0"/>
          <w:numId w:val="9"/>
        </w:numPr>
        <w:jc w:val="both"/>
        <w:rPr>
          <w:rFonts w:eastAsiaTheme="minorEastAsia"/>
          <w:color w:val="000000" w:themeColor="text1"/>
        </w:rPr>
      </w:pPr>
      <w:r>
        <w:t xml:space="preserve">Huge sums of money needed for investment in infrastructure </w:t>
      </w:r>
      <w:sdt>
        <w:sdtPr>
          <w:alias w:val="Citation"/>
          <w:tag w:val="{&quot;referencesIds&quot;:[&quot;doc:6280b6e58f0873b18018b0d2&quot;],&quot;referencesOptions&quot;:{&quot;doc:6280b6e58f0873b18018b0d2&quot;:{&quot;author&quot;:true,&quot;year&quot;:true,&quot;pageReplace&quot;:&quot;&quot;,&quot;prefix&quot;:&quot;&quot;,&quot;suffix&quot;:&quot;&quot;}},&quot;hasBrokenReferences&quot;:false,&quot;hasManualEdits&quot;:false,&quot;citationType&quot;:&quot;inline&quot;,&quot;id&quot;:1494056351,&quot;citationText&quot;:&quot;&lt;span style=\&quot;font-family:Calibri;font-size:14.666666666666666px;color:#000000\&quot;&gt;(The future of EV charging infrastructure: Executive perspectives. 2021)&lt;/span&gt;&quot;}"/>
          <w:id w:val="1669971118"/>
          <w:placeholder>
            <w:docPart w:val="DefaultPlaceholder_1081868574"/>
          </w:placeholder>
        </w:sdtPr>
        <w:sdtEndPr/>
        <w:sdtContent>
          <w:r w:rsidR="03530F7B" w:rsidRPr="03530F7B">
            <w:rPr>
              <w:rFonts w:ascii="Calibri" w:eastAsia="Calibri" w:hAnsi="Calibri" w:cs="Calibri"/>
              <w:color w:val="000000" w:themeColor="text1"/>
            </w:rPr>
            <w:t>(The future of EV charging infrastructure: Executive perspectives. 2021)</w:t>
          </w:r>
        </w:sdtContent>
      </w:sdt>
    </w:p>
    <w:p w14:paraId="10F96634" w14:textId="08148319" w:rsidR="008B6F09" w:rsidRDefault="7969E15A" w:rsidP="4633F1D1">
      <w:pPr>
        <w:pStyle w:val="ListParagraph"/>
        <w:numPr>
          <w:ilvl w:val="0"/>
          <w:numId w:val="9"/>
        </w:numPr>
        <w:jc w:val="both"/>
        <w:rPr>
          <w:rFonts w:eastAsiaTheme="minorEastAsia"/>
          <w:color w:val="000000" w:themeColor="text1"/>
        </w:rPr>
      </w:pPr>
      <w:r>
        <w:t xml:space="preserve">Price volatility for Lithium which has increased significantly </w:t>
      </w:r>
      <w:sdt>
        <w:sdtPr>
          <w:alias w:val="Citation"/>
          <w:tag w:val="{&quot;referencesIds&quot;:[&quot;doc:6282337f8f08457c71cee56f&quot;],&quot;referencesOptions&quot;:{&quot;doc:6282337f8f08457c71cee56f&quot;:{&quot;author&quot;:true,&quot;year&quot;:true,&quot;pageReplace&quot;:&quot;&quot;,&quot;prefix&quot;:&quot;&quot;,&quot;suffix&quot;:&quot;&quot;}},&quot;hasBrokenReferences&quot;:false,&quot;hasManualEdits&quot;:false,&quot;citationType&quot;:&quot;inline&quot;,&quot;id&quot;:1047326292,&quot;citationText&quot;:&quot;&lt;span style=\&quot;font-family:Calibri;font-size:14.666666666666666px;color:#000000\&quot;&gt;(Bove 2022)&lt;/span&gt;&quot;}"/>
          <w:id w:val="1664615101"/>
          <w:placeholder>
            <w:docPart w:val="DefaultPlaceholder_1081868574"/>
          </w:placeholder>
        </w:sdtPr>
        <w:sdtEndPr/>
        <w:sdtContent>
          <w:r w:rsidR="03530F7B" w:rsidRPr="03530F7B">
            <w:rPr>
              <w:rFonts w:ascii="Calibri" w:eastAsia="Calibri" w:hAnsi="Calibri" w:cs="Calibri"/>
              <w:color w:val="000000" w:themeColor="text1"/>
            </w:rPr>
            <w:t>(Bove 2022)</w:t>
          </w:r>
          <w:r w:rsidR="03530F7B">
            <w:t xml:space="preserve"> </w:t>
          </w:r>
        </w:sdtContent>
      </w:sdt>
      <w:r>
        <w:t xml:space="preserve">or a shift to other fuels such as hydrogen </w:t>
      </w:r>
      <w:sdt>
        <w:sdtPr>
          <w:alias w:val="Citation"/>
          <w:tag w:val="{&quot;referencesIds&quot;:[&quot;doc:62822ac58f081c0392ab2a12&quot;],&quot;referencesOptions&quot;:{&quot;doc:62822ac58f081c0392ab2a12&quot;:{&quot;author&quot;:true,&quot;year&quot;:true,&quot;pageReplace&quot;:&quot;&quot;,&quot;prefix&quot;:&quot;&quot;,&quot;suffix&quot;:&quot;&quot;}},&quot;hasBrokenReferences&quot;:false,&quot;hasManualEdits&quot;:false,&quot;citationType&quot;:&quot;inline&quot;,&quot;id&quot;:1928789703,&quot;citationText&quot;:&quot;&lt;span style=\&quot;font-family:Calibri;font-size:14.666666666666666px;color:#000000\&quot;&gt;(Reuters 2022)&lt;/span&gt;&quot;}"/>
          <w:id w:val="1536836066"/>
          <w:placeholder>
            <w:docPart w:val="DefaultPlaceholder_1081868574"/>
          </w:placeholder>
        </w:sdtPr>
        <w:sdtEndPr/>
        <w:sdtContent>
          <w:r w:rsidR="03530F7B" w:rsidRPr="03530F7B">
            <w:rPr>
              <w:rFonts w:ascii="Calibri" w:eastAsia="Calibri" w:hAnsi="Calibri" w:cs="Calibri"/>
              <w:color w:val="000000" w:themeColor="text1"/>
            </w:rPr>
            <w:t>(Reuters 2022)</w:t>
          </w:r>
        </w:sdtContent>
      </w:sdt>
      <w:r w:rsidR="15750D3E" w:rsidRPr="03530F7B">
        <w:rPr>
          <w:rFonts w:ascii="Calibri" w:eastAsia="Calibri" w:hAnsi="Calibri" w:cs="Calibri"/>
          <w:color w:val="000000" w:themeColor="text1"/>
        </w:rPr>
        <w:t xml:space="preserve"> both of which could affect the price and demand for Electric Vehicles</w:t>
      </w:r>
    </w:p>
    <w:p w14:paraId="29DA95C6" w14:textId="72B953EC" w:rsidR="4633F1D1" w:rsidRDefault="4633F1D1" w:rsidP="4633F1D1">
      <w:pPr>
        <w:pStyle w:val="ListParagraph"/>
        <w:numPr>
          <w:ilvl w:val="0"/>
          <w:numId w:val="9"/>
        </w:numPr>
        <w:jc w:val="both"/>
        <w:rPr>
          <w:color w:val="000000" w:themeColor="text1"/>
        </w:rPr>
      </w:pPr>
      <w:r w:rsidRPr="4A2FA78B">
        <w:rPr>
          <w:rFonts w:eastAsiaTheme="minorEastAsia"/>
          <w:color w:val="000000" w:themeColor="text1"/>
        </w:rPr>
        <w:t>In a global market there are different challenges in different countries such as the differences in ownership of charging stations in the US (privately owned) and Europe (owned by Utility Companies)</w:t>
      </w:r>
    </w:p>
    <w:p w14:paraId="6D7E283D" w14:textId="52A274E6" w:rsidR="008B6F09" w:rsidRDefault="008B6F09" w:rsidP="24EA015F">
      <w:pPr>
        <w:pStyle w:val="ListParagraph"/>
        <w:numPr>
          <w:ilvl w:val="0"/>
          <w:numId w:val="9"/>
        </w:numPr>
        <w:jc w:val="both"/>
      </w:pPr>
      <w:r>
        <w:t>New competing technology developments which are currently unknown however this threat is partly mitigated through wides</w:t>
      </w:r>
      <w:r w:rsidR="24EA015F">
        <w:t>pread research and watching the competition closely</w:t>
      </w:r>
    </w:p>
    <w:p w14:paraId="655BAB3E" w14:textId="50A21169" w:rsidR="008C091C" w:rsidRDefault="008C091C" w:rsidP="4633F1D1">
      <w:pPr>
        <w:pStyle w:val="ListParagraph"/>
        <w:numPr>
          <w:ilvl w:val="0"/>
          <w:numId w:val="9"/>
        </w:numPr>
        <w:jc w:val="both"/>
      </w:pPr>
      <w:r>
        <w:t>New acquisitions will be needed to gather and integrate new knowledge and capabilities which always poses challenges and risks</w:t>
      </w:r>
    </w:p>
    <w:p w14:paraId="2D8D26AB" w14:textId="2828E44D" w:rsidR="739E54EC" w:rsidRDefault="739E54EC" w:rsidP="4633F1D1">
      <w:pPr>
        <w:pStyle w:val="ListParagraph"/>
        <w:numPr>
          <w:ilvl w:val="0"/>
          <w:numId w:val="9"/>
        </w:numPr>
        <w:jc w:val="both"/>
      </w:pPr>
      <w:r>
        <w:t>Keeping up to date with advances made by competitors in the development of rapid charging technology which should become clear by participation and collaboration with universities and competitors</w:t>
      </w:r>
    </w:p>
    <w:p w14:paraId="4BEB5D21" w14:textId="2817E621" w:rsidR="36A3FF5A" w:rsidRDefault="2CDDDCBC" w:rsidP="03530F7B">
      <w:pPr>
        <w:pStyle w:val="ListParagraph"/>
        <w:numPr>
          <w:ilvl w:val="0"/>
          <w:numId w:val="9"/>
        </w:numPr>
        <w:jc w:val="both"/>
        <w:rPr>
          <w:rFonts w:eastAsiaTheme="minorEastAsia"/>
          <w:color w:val="000000" w:themeColor="text1"/>
        </w:rPr>
      </w:pPr>
      <w:r>
        <w:t xml:space="preserve">Ensuring that key personnel in newly acquired businesses are thoroughly trained in the ABB Way </w:t>
      </w:r>
      <w:sdt>
        <w:sdtPr>
          <w:alias w:val="Citation"/>
          <w:tag w:val="{&quot;referencesIds&quot;:[&quot;doc:628226578f08f5b36bde4df4&quot;],&quot;referencesOptions&quot;:{&quot;doc:628226578f08f5b36bde4df4&quot;:{&quot;author&quot;:true,&quot;year&quot;:true,&quot;pageReplace&quot;:&quot;&quot;,&quot;prefix&quot;:&quot;&quot;,&quot;suffix&quot;:&quot;&quot;}},&quot;hasBrokenReferences&quot;:false,&quot;hasManualEdits&quot;:false,&quot;citationType&quot;:&quot;inline&quot;,&quot;id&quot;:283592516,&quot;citationText&quot;:&quot;&lt;span style=\&quot;font-family:Calibri;font-size:14.666666666666666px;color:#000000\&quot;&gt;(, ABB Group Annual Report 2020 - English2022)&lt;/span&gt;&quot;}"/>
          <w:id w:val="995683444"/>
          <w:placeholder>
            <w:docPart w:val="DefaultPlaceholder_1081868574"/>
          </w:placeholder>
        </w:sdtPr>
        <w:sdtEndPr/>
        <w:sdtContent>
          <w:r w:rsidR="03530F7B" w:rsidRPr="03530F7B">
            <w:rPr>
              <w:rFonts w:ascii="Calibri" w:eastAsia="Calibri" w:hAnsi="Calibri" w:cs="Calibri"/>
              <w:color w:val="000000" w:themeColor="text1"/>
            </w:rPr>
            <w:t>(, ABB Group Annual Report 2020 - English2022)</w:t>
          </w:r>
        </w:sdtContent>
      </w:sdt>
    </w:p>
    <w:p w14:paraId="54AA23C5" w14:textId="088FC52F" w:rsidR="36A3FF5A" w:rsidRDefault="36A3FF5A" w:rsidP="4633F1D1">
      <w:pPr>
        <w:pStyle w:val="ListParagraph"/>
        <w:numPr>
          <w:ilvl w:val="0"/>
          <w:numId w:val="9"/>
        </w:numPr>
        <w:jc w:val="both"/>
        <w:rPr>
          <w:color w:val="000000" w:themeColor="text1"/>
        </w:rPr>
      </w:pPr>
      <w:r w:rsidRPr="2DEFBAD2">
        <w:rPr>
          <w:rFonts w:ascii="Calibri" w:eastAsia="Calibri" w:hAnsi="Calibri" w:cs="Calibri"/>
          <w:color w:val="000000" w:themeColor="text1"/>
        </w:rPr>
        <w:t>Motivating, inspiring, rewarding, empowering, and keeping key personnel in newly acquired businesses is vital for protecting tacit knowledge and key relationships which these individuals have built during their careers to date</w:t>
      </w:r>
    </w:p>
    <w:p w14:paraId="790C9BDD" w14:textId="2B94AD23" w:rsidR="36A3FF5A" w:rsidRDefault="36A3FF5A" w:rsidP="4633F1D1">
      <w:pPr>
        <w:pStyle w:val="ListParagraph"/>
        <w:numPr>
          <w:ilvl w:val="0"/>
          <w:numId w:val="9"/>
        </w:numPr>
        <w:jc w:val="both"/>
      </w:pPr>
      <w:r>
        <w:t xml:space="preserve">Managing R&amp;D projects with universities on a global scale, to ensure that all potential value is spotted for further consideration among the ABB Business Units </w:t>
      </w:r>
    </w:p>
    <w:p w14:paraId="2AA8E877" w14:textId="7C598963" w:rsidR="36A3FF5A" w:rsidRDefault="36A3FF5A" w:rsidP="4633F1D1">
      <w:pPr>
        <w:jc w:val="both"/>
      </w:pPr>
      <w:r>
        <w:t xml:space="preserve">A long history of successful acquisitions, carefully selected to complement internal competencies, shows the ability within ABB to integrate and absorb the knowledge afforded by the newly acquired entities. </w:t>
      </w:r>
    </w:p>
    <w:p w14:paraId="5A986020" w14:textId="30F24822" w:rsidR="36A3FF5A" w:rsidRDefault="2806B295" w:rsidP="4633F1D1">
      <w:pPr>
        <w:jc w:val="both"/>
      </w:pPr>
      <w:r>
        <w:t>A review of the ABB Annual Reports from 2009 to 2021 (inclusive) revealed that the words ‘acquire’, or acquisition were found to be used over 2,500 times in total, which suggests a reasonable level of acquisition focus! These occurrences peaked in 2018 where we find 281 instances.</w:t>
      </w:r>
    </w:p>
    <w:p w14:paraId="7E57CEBE" w14:textId="799BFCFB" w:rsidR="50EC019F" w:rsidRDefault="50EC019F">
      <w:r>
        <w:br w:type="page"/>
      </w:r>
    </w:p>
    <w:p w14:paraId="72D15BC3" w14:textId="3798F128" w:rsidR="0043128A" w:rsidRDefault="69392013" w:rsidP="50EC019F">
      <w:pPr>
        <w:pStyle w:val="Heading1"/>
        <w:jc w:val="both"/>
      </w:pPr>
      <w:bookmarkStart w:id="3" w:name="_Toc1424422017"/>
      <w:r>
        <w:lastRenderedPageBreak/>
        <w:t>4. The key determinants in the process of committing to develop the innovation</w:t>
      </w:r>
      <w:bookmarkEnd w:id="3"/>
    </w:p>
    <w:p w14:paraId="220F2AE9" w14:textId="41B0B7B5" w:rsidR="172C2724" w:rsidRDefault="172C2724" w:rsidP="172C2724">
      <w:pPr>
        <w:jc w:val="both"/>
        <w:rPr>
          <w:highlight w:val="yellow"/>
        </w:rPr>
      </w:pPr>
      <w:r>
        <w:t>It is helpful to reflect on the recent history of ABB’s management to get some insight into the reasons why the company has been so successful at achieving breakthroughs and advances in sustainable technologies.</w:t>
      </w:r>
    </w:p>
    <w:p w14:paraId="66DBEB9C" w14:textId="6280E23E" w:rsidR="172C2724" w:rsidRDefault="676A519B" w:rsidP="172C2724">
      <w:pPr>
        <w:jc w:val="both"/>
        <w:rPr>
          <w:rFonts w:ascii="Calibri" w:eastAsia="Calibri" w:hAnsi="Calibri" w:cs="Calibri"/>
          <w:color w:val="000000" w:themeColor="text1"/>
        </w:rPr>
      </w:pPr>
      <w:r>
        <w:t xml:space="preserve">Just before the turn of the century ABB’s CEO, Goran Lindhal, had commissioned a firm of outside consultants to explore why ABB was underperforming significantly when compared with General Electric (GE), its main competitor. At that time </w:t>
      </w:r>
      <w:sdt>
        <w:sdtPr>
          <w:alias w:val="Citation"/>
          <w:tag w:val="{&quot;referencesIds&quot;:[&quot;doc:626e67f88f085c4d3e7bd34d&quot;],&quot;referencesOptions&quot;:{&quot;doc:626e67f88f085c4d3e7bd34d&quot;:{&quot;author&quot;:true,&quot;year&quot;:true,&quot;pageReplace&quot;:&quot;&quot;,&quot;prefix&quot;:&quot;&quot;,&quot;suffix&quot;:&quot;&quot;}},&quot;hasBrokenReferences&quot;:false,&quot;hasManualEdits&quot;:false,&quot;citationType&quot;:&quot;inline&quot;,&quot;id&quot;:1248196770,&quot;citationText&quot;:&quot;&lt;span style=\&quot;font-family:Calibri;font-size:14.666666666666666px;color:#000000\&quot;&gt;(Burt 1999)&lt;/span&gt;&quot;}"/>
          <w:id w:val="913345497"/>
          <w:placeholder>
            <w:docPart w:val="DefaultPlaceholder_1081868574"/>
          </w:placeholder>
        </w:sdtPr>
        <w:sdtEndPr/>
        <w:sdtContent>
          <w:r w:rsidR="03530F7B" w:rsidRPr="03530F7B">
            <w:rPr>
              <w:rFonts w:ascii="Calibri" w:eastAsia="Calibri" w:hAnsi="Calibri" w:cs="Calibri"/>
              <w:color w:val="000000" w:themeColor="text1"/>
            </w:rPr>
            <w:t>(Burt 1999)</w:t>
          </w:r>
        </w:sdtContent>
      </w:sdt>
      <w:r w:rsidRPr="03530F7B">
        <w:rPr>
          <w:rFonts w:ascii="Calibri" w:eastAsia="Calibri" w:hAnsi="Calibri" w:cs="Calibri"/>
          <w:color w:val="000000" w:themeColor="text1"/>
        </w:rPr>
        <w:t xml:space="preserve"> reported that GE was reporting a return on sales of 26.7% compared with ABB’s 5.6%. </w:t>
      </w:r>
    </w:p>
    <w:p w14:paraId="3A9B9F47" w14:textId="6553A4C9" w:rsidR="172C2724" w:rsidRDefault="676A519B" w:rsidP="172C2724">
      <w:pPr>
        <w:jc w:val="both"/>
        <w:rPr>
          <w:rFonts w:ascii="Calibri" w:eastAsia="Calibri" w:hAnsi="Calibri" w:cs="Calibri"/>
          <w:color w:val="000000" w:themeColor="text1"/>
        </w:rPr>
      </w:pPr>
      <w:r w:rsidRPr="03530F7B">
        <w:rPr>
          <w:rFonts w:ascii="Calibri" w:eastAsia="Calibri" w:hAnsi="Calibri" w:cs="Calibri"/>
          <w:color w:val="000000" w:themeColor="text1"/>
        </w:rPr>
        <w:t xml:space="preserve">The study, directed by Goran Lindhal, was conducted over a period of 18 months, and included interviews with industry leaders from the US and Europe together with study groups. The takeaways from the consultation, described in </w:t>
      </w:r>
      <w:sdt>
        <w:sdtPr>
          <w:alias w:val="Citation"/>
          <w:tag w:val="{&quot;referencesIds&quot;:[&quot;doc:626e67f88f085c4d3e7bd34d&quot;],&quot;referencesOptions&quot;:{&quot;doc:626e67f88f085c4d3e7bd34d&quot;:{&quot;author&quot;:true,&quot;year&quot;:true,&quot;pageReplace&quot;:&quot;&quot;,&quot;prefix&quot;:&quot;&quot;,&quot;suffix&quot;:&quot;&quot;}},&quot;hasBrokenReferences&quot;:false,&quot;hasManualEdits&quot;:false,&quot;citationType&quot;:&quot;inline&quot;,&quot;id&quot;:651198042,&quot;citationText&quot;:&quot;&lt;span style=\&quot;font-family:Calibri;font-size:14.666666666666666px;color:#000000\&quot;&gt;(Burt 1999)&lt;/span&gt;&quot;}"/>
          <w:id w:val="1577040410"/>
          <w:placeholder>
            <w:docPart w:val="DefaultPlaceholder_1081868574"/>
          </w:placeholder>
        </w:sdtPr>
        <w:sdtEndPr/>
        <w:sdtContent>
          <w:r w:rsidR="03530F7B" w:rsidRPr="03530F7B">
            <w:rPr>
              <w:rFonts w:ascii="Calibri" w:eastAsia="Calibri" w:hAnsi="Calibri" w:cs="Calibri"/>
              <w:color w:val="000000" w:themeColor="text1"/>
            </w:rPr>
            <w:t>(Burt 1999)</w:t>
          </w:r>
        </w:sdtContent>
      </w:sdt>
      <w:r>
        <w:t xml:space="preserve"> were broadly that business leaders need to be willing to:</w:t>
      </w:r>
    </w:p>
    <w:p w14:paraId="1915576E" w14:textId="5D2CD3C7" w:rsidR="172C2724" w:rsidRDefault="172C2724" w:rsidP="172C2724">
      <w:pPr>
        <w:pStyle w:val="ListParagraph"/>
        <w:numPr>
          <w:ilvl w:val="0"/>
          <w:numId w:val="5"/>
        </w:numPr>
        <w:jc w:val="both"/>
        <w:rPr>
          <w:rFonts w:eastAsiaTheme="minorEastAsia"/>
          <w:color w:val="000000" w:themeColor="text1"/>
        </w:rPr>
      </w:pPr>
      <w:r w:rsidRPr="172C2724">
        <w:rPr>
          <w:rFonts w:ascii="Calibri" w:eastAsia="Calibri" w:hAnsi="Calibri" w:cs="Calibri"/>
          <w:color w:val="000000" w:themeColor="text1"/>
        </w:rPr>
        <w:t>Accept that mistakes will be made and not to punish them when organisational changes are introduced for the purpose of becoming more competitive and entrepreneurial</w:t>
      </w:r>
    </w:p>
    <w:p w14:paraId="1E29AF37" w14:textId="4EA0994A" w:rsidR="172C2724" w:rsidRDefault="172C2724" w:rsidP="172C2724">
      <w:pPr>
        <w:pStyle w:val="ListParagraph"/>
        <w:numPr>
          <w:ilvl w:val="0"/>
          <w:numId w:val="5"/>
        </w:numPr>
        <w:jc w:val="both"/>
        <w:rPr>
          <w:color w:val="000000" w:themeColor="text1"/>
        </w:rPr>
      </w:pPr>
      <w:r w:rsidRPr="172C2724">
        <w:rPr>
          <w:rFonts w:ascii="Calibri" w:eastAsia="Calibri" w:hAnsi="Calibri" w:cs="Calibri"/>
          <w:color w:val="000000" w:themeColor="text1"/>
        </w:rPr>
        <w:t>Embrace a climate of continual and inclusive change</w:t>
      </w:r>
    </w:p>
    <w:p w14:paraId="034A55EB" w14:textId="414366C9" w:rsidR="172C2724" w:rsidRDefault="172C2724" w:rsidP="172C2724">
      <w:pPr>
        <w:pStyle w:val="ListParagraph"/>
        <w:numPr>
          <w:ilvl w:val="0"/>
          <w:numId w:val="5"/>
        </w:numPr>
        <w:jc w:val="both"/>
        <w:rPr>
          <w:color w:val="000000" w:themeColor="text1"/>
        </w:rPr>
      </w:pPr>
      <w:r w:rsidRPr="7552DEC5">
        <w:rPr>
          <w:rFonts w:ascii="Calibri" w:eastAsia="Calibri" w:hAnsi="Calibri" w:cs="Calibri"/>
          <w:color w:val="000000" w:themeColor="text1"/>
        </w:rPr>
        <w:t>Involve everyone whose ‘hearts and minds’ need to be supportive of the need for change</w:t>
      </w:r>
    </w:p>
    <w:p w14:paraId="4FF97A0E" w14:textId="45EAAC8A" w:rsidR="172C2724" w:rsidRDefault="172C2724" w:rsidP="172C2724">
      <w:pPr>
        <w:pStyle w:val="ListParagraph"/>
        <w:numPr>
          <w:ilvl w:val="0"/>
          <w:numId w:val="5"/>
        </w:numPr>
        <w:jc w:val="both"/>
        <w:rPr>
          <w:color w:val="000000" w:themeColor="text1"/>
        </w:rPr>
      </w:pPr>
      <w:r w:rsidRPr="7552DEC5">
        <w:rPr>
          <w:rFonts w:ascii="Calibri" w:eastAsia="Calibri" w:hAnsi="Calibri" w:cs="Calibri"/>
          <w:color w:val="000000" w:themeColor="text1"/>
        </w:rPr>
        <w:t>Make the changes without a (potentially limiting and prohibitive) cost analysis and do whatever it takes to become more competitive</w:t>
      </w:r>
    </w:p>
    <w:p w14:paraId="22E2B379" w14:textId="78B070C9" w:rsidR="172C2724" w:rsidRDefault="172C2724" w:rsidP="172C2724">
      <w:pPr>
        <w:jc w:val="both"/>
        <w:rPr>
          <w:rFonts w:ascii="Calibri" w:eastAsia="Calibri" w:hAnsi="Calibri" w:cs="Calibri"/>
          <w:color w:val="000000" w:themeColor="text1"/>
        </w:rPr>
      </w:pPr>
      <w:r w:rsidRPr="172C2724">
        <w:rPr>
          <w:rFonts w:ascii="Calibri" w:eastAsia="Calibri" w:hAnsi="Calibri" w:cs="Calibri"/>
          <w:color w:val="000000" w:themeColor="text1"/>
        </w:rPr>
        <w:t>Whilst this report is not centred on what took place in 1999, the findings and realities uncovered by the consultation certainly resonate with subsequent management action and attitudes within ABB.</w:t>
      </w:r>
    </w:p>
    <w:p w14:paraId="7396FED2" w14:textId="3090D65A" w:rsidR="172C2724" w:rsidRDefault="172C2724" w:rsidP="172C2724">
      <w:pPr>
        <w:jc w:val="both"/>
        <w:rPr>
          <w:rFonts w:ascii="Calibri" w:eastAsia="Calibri" w:hAnsi="Calibri" w:cs="Calibri"/>
          <w:color w:val="000000" w:themeColor="text1"/>
        </w:rPr>
      </w:pPr>
      <w:r w:rsidRPr="2DEFBAD2">
        <w:rPr>
          <w:rFonts w:ascii="Calibri" w:eastAsia="Calibri" w:hAnsi="Calibri" w:cs="Calibri"/>
          <w:color w:val="000000" w:themeColor="text1"/>
        </w:rPr>
        <w:t>The most fundamental determinant for the development of E-Mobility's rapid charging technology is the willingness of management to embrace changes needed to ensure that ABB continues to reinvent itself through dynamic innovation management and performance. In this context, we can list some other more readily recognisable determinants as follows:</w:t>
      </w:r>
    </w:p>
    <w:p w14:paraId="1B708F8D" w14:textId="5B8F4A04" w:rsidR="0043128A" w:rsidRDefault="208551D6" w:rsidP="03530F7B">
      <w:pPr>
        <w:pStyle w:val="ListParagraph"/>
        <w:numPr>
          <w:ilvl w:val="0"/>
          <w:numId w:val="10"/>
        </w:numPr>
        <w:jc w:val="both"/>
        <w:rPr>
          <w:rFonts w:eastAsiaTheme="minorEastAsia"/>
          <w:color w:val="000000" w:themeColor="text1"/>
        </w:rPr>
      </w:pPr>
      <w:r>
        <w:t>Core technology competencies including succes</w:t>
      </w:r>
      <w:r w:rsidR="7F4836C6">
        <w:t xml:space="preserve">sful acquisitions such as the foundational adoption of </w:t>
      </w:r>
      <w:proofErr w:type="spellStart"/>
      <w:r w:rsidR="7F4836C6">
        <w:t>Epyon</w:t>
      </w:r>
      <w:proofErr w:type="spellEnd"/>
      <w:r w:rsidR="7F4836C6">
        <w:t xml:space="preserve"> in 2011 </w:t>
      </w:r>
      <w:sdt>
        <w:sdtPr>
          <w:alias w:val="Citation"/>
          <w:tag w:val="{&quot;referencesIds&quot;:[&quot;doc:62823f918f081c0392ab2e19&quot;],&quot;referencesOptions&quot;:{&quot;doc:62823f918f081c0392ab2e19&quot;:{&quot;author&quot;:true,&quot;year&quot;:true,&quot;pageReplace&quot;:&quot;&quot;,&quot;prefix&quot;:&quot;&quot;,&quot;suffix&quot;:&quot;&quot;}},&quot;hasBrokenReferences&quot;:false,&quot;hasManualEdits&quot;:false,&quot;citationType&quot;:&quot;inline&quot;,&quot;id&quot;:479577045,&quot;citationText&quot;:&quot;&lt;span style=\&quot;font-family:Calibri;font-size:14.666666666666666px;color:#000000\&quot;&gt;(Switzerland : ABB e-mobility business recognized as one of Europe's Cleantech Companies of the Decade. 2014)&lt;/span&gt;&quot;}"/>
          <w:id w:val="1393424884"/>
          <w:placeholder>
            <w:docPart w:val="DefaultPlaceholder_1081868574"/>
          </w:placeholder>
        </w:sdtPr>
        <w:sdtEndPr/>
        <w:sdtContent>
          <w:r w:rsidR="03530F7B" w:rsidRPr="77335483">
            <w:rPr>
              <w:rFonts w:ascii="Calibri" w:eastAsia="Calibri" w:hAnsi="Calibri" w:cs="Calibri"/>
              <w:color w:val="000000" w:themeColor="text1"/>
            </w:rPr>
            <w:t>(</w:t>
          </w:r>
          <w:bookmarkStart w:id="4" w:name="_Int_T6az73bz"/>
          <w:proofErr w:type="gramStart"/>
          <w:r w:rsidR="03530F7B" w:rsidRPr="77335483">
            <w:rPr>
              <w:rFonts w:ascii="Calibri" w:eastAsia="Calibri" w:hAnsi="Calibri" w:cs="Calibri"/>
              <w:color w:val="000000" w:themeColor="text1"/>
            </w:rPr>
            <w:t>Switzerland :</w:t>
          </w:r>
          <w:bookmarkEnd w:id="4"/>
          <w:proofErr w:type="gramEnd"/>
          <w:r w:rsidR="03530F7B" w:rsidRPr="77335483">
            <w:rPr>
              <w:rFonts w:ascii="Calibri" w:eastAsia="Calibri" w:hAnsi="Calibri" w:cs="Calibri"/>
              <w:color w:val="000000" w:themeColor="text1"/>
            </w:rPr>
            <w:t xml:space="preserve"> ABB e-mobility business recognized as one of Europe's Cleantech Companies of the Decade. 2014)</w:t>
          </w:r>
        </w:sdtContent>
      </w:sdt>
    </w:p>
    <w:p w14:paraId="6BFE75B5" w14:textId="0DFE6600" w:rsidR="0043128A" w:rsidRDefault="0043128A" w:rsidP="4633F1D1">
      <w:pPr>
        <w:pStyle w:val="ListParagraph"/>
        <w:numPr>
          <w:ilvl w:val="0"/>
          <w:numId w:val="10"/>
        </w:numPr>
        <w:jc w:val="both"/>
      </w:pPr>
      <w:r>
        <w:t xml:space="preserve">A corporate culture which has evolved to ensure that innovation is encouraged at all levels and within all business units </w:t>
      </w:r>
    </w:p>
    <w:p w14:paraId="0007E351" w14:textId="1402F6D1" w:rsidR="4633F1D1" w:rsidRDefault="100097AB" w:rsidP="4633F1D1">
      <w:pPr>
        <w:pStyle w:val="ListParagraph"/>
        <w:numPr>
          <w:ilvl w:val="0"/>
          <w:numId w:val="10"/>
        </w:numPr>
        <w:jc w:val="both"/>
        <w:rPr>
          <w:rFonts w:eastAsiaTheme="minorEastAsia"/>
          <w:color w:val="000000" w:themeColor="text1"/>
        </w:rPr>
      </w:pPr>
      <w:r>
        <w:t xml:space="preserve">ABB has a record of innovation accomplishment spanning 130 years which </w:t>
      </w:r>
      <w:sdt>
        <w:sdtPr>
          <w:alias w:val="Citation"/>
          <w:tag w:val="{&quot;referencesIds&quot;:[&quot;doc:6270c5c78f08ad510fa17c83&quot;],&quot;referencesOptions&quot;:{&quot;doc:6270c5c78f08ad510fa17c83&quot;:{&quot;author&quot;:true,&quot;year&quot;:true,&quot;pageReplace&quot;:&quot;&quot;,&quot;prefix&quot;:&quot;&quot;,&quot;suffix&quot;:&quot;&quot;}},&quot;hasBrokenReferences&quot;:false,&quot;hasManualEdits&quot;:false,&quot;citationType&quot;:&quot;inline&quot;,&quot;id&quot;:1879971067,&quot;citationText&quot;:&quot;&lt;span style=\&quot;font-family:Calibri;font-size:14.666666666666666px;color:#000000\&quot;&gt;(Schaefer 2018)&lt;/span&gt;&quot;}"/>
          <w:id w:val="1844132172"/>
          <w:placeholder>
            <w:docPart w:val="DefaultPlaceholder_1081868574"/>
          </w:placeholder>
        </w:sdtPr>
        <w:sdtEndPr/>
        <w:sdtContent>
          <w:r w:rsidR="03530F7B" w:rsidRPr="03530F7B">
            <w:rPr>
              <w:rFonts w:ascii="Calibri" w:eastAsia="Calibri" w:hAnsi="Calibri" w:cs="Calibri"/>
              <w:color w:val="000000" w:themeColor="text1"/>
            </w:rPr>
            <w:t>(Schaefer 2018)</w:t>
          </w:r>
        </w:sdtContent>
      </w:sdt>
      <w:r w:rsidRPr="03530F7B">
        <w:rPr>
          <w:rFonts w:ascii="Calibri" w:eastAsia="Calibri" w:hAnsi="Calibri" w:cs="Calibri"/>
          <w:color w:val="000000" w:themeColor="text1"/>
        </w:rPr>
        <w:t xml:space="preserve"> </w:t>
      </w:r>
      <w:r>
        <w:t>attributes to its ‘walking the walk’</w:t>
      </w:r>
      <w:r w:rsidRPr="03530F7B">
        <w:rPr>
          <w:rFonts w:ascii="Calibri" w:eastAsia="Calibri" w:hAnsi="Calibri" w:cs="Calibri"/>
          <w:color w:val="000000" w:themeColor="text1"/>
        </w:rPr>
        <w:t xml:space="preserve"> in terms of being a company that uses its own innovations</w:t>
      </w:r>
    </w:p>
    <w:p w14:paraId="73F24520" w14:textId="48D2ED65" w:rsidR="739E54EC" w:rsidRDefault="739E54EC" w:rsidP="4633F1D1">
      <w:pPr>
        <w:pStyle w:val="ListParagraph"/>
        <w:numPr>
          <w:ilvl w:val="0"/>
          <w:numId w:val="10"/>
        </w:numPr>
        <w:jc w:val="both"/>
      </w:pPr>
      <w:r>
        <w:t>Commitment to sizeable investment needed in developing rapid EV Charging technologies</w:t>
      </w:r>
    </w:p>
    <w:p w14:paraId="510EF713" w14:textId="7AED213E" w:rsidR="739E54EC" w:rsidRDefault="15750D3E" w:rsidP="03530F7B">
      <w:pPr>
        <w:pStyle w:val="ListParagraph"/>
        <w:numPr>
          <w:ilvl w:val="0"/>
          <w:numId w:val="10"/>
        </w:numPr>
        <w:jc w:val="both"/>
        <w:rPr>
          <w:rFonts w:eastAsiaTheme="minorEastAsia"/>
          <w:color w:val="000000" w:themeColor="text1"/>
        </w:rPr>
      </w:pPr>
      <w:r>
        <w:t xml:space="preserve">University research partnerships </w:t>
      </w:r>
      <w:sdt>
        <w:sdtPr>
          <w:alias w:val="Citation"/>
          <w:tag w:val="{&quot;referencesIds&quot;:[&quot;doc:6270c5c78f08ad510fa17c83&quot;],&quot;referencesOptions&quot;:{&quot;doc:6270c5c78f08ad510fa17c83&quot;:{&quot;author&quot;:true,&quot;year&quot;:true,&quot;pageReplace&quot;:&quot;&quot;,&quot;prefix&quot;:&quot;&quot;,&quot;suffix&quot;:&quot;&quot;}},&quot;hasBrokenReferences&quot;:false,&quot;hasManualEdits&quot;:false,&quot;citationType&quot;:&quot;inline&quot;,&quot;id&quot;:1606812772,&quot;citationText&quot;:&quot;&lt;span style=\&quot;font-family:Calibri;font-size:14.666666666666666px;color:#000000\&quot;&gt;(Schaefer 2018)&lt;/span&gt;&quot;}"/>
          <w:id w:val="1301556269"/>
          <w:placeholder>
            <w:docPart w:val="DefaultPlaceholder_1081868574"/>
          </w:placeholder>
        </w:sdtPr>
        <w:sdtEndPr/>
        <w:sdtContent>
          <w:r w:rsidR="03530F7B" w:rsidRPr="03530F7B">
            <w:rPr>
              <w:rFonts w:ascii="Calibri" w:eastAsia="Calibri" w:hAnsi="Calibri" w:cs="Calibri"/>
              <w:color w:val="000000" w:themeColor="text1"/>
            </w:rPr>
            <w:t>(Schaefer 2018)</w:t>
          </w:r>
        </w:sdtContent>
      </w:sdt>
    </w:p>
    <w:p w14:paraId="52A09DEE" w14:textId="70B5EF36" w:rsidR="0043128A" w:rsidRDefault="42CCD78C" w:rsidP="4633F1D1">
      <w:pPr>
        <w:pStyle w:val="ListParagraph"/>
        <w:numPr>
          <w:ilvl w:val="0"/>
          <w:numId w:val="10"/>
        </w:numPr>
        <w:jc w:val="both"/>
      </w:pPr>
      <w:r>
        <w:t xml:space="preserve">Innovation Management Systems/Procedures </w:t>
      </w:r>
    </w:p>
    <w:p w14:paraId="04E430C0" w14:textId="2C85AE7D" w:rsidR="008C091C" w:rsidRDefault="476E3934" w:rsidP="4633F1D1">
      <w:pPr>
        <w:pStyle w:val="ListParagraph"/>
        <w:numPr>
          <w:ilvl w:val="0"/>
          <w:numId w:val="10"/>
        </w:numPr>
        <w:jc w:val="both"/>
      </w:pPr>
      <w:r>
        <w:t xml:space="preserve">Strong platform of core knowledge in Power Generation, distribution, and end user requirements </w:t>
      </w:r>
    </w:p>
    <w:p w14:paraId="7D5966D4" w14:textId="464DAF43" w:rsidR="008C091C" w:rsidRDefault="008C091C" w:rsidP="4633F1D1">
      <w:pPr>
        <w:pStyle w:val="ListParagraph"/>
        <w:numPr>
          <w:ilvl w:val="0"/>
          <w:numId w:val="10"/>
        </w:numPr>
        <w:jc w:val="both"/>
      </w:pPr>
      <w:r>
        <w:t>The ability to fully absorb technology acquisitions (collaborations and/or Joint Ventures)</w:t>
      </w:r>
    </w:p>
    <w:p w14:paraId="4A9787DA" w14:textId="5000A4AD" w:rsidR="008C091C" w:rsidRDefault="379AF170" w:rsidP="4633F1D1">
      <w:pPr>
        <w:pStyle w:val="ListParagraph"/>
        <w:numPr>
          <w:ilvl w:val="0"/>
          <w:numId w:val="10"/>
        </w:numPr>
        <w:jc w:val="both"/>
      </w:pPr>
      <w:r>
        <w:t xml:space="preserve">Flexible and dynamic innovation project teams </w:t>
      </w:r>
    </w:p>
    <w:p w14:paraId="5958B510" w14:textId="79723A7F" w:rsidR="50EC019F" w:rsidRDefault="50EC019F">
      <w:r>
        <w:br w:type="page"/>
      </w:r>
    </w:p>
    <w:p w14:paraId="58409195" w14:textId="0E6C8019" w:rsidR="005E0961" w:rsidRDefault="56A3FE44" w:rsidP="50EC019F">
      <w:pPr>
        <w:pStyle w:val="Heading1"/>
        <w:jc w:val="both"/>
      </w:pPr>
      <w:bookmarkStart w:id="5" w:name="_Toc315850781"/>
      <w:r>
        <w:lastRenderedPageBreak/>
        <w:t>5. The processes and technologies which the company used to carry this development forward</w:t>
      </w:r>
      <w:bookmarkEnd w:id="5"/>
    </w:p>
    <w:p w14:paraId="577E4281" w14:textId="3DD23787" w:rsidR="24EA015F" w:rsidRDefault="24EA015F" w:rsidP="24EA015F">
      <w:pPr>
        <w:jc w:val="both"/>
        <w:rPr>
          <w:b/>
          <w:bCs/>
        </w:rPr>
      </w:pPr>
      <w:r>
        <w:t xml:space="preserve">ABB has, over the last decade, embarked upon conducting a series of carefully selected acquisitions in its bid to move closer to customers by delivering end user services and products which offer significant advances in the EV charging infrastructure. </w:t>
      </w:r>
    </w:p>
    <w:p w14:paraId="350D0795" w14:textId="6F7DD8AD" w:rsidR="0CECD4E1" w:rsidRDefault="0CECD4E1" w:rsidP="0CECD4E1">
      <w:pPr>
        <w:jc w:val="center"/>
      </w:pPr>
      <w:r>
        <w:rPr>
          <w:noProof/>
        </w:rPr>
        <w:drawing>
          <wp:inline distT="0" distB="0" distL="0" distR="0" wp14:anchorId="17F5F35A" wp14:editId="1A9C8F9E">
            <wp:extent cx="4572000" cy="3028950"/>
            <wp:effectExtent l="0" t="0" r="0" b="0"/>
            <wp:docPr id="1466099428" name="Picture 1466099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028950"/>
                    </a:xfrm>
                    <a:prstGeom prst="rect">
                      <a:avLst/>
                    </a:prstGeom>
                  </pic:spPr>
                </pic:pic>
              </a:graphicData>
            </a:graphic>
          </wp:inline>
        </w:drawing>
      </w:r>
    </w:p>
    <w:p w14:paraId="0A91FDAA" w14:textId="7E2227E6" w:rsidR="0CECD4E1" w:rsidRDefault="0CECD4E1" w:rsidP="0CECD4E1">
      <w:pPr>
        <w:jc w:val="both"/>
        <w:rPr>
          <w:rFonts w:ascii="Calibri" w:eastAsia="Calibri" w:hAnsi="Calibri" w:cs="Calibri"/>
        </w:rPr>
      </w:pPr>
      <w:r w:rsidRPr="77335483">
        <w:t xml:space="preserve"> </w:t>
      </w:r>
      <w:sdt>
        <w:sdtPr>
          <w:alias w:val="Citation"/>
          <w:tag w:val="{&quot;referencesIds&quot;:[&quot;doc:6288913e8f08cba10f957148&quot;],&quot;referencesOptions&quot;:{&quot;doc:6288913e8f08cba10f957148&quot;:{&quot;author&quot;:true,&quot;year&quot;:true,&quot;pageReplace&quot;:&quot;&quot;,&quot;prefix&quot;:&quot;&quot;,&quot;suffix&quot;:&quot;&quot;}},&quot;hasBrokenReferences&quot;:false,&quot;hasManualEdits&quot;:false,&quot;citationType&quot;:&quot;inline&quot;,&quot;id&quot;:1117819193,&quot;citationText&quot;:&quot;&lt;span style=\&quot;font-family:Calibri;font-size:14.666666666666666px;color:#000000\&quot;&gt;(Muehlon 2022)&lt;/span&gt;&quot;}"/>
          <w:id w:val="1292499040"/>
          <w:placeholder>
            <w:docPart w:val="DefaultPlaceholder_1081868574"/>
          </w:placeholder>
        </w:sdtPr>
        <w:sdtEndPr/>
        <w:sdtContent>
          <w:r w:rsidR="03530F7B" w:rsidRPr="77335483">
            <w:rPr>
              <w:rFonts w:ascii="Calibri" w:eastAsia="Calibri" w:hAnsi="Calibri" w:cs="Calibri"/>
              <w:color w:val="000000" w:themeColor="text1"/>
            </w:rPr>
            <w:t>(</w:t>
          </w:r>
          <w:proofErr w:type="spellStart"/>
          <w:r w:rsidR="03530F7B" w:rsidRPr="77335483">
            <w:rPr>
              <w:rFonts w:ascii="Calibri" w:eastAsia="Calibri" w:hAnsi="Calibri" w:cs="Calibri"/>
              <w:color w:val="000000" w:themeColor="text1"/>
            </w:rPr>
            <w:t>Muehlon</w:t>
          </w:r>
          <w:proofErr w:type="spellEnd"/>
          <w:r w:rsidR="03530F7B" w:rsidRPr="77335483">
            <w:rPr>
              <w:rFonts w:ascii="Calibri" w:eastAsia="Calibri" w:hAnsi="Calibri" w:cs="Calibri"/>
              <w:color w:val="000000" w:themeColor="text1"/>
            </w:rPr>
            <w:t xml:space="preserve"> 2022)</w:t>
          </w:r>
        </w:sdtContent>
      </w:sdt>
      <w:r w:rsidRPr="77335483">
        <w:rPr>
          <w:rFonts w:ascii="Calibri" w:eastAsia="Calibri" w:hAnsi="Calibri" w:cs="Calibri"/>
        </w:rPr>
        <w:t xml:space="preserve"> reflects” Back in 2010, who would have thought it would be possible to charge a bus in under six minutes, drive over 200 miles in your own EV without recharging it or travel across an entire city on an electric bus network?”</w:t>
      </w:r>
    </w:p>
    <w:p w14:paraId="39821B2D" w14:textId="637D6318" w:rsidR="24EA015F" w:rsidRDefault="51A1E3B3" w:rsidP="03530F7B">
      <w:pPr>
        <w:jc w:val="both"/>
        <w:rPr>
          <w:rFonts w:ascii="Roboto" w:eastAsia="Roboto" w:hAnsi="Roboto" w:cs="Roboto"/>
          <w:color w:val="000000" w:themeColor="text1"/>
          <w:sz w:val="21"/>
          <w:szCs w:val="21"/>
        </w:rPr>
      </w:pPr>
      <w:r>
        <w:t xml:space="preserve">In 2011 ABB acquired the Dutch company, </w:t>
      </w:r>
      <w:proofErr w:type="spellStart"/>
      <w:r>
        <w:t>Epyon</w:t>
      </w:r>
      <w:proofErr w:type="spellEnd"/>
      <w:r>
        <w:t xml:space="preserve">, which was a spin-off company from Delft University of Technology </w:t>
      </w:r>
      <w:sdt>
        <w:sdtPr>
          <w:alias w:val="Citation"/>
          <w:tag w:val="{&quot;referencesIds&quot;:[&quot;doc:628276438f089b685951eda1&quot;],&quot;referencesOptions&quot;:{&quot;doc:628276438f089b685951eda1&quot;:{&quot;author&quot;:true,&quot;year&quot;:true,&quot;pageReplace&quot;:&quot;&quot;,&quot;prefix&quot;:&quot;&quot;,&quot;suffix&quot;:&quot;&quot;}},&quot;hasBrokenReferences&quot;:false,&quot;hasManualEdits&quot;:false,&quot;citationType&quot;:&quot;inline&quot;,&quot;id&quot;:990469092,&quot;citationText&quot;:&quot;&lt;span style=\&quot;font-family:Calibri;font-size:14.666666666666666px;color:#000000\&quot;&gt;(Tweed 2011)&lt;/span&gt;&quot;}"/>
          <w:id w:val="212587977"/>
          <w:placeholder>
            <w:docPart w:val="DefaultPlaceholder_1081868574"/>
          </w:placeholder>
        </w:sdtPr>
        <w:sdtEndPr/>
        <w:sdtContent>
          <w:r w:rsidR="03530F7B" w:rsidRPr="03530F7B">
            <w:rPr>
              <w:rFonts w:ascii="Calibri" w:eastAsia="Calibri" w:hAnsi="Calibri" w:cs="Calibri"/>
              <w:color w:val="000000" w:themeColor="text1"/>
            </w:rPr>
            <w:t>(Tweed 2011)</w:t>
          </w:r>
        </w:sdtContent>
      </w:sdt>
      <w:r w:rsidR="79FAAC2D" w:rsidRPr="03530F7B">
        <w:rPr>
          <w:rFonts w:ascii="Calibri" w:eastAsia="Calibri" w:hAnsi="Calibri" w:cs="Calibri"/>
          <w:color w:val="000000" w:themeColor="text1"/>
        </w:rPr>
        <w:t>. This acquisition secured a strong knowledge base for developing the E-Mobility business and ABB was later heralded by Clean Tech Group (CTG) as a European Cleantech Company of the Decade.</w:t>
      </w:r>
    </w:p>
    <w:p w14:paraId="73EC026F" w14:textId="2ABD02B8" w:rsidR="28AC2519" w:rsidRDefault="2B40D3AE" w:rsidP="28AC2519">
      <w:pPr>
        <w:jc w:val="both"/>
        <w:rPr>
          <w:rFonts w:ascii="Calibri" w:eastAsia="Calibri" w:hAnsi="Calibri" w:cs="Calibri"/>
          <w:color w:val="000000" w:themeColor="text1"/>
        </w:rPr>
      </w:pPr>
      <w:r w:rsidRPr="77335483">
        <w:rPr>
          <w:rFonts w:ascii="Calibri" w:eastAsia="Calibri" w:hAnsi="Calibri" w:cs="Calibri"/>
          <w:color w:val="000000" w:themeColor="text1"/>
        </w:rPr>
        <w:t xml:space="preserve">The acquisition of </w:t>
      </w:r>
      <w:proofErr w:type="spellStart"/>
      <w:r w:rsidRPr="77335483">
        <w:rPr>
          <w:rFonts w:ascii="Calibri" w:eastAsia="Calibri" w:hAnsi="Calibri" w:cs="Calibri"/>
          <w:color w:val="000000" w:themeColor="text1"/>
        </w:rPr>
        <w:t>Epyon</w:t>
      </w:r>
      <w:proofErr w:type="spellEnd"/>
      <w:r w:rsidRPr="77335483">
        <w:rPr>
          <w:rFonts w:ascii="Calibri" w:eastAsia="Calibri" w:hAnsi="Calibri" w:cs="Calibri"/>
          <w:color w:val="000000" w:themeColor="text1"/>
        </w:rPr>
        <w:t xml:space="preserve"> by ABB was selected as the ‘copy book’ venture story based on the spin-off from Delft and its successful development within ABB’s e-mobility unit </w:t>
      </w:r>
      <w:sdt>
        <w:sdtPr>
          <w:alias w:val="Citation"/>
          <w:tag w:val="{&quot;referencesIds&quot;:[&quot;doc:62823f918f081c0392ab2e19&quot;],&quot;referencesOptions&quot;:{&quot;doc:62823f918f081c0392ab2e19&quot;:{&quot;author&quot;:true,&quot;year&quot;:true,&quot;pageReplace&quot;:&quot;&quot;,&quot;prefix&quot;:&quot;&quot;,&quot;suffix&quot;:&quot;&quot;}},&quot;hasBrokenReferences&quot;:false,&quot;hasManualEdits&quot;:false,&quot;citationType&quot;:&quot;inline&quot;,&quot;id&quot;:1589528474,&quot;citationText&quot;:&quot;&lt;span style=\&quot;font-family:Calibri;font-size:14.666666666666666px;color:#000000\&quot;&gt;(Switzerland : ABB e-mobility business recognized as one of Europe's Cleantech Companies of the Decade. 2014)&lt;/span&gt;&quot;}"/>
          <w:id w:val="1024873628"/>
          <w:placeholder>
            <w:docPart w:val="DefaultPlaceholder_1081868574"/>
          </w:placeholder>
        </w:sdtPr>
        <w:sdtEndPr/>
        <w:sdtContent>
          <w:r w:rsidR="03530F7B" w:rsidRPr="77335483">
            <w:rPr>
              <w:rFonts w:ascii="Calibri" w:eastAsia="Calibri" w:hAnsi="Calibri" w:cs="Calibri"/>
              <w:color w:val="000000" w:themeColor="text1"/>
            </w:rPr>
            <w:t>(</w:t>
          </w:r>
          <w:bookmarkStart w:id="6" w:name="_Int_V1F1PEP1"/>
          <w:proofErr w:type="gramStart"/>
          <w:r w:rsidR="03530F7B" w:rsidRPr="77335483">
            <w:rPr>
              <w:rFonts w:ascii="Calibri" w:eastAsia="Calibri" w:hAnsi="Calibri" w:cs="Calibri"/>
              <w:color w:val="000000" w:themeColor="text1"/>
            </w:rPr>
            <w:t>Switzerland :</w:t>
          </w:r>
          <w:bookmarkEnd w:id="6"/>
          <w:proofErr w:type="gramEnd"/>
          <w:r w:rsidR="03530F7B" w:rsidRPr="77335483">
            <w:rPr>
              <w:rFonts w:ascii="Calibri" w:eastAsia="Calibri" w:hAnsi="Calibri" w:cs="Calibri"/>
              <w:color w:val="000000" w:themeColor="text1"/>
            </w:rPr>
            <w:t xml:space="preserve"> ABB e-mobility business recognized as one of Europe's Cleantech Companies of the Decade. 2014)</w:t>
          </w:r>
        </w:sdtContent>
      </w:sdt>
      <w:r w:rsidRPr="77335483">
        <w:rPr>
          <w:rFonts w:ascii="Calibri" w:eastAsia="Calibri" w:hAnsi="Calibri" w:cs="Calibri"/>
          <w:color w:val="000000" w:themeColor="text1"/>
        </w:rPr>
        <w:t>.</w:t>
      </w:r>
    </w:p>
    <w:p w14:paraId="0C94DF89" w14:textId="32EB0A03" w:rsidR="24EA015F" w:rsidRDefault="79FAAC2D" w:rsidP="28AC2519">
      <w:pPr>
        <w:jc w:val="both"/>
        <w:rPr>
          <w:rFonts w:ascii="Calibri" w:eastAsia="Calibri" w:hAnsi="Calibri" w:cs="Calibri"/>
          <w:color w:val="000000" w:themeColor="text1"/>
        </w:rPr>
      </w:pPr>
      <w:proofErr w:type="spellStart"/>
      <w:r>
        <w:t>Epyon</w:t>
      </w:r>
      <w:proofErr w:type="spellEnd"/>
      <w:r>
        <w:t xml:space="preserve"> was ABB’s second acquisition in the E-Mobility sector following its purchase of </w:t>
      </w:r>
      <w:proofErr w:type="spellStart"/>
      <w:r>
        <w:t>Ecotality</w:t>
      </w:r>
      <w:proofErr w:type="spellEnd"/>
      <w:r>
        <w:t xml:space="preserve">, a US start-up company that was set up to develop a car charging network </w:t>
      </w:r>
      <w:sdt>
        <w:sdtPr>
          <w:alias w:val="Citation"/>
          <w:tag w:val="{&quot;referencesIds&quot;:[&quot;doc:628275f68f081c0392ab3857&quot;],&quot;referencesOptions&quot;:{&quot;doc:628275f68f081c0392ab3857&quot;:{&quot;author&quot;:true,&quot;year&quot;:true,&quot;pageReplace&quot;:&quot;&quot;,&quot;prefix&quot;:&quot;&quot;,&quot;suffix&quot;:&quot;&quot;}},&quot;hasBrokenReferences&quot;:false,&quot;hasManualEdits&quot;:false,&quot;citationType&quot;:&quot;inline&quot;,&quot;id&quot;:137260138,&quot;citationText&quot;:&quot;&lt;span style=\&quot;font-family:Calibri;font-size:14.666666666666666px;color:#000000\&quot;&gt;(Kanellos 2022)&lt;/span&gt;&quot;}"/>
          <w:id w:val="1521299058"/>
          <w:placeholder>
            <w:docPart w:val="DefaultPlaceholder_1081868574"/>
          </w:placeholder>
        </w:sdtPr>
        <w:sdtEndPr/>
        <w:sdtContent>
          <w:r w:rsidR="03530F7B" w:rsidRPr="03530F7B">
            <w:rPr>
              <w:rFonts w:ascii="Calibri" w:eastAsia="Calibri" w:hAnsi="Calibri" w:cs="Calibri"/>
              <w:color w:val="000000" w:themeColor="text1"/>
            </w:rPr>
            <w:t>(Kanellos 2022)</w:t>
          </w:r>
        </w:sdtContent>
      </w:sdt>
      <w:r w:rsidRPr="03530F7B">
        <w:rPr>
          <w:rFonts w:ascii="Calibri" w:eastAsia="Calibri" w:hAnsi="Calibri" w:cs="Calibri"/>
          <w:color w:val="000000" w:themeColor="text1"/>
        </w:rPr>
        <w:t>.</w:t>
      </w:r>
    </w:p>
    <w:p w14:paraId="3F046CD8" w14:textId="62B6EA38" w:rsidR="24EA015F" w:rsidRDefault="4A2FA78B" w:rsidP="4A2FA78B">
      <w:pPr>
        <w:jc w:val="both"/>
        <w:rPr>
          <w:b/>
          <w:bCs/>
        </w:rPr>
      </w:pPr>
      <w:r>
        <w:t>ABB has developed the skills and experience needed to identify, select, acquire, and absorb businesses that have the technology and knowledge base needed to achieve advances in product design.</w:t>
      </w:r>
    </w:p>
    <w:p w14:paraId="094CCB75" w14:textId="1D8704A8" w:rsidR="2DEFBAD2" w:rsidRDefault="39840D7B" w:rsidP="50EC019F">
      <w:pPr>
        <w:jc w:val="both"/>
        <w:rPr>
          <w:rFonts w:ascii="Calibri" w:eastAsia="Calibri" w:hAnsi="Calibri" w:cs="Calibri"/>
          <w:color w:val="000000" w:themeColor="text1"/>
        </w:rPr>
      </w:pPr>
      <w:r>
        <w:t xml:space="preserve">In 2013 ABB became the first company to deliver a national network of 50 KW chargers accompanied by a ‘game changing’ remote monitoring, service, and maintenance solution </w:t>
      </w:r>
      <w:sdt>
        <w:sdtPr>
          <w:alias w:val="Citation"/>
          <w:tag w:val="{&quot;referencesIds&quot;:[&quot;doc:6288913e8f08cba10f957148&quot;],&quot;referencesOptions&quot;:{&quot;doc:6288913e8f08cba10f957148&quot;:{&quot;author&quot;:true,&quot;year&quot;:true,&quot;pageReplace&quot;:&quot;&quot;,&quot;prefix&quot;:&quot;&quot;,&quot;suffix&quot;:&quot;&quot;}},&quot;hasBrokenReferences&quot;:false,&quot;hasManualEdits&quot;:false,&quot;citationType&quot;:&quot;inline&quot;,&quot;id&quot;:903667555,&quot;citationText&quot;:&quot;&lt;span style=\&quot;font-family:Calibri;font-size:14.666666666666666px;color:#000000\&quot;&gt;(Muehlon 2022)&lt;/span&gt;&quot;}"/>
          <w:id w:val="2057303975"/>
          <w:placeholder>
            <w:docPart w:val="DefaultPlaceholder_1081868574"/>
          </w:placeholder>
        </w:sdtPr>
        <w:sdtEndPr/>
        <w:sdtContent>
          <w:r w:rsidR="03530F7B" w:rsidRPr="03530F7B">
            <w:rPr>
              <w:rFonts w:ascii="Calibri" w:eastAsia="Calibri" w:hAnsi="Calibri" w:cs="Calibri"/>
              <w:color w:val="000000" w:themeColor="text1"/>
            </w:rPr>
            <w:t>(</w:t>
          </w:r>
          <w:proofErr w:type="spellStart"/>
          <w:r w:rsidR="03530F7B" w:rsidRPr="03530F7B">
            <w:rPr>
              <w:rFonts w:ascii="Calibri" w:eastAsia="Calibri" w:hAnsi="Calibri" w:cs="Calibri"/>
              <w:color w:val="000000" w:themeColor="text1"/>
            </w:rPr>
            <w:t>Muehlon</w:t>
          </w:r>
          <w:proofErr w:type="spellEnd"/>
          <w:r w:rsidR="03530F7B" w:rsidRPr="03530F7B">
            <w:rPr>
              <w:rFonts w:ascii="Calibri" w:eastAsia="Calibri" w:hAnsi="Calibri" w:cs="Calibri"/>
              <w:color w:val="000000" w:themeColor="text1"/>
            </w:rPr>
            <w:t xml:space="preserve"> 2022)</w:t>
          </w:r>
        </w:sdtContent>
      </w:sdt>
      <w:r w:rsidRPr="03530F7B">
        <w:rPr>
          <w:rFonts w:ascii="Calibri" w:eastAsia="Calibri" w:hAnsi="Calibri" w:cs="Calibri"/>
          <w:color w:val="000000" w:themeColor="text1"/>
        </w:rPr>
        <w:t>.</w:t>
      </w:r>
    </w:p>
    <w:p w14:paraId="52538007" w14:textId="15E2E2DE" w:rsidR="50EC019F" w:rsidRDefault="50EC019F" w:rsidP="50EC019F">
      <w:pPr>
        <w:jc w:val="both"/>
      </w:pPr>
    </w:p>
    <w:p w14:paraId="2BA6F262" w14:textId="21D82055" w:rsidR="50EC019F" w:rsidRDefault="50EC019F" w:rsidP="50EC019F">
      <w:pPr>
        <w:jc w:val="both"/>
      </w:pPr>
    </w:p>
    <w:p w14:paraId="78AC6D8D" w14:textId="57AF2C25" w:rsidR="50EC019F" w:rsidRDefault="50EC019F" w:rsidP="50EC019F">
      <w:pPr>
        <w:jc w:val="both"/>
      </w:pPr>
    </w:p>
    <w:p w14:paraId="596DD602" w14:textId="62BD2952" w:rsidR="24EA015F" w:rsidRDefault="5CFC624D" w:rsidP="4A2FA78B">
      <w:pPr>
        <w:jc w:val="both"/>
        <w:rPr>
          <w:rFonts w:ascii="Calibri" w:eastAsia="Calibri" w:hAnsi="Calibri" w:cs="Calibri"/>
          <w:color w:val="000000" w:themeColor="text1"/>
        </w:rPr>
      </w:pPr>
      <w:r>
        <w:t xml:space="preserve">ABB’s growing emphasis on understanding customer and market demand, often for products or solutions that currently do not exist has driven the company to imagine what might be possible and then strive to achieve it. One example was ABB’s approach to developing a ‘flash charging’ system for electric buses which enables buses to recharge quickly, in short bursts, at stops along their normal routes </w:t>
      </w:r>
      <w:sdt>
        <w:sdtPr>
          <w:alias w:val="Citation"/>
          <w:tag w:val="{&quot;referencesIds&quot;:[&quot;doc:6282772f8f08c907a1b82953&quot;],&quot;referencesOptions&quot;:{&quot;doc:6282772f8f08c907a1b82953&quot;:{&quot;author&quot;:true,&quot;year&quot;:true,&quot;pageReplace&quot;:&quot;&quot;,&quot;prefix&quot;:&quot;&quot;,&quot;suffix&quot;:&quot;&quot;}},&quot;hasBrokenReferences&quot;:false,&quot;hasManualEdits&quot;:false,&quot;citationType&quot;:&quot;inline&quot;,&quot;id&quot;:1279345703,&quot;citationText&quot;:&quot;&lt;span style=\&quot;font-family:Calibri;font-size:14.666666666666666px;color:#000000\&quot;&gt;(Tweed 2016)&lt;/span&gt;&quot;}"/>
          <w:id w:val="183311826"/>
          <w:placeholder>
            <w:docPart w:val="DefaultPlaceholder_1081868574"/>
          </w:placeholder>
        </w:sdtPr>
        <w:sdtEndPr/>
        <w:sdtContent>
          <w:r w:rsidR="03530F7B" w:rsidRPr="03530F7B">
            <w:rPr>
              <w:rFonts w:ascii="Calibri" w:eastAsia="Calibri" w:hAnsi="Calibri" w:cs="Calibri"/>
              <w:color w:val="000000" w:themeColor="text1"/>
            </w:rPr>
            <w:t>(Tweed 2016)</w:t>
          </w:r>
        </w:sdtContent>
      </w:sdt>
      <w:r w:rsidRPr="03530F7B">
        <w:rPr>
          <w:rFonts w:ascii="Calibri" w:eastAsia="Calibri" w:hAnsi="Calibri" w:cs="Calibri"/>
          <w:color w:val="000000" w:themeColor="text1"/>
        </w:rPr>
        <w:t>.</w:t>
      </w:r>
    </w:p>
    <w:p w14:paraId="79014D11" w14:textId="70C98BDB" w:rsidR="276D8ED4" w:rsidRDefault="276D8ED4" w:rsidP="0CECD4E1">
      <w:pPr>
        <w:jc w:val="both"/>
        <w:rPr>
          <w:rFonts w:ascii="Calibri" w:eastAsia="Calibri" w:hAnsi="Calibri" w:cs="Calibri"/>
          <w:color w:val="000000" w:themeColor="text1"/>
        </w:rPr>
      </w:pPr>
      <w:r w:rsidRPr="0CECD4E1">
        <w:rPr>
          <w:rFonts w:ascii="Calibri" w:eastAsia="Calibri" w:hAnsi="Calibri" w:cs="Calibri"/>
          <w:color w:val="000000" w:themeColor="text1"/>
        </w:rPr>
        <w:t>A supercapacitor is used to deliver 600kW charges in 15 second bursts which extends the range of the bus as it travels along the set route.</w:t>
      </w:r>
    </w:p>
    <w:p w14:paraId="0E648955" w14:textId="72E59DDA" w:rsidR="24EA015F" w:rsidRDefault="5CFC624D" w:rsidP="4A2FA78B">
      <w:pPr>
        <w:jc w:val="both"/>
      </w:pPr>
      <w:r w:rsidRPr="03530F7B">
        <w:rPr>
          <w:rFonts w:ascii="Calibri" w:eastAsia="Calibri" w:hAnsi="Calibri" w:cs="Calibri"/>
          <w:color w:val="000000" w:themeColor="text1"/>
        </w:rPr>
        <w:t xml:space="preserve">The first successful project in Switzerland was instrumental in generating global interest in electric buses and </w:t>
      </w:r>
      <w:sdt>
        <w:sdtPr>
          <w:alias w:val="Citation"/>
          <w:tag w:val="{&quot;referencesIds&quot;:[&quot;doc:62848feb8f089685c8199c1e&quot;],&quot;referencesOptions&quot;:{&quot;doc:62848feb8f089685c8199c1e&quot;:{&quot;author&quot;:true,&quot;year&quot;:true,&quot;pageReplace&quot;:&quot;&quot;,&quot;prefix&quot;:&quot;&quot;,&quot;suffix&quot;:&quot;&quot;}},&quot;hasBrokenReferences&quot;:false,&quot;hasManualEdits&quot;:false,&quot;citationType&quot;:&quot;inline&quot;,&quot;id&quot;:591390704,&quot;citationText&quot;:&quot;&lt;span style=\&quot;font-family:Calibri;font-size:14.666666666666666px;color:#000000\&quot;&gt;(ABB Group a)&lt;/span&gt;&quot;}"/>
          <w:id w:val="1180318044"/>
          <w:placeholder>
            <w:docPart w:val="DefaultPlaceholder_1081868574"/>
          </w:placeholder>
        </w:sdtPr>
        <w:sdtEndPr/>
        <w:sdtContent>
          <w:r w:rsidR="03530F7B" w:rsidRPr="03530F7B">
            <w:rPr>
              <w:rFonts w:ascii="Calibri" w:eastAsia="Calibri" w:hAnsi="Calibri" w:cs="Calibri"/>
              <w:color w:val="000000" w:themeColor="text1"/>
            </w:rPr>
            <w:t xml:space="preserve">(ABB Group a) </w:t>
          </w:r>
        </w:sdtContent>
      </w:sdt>
      <w:r w:rsidRPr="03530F7B">
        <w:rPr>
          <w:rFonts w:ascii="Calibri" w:eastAsia="Calibri" w:hAnsi="Calibri" w:cs="Calibri"/>
          <w:color w:val="000000" w:themeColor="text1"/>
        </w:rPr>
        <w:t>a German public transport operator to electrify its first e-bus depot.</w:t>
      </w:r>
    </w:p>
    <w:p w14:paraId="666C5850" w14:textId="22414C5F" w:rsidR="45E914B0" w:rsidRDefault="24E182A9" w:rsidP="2DEFBAD2">
      <w:pPr>
        <w:jc w:val="center"/>
        <w:rPr>
          <w:rFonts w:ascii="Calibri" w:eastAsia="Calibri" w:hAnsi="Calibri" w:cs="Calibri"/>
          <w:color w:val="000000" w:themeColor="text1"/>
        </w:rPr>
      </w:pPr>
      <w:r>
        <w:rPr>
          <w:noProof/>
        </w:rPr>
        <w:drawing>
          <wp:inline distT="0" distB="0" distL="0" distR="0" wp14:anchorId="19447F30" wp14:editId="0C24D6F7">
            <wp:extent cx="5705408" cy="1699736"/>
            <wp:effectExtent l="0" t="0" r="0" b="0"/>
            <wp:docPr id="85254182" name="Picture 85254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05408" cy="1699736"/>
                    </a:xfrm>
                    <a:prstGeom prst="rect">
                      <a:avLst/>
                    </a:prstGeom>
                  </pic:spPr>
                </pic:pic>
              </a:graphicData>
            </a:graphic>
          </wp:inline>
        </w:drawing>
      </w:r>
      <w:r>
        <w:t xml:space="preserve"> </w:t>
      </w:r>
      <w:sdt>
        <w:sdtPr>
          <w:alias w:val="Citation"/>
          <w:tag w:val="{&quot;referencesIds&quot;:[&quot;doc:62889cf58f080a94bbb12ed6&quot;],&quot;referencesOptions&quot;:{&quot;doc:62889cf58f080a94bbb12ed6&quot;:{&quot;author&quot;:true,&quot;year&quot;:true,&quot;pageReplace&quot;:&quot;&quot;,&quot;prefix&quot;:&quot;&quot;,&quot;suffix&quot;:&quot;&quot;}},&quot;hasBrokenReferences&quot;:false,&quot;hasManualEdits&quot;:false,&quot;citationType&quot;:&quot;inline&quot;,&quot;id&quot;:631728792,&quot;citationText&quot;:&quot;&lt;span style=\&quot;font-family:Calibri;font-size:14.666666666666666px;color:#000000\&quot;&gt;(ABB Formula E )&lt;/span&gt;&quot;}"/>
          <w:id w:val="435625202"/>
          <w:placeholder>
            <w:docPart w:val="DefaultPlaceholder_1081868574"/>
          </w:placeholder>
        </w:sdtPr>
        <w:sdtEndPr/>
        <w:sdtContent>
          <w:r w:rsidR="03530F7B" w:rsidRPr="77335483">
            <w:rPr>
              <w:rFonts w:ascii="Calibri" w:eastAsia="Calibri" w:hAnsi="Calibri" w:cs="Calibri"/>
              <w:color w:val="000000" w:themeColor="text1"/>
            </w:rPr>
            <w:t xml:space="preserve">(ABB Formula </w:t>
          </w:r>
          <w:bookmarkStart w:id="7" w:name="_Int_2Nd63cRo"/>
          <w:proofErr w:type="gramStart"/>
          <w:r w:rsidR="03530F7B" w:rsidRPr="77335483">
            <w:rPr>
              <w:rFonts w:ascii="Calibri" w:eastAsia="Calibri" w:hAnsi="Calibri" w:cs="Calibri"/>
              <w:color w:val="000000" w:themeColor="text1"/>
            </w:rPr>
            <w:t>E )</w:t>
          </w:r>
          <w:proofErr w:type="gramEnd"/>
        </w:sdtContent>
      </w:sdt>
      <w:bookmarkEnd w:id="7"/>
    </w:p>
    <w:p w14:paraId="4335F553" w14:textId="07071AB3" w:rsidR="2DEFBAD2" w:rsidRDefault="7F1621BE" w:rsidP="50EC019F">
      <w:pPr>
        <w:jc w:val="both"/>
      </w:pPr>
      <w:r w:rsidRPr="03530F7B">
        <w:t xml:space="preserve">In 2018 ABB began a collaboration with North Carolina State University </w:t>
      </w:r>
      <w:sdt>
        <w:sdtPr>
          <w:alias w:val="Citation"/>
          <w:tag w:val="{&quot;referencesIds&quot;:[&quot;doc:6276cf238f0892490b1315ef&quot;],&quot;referencesOptions&quot;:{&quot;doc:6276cf238f0892490b1315ef&quot;:{&quot;author&quot;:true,&quot;year&quot;:true,&quot;pageReplace&quot;:&quot;&quot;,&quot;prefix&quot;:&quot;&quot;,&quot;suffix&quot;:&quot;&quot;}},&quot;hasBrokenReferences&quot;:false,&quot;hasManualEdits&quot;:false,&quot;citationType&quot;:&quot;inline&quot;,&quot;id&quot;:454145598,&quot;citationText&quot;:&quot;&lt;span style=\&quot;font-family:Calibri;font-size:14.666666666666666px;color:#000000\&quot;&gt;(ABB Develops DC Backbone for High-Power EV Chargers. 2018)&lt;/span&gt;&quot;}"/>
          <w:id w:val="1087314109"/>
          <w:placeholder>
            <w:docPart w:val="DefaultPlaceholder_1081868574"/>
          </w:placeholder>
        </w:sdtPr>
        <w:sdtEndPr/>
        <w:sdtContent>
          <w:r w:rsidR="03530F7B" w:rsidRPr="03530F7B">
            <w:rPr>
              <w:rFonts w:ascii="Calibri" w:eastAsia="Calibri" w:hAnsi="Calibri" w:cs="Calibri"/>
              <w:color w:val="000000" w:themeColor="text1"/>
            </w:rPr>
            <w:t>(ABB Develops DC Backbone for High-Power EV Chargers. 2018)</w:t>
          </w:r>
        </w:sdtContent>
      </w:sdt>
      <w:r>
        <w:t xml:space="preserve"> focused on developing a power system that would be capable of charging an EV in times comparable with petrol vehicles and in the same year entered a Formula E partnership.</w:t>
      </w:r>
    </w:p>
    <w:p w14:paraId="3ECCDE43" w14:textId="48D5E460" w:rsidR="50EC019F" w:rsidRDefault="50EC019F">
      <w:r>
        <w:br w:type="page"/>
      </w:r>
    </w:p>
    <w:p w14:paraId="20BEC0D3" w14:textId="4711DF75" w:rsidR="005E0961" w:rsidRDefault="5414927A" w:rsidP="50EC019F">
      <w:pPr>
        <w:pStyle w:val="Heading1"/>
      </w:pPr>
      <w:bookmarkStart w:id="8" w:name="_Toc286946498"/>
      <w:r>
        <w:lastRenderedPageBreak/>
        <w:t>6. The extent to which the development relied on resources external to the company and the ways in which the deployment of these resources was managed</w:t>
      </w:r>
      <w:bookmarkEnd w:id="8"/>
    </w:p>
    <w:p w14:paraId="461428F4" w14:textId="350F04F0" w:rsidR="498DA572" w:rsidRDefault="33183465" w:rsidP="4633F1D1">
      <w:pPr>
        <w:jc w:val="both"/>
        <w:rPr>
          <w:rFonts w:ascii="Calibri" w:eastAsia="Calibri" w:hAnsi="Calibri" w:cs="Calibri"/>
          <w:color w:val="000000" w:themeColor="text1"/>
        </w:rPr>
      </w:pPr>
      <w:r w:rsidRPr="77335483">
        <w:t>“</w:t>
      </w:r>
      <w:r w:rsidRPr="77335483">
        <w:rPr>
          <w:rFonts w:ascii="Calibri" w:eastAsia="Calibri" w:hAnsi="Calibri" w:cs="Calibri"/>
          <w:color w:val="000000" w:themeColor="text1"/>
        </w:rPr>
        <w:t xml:space="preserve">To keep innovation at the core of our corporate culture we surround ourselves with other innovators. Innovation cannot thrive in isolation, so it is important to be part of an innovation ecosystem. In the era of digitalization and artificial intelligence (AI), this is more important than ever, given the pace and complexity of technological change, which is simply too great for any organization to master alone.” </w:t>
      </w:r>
      <w:r w:rsidR="0547AE26" w:rsidRPr="77335483">
        <w:rPr>
          <w:rFonts w:ascii="Calibri" w:eastAsia="Calibri" w:hAnsi="Calibri" w:cs="Calibri"/>
          <w:color w:val="000000" w:themeColor="text1"/>
        </w:rPr>
        <w:t xml:space="preserve"> </w:t>
      </w:r>
      <w:sdt>
        <w:sdtPr>
          <w:alias w:val="Citation"/>
          <w:tag w:val="{&quot;referencesIds&quot;:[&quot;doc:6270c5c78f08ad510fa17c83&quot;],&quot;referencesOptions&quot;:{&quot;doc:6270c5c78f08ad510fa17c83&quot;:{&quot;author&quot;:true,&quot;year&quot;:true,&quot;pageReplace&quot;:&quot;&quot;,&quot;prefix&quot;:&quot;&quot;,&quot;suffix&quot;:&quot;&quot;}},&quot;hasBrokenReferences&quot;:false,&quot;hasManualEdits&quot;:false,&quot;citationType&quot;:&quot;inline&quot;,&quot;id&quot;:1563078829,&quot;citationText&quot;:&quot;&lt;span style=\&quot;font-family:Calibri;font-size:14.666666666666666px;color:#000000\&quot;&gt;(Schaefer 2018)&lt;/span&gt;&quot;}"/>
          <w:id w:val="842977083"/>
          <w:placeholder>
            <w:docPart w:val="DefaultPlaceholder_1081868574"/>
          </w:placeholder>
        </w:sdtPr>
        <w:sdtEndPr/>
        <w:sdtContent>
          <w:r w:rsidR="03530F7B" w:rsidRPr="77335483">
            <w:rPr>
              <w:rFonts w:ascii="Calibri" w:eastAsia="Calibri" w:hAnsi="Calibri" w:cs="Calibri"/>
              <w:color w:val="000000" w:themeColor="text1"/>
            </w:rPr>
            <w:t>(Schaefer 2018)</w:t>
          </w:r>
        </w:sdtContent>
      </w:sdt>
    </w:p>
    <w:p w14:paraId="74776E84" w14:textId="63932397" w:rsidR="00A75BF2" w:rsidRDefault="005E0961" w:rsidP="29D98B1F">
      <w:pPr>
        <w:pStyle w:val="ListParagraph"/>
        <w:numPr>
          <w:ilvl w:val="0"/>
          <w:numId w:val="11"/>
        </w:numPr>
        <w:jc w:val="both"/>
        <w:rPr>
          <w:rFonts w:eastAsiaTheme="minorEastAsia"/>
        </w:rPr>
      </w:pPr>
      <w:r w:rsidRPr="03530F7B">
        <w:t>Collaboration (University)</w:t>
      </w:r>
      <w:r w:rsidR="00A75BF2" w:rsidRPr="03530F7B">
        <w:t xml:space="preserve"> – Large network of University Researchers</w:t>
      </w:r>
      <w:r w:rsidR="29D98B1F" w:rsidRPr="03530F7B">
        <w:t xml:space="preserve"> </w:t>
      </w:r>
      <w:sdt>
        <w:sdtPr>
          <w:alias w:val="Citation"/>
          <w:tag w:val="{&quot;referencesIds&quot;:[&quot;doc:6276cf238f0892490b1315ef&quot;],&quot;referencesOptions&quot;:{&quot;doc:6276cf238f0892490b1315ef&quot;:{&quot;author&quot;:true,&quot;year&quot;:true,&quot;pageReplace&quot;:&quot;&quot;,&quot;prefix&quot;:&quot;&quot;,&quot;suffix&quot;:&quot;&quot;}},&quot;hasBrokenReferences&quot;:false,&quot;hasManualEdits&quot;:false,&quot;citationType&quot;:&quot;inline&quot;,&quot;id&quot;:1675140843,&quot;citationText&quot;:&quot;&lt;span style=\&quot;font-family:Calibri;font-size:14.666666666666666px;color:#000000\&quot;&gt;(ABB Develops DC Backbone for High-Power EV Chargers. 2018)&lt;/span&gt;&quot;}"/>
          <w:id w:val="981673568"/>
          <w:placeholder>
            <w:docPart w:val="DefaultPlaceholder_1081868574"/>
          </w:placeholder>
        </w:sdtPr>
        <w:sdtEndPr/>
        <w:sdtContent>
          <w:r w:rsidR="03530F7B" w:rsidRPr="03530F7B">
            <w:rPr>
              <w:rFonts w:ascii="Calibri" w:eastAsia="Calibri" w:hAnsi="Calibri" w:cs="Calibri"/>
              <w:color w:val="000000" w:themeColor="text1"/>
            </w:rPr>
            <w:t>(ABB Develops DC Backbone for High-Power EV Chargers. 2018)</w:t>
          </w:r>
        </w:sdtContent>
      </w:sdt>
      <w:r w:rsidR="29D98B1F">
        <w:t xml:space="preserve"> </w:t>
      </w:r>
    </w:p>
    <w:p w14:paraId="45983766" w14:textId="0AAD9C3E" w:rsidR="00A75BF2" w:rsidRDefault="00A75BF2" w:rsidP="29D98B1F">
      <w:pPr>
        <w:pStyle w:val="ListParagraph"/>
        <w:numPr>
          <w:ilvl w:val="0"/>
          <w:numId w:val="11"/>
        </w:numPr>
        <w:jc w:val="both"/>
      </w:pPr>
      <w:r w:rsidRPr="29D98B1F">
        <w:t>Propensity to acquire, absorb and apply knowledge</w:t>
      </w:r>
    </w:p>
    <w:p w14:paraId="541AA2C3" w14:textId="2037DF8B" w:rsidR="00A75BF2" w:rsidRDefault="00752E40" w:rsidP="29D98B1F">
      <w:pPr>
        <w:pStyle w:val="ListParagraph"/>
        <w:numPr>
          <w:ilvl w:val="0"/>
          <w:numId w:val="11"/>
        </w:numPr>
        <w:jc w:val="both"/>
      </w:pPr>
      <w:r w:rsidRPr="29D98B1F">
        <w:t>Experiential knowledge and learning how to manage newly acquired businesses with emphasis on relationship management and creating development teams</w:t>
      </w:r>
    </w:p>
    <w:p w14:paraId="7FD9020E" w14:textId="2468B07E" w:rsidR="24EA015F" w:rsidRDefault="4A2FA78B" w:rsidP="4A2FA78B">
      <w:pPr>
        <w:jc w:val="both"/>
        <w:rPr>
          <w:b/>
          <w:bCs/>
        </w:rPr>
      </w:pPr>
      <w:r>
        <w:t>The development of rapid charging technology has been primarily achieved by building an internal base of knowledge and augmenting this resource via external relationships with many international universities together with strategic acquisitions. Absorbing the capabilities and knowledge of key personnel in these acquired businesses has been of vital importance.</w:t>
      </w:r>
    </w:p>
    <w:p w14:paraId="3434EE4D" w14:textId="006EC8E6" w:rsidR="24EA015F" w:rsidRDefault="00CE41FD" w:rsidP="29D98B1F">
      <w:pPr>
        <w:jc w:val="both"/>
        <w:rPr>
          <w:rFonts w:ascii="Calibri" w:eastAsia="Calibri" w:hAnsi="Calibri" w:cs="Calibri"/>
          <w:color w:val="000000" w:themeColor="text1"/>
        </w:rPr>
      </w:pPr>
      <w:sdt>
        <w:sdtPr>
          <w:alias w:val="Citation"/>
          <w:tag w:val="{&quot;referencesIds&quot;:[&quot;doc:6284cdaa8f08d54c707a41da&quot;],&quot;referencesOptions&quot;:{&quot;doc:6284cdaa8f08d54c707a41da&quot;:{&quot;author&quot;:true,&quot;year&quot;:true,&quot;pageReplace&quot;:&quot;&quot;,&quot;prefix&quot;:&quot;&quot;,&quot;suffix&quot;:&quot;&quot;}},&quot;hasBrokenReferences&quot;:false,&quot;hasManualEdits&quot;:false,&quot;citationType&quot;:&quot;inline&quot;,&quot;id&quot;:1589900027,&quot;citationText&quot;:&quot;&lt;span style=\&quot;font-family:Calibri;font-size:14.666666666666666px;color:#000000\&quot;&gt;(ABB Group b)&lt;/span&gt;&quot;}"/>
          <w:id w:val="2049121244"/>
          <w:placeholder>
            <w:docPart w:val="DefaultPlaceholder_1081868574"/>
          </w:placeholder>
        </w:sdtPr>
        <w:sdtEndPr/>
        <w:sdtContent>
          <w:r w:rsidR="03530F7B" w:rsidRPr="03530F7B">
            <w:rPr>
              <w:rFonts w:ascii="Calibri" w:eastAsia="Calibri" w:hAnsi="Calibri" w:cs="Calibri"/>
              <w:color w:val="000000" w:themeColor="text1"/>
            </w:rPr>
            <w:t>(ABB Group b)</w:t>
          </w:r>
        </w:sdtContent>
      </w:sdt>
      <w:r w:rsidR="6A77E6A0" w:rsidRPr="03530F7B">
        <w:rPr>
          <w:rFonts w:ascii="Calibri" w:eastAsia="Calibri" w:hAnsi="Calibri" w:cs="Calibri"/>
          <w:color w:val="000000" w:themeColor="text1"/>
        </w:rPr>
        <w:t xml:space="preserve"> provides an overview of ABB’s collaboration structures with universities and underlines its com</w:t>
      </w:r>
      <w:r w:rsidR="416B8E8C" w:rsidRPr="03530F7B">
        <w:rPr>
          <w:rFonts w:ascii="Calibri" w:eastAsia="Calibri" w:hAnsi="Calibri" w:cs="Calibri"/>
          <w:color w:val="000000" w:themeColor="text1"/>
        </w:rPr>
        <w:t>mitment to Research and Development.</w:t>
      </w:r>
    </w:p>
    <w:p w14:paraId="3A596E2D" w14:textId="31683998" w:rsidR="276D8ED4" w:rsidRDefault="416B8E8C" w:rsidP="276D8ED4">
      <w:pPr>
        <w:jc w:val="both"/>
      </w:pPr>
      <w:r>
        <w:t xml:space="preserve">In December 2020, ABB announced its plans to create an E-Mobility Innovation Lab which would provide a base for 120 R&amp;D specialists working on ‘next generation’ solutions </w:t>
      </w:r>
      <w:sdt>
        <w:sdtPr>
          <w:alias w:val="Citation"/>
          <w:tag w:val="{&quot;referencesIds&quot;:[&quot;doc:6284da3e8f0887ca4a1f6215&quot;],&quot;referencesOptions&quot;:{&quot;doc:6284da3e8f0887ca4a1f6215&quot;:{&quot;author&quot;:true,&quot;year&quot;:true,&quot;pageReplace&quot;:&quot;&quot;,&quot;prefix&quot;:&quot;&quot;,&quot;suffix&quot;:&quot;&quot;}},&quot;hasBrokenReferences&quot;:false,&quot;hasManualEdits&quot;:false,&quot;citationType&quot;:&quot;inline&quot;,&quot;id&quot;:1147658268,&quot;citationText&quot;:&quot;&lt;span style=\&quot;font-family:Calibri;font-size:14.666666666666666px;color:#000000\&quot;&gt;(ABB 2022)&lt;/span&gt;&quot;}"/>
          <w:id w:val="1132549477"/>
          <w:placeholder>
            <w:docPart w:val="DefaultPlaceholder_1081868574"/>
          </w:placeholder>
        </w:sdtPr>
        <w:sdtEndPr/>
        <w:sdtContent>
          <w:r w:rsidR="03530F7B" w:rsidRPr="03530F7B">
            <w:rPr>
              <w:rFonts w:ascii="Calibri" w:eastAsia="Calibri" w:hAnsi="Calibri" w:cs="Calibri"/>
              <w:color w:val="000000" w:themeColor="text1"/>
            </w:rPr>
            <w:t>(ABB 2022)</w:t>
          </w:r>
        </w:sdtContent>
      </w:sdt>
      <w:r>
        <w:t xml:space="preserve">. This initiative will create a perfect environment for working with Delft University, where a decade before, ABB acquired </w:t>
      </w:r>
      <w:proofErr w:type="spellStart"/>
      <w:r>
        <w:t>Epyon</w:t>
      </w:r>
      <w:proofErr w:type="spellEnd"/>
      <w:r>
        <w:t xml:space="preserve"> (a Delft University Spin-off company).</w:t>
      </w:r>
    </w:p>
    <w:p w14:paraId="0B1606AE" w14:textId="6D7A4A75" w:rsidR="24EA015F" w:rsidRDefault="45E914B0" w:rsidP="45E914B0">
      <w:pPr>
        <w:jc w:val="center"/>
      </w:pPr>
      <w:r w:rsidRPr="45E914B0">
        <w:rPr>
          <w:rFonts w:ascii="Calibri" w:eastAsia="Calibri" w:hAnsi="Calibri" w:cs="Calibri"/>
          <w:color w:val="000000" w:themeColor="text1"/>
        </w:rPr>
        <w:t xml:space="preserve"> </w:t>
      </w:r>
      <w:r>
        <w:rPr>
          <w:noProof/>
        </w:rPr>
        <w:drawing>
          <wp:inline distT="0" distB="0" distL="0" distR="0" wp14:anchorId="112AAD37" wp14:editId="0E3BEAB3">
            <wp:extent cx="3257249" cy="2235367"/>
            <wp:effectExtent l="114300" t="114300" r="95885" b="127000"/>
            <wp:docPr id="1046373712" name="Picture 1046373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a:stretch>
                      <a:fillRect/>
                    </a:stretch>
                  </pic:blipFill>
                  <pic:spPr>
                    <a:xfrm>
                      <a:off x="0" y="0"/>
                      <a:ext cx="3257249" cy="22353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85E7932" w14:textId="4468640B" w:rsidR="5BB25EBA" w:rsidRDefault="5BB25EBA" w:rsidP="50EC019F">
      <w:pPr>
        <w:jc w:val="both"/>
        <w:rPr>
          <w:rFonts w:ascii="Calibri" w:eastAsia="Calibri" w:hAnsi="Calibri" w:cs="Calibri"/>
          <w:color w:val="000000" w:themeColor="text1"/>
        </w:rPr>
      </w:pPr>
      <w:r>
        <w:t xml:space="preserve">In his eloquent and relaxed manner, </w:t>
      </w:r>
      <w:sdt>
        <w:sdtPr>
          <w:alias w:val="Citation"/>
          <w:tag w:val="{&quot;referencesIds&quot;:[&quot;doc:628681208f08be505d0d976d&quot;],&quot;referencesOptions&quot;:{&quot;doc:628681208f08be505d0d976d&quot;:{&quot;author&quot;:true,&quot;year&quot;:true,&quot;pageReplace&quot;:&quot;&quot;,&quot;prefix&quot;:&quot;&quot;,&quot;suffix&quot;:&quot;&quot;}},&quot;hasBrokenReferences&quot;:false,&quot;hasManualEdits&quot;:false,&quot;citationType&quot;:&quot;inline&quot;,&quot;id&quot;:557409154,&quot;citationText&quot;:&quot;&lt;span style=\&quot;font-family:Calibri;font-size:14.666666666666666px;color:#000000\&quot;&gt;(Johnson 2010)&lt;/span&gt;&quot;}"/>
          <w:id w:val="1970113842"/>
          <w:placeholder>
            <w:docPart w:val="DefaultPlaceholder_1081868574"/>
          </w:placeholder>
        </w:sdtPr>
        <w:sdtEndPr/>
        <w:sdtContent>
          <w:r w:rsidR="03530F7B" w:rsidRPr="03530F7B">
            <w:rPr>
              <w:rFonts w:ascii="Calibri" w:eastAsia="Calibri" w:hAnsi="Calibri" w:cs="Calibri"/>
              <w:color w:val="000000" w:themeColor="text1"/>
            </w:rPr>
            <w:t>(Johnson 2010)</w:t>
          </w:r>
        </w:sdtContent>
      </w:sdt>
      <w:r w:rsidRPr="03530F7B">
        <w:rPr>
          <w:rFonts w:ascii="Calibri" w:eastAsia="Calibri" w:hAnsi="Calibri" w:cs="Calibri"/>
          <w:color w:val="000000" w:themeColor="text1"/>
        </w:rPr>
        <w:t xml:space="preserve"> makes the statement:” Chance favours the connected mind”. ABB has created and continues to create many connections, which should by Steve Johnson’s reasoning, increase the chance of innovation happening......and is has and continues to do so.</w:t>
      </w:r>
    </w:p>
    <w:p w14:paraId="2F39F255" w14:textId="373C9A6E" w:rsidR="50EC019F" w:rsidRDefault="50EC019F" w:rsidP="50EC019F">
      <w:pPr>
        <w:pStyle w:val="Heading1"/>
      </w:pPr>
    </w:p>
    <w:p w14:paraId="4894FD44" w14:textId="0ECDDF59" w:rsidR="005E0961" w:rsidRDefault="5414927A" w:rsidP="50EC019F">
      <w:pPr>
        <w:pStyle w:val="Heading1"/>
      </w:pPr>
      <w:bookmarkStart w:id="9" w:name="_Toc1298097991"/>
      <w:r>
        <w:t>7. How management overview of the development was maintained</w:t>
      </w:r>
      <w:bookmarkEnd w:id="9"/>
    </w:p>
    <w:p w14:paraId="14268D5D" w14:textId="6168DEE5" w:rsidR="2F93D97E" w:rsidRDefault="2F93D97E" w:rsidP="2F93D97E">
      <w:pPr>
        <w:jc w:val="both"/>
        <w:rPr>
          <w:highlight w:val="yellow"/>
        </w:rPr>
      </w:pPr>
      <w:r>
        <w:t>We begin this section of the report with a review of ABB’s innovation management practices which have evolved as the business has gradually shifted its focus on selected markets and technologies.</w:t>
      </w:r>
    </w:p>
    <w:p w14:paraId="61AA11AD" w14:textId="7755E436" w:rsidR="2F93D97E" w:rsidRDefault="2F93D97E" w:rsidP="2F93D97E">
      <w:pPr>
        <w:jc w:val="both"/>
      </w:pPr>
      <w:r>
        <w:t xml:space="preserve">It will become apparent that management of innovation within ABB has been dynamic, as opposed to static, with managers and staff at all levels being immersed in a corporate culture defined by sustainability and technology development. </w:t>
      </w:r>
    </w:p>
    <w:p w14:paraId="0F79F9A4" w14:textId="5DCF76EE" w:rsidR="2F93D97E" w:rsidRDefault="2F93D97E" w:rsidP="2F93D97E">
      <w:pPr>
        <w:jc w:val="both"/>
        <w:rPr>
          <w:highlight w:val="yellow"/>
        </w:rPr>
      </w:pPr>
      <w:r>
        <w:t xml:space="preserve">The earlier section of this report which looked at the </w:t>
      </w:r>
      <w:r w:rsidRPr="2F93D97E">
        <w:rPr>
          <w:b/>
          <w:bCs/>
        </w:rPr>
        <w:t>principal drivers</w:t>
      </w:r>
      <w:r>
        <w:t xml:space="preserve"> for developing the Fast-Charging Technology referred to ABB’s early focus on and adoption of sustainability in its product development and manufacturing processes.</w:t>
      </w:r>
    </w:p>
    <w:p w14:paraId="69705FA9" w14:textId="44BF9D90" w:rsidR="2F93D97E" w:rsidRDefault="00CE41FD" w:rsidP="2F93D97E">
      <w:pPr>
        <w:jc w:val="both"/>
        <w:rPr>
          <w:rFonts w:ascii="Calibri" w:eastAsia="Calibri" w:hAnsi="Calibri" w:cs="Calibri"/>
          <w:color w:val="000000" w:themeColor="text1"/>
        </w:rPr>
      </w:pPr>
      <w:sdt>
        <w:sdtPr>
          <w:alias w:val="Citation"/>
          <w:tag w:val="{&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381011654,&quot;citationText&quot;:&quot;&lt;span style=\&quot;font-family:Calibri;font-size:14.666666666666666px;color:#000000\&quot;&gt;(Tingström, Swanström et al. 2006)&lt;/span&gt;&quot;}"/>
          <w:id w:val="397824138"/>
          <w:placeholder>
            <w:docPart w:val="DefaultPlaceholder_1081868574"/>
          </w:placeholder>
        </w:sdtPr>
        <w:sdtEndPr/>
        <w:sdtContent>
          <w:r w:rsidR="03530F7B" w:rsidRPr="03530F7B">
            <w:rPr>
              <w:rFonts w:ascii="Calibri" w:eastAsia="Calibri" w:hAnsi="Calibri" w:cs="Calibri"/>
              <w:color w:val="000000" w:themeColor="text1"/>
            </w:rPr>
            <w:t>(</w:t>
          </w:r>
          <w:proofErr w:type="spellStart"/>
          <w:r w:rsidR="03530F7B" w:rsidRPr="03530F7B">
            <w:rPr>
              <w:rFonts w:ascii="Calibri" w:eastAsia="Calibri" w:hAnsi="Calibri" w:cs="Calibri"/>
              <w:color w:val="000000" w:themeColor="text1"/>
            </w:rPr>
            <w:t>Tingström</w:t>
          </w:r>
          <w:proofErr w:type="spellEnd"/>
          <w:r w:rsidR="03530F7B" w:rsidRPr="03530F7B">
            <w:rPr>
              <w:rFonts w:ascii="Calibri" w:eastAsia="Calibri" w:hAnsi="Calibri" w:cs="Calibri"/>
              <w:color w:val="000000" w:themeColor="text1"/>
            </w:rPr>
            <w:t xml:space="preserve">, </w:t>
          </w:r>
          <w:proofErr w:type="spellStart"/>
          <w:r w:rsidR="03530F7B" w:rsidRPr="03530F7B">
            <w:rPr>
              <w:rFonts w:ascii="Calibri" w:eastAsia="Calibri" w:hAnsi="Calibri" w:cs="Calibri"/>
              <w:color w:val="000000" w:themeColor="text1"/>
            </w:rPr>
            <w:t>Swanström</w:t>
          </w:r>
          <w:proofErr w:type="spellEnd"/>
          <w:r w:rsidR="03530F7B" w:rsidRPr="03530F7B">
            <w:rPr>
              <w:rFonts w:ascii="Calibri" w:eastAsia="Calibri" w:hAnsi="Calibri" w:cs="Calibri"/>
              <w:color w:val="000000" w:themeColor="text1"/>
            </w:rPr>
            <w:t xml:space="preserve"> et al. 2006)</w:t>
          </w:r>
        </w:sdtContent>
      </w:sdt>
      <w:r w:rsidR="532780BC" w:rsidRPr="03530F7B">
        <w:rPr>
          <w:rFonts w:ascii="Calibri" w:eastAsia="Calibri" w:hAnsi="Calibri" w:cs="Calibri"/>
          <w:color w:val="000000" w:themeColor="text1"/>
        </w:rPr>
        <w:t xml:space="preserve"> provides some insight into ABB’s Gate Process for managing innovative (new product development) projects and is worthy of some attention as we consider the evolution of innovation management within the company and includes the following diagram of ABB’s Gate Process (as it was when the Dry Q Capacitor was being developed).</w:t>
      </w:r>
    </w:p>
    <w:p w14:paraId="40BF137A" w14:textId="4FBDFC3B" w:rsidR="7563A32A" w:rsidRDefault="55C43D80" w:rsidP="7563A32A">
      <w:pPr>
        <w:jc w:val="center"/>
      </w:pPr>
      <w:r>
        <w:rPr>
          <w:noProof/>
        </w:rPr>
        <w:drawing>
          <wp:inline distT="0" distB="0" distL="0" distR="0" wp14:anchorId="0FC564F1" wp14:editId="7BC9B0B2">
            <wp:extent cx="2743423" cy="2809265"/>
            <wp:effectExtent l="0" t="0" r="0" b="0"/>
            <wp:docPr id="125544218" name="Picture 125544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743423" cy="2809265"/>
                    </a:xfrm>
                    <a:prstGeom prst="rect">
                      <a:avLst/>
                    </a:prstGeom>
                  </pic:spPr>
                </pic:pic>
              </a:graphicData>
            </a:graphic>
          </wp:inline>
        </w:drawing>
      </w:r>
    </w:p>
    <w:p w14:paraId="2FB0A69E" w14:textId="554B0E7E" w:rsidR="2F93D97E" w:rsidRPr="00C32854" w:rsidRDefault="54FA37EA" w:rsidP="45E914B0">
      <w:pPr>
        <w:jc w:val="center"/>
        <w:rPr>
          <w:rFonts w:ascii="Calibri" w:eastAsia="Calibri" w:hAnsi="Calibri" w:cs="Calibri"/>
          <w:color w:val="000000" w:themeColor="text1"/>
          <w:lang w:val="fr-FR"/>
        </w:rPr>
      </w:pPr>
      <w:proofErr w:type="gramStart"/>
      <w:r w:rsidRPr="00C32854">
        <w:rPr>
          <w:sz w:val="18"/>
          <w:szCs w:val="18"/>
          <w:lang w:val="fr-FR"/>
        </w:rPr>
        <w:t>Source:</w:t>
      </w:r>
      <w:proofErr w:type="gramEnd"/>
      <w:r w:rsidRPr="00C32854">
        <w:rPr>
          <w:sz w:val="18"/>
          <w:szCs w:val="18"/>
          <w:lang w:val="fr-FR"/>
        </w:rPr>
        <w:t xml:space="preserve"> </w:t>
      </w:r>
      <w:sdt>
        <w:sdtPr>
          <w:alias w:val="Citation"/>
          <w:tag w:val="{&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621044777,&quot;citationText&quot;:&quot;&lt;span style=\&quot;font-family:Calibri;font-size:14.666666666666666px;color:#000000\&quot;&gt;(Tingström, Swanström et al. 2006)&lt;/span&gt;&quot;}"/>
          <w:id w:val="477117178"/>
          <w:placeholder>
            <w:docPart w:val="DefaultPlaceholder_1081868574"/>
          </w:placeholder>
        </w:sdtPr>
        <w:sdtEndPr/>
        <w:sdtContent>
          <w:r w:rsidR="03530F7B" w:rsidRPr="00C32854">
            <w:rPr>
              <w:rFonts w:ascii="Calibri" w:eastAsia="Calibri" w:hAnsi="Calibri" w:cs="Calibri"/>
              <w:color w:val="000000" w:themeColor="text1"/>
              <w:lang w:val="fr-FR"/>
            </w:rPr>
            <w:t>(Tingström, Swanström et al. 2006)</w:t>
          </w:r>
        </w:sdtContent>
      </w:sdt>
    </w:p>
    <w:p w14:paraId="3C93D9CC" w14:textId="199CA793" w:rsidR="2F93D97E" w:rsidRDefault="00CE41FD" w:rsidP="03530F7B">
      <w:pPr>
        <w:jc w:val="both"/>
        <w:rPr>
          <w:rFonts w:ascii="Calibri" w:eastAsia="Calibri" w:hAnsi="Calibri" w:cs="Calibri"/>
          <w:sz w:val="27"/>
          <w:szCs w:val="27"/>
        </w:rPr>
      </w:pPr>
      <w:sdt>
        <w:sdtPr>
          <w:alias w:val="Citation"/>
          <w:tag w:val="{&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489510116,&quot;citationText&quot;:&quot;&lt;span style=\&quot;font-family:Calibri;font-size:14.666666666666666px;color:#000000\&quot;&gt;(Tingström, Swanström et al. 2006)&lt;/span&gt;&quot;}"/>
          <w:id w:val="924052724"/>
          <w:placeholder>
            <w:docPart w:val="DefaultPlaceholder_1081868574"/>
          </w:placeholder>
        </w:sdtPr>
        <w:sdtEndPr/>
        <w:sdtContent>
          <w:r w:rsidR="03530F7B" w:rsidRPr="03530F7B">
            <w:rPr>
              <w:rFonts w:ascii="Calibri" w:eastAsia="Calibri" w:hAnsi="Calibri" w:cs="Calibri"/>
              <w:color w:val="000000" w:themeColor="text1"/>
            </w:rPr>
            <w:t>(</w:t>
          </w:r>
          <w:proofErr w:type="spellStart"/>
          <w:r w:rsidR="03530F7B" w:rsidRPr="03530F7B">
            <w:rPr>
              <w:rFonts w:ascii="Calibri" w:eastAsia="Calibri" w:hAnsi="Calibri" w:cs="Calibri"/>
              <w:color w:val="000000" w:themeColor="text1"/>
            </w:rPr>
            <w:t>Tingström</w:t>
          </w:r>
          <w:proofErr w:type="spellEnd"/>
          <w:r w:rsidR="03530F7B" w:rsidRPr="03530F7B">
            <w:rPr>
              <w:rFonts w:ascii="Calibri" w:eastAsia="Calibri" w:hAnsi="Calibri" w:cs="Calibri"/>
              <w:color w:val="000000" w:themeColor="text1"/>
            </w:rPr>
            <w:t xml:space="preserve">, </w:t>
          </w:r>
          <w:proofErr w:type="spellStart"/>
          <w:r w:rsidR="03530F7B" w:rsidRPr="03530F7B">
            <w:rPr>
              <w:rFonts w:ascii="Calibri" w:eastAsia="Calibri" w:hAnsi="Calibri" w:cs="Calibri"/>
              <w:color w:val="000000" w:themeColor="text1"/>
            </w:rPr>
            <w:t>Swanström</w:t>
          </w:r>
          <w:proofErr w:type="spellEnd"/>
          <w:r w:rsidR="03530F7B" w:rsidRPr="03530F7B">
            <w:rPr>
              <w:rFonts w:ascii="Calibri" w:eastAsia="Calibri" w:hAnsi="Calibri" w:cs="Calibri"/>
              <w:color w:val="000000" w:themeColor="text1"/>
            </w:rPr>
            <w:t xml:space="preserve"> et al. 2006)</w:t>
          </w:r>
        </w:sdtContent>
      </w:sdt>
      <w:r w:rsidR="532780BC" w:rsidRPr="03530F7B">
        <w:rPr>
          <w:rFonts w:ascii="Calibri" w:eastAsia="Calibri" w:hAnsi="Calibri" w:cs="Calibri"/>
          <w:color w:val="000000" w:themeColor="text1"/>
        </w:rPr>
        <w:t xml:space="preserve"> highlights how important the issue of sustainability was to ABB’s, innovation, product development and manufacturing processes as seen from the following excerpt taken from this journal:</w:t>
      </w:r>
    </w:p>
    <w:p w14:paraId="15524BAA" w14:textId="49693000" w:rsidR="71F291AF" w:rsidRDefault="71F291AF" w:rsidP="77335483">
      <w:pPr>
        <w:jc w:val="both"/>
        <w:rPr>
          <w:rFonts w:ascii="Calibri" w:eastAsia="Calibri" w:hAnsi="Calibri" w:cs="Calibri"/>
          <w:sz w:val="27"/>
          <w:szCs w:val="27"/>
        </w:rPr>
      </w:pPr>
      <w:r w:rsidRPr="77335483">
        <w:rPr>
          <w:rFonts w:ascii="Calibri" w:eastAsia="Calibri" w:hAnsi="Calibri" w:cs="Calibri"/>
          <w:i/>
          <w:iCs/>
        </w:rPr>
        <w:t>” A new version of the ABB GATE Model that includes sustainability goals was launched in 2001. This was a big step forward and since then all business areas in ABB have a common approach that integrates sustainability goals into product development projects</w:t>
      </w:r>
      <w:bookmarkStart w:id="10" w:name="_Int_YpL69kfl"/>
      <w:proofErr w:type="gramStart"/>
      <w:r w:rsidRPr="77335483">
        <w:rPr>
          <w:rFonts w:ascii="Calibri" w:eastAsia="Calibri" w:hAnsi="Calibri" w:cs="Calibri"/>
          <w:i/>
          <w:iCs/>
        </w:rPr>
        <w:t>... ”</w:t>
      </w:r>
      <w:bookmarkEnd w:id="10"/>
      <w:proofErr w:type="gramEnd"/>
    </w:p>
    <w:p w14:paraId="16FB41FE" w14:textId="63D956C3" w:rsidR="50EC019F" w:rsidRDefault="50EC019F" w:rsidP="50EC019F">
      <w:pPr>
        <w:jc w:val="both"/>
        <w:rPr>
          <w:rFonts w:ascii="Calibri" w:eastAsia="Calibri" w:hAnsi="Calibri" w:cs="Calibri"/>
        </w:rPr>
      </w:pPr>
    </w:p>
    <w:p w14:paraId="330B0513" w14:textId="4AD96583" w:rsidR="50EC019F" w:rsidRDefault="50EC019F" w:rsidP="50EC019F">
      <w:pPr>
        <w:jc w:val="both"/>
        <w:rPr>
          <w:rFonts w:ascii="Calibri" w:eastAsia="Calibri" w:hAnsi="Calibri" w:cs="Calibri"/>
        </w:rPr>
      </w:pPr>
    </w:p>
    <w:p w14:paraId="25A96A4A" w14:textId="71BA1258" w:rsidR="6384B087" w:rsidRDefault="46740A7C" w:rsidP="6384B087">
      <w:pPr>
        <w:jc w:val="both"/>
        <w:rPr>
          <w:rFonts w:ascii="Calibri" w:eastAsia="Calibri" w:hAnsi="Calibri" w:cs="Calibri"/>
          <w:color w:val="000000" w:themeColor="text1"/>
        </w:rPr>
      </w:pPr>
      <w:r w:rsidRPr="03530F7B">
        <w:rPr>
          <w:rFonts w:ascii="Calibri" w:eastAsia="Calibri" w:hAnsi="Calibri" w:cs="Calibri"/>
        </w:rPr>
        <w:lastRenderedPageBreak/>
        <w:t>Further evidence of the dynamic and evolving method for managing innovation within ABB is provided in a compelling case study published by INFOSYS</w:t>
      </w:r>
      <w:r w:rsidR="01D270FC" w:rsidRPr="03530F7B">
        <w:rPr>
          <w:rFonts w:ascii="Calibri" w:eastAsia="Calibri" w:hAnsi="Calibri" w:cs="Calibri"/>
        </w:rPr>
        <w:t xml:space="preserve"> </w:t>
      </w:r>
      <w:sdt>
        <w:sdtPr>
          <w:alias w:val="Citation"/>
          <w:tag w:val="{&quot;referencesIds&quot;:[&quot;doc:627613048f0837f2078bacc3&quot;],&quot;referencesOptions&quot;:{&quot;doc:627613048f0837f2078bacc3&quot;:{&quot;author&quot;:true,&quot;year&quot;:true,&quot;pageReplace&quot;:&quot;&quot;,&quot;prefix&quot;:&quot;&quot;,&quot;suffix&quot;:&quot;&quot;}},&quot;hasBrokenReferences&quot;:false,&quot;hasManualEdits&quot;:false,&quot;citationType&quot;:&quot;inline&quot;,&quot;id&quot;:1040556234,&quot;citationText&quot;:&quot;&lt;span style=\&quot;font-family:Calibri;font-size:14.666666666666666px;color:#000000\&quot;&gt;(Ramachandran 2019)&lt;/span&gt;&quot;}"/>
          <w:id w:val="976962538"/>
          <w:placeholder>
            <w:docPart w:val="DefaultPlaceholder_1081868574"/>
          </w:placeholder>
        </w:sdtPr>
        <w:sdtEndPr/>
        <w:sdtContent>
          <w:r w:rsidR="03530F7B" w:rsidRPr="03530F7B">
            <w:rPr>
              <w:rFonts w:ascii="Calibri" w:eastAsia="Calibri" w:hAnsi="Calibri" w:cs="Calibri"/>
              <w:color w:val="000000" w:themeColor="text1"/>
            </w:rPr>
            <w:t>(Ramachandran 2019)</w:t>
          </w:r>
        </w:sdtContent>
      </w:sdt>
      <w:r w:rsidR="01D270FC" w:rsidRPr="03530F7B">
        <w:rPr>
          <w:rFonts w:ascii="Calibri" w:eastAsia="Calibri" w:hAnsi="Calibri" w:cs="Calibri"/>
          <w:color w:val="000000" w:themeColor="text1"/>
        </w:rPr>
        <w:t>.</w:t>
      </w:r>
    </w:p>
    <w:p w14:paraId="32F533A3" w14:textId="53D9DD42" w:rsidR="7552DEC5" w:rsidRDefault="7552DEC5" w:rsidP="77335483">
      <w:pPr>
        <w:jc w:val="center"/>
        <w:rPr>
          <w:rFonts w:ascii="Calibri" w:eastAsia="Calibri" w:hAnsi="Calibri" w:cs="Calibri"/>
          <w:b/>
          <w:bCs/>
          <w:color w:val="212529"/>
          <w:sz w:val="18"/>
          <w:szCs w:val="18"/>
        </w:rPr>
      </w:pPr>
      <w:r>
        <w:rPr>
          <w:noProof/>
        </w:rPr>
        <w:drawing>
          <wp:inline distT="0" distB="0" distL="0" distR="0" wp14:anchorId="5BA3914B" wp14:editId="4FF9B8EA">
            <wp:extent cx="5479116" cy="2716728"/>
            <wp:effectExtent l="0" t="0" r="0" b="0"/>
            <wp:docPr id="1142231114" name="Picture 1142231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479116" cy="2716728"/>
                    </a:xfrm>
                    <a:prstGeom prst="rect">
                      <a:avLst/>
                    </a:prstGeom>
                  </pic:spPr>
                </pic:pic>
              </a:graphicData>
            </a:graphic>
          </wp:inline>
        </w:drawing>
      </w:r>
      <w:r w:rsidRPr="77335483">
        <w:rPr>
          <w:rFonts w:ascii="Calibri" w:eastAsia="Calibri" w:hAnsi="Calibri" w:cs="Calibri"/>
          <w:b/>
          <w:bCs/>
          <w:color w:val="212529"/>
          <w:sz w:val="18"/>
          <w:szCs w:val="18"/>
        </w:rPr>
        <w:t>Figure 1. The scale and complexity of ABB’s Electrification business supply chain</w:t>
      </w:r>
    </w:p>
    <w:p w14:paraId="23C94B52" w14:textId="047D0AE7" w:rsidR="7552DEC5" w:rsidRDefault="7552DEC5" w:rsidP="276D8ED4">
      <w:pPr>
        <w:jc w:val="center"/>
        <w:rPr>
          <w:rFonts w:ascii="Calibri" w:eastAsia="Calibri" w:hAnsi="Calibri" w:cs="Calibri"/>
          <w:i/>
          <w:iCs/>
          <w:sz w:val="18"/>
          <w:szCs w:val="18"/>
        </w:rPr>
      </w:pPr>
      <w:r w:rsidRPr="276D8ED4">
        <w:rPr>
          <w:rFonts w:ascii="Calibri" w:eastAsia="Calibri" w:hAnsi="Calibri" w:cs="Calibri"/>
          <w:i/>
          <w:iCs/>
          <w:sz w:val="18"/>
          <w:szCs w:val="18"/>
        </w:rPr>
        <w:t>Source: ABB</w:t>
      </w:r>
    </w:p>
    <w:p w14:paraId="7ED754E6" w14:textId="15710378" w:rsidR="7552DEC5" w:rsidRDefault="7552DEC5" w:rsidP="7552DEC5">
      <w:pPr>
        <w:jc w:val="both"/>
      </w:pPr>
      <w:r>
        <w:t>Although ABB did use a standard configuration tool, the linear process (see fig.1) was prone to errors, communication breakdown/delays and duplication of effort.</w:t>
      </w:r>
    </w:p>
    <w:p w14:paraId="4E004463" w14:textId="4DF6EACA" w:rsidR="7552DEC5" w:rsidRDefault="47A1F3FA" w:rsidP="7552DEC5">
      <w:pPr>
        <w:jc w:val="both"/>
      </w:pPr>
      <w:r>
        <w:t xml:space="preserve">The new digitalised product configurator was to become the single ‘source of truth’ which would be accessible for all parts of the NPD team (see fig.2) and which </w:t>
      </w:r>
      <w:r w:rsidRPr="276D8ED4">
        <w:rPr>
          <w:b/>
          <w:bCs/>
        </w:rPr>
        <w:t>CUSTOMERS</w:t>
      </w:r>
      <w:r>
        <w:t xml:space="preserve"> could also access.</w:t>
      </w:r>
    </w:p>
    <w:p w14:paraId="45AFBCCA" w14:textId="1954E136" w:rsidR="7552DEC5" w:rsidRDefault="6B7331AD" w:rsidP="7552DEC5">
      <w:pPr>
        <w:jc w:val="center"/>
      </w:pPr>
      <w:r>
        <w:rPr>
          <w:noProof/>
        </w:rPr>
        <w:drawing>
          <wp:inline distT="0" distB="0" distL="0" distR="0" wp14:anchorId="6C42603B" wp14:editId="7987153F">
            <wp:extent cx="3574376" cy="2808874"/>
            <wp:effectExtent l="0" t="0" r="0" b="0"/>
            <wp:docPr id="1537356278" name="Picture 1537356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574376" cy="2808874"/>
                    </a:xfrm>
                    <a:prstGeom prst="rect">
                      <a:avLst/>
                    </a:prstGeom>
                  </pic:spPr>
                </pic:pic>
              </a:graphicData>
            </a:graphic>
          </wp:inline>
        </w:drawing>
      </w:r>
    </w:p>
    <w:p w14:paraId="7CBA95CC" w14:textId="4A207EF8" w:rsidR="7552DEC5" w:rsidRDefault="7552DEC5" w:rsidP="276D8ED4">
      <w:pPr>
        <w:jc w:val="center"/>
        <w:rPr>
          <w:rFonts w:ascii="Calibri" w:eastAsia="Calibri" w:hAnsi="Calibri" w:cs="Calibri"/>
          <w:b/>
          <w:bCs/>
          <w:color w:val="212529"/>
          <w:sz w:val="18"/>
          <w:szCs w:val="18"/>
        </w:rPr>
      </w:pPr>
      <w:r w:rsidRPr="276D8ED4">
        <w:rPr>
          <w:rFonts w:ascii="Calibri" w:eastAsia="Calibri" w:hAnsi="Calibri" w:cs="Calibri"/>
          <w:b/>
          <w:bCs/>
          <w:color w:val="212529"/>
          <w:sz w:val="18"/>
          <w:szCs w:val="18"/>
        </w:rPr>
        <w:t>Figure 2. The product life cycle post-digital transformation</w:t>
      </w:r>
    </w:p>
    <w:p w14:paraId="7D39C848" w14:textId="5183032F" w:rsidR="50EC019F" w:rsidRDefault="7552DEC5" w:rsidP="03530F7B">
      <w:pPr>
        <w:jc w:val="center"/>
        <w:rPr>
          <w:rFonts w:ascii="Calibri" w:eastAsia="Calibri" w:hAnsi="Calibri" w:cs="Calibri"/>
          <w:i/>
          <w:iCs/>
          <w:sz w:val="18"/>
          <w:szCs w:val="18"/>
        </w:rPr>
      </w:pPr>
      <w:r w:rsidRPr="03530F7B">
        <w:rPr>
          <w:rFonts w:ascii="Calibri" w:eastAsia="Calibri" w:hAnsi="Calibri" w:cs="Calibri"/>
          <w:i/>
          <w:iCs/>
          <w:sz w:val="18"/>
          <w:szCs w:val="18"/>
        </w:rPr>
        <w:t>Source: ABB</w:t>
      </w:r>
    </w:p>
    <w:p w14:paraId="4E18EEA5" w14:textId="3B64FA39" w:rsidR="03530F7B" w:rsidRDefault="03530F7B" w:rsidP="03530F7B">
      <w:pPr>
        <w:jc w:val="both"/>
        <w:rPr>
          <w:rStyle w:val="Heading1Char"/>
        </w:rPr>
      </w:pPr>
    </w:p>
    <w:p w14:paraId="49725AF4" w14:textId="7D47731D" w:rsidR="00494F66" w:rsidRPr="00810027" w:rsidRDefault="057CB823" w:rsidP="4633F1D1">
      <w:pPr>
        <w:jc w:val="both"/>
        <w:rPr>
          <w:b/>
          <w:bCs/>
        </w:rPr>
      </w:pPr>
      <w:bookmarkStart w:id="11" w:name="_Toc519138909"/>
      <w:r w:rsidRPr="03530F7B">
        <w:rPr>
          <w:rStyle w:val="Heading1Char"/>
        </w:rPr>
        <w:t>8. Conclusion/Evaluation/Critique</w:t>
      </w:r>
      <w:bookmarkEnd w:id="11"/>
    </w:p>
    <w:p w14:paraId="760F90B6" w14:textId="5F381356" w:rsidR="45E914B0" w:rsidRDefault="00CE41FD" w:rsidP="45E914B0">
      <w:pPr>
        <w:jc w:val="both"/>
        <w:rPr>
          <w:rFonts w:ascii="Calibri" w:eastAsia="Calibri" w:hAnsi="Calibri" w:cs="Calibri"/>
          <w:color w:val="000000" w:themeColor="text1"/>
        </w:rPr>
      </w:pPr>
      <w:sdt>
        <w:sdtPr>
          <w:alias w:val="Citation"/>
          <w:tag w:val="{&quot;referencesIds&quot;:[&quot;doc:6285d0e98f08e7cc0789b9d2&quot;],&quot;referencesOptions&quot;:{&quot;doc:6285d0e98f08e7cc0789b9d2&quot;:{&quot;author&quot;:true,&quot;year&quot;:true,&quot;pageReplace&quot;:&quot;&quot;,&quot;prefix&quot;:&quot;&quot;,&quot;suffix&quot;:&quot;&quot;}},&quot;hasBrokenReferences&quot;:false,&quot;hasManualEdits&quot;:false,&quot;citationType&quot;:&quot;inline&quot;,&quot;id&quot;:456737897,&quot;citationText&quot;:&quot;&lt;span style=\&quot;font-family:Calibri;font-size:14.666666666666666px;color:#000000\&quot;&gt;(Piercy 2017)&lt;/span&gt;&quot;}"/>
          <w:id w:val="100387628"/>
          <w:placeholder>
            <w:docPart w:val="DefaultPlaceholder_1081868574"/>
          </w:placeholder>
        </w:sdtPr>
        <w:sdtEndPr/>
        <w:sdtContent>
          <w:r w:rsidR="03530F7B" w:rsidRPr="03530F7B">
            <w:rPr>
              <w:rFonts w:ascii="Calibri" w:eastAsia="Calibri" w:hAnsi="Calibri" w:cs="Calibri"/>
              <w:color w:val="000000" w:themeColor="text1"/>
            </w:rPr>
            <w:t>(Piercy 2017)</w:t>
          </w:r>
        </w:sdtContent>
      </w:sdt>
      <w:r w:rsidR="45E914B0" w:rsidRPr="03530F7B">
        <w:rPr>
          <w:rFonts w:ascii="Calibri" w:eastAsia="Calibri" w:hAnsi="Calibri" w:cs="Calibri"/>
          <w:color w:val="000000" w:themeColor="text1"/>
        </w:rPr>
        <w:t xml:space="preserve"> highlights the importance of ’total integrated marketing’ which focuses on creating and delivering customer value.</w:t>
      </w:r>
    </w:p>
    <w:p w14:paraId="0DD831BB" w14:textId="71E8CC9E" w:rsidR="45E914B0" w:rsidRDefault="45E914B0" w:rsidP="6384B087">
      <w:pPr>
        <w:jc w:val="both"/>
        <w:rPr>
          <w:rFonts w:ascii="Calibri" w:eastAsia="Calibri" w:hAnsi="Calibri" w:cs="Calibri"/>
          <w:color w:val="000000" w:themeColor="text1"/>
        </w:rPr>
      </w:pPr>
      <w:r w:rsidRPr="03530F7B">
        <w:rPr>
          <w:rFonts w:ascii="Calibri" w:eastAsia="Calibri" w:hAnsi="Calibri" w:cs="Calibri"/>
          <w:color w:val="000000" w:themeColor="text1"/>
        </w:rPr>
        <w:t xml:space="preserve">ABB has been going through a similar reorganisation referred to by the Chairman &amp; CEO in their letter to shareholders on page 12 of the 2020 Annual Report </w:t>
      </w:r>
      <w:sdt>
        <w:sdtPr>
          <w:alias w:val="Citation"/>
          <w:tag w:val="{&quot;referencesIds&quot;:[&quot;doc:628226578f08f5b36bde4df4&quot;],&quot;referencesOptions&quot;:{&quot;doc:628226578f08f5b36bde4df4&quot;:{&quot;author&quot;:true,&quot;year&quot;:true,&quot;pageReplace&quot;:&quot;&quot;,&quot;prefix&quot;:&quot;&quot;,&quot;suffix&quot;:&quot;&quot;}},&quot;hasBrokenReferences&quot;:false,&quot;hasManualEdits&quot;:false,&quot;citationType&quot;:&quot;inline&quot;,&quot;id&quot;:2108167947,&quot;citationText&quot;:&quot;&lt;span style=\&quot;font-family:Calibri;font-size:14.666666666666666px;color:#000000\&quot;&gt;(, ABB Group Annual Report 2020 - English2022)&lt;/span&gt;&quot;}"/>
          <w:id w:val="1923535142"/>
          <w:placeholder>
            <w:docPart w:val="DefaultPlaceholder_1081868574"/>
          </w:placeholder>
        </w:sdtPr>
        <w:sdtEndPr/>
        <w:sdtContent>
          <w:r w:rsidR="03530F7B" w:rsidRPr="03530F7B">
            <w:rPr>
              <w:rFonts w:ascii="Calibri" w:eastAsia="Calibri" w:hAnsi="Calibri" w:cs="Calibri"/>
              <w:color w:val="000000" w:themeColor="text1"/>
            </w:rPr>
            <w:t>(, ABB Group Annual Report 2020 - English2022)</w:t>
          </w:r>
        </w:sdtContent>
      </w:sdt>
    </w:p>
    <w:p w14:paraId="4AA1FD9B" w14:textId="3FF68BF9" w:rsidR="45E914B0" w:rsidRDefault="45E914B0" w:rsidP="45E914B0">
      <w:pPr>
        <w:jc w:val="both"/>
        <w:rPr>
          <w:rFonts w:ascii="Calibri" w:eastAsia="Calibri" w:hAnsi="Calibri" w:cs="Calibri"/>
          <w:color w:val="000000" w:themeColor="text1"/>
        </w:rPr>
      </w:pPr>
    </w:p>
    <w:p w14:paraId="3094F4A9" w14:textId="4210BA6D" w:rsidR="4633F1D1" w:rsidRDefault="7563A32A" w:rsidP="7563A32A">
      <w:pPr>
        <w:jc w:val="center"/>
      </w:pPr>
      <w:r>
        <w:rPr>
          <w:noProof/>
        </w:rPr>
        <w:drawing>
          <wp:inline distT="0" distB="0" distL="0" distR="0" wp14:anchorId="4AFC9106" wp14:editId="1136E2BE">
            <wp:extent cx="4599900" cy="5438306"/>
            <wp:effectExtent l="0" t="0" r="0" b="0"/>
            <wp:docPr id="1265691627" name="Picture 1265691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99900" cy="5438306"/>
                    </a:xfrm>
                    <a:prstGeom prst="rect">
                      <a:avLst/>
                    </a:prstGeom>
                  </pic:spPr>
                </pic:pic>
              </a:graphicData>
            </a:graphic>
          </wp:inline>
        </w:drawing>
      </w:r>
    </w:p>
    <w:p w14:paraId="18282581" w14:textId="2701476F" w:rsidR="7563A32A" w:rsidRDefault="54FA37EA" w:rsidP="7563A32A">
      <w:pPr>
        <w:jc w:val="center"/>
        <w:rPr>
          <w:rFonts w:ascii="Calibri" w:eastAsia="Calibri" w:hAnsi="Calibri" w:cs="Calibri"/>
          <w:color w:val="000000" w:themeColor="text1"/>
        </w:rPr>
      </w:pPr>
      <w:r w:rsidRPr="03530F7B">
        <w:rPr>
          <w:sz w:val="18"/>
          <w:szCs w:val="18"/>
        </w:rPr>
        <w:t xml:space="preserve"> Source:</w:t>
      </w:r>
      <w:r w:rsidR="45E914B0" w:rsidRPr="03530F7B">
        <w:rPr>
          <w:sz w:val="18"/>
          <w:szCs w:val="18"/>
        </w:rPr>
        <w:t xml:space="preserve"> </w:t>
      </w:r>
      <w:sdt>
        <w:sdtPr>
          <w:alias w:val="Citation"/>
          <w:tag w:val="{&quot;referencesIds&quot;:[&quot;doc:6285d0e98f08e7cc0789b9d2&quot;],&quot;referencesOptions&quot;:{&quot;doc:6285d0e98f08e7cc0789b9d2&quot;:{&quot;author&quot;:true,&quot;year&quot;:true,&quot;pageReplace&quot;:&quot;&quot;,&quot;prefix&quot;:&quot;&quot;,&quot;suffix&quot;:&quot;&quot;}},&quot;hasBrokenReferences&quot;:false,&quot;hasManualEdits&quot;:false,&quot;citationType&quot;:&quot;inline&quot;,&quot;id&quot;:1100888143,&quot;citationText&quot;:&quot;&lt;span style=\&quot;font-family:Calibri;font-size:14.666666666666666px;color:#000000\&quot;&gt;(Piercy 2017)&lt;/span&gt;&quot;}"/>
          <w:id w:val="1468239894"/>
          <w:placeholder>
            <w:docPart w:val="DefaultPlaceholder_1081868574"/>
          </w:placeholder>
        </w:sdtPr>
        <w:sdtEndPr/>
        <w:sdtContent>
          <w:r w:rsidR="03530F7B" w:rsidRPr="03530F7B">
            <w:rPr>
              <w:rFonts w:ascii="Calibri" w:eastAsia="Calibri" w:hAnsi="Calibri" w:cs="Calibri"/>
              <w:color w:val="000000" w:themeColor="text1"/>
            </w:rPr>
            <w:t>(Piercy 2017)</w:t>
          </w:r>
        </w:sdtContent>
      </w:sdt>
    </w:p>
    <w:p w14:paraId="368C5814" w14:textId="570621C8" w:rsidR="1BCB47B4" w:rsidRDefault="46740A7C" w:rsidP="45E914B0">
      <w:pPr>
        <w:jc w:val="both"/>
        <w:rPr>
          <w:rFonts w:ascii="Calibri" w:eastAsia="Calibri" w:hAnsi="Calibri" w:cs="Calibri"/>
          <w:i/>
          <w:iCs/>
        </w:rPr>
      </w:pPr>
      <w:r w:rsidRPr="50EC019F">
        <w:rPr>
          <w:rFonts w:ascii="Calibri" w:eastAsia="Calibri" w:hAnsi="Calibri" w:cs="Calibri"/>
        </w:rPr>
        <w:t>The decision by ABB to enter the E-Mobility Rapid Charging market was made in 2010, over a decade ago. The rationale was that it would place the company closer to users of electricity and this would mean using ABB’s energy efficient technology solutions.</w:t>
      </w:r>
    </w:p>
    <w:p w14:paraId="39C9B0E9" w14:textId="693BF754" w:rsidR="50EC019F" w:rsidRDefault="50EC019F" w:rsidP="50EC019F">
      <w:pPr>
        <w:jc w:val="both"/>
        <w:rPr>
          <w:rFonts w:ascii="Calibri" w:eastAsia="Calibri" w:hAnsi="Calibri" w:cs="Calibri"/>
        </w:rPr>
      </w:pPr>
    </w:p>
    <w:p w14:paraId="3065E485" w14:textId="1BDAF3D3" w:rsidR="003C4483" w:rsidRDefault="5A4E459F" w:rsidP="4633F1D1">
      <w:pPr>
        <w:jc w:val="both"/>
        <w:rPr>
          <w:b/>
          <w:bCs/>
        </w:rPr>
      </w:pPr>
      <w:r>
        <w:t>ABB is a fascinating Group with an impressive history of both innovation and a focus on sustainability. Whilst many large Groups have the potential to become slow-moving and cumbersome, ABB has sought to develop its approach to innovation management through various stages of its development.</w:t>
      </w:r>
    </w:p>
    <w:p w14:paraId="2BAF4402" w14:textId="77A3C4AA" w:rsidR="003C4483" w:rsidRDefault="5A4E459F" w:rsidP="4633F1D1">
      <w:pPr>
        <w:jc w:val="both"/>
      </w:pPr>
      <w:r>
        <w:t xml:space="preserve">This dynamic approach to innovation management is evident in the ABB Way </w:t>
      </w:r>
      <w:sdt>
        <w:sdtPr>
          <w:alias w:val="Citation"/>
          <w:tag w:val="{&quot;referencesIds&quot;:[&quot;doc:628226578f08f5b36bde4df4&quot;],&quot;referencesOptions&quot;:{&quot;doc:628226578f08f5b36bde4df4&quot;:{&quot;author&quot;:true,&quot;year&quot;:true,&quot;pageReplace&quot;:&quot;&quot;,&quot;prefix&quot;:&quot;&quot;,&quot;suffix&quot;:&quot;&quot;}},&quot;hasBrokenReferences&quot;:false,&quot;hasManualEdits&quot;:false,&quot;citationType&quot;:&quot;inline&quot;,&quot;id&quot;:1380589592,&quot;citationText&quot;:&quot;&lt;span style=\&quot;font-family:Calibri;font-size:14.666666666666666px;color:#000000\&quot;&gt;(, ABB Group Annual Report 2020 - English2022)&lt;/span&gt;&quot;}"/>
          <w:id w:val="616974535"/>
          <w:placeholder>
            <w:docPart w:val="DefaultPlaceholder_1081868574"/>
          </w:placeholder>
        </w:sdtPr>
        <w:sdtEndPr/>
        <w:sdtContent>
          <w:r w:rsidR="03530F7B" w:rsidRPr="03530F7B">
            <w:rPr>
              <w:rFonts w:ascii="Calibri" w:eastAsia="Calibri" w:hAnsi="Calibri" w:cs="Calibri"/>
              <w:color w:val="000000" w:themeColor="text1"/>
            </w:rPr>
            <w:t>(, ABB Group Annual Report 2020 - English2022)</w:t>
          </w:r>
        </w:sdtContent>
      </w:sdt>
      <w:r>
        <w:t xml:space="preserve"> which enables the business units to get closer to their customers. The former matrix structure was considered too complex and had created unnecessary distance between innovative R&amp;D teams and the customers who they were seeking to delight.</w:t>
      </w:r>
    </w:p>
    <w:p w14:paraId="746DC1AA" w14:textId="40AF0D6D" w:rsidR="0CECD4E1" w:rsidRDefault="0CECD4E1" w:rsidP="0CECD4E1">
      <w:pPr>
        <w:jc w:val="center"/>
      </w:pPr>
      <w:r>
        <w:rPr>
          <w:noProof/>
        </w:rPr>
        <w:drawing>
          <wp:inline distT="0" distB="0" distL="0" distR="0" wp14:anchorId="5F912EBA" wp14:editId="657B3442">
            <wp:extent cx="4572000" cy="2114550"/>
            <wp:effectExtent l="0" t="0" r="0" b="0"/>
            <wp:docPr id="275086107" name="Picture 275086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114550"/>
                    </a:xfrm>
                    <a:prstGeom prst="rect">
                      <a:avLst/>
                    </a:prstGeom>
                  </pic:spPr>
                </pic:pic>
              </a:graphicData>
            </a:graphic>
          </wp:inline>
        </w:drawing>
      </w:r>
    </w:p>
    <w:p w14:paraId="1F875D35" w14:textId="225B5715" w:rsidR="0CECD4E1" w:rsidRDefault="0CECD4E1" w:rsidP="0CECD4E1">
      <w:pPr>
        <w:jc w:val="center"/>
        <w:rPr>
          <w:sz w:val="18"/>
          <w:szCs w:val="18"/>
        </w:rPr>
      </w:pPr>
      <w:r w:rsidRPr="03530F7B">
        <w:rPr>
          <w:sz w:val="18"/>
          <w:szCs w:val="18"/>
        </w:rPr>
        <w:t xml:space="preserve">Source: </w:t>
      </w:r>
      <w:sdt>
        <w:sdtPr>
          <w:alias w:val="Citation"/>
          <w:tag w:val="{&quot;referencesIds&quot;:[&quot;doc:628382a08f084bf47f33aa65&quot;],&quot;referencesOptions&quot;:{&quot;doc:628382a08f084bf47f33aa65&quot;:{&quot;author&quot;:true,&quot;year&quot;:true,&quot;pageReplace&quot;:&quot;&quot;,&quot;prefix&quot;:&quot;&quot;,&quot;suffix&quot;:&quot;&quot;}},&quot;hasBrokenReferences&quot;:false,&quot;hasManualEdits&quot;:false,&quot;citationType&quot;:&quot;inline&quot;,&quot;id&quot;:1244982158,&quot;citationText&quot;:&quot;&lt;span style=\&quot;font-family:Calibri;font-size:14.666666666666666px;color:#000000\&quot;&gt;(Schilling 2022)&lt;/span&gt;&quot;}"/>
          <w:id w:val="862730315"/>
          <w:placeholder>
            <w:docPart w:val="DefaultPlaceholder_1081868574"/>
          </w:placeholder>
        </w:sdtPr>
        <w:sdtEndPr/>
        <w:sdtContent>
          <w:r w:rsidR="03530F7B" w:rsidRPr="03530F7B">
            <w:rPr>
              <w:rFonts w:ascii="Calibri" w:eastAsia="Calibri" w:hAnsi="Calibri" w:cs="Calibri"/>
              <w:color w:val="000000" w:themeColor="text1"/>
            </w:rPr>
            <w:t>(Schilling 2022)</w:t>
          </w:r>
        </w:sdtContent>
      </w:sdt>
      <w:r w:rsidRPr="03530F7B">
        <w:rPr>
          <w:sz w:val="18"/>
          <w:szCs w:val="18"/>
        </w:rPr>
        <w:t xml:space="preserve"> </w:t>
      </w:r>
    </w:p>
    <w:p w14:paraId="65345941" w14:textId="1547B7F9" w:rsidR="0CECD4E1" w:rsidRDefault="0CECD4E1" w:rsidP="0CECD4E1">
      <w:pPr>
        <w:jc w:val="both"/>
        <w:rPr>
          <w:rFonts w:ascii="Calibri" w:eastAsia="Calibri" w:hAnsi="Calibri" w:cs="Calibri"/>
          <w:color w:val="000000" w:themeColor="text1"/>
        </w:rPr>
      </w:pPr>
      <w:r>
        <w:t xml:space="preserve"> </w:t>
      </w:r>
      <w:sdt>
        <w:sdtPr>
          <w:alias w:val="Citation"/>
          <w:tag w:val="{&quot;referencesIds&quot;:[&quot;doc:628382a08f084bf47f33aa65&quot;],&quot;referencesOptions&quot;:{&quot;doc:628382a08f084bf47f33aa65&quot;:{&quot;author&quot;:true,&quot;year&quot;:true,&quot;pageReplace&quot;:&quot;&quot;,&quot;prefix&quot;:&quot;&quot;,&quot;suffix&quot;:&quot;&quot;}},&quot;hasBrokenReferences&quot;:false,&quot;hasManualEdits&quot;:false,&quot;citationType&quot;:&quot;inline&quot;,&quot;id&quot;:361528243,&quot;citationText&quot;:&quot;&lt;span style=\&quot;font-family:Calibri;font-size:14.666666666666666px;color:#000000\&quot;&gt;(Schilling 2022)&lt;/span&gt;&quot;}"/>
          <w:id w:val="1056807329"/>
          <w:placeholder>
            <w:docPart w:val="DefaultPlaceholder_1081868574"/>
          </w:placeholder>
        </w:sdtPr>
        <w:sdtEndPr/>
        <w:sdtContent>
          <w:r w:rsidR="03530F7B" w:rsidRPr="03530F7B">
            <w:rPr>
              <w:rFonts w:ascii="Calibri" w:eastAsia="Calibri" w:hAnsi="Calibri" w:cs="Calibri"/>
              <w:color w:val="000000" w:themeColor="text1"/>
            </w:rPr>
            <w:t>(Schilling 2022)</w:t>
          </w:r>
        </w:sdtContent>
      </w:sdt>
      <w:r w:rsidRPr="03530F7B">
        <w:rPr>
          <w:rFonts w:ascii="Calibri" w:eastAsia="Calibri" w:hAnsi="Calibri" w:cs="Calibri"/>
          <w:color w:val="000000" w:themeColor="text1"/>
        </w:rPr>
        <w:t xml:space="preserve"> Illustrates the differences between centralised and decentralised R&amp;D organisations. </w:t>
      </w:r>
      <w:r w:rsidRPr="03530F7B">
        <w:rPr>
          <w:rFonts w:ascii="Calibri" w:eastAsia="Calibri" w:hAnsi="Calibri" w:cs="Calibri"/>
          <w:b/>
          <w:bCs/>
          <w:color w:val="000000" w:themeColor="text1"/>
        </w:rPr>
        <w:t>ABB has moved towards decentralisation</w:t>
      </w:r>
      <w:r w:rsidRPr="03530F7B">
        <w:rPr>
          <w:rFonts w:ascii="Calibri" w:eastAsia="Calibri" w:hAnsi="Calibri" w:cs="Calibri"/>
          <w:color w:val="000000" w:themeColor="text1"/>
        </w:rPr>
        <w:t xml:space="preserve"> but via ABB Ability, its business unit which focuses on digitalisation, helps to avoid duplication of effort. The reason is that all of ABB’s business units are now talking the same ’digital’ language and utilising a common approach to new product development.</w:t>
      </w:r>
    </w:p>
    <w:p w14:paraId="63B3FB96" w14:textId="052687A1" w:rsidR="003C4483" w:rsidRDefault="5A4E459F" w:rsidP="4633F1D1">
      <w:pPr>
        <w:jc w:val="both"/>
        <w:rPr>
          <w:b/>
          <w:bCs/>
        </w:rPr>
      </w:pPr>
      <w:r>
        <w:t>ABB has been exceptionally good at gaining foresight which has enabled the Group to identify and embrace potentially disruptive technologies well in advance of them becoming a serious threat. We could suggest that ABB’s skill in developing relevant foresight has in fact given the Group the elusive ‘benefit of hindsight.’</w:t>
      </w:r>
    </w:p>
    <w:p w14:paraId="344C6667" w14:textId="008EA6EA" w:rsidR="003C4483" w:rsidRDefault="5A4E459F" w:rsidP="4633F1D1">
      <w:pPr>
        <w:jc w:val="both"/>
      </w:pPr>
      <w:r>
        <w:t xml:space="preserve">Whilst this report has focused on the E-Mobility sector (which falls within ABB’s Electrification Business), research indicates that there is an underlying ecosystem of knowledge and technology within ABB creating an environment which generates, nurtures and fosters innovation. The cross fertilisation of knowledge, technology, and collaboration (internally and externally) means that ‘adjacent possibilities’ are regularly identified. </w:t>
      </w:r>
    </w:p>
    <w:p w14:paraId="7B63F322" w14:textId="7AC74F57" w:rsidR="33F113A9" w:rsidRDefault="33F113A9" w:rsidP="50EC019F">
      <w:pPr>
        <w:jc w:val="both"/>
      </w:pPr>
      <w:r>
        <w:t xml:space="preserve">This developing ecosystem is attributable to the Group Digitalisation Unit known as ABB Ability together with support from a leaner Corporate Services Unit. </w:t>
      </w:r>
    </w:p>
    <w:p w14:paraId="576DEB94" w14:textId="5448A47A" w:rsidR="50EC019F" w:rsidRDefault="50EC019F" w:rsidP="50EC019F">
      <w:pPr>
        <w:pStyle w:val="Heading1"/>
      </w:pPr>
    </w:p>
    <w:p w14:paraId="6A45D216" w14:textId="7E1C79AA" w:rsidR="03530F7B" w:rsidRDefault="03530F7B" w:rsidP="03530F7B">
      <w:pPr>
        <w:pStyle w:val="Heading1"/>
      </w:pPr>
    </w:p>
    <w:p w14:paraId="688806FB" w14:textId="634B5114" w:rsidR="00F42624" w:rsidRPr="00E9452A" w:rsidRDefault="24E182A9" w:rsidP="50EC019F">
      <w:pPr>
        <w:pStyle w:val="Heading1"/>
      </w:pPr>
      <w:bookmarkStart w:id="12" w:name="_Toc1058677133"/>
      <w:r>
        <w:lastRenderedPageBreak/>
        <w:t>9. Final Thoughts</w:t>
      </w:r>
      <w:bookmarkEnd w:id="12"/>
    </w:p>
    <w:p w14:paraId="3DC8C960" w14:textId="0E48D01D" w:rsidR="00F42624" w:rsidRPr="00E9452A" w:rsidRDefault="16BF73DD" w:rsidP="16BF73DD">
      <w:pPr>
        <w:jc w:val="both"/>
      </w:pPr>
      <w:r>
        <w:t xml:space="preserve">ABB continues to seek new acquisition opportunities for relevant technologies and better access to new global markets.  </w:t>
      </w:r>
      <w:sdt>
        <w:sdtPr>
          <w:alias w:val="Citation"/>
          <w:tag w:val="{&quot;referencesIds&quot;:[&quot;doc:628879bf8f08b47d912fa344&quot;],&quot;referencesOptions&quot;:{&quot;doc:628879bf8f08b47d912fa344&quot;:{&quot;author&quot;:true,&quot;year&quot;:true,&quot;pageReplace&quot;:&quot;&quot;,&quot;prefix&quot;:&quot;&quot;,&quot;suffix&quot;:&quot;&quot;}},&quot;hasBrokenReferences&quot;:false,&quot;hasManualEdits&quot;:false,&quot;citationType&quot;:&quot;inline&quot;,&quot;id&quot;:1311271348,&quot;citationText&quot;:&quot;&lt;span style=\&quot;font-family:Calibri;font-size:14.666666666666666px;color:#000000\&quot;&gt;(Dittli, Gabriella Hunter und Mark 2022)&lt;/span&gt;&quot;}"/>
          <w:id w:val="548080929"/>
          <w:placeholder>
            <w:docPart w:val="DefaultPlaceholder_1081868574"/>
          </w:placeholder>
        </w:sdtPr>
        <w:sdtEndPr/>
        <w:sdtContent>
          <w:r w:rsidR="03530F7B" w:rsidRPr="03530F7B">
            <w:rPr>
              <w:rFonts w:ascii="Calibri" w:eastAsia="Calibri" w:hAnsi="Calibri" w:cs="Calibri"/>
              <w:color w:val="000000" w:themeColor="text1"/>
            </w:rPr>
            <w:t>(</w:t>
          </w:r>
          <w:proofErr w:type="spellStart"/>
          <w:r w:rsidR="03530F7B" w:rsidRPr="03530F7B">
            <w:rPr>
              <w:rFonts w:ascii="Calibri" w:eastAsia="Calibri" w:hAnsi="Calibri" w:cs="Calibri"/>
              <w:color w:val="000000" w:themeColor="text1"/>
            </w:rPr>
            <w:t>Dittli</w:t>
          </w:r>
          <w:proofErr w:type="spellEnd"/>
          <w:r w:rsidR="03530F7B" w:rsidRPr="03530F7B">
            <w:rPr>
              <w:rFonts w:ascii="Calibri" w:eastAsia="Calibri" w:hAnsi="Calibri" w:cs="Calibri"/>
              <w:color w:val="000000" w:themeColor="text1"/>
            </w:rPr>
            <w:t>, Gabriella Hunter und Mark 2022)</w:t>
          </w:r>
        </w:sdtContent>
      </w:sdt>
      <w:r>
        <w:t xml:space="preserve"> includes ABB’s CEO, Bjorn Rosengren, answering the following question: </w:t>
      </w:r>
    </w:p>
    <w:p w14:paraId="52C843C4" w14:textId="7D986687" w:rsidR="00F42624" w:rsidRPr="00E9452A" w:rsidRDefault="16BF73DD" w:rsidP="16BF73DD">
      <w:pPr>
        <w:jc w:val="both"/>
      </w:pPr>
      <w:r>
        <w:t>Q: In which business areas would you like to strengthen ABB?</w:t>
      </w:r>
    </w:p>
    <w:p w14:paraId="61914191" w14:textId="4E7FCAB6" w:rsidR="00F42624" w:rsidRPr="00E9452A" w:rsidRDefault="16BF73DD" w:rsidP="16BF73DD">
      <w:pPr>
        <w:jc w:val="both"/>
      </w:pPr>
      <w:r>
        <w:t>A: “We have four business areas and 21 divisions. In terms of M&amp;A, we have shifted the focus out to the divisions. All the divisions are on the lookout for targets in their markets that would make us stronger than the competition. This is the basis of our M&amp;A strategy. All 21 divisions, when they are profitable enough, should do acquisitions. So, when you have 21 divisions identifying 20 companies each, every year, there are a lot of proposals coming up.”</w:t>
      </w:r>
    </w:p>
    <w:p w14:paraId="3F76A1C6" w14:textId="1284133F" w:rsidR="2DEFBAD2" w:rsidRDefault="7F1621BE" w:rsidP="2DEFBAD2">
      <w:pPr>
        <w:jc w:val="both"/>
      </w:pPr>
      <w:r>
        <w:t xml:space="preserve">ABB’s first notable acquisition in the EV charging sector was made in 2011 and 10 years later it has developed and grown into a global EV charging system leader, second to none, with its digitalised holistic offering. The e-mobility division is expected to generate $750 million from the sale of a minority shareholding via an IPO during 2022 </w:t>
      </w:r>
      <w:sdt>
        <w:sdtPr>
          <w:alias w:val="Citation"/>
          <w:tag w:val="{&quot;referencesIds&quot;:[&quot;doc:6288bbca8f08a808ee6998c4&quot;],&quot;referencesOptions&quot;:{&quot;doc:6288bbca8f08a808ee6998c4&quot;:{&quot;author&quot;:true,&quot;year&quot;:true,&quot;pageReplace&quot;:&quot;&quot;,&quot;prefix&quot;:&quot;&quot;,&quot;suffix&quot;:&quot;&quot;}},&quot;hasBrokenReferences&quot;:false,&quot;hasManualEdits&quot;:false,&quot;citationType&quot;:&quot;inline&quot;,&quot;id&quot;:280356901,&quot;citationText&quot;:&quot;&lt;span style=\&quot;font-family:Calibri;font-size:14.666666666666666px;color:#000000\&quot;&gt;(Raymunt 2022)&lt;/span&gt;&quot;}"/>
          <w:id w:val="513575418"/>
          <w:placeholder>
            <w:docPart w:val="DefaultPlaceholder_1081868574"/>
          </w:placeholder>
        </w:sdtPr>
        <w:sdtEndPr/>
        <w:sdtContent>
          <w:r w:rsidR="03530F7B" w:rsidRPr="03530F7B">
            <w:rPr>
              <w:rFonts w:ascii="Calibri" w:eastAsia="Calibri" w:hAnsi="Calibri" w:cs="Calibri"/>
              <w:color w:val="000000" w:themeColor="text1"/>
            </w:rPr>
            <w:t>(</w:t>
          </w:r>
          <w:proofErr w:type="spellStart"/>
          <w:r w:rsidR="03530F7B" w:rsidRPr="03530F7B">
            <w:rPr>
              <w:rFonts w:ascii="Calibri" w:eastAsia="Calibri" w:hAnsi="Calibri" w:cs="Calibri"/>
              <w:color w:val="000000" w:themeColor="text1"/>
            </w:rPr>
            <w:t>Raymunt</w:t>
          </w:r>
          <w:proofErr w:type="spellEnd"/>
          <w:r w:rsidR="03530F7B" w:rsidRPr="03530F7B">
            <w:rPr>
              <w:rFonts w:ascii="Calibri" w:eastAsia="Calibri" w:hAnsi="Calibri" w:cs="Calibri"/>
              <w:color w:val="000000" w:themeColor="text1"/>
            </w:rPr>
            <w:t xml:space="preserve"> 2022)</w:t>
          </w:r>
        </w:sdtContent>
      </w:sdt>
      <w:r w:rsidRPr="03530F7B">
        <w:rPr>
          <w:rFonts w:ascii="Calibri" w:eastAsia="Calibri" w:hAnsi="Calibri" w:cs="Calibri"/>
          <w:color w:val="000000" w:themeColor="text1"/>
        </w:rPr>
        <w:t xml:space="preserve">. </w:t>
      </w:r>
    </w:p>
    <w:p w14:paraId="08ECF331" w14:textId="4DE4AAF3" w:rsidR="50EC019F" w:rsidRDefault="50EC019F">
      <w:r>
        <w:br w:type="page"/>
      </w:r>
    </w:p>
    <w:p w14:paraId="63868283" w14:textId="5EEFBE82" w:rsidR="2DEFBAD2" w:rsidRDefault="7F1621BE" w:rsidP="2DEFBAD2">
      <w:pPr>
        <w:jc w:val="both"/>
        <w:rPr>
          <w:rFonts w:ascii="Calibri" w:eastAsia="Calibri" w:hAnsi="Calibri" w:cs="Calibri"/>
          <w:color w:val="000000" w:themeColor="text1"/>
        </w:rPr>
      </w:pPr>
      <w:bookmarkStart w:id="13" w:name="_Toc935228418"/>
      <w:r w:rsidRPr="03530F7B">
        <w:rPr>
          <w:rStyle w:val="Heading1Char"/>
        </w:rPr>
        <w:lastRenderedPageBreak/>
        <w:t>BIBLIOGRAPHY</w:t>
      </w:r>
      <w:bookmarkEnd w:id="13"/>
    </w:p>
    <w:p w14:paraId="1D416790" w14:textId="3144167E" w:rsidR="03530F7B" w:rsidRDefault="03530F7B" w:rsidP="03530F7B">
      <w:pPr>
        <w:rPr>
          <w:rFonts w:ascii="Calibri" w:eastAsia="Calibri" w:hAnsi="Calibri" w:cs="Calibri"/>
          <w:color w:val="000000" w:themeColor="text1"/>
        </w:rPr>
      </w:pPr>
      <w:r w:rsidRPr="03530F7B">
        <w:rPr>
          <w:rFonts w:ascii="Calibri" w:eastAsia="Calibri" w:hAnsi="Calibri" w:cs="Calibri"/>
          <w:color w:val="000000" w:themeColor="text1"/>
        </w:rPr>
        <w:t xml:space="preserve">, ABB Group Annual Report 2020 - English2022-last update. Available: </w:t>
      </w:r>
      <w:hyperlink r:id="rId21">
        <w:r w:rsidRPr="03530F7B">
          <w:rPr>
            <w:rStyle w:val="Hyperlink"/>
            <w:rFonts w:ascii="Calibri" w:eastAsia="Calibri" w:hAnsi="Calibri" w:cs="Calibri"/>
          </w:rPr>
          <w:t>https://search.abb.com/library/Download.aspx?DocumentID=9AKK107991A8880&amp;LanguageCode=en&amp;DocumentPartId=&amp;Action=Launch</w:t>
        </w:r>
      </w:hyperlink>
      <w:r w:rsidRPr="03530F7B">
        <w:rPr>
          <w:rFonts w:ascii="Calibri" w:eastAsia="Calibri" w:hAnsi="Calibri" w:cs="Calibri"/>
          <w:color w:val="000000" w:themeColor="text1"/>
        </w:rPr>
        <w:t xml:space="preserve"> [May 16, 2022].</w:t>
      </w:r>
    </w:p>
    <w:p w14:paraId="22B29D0F" w14:textId="3D35E5D2" w:rsidR="03530F7B" w:rsidRDefault="03530F7B" w:rsidP="03530F7B">
      <w:r w:rsidRPr="03530F7B">
        <w:rPr>
          <w:rFonts w:ascii="Calibri" w:eastAsia="Calibri" w:hAnsi="Calibri" w:cs="Calibri"/>
          <w:color w:val="000000" w:themeColor="text1"/>
        </w:rPr>
        <w:t xml:space="preserve">, Terra AC </w:t>
      </w:r>
      <w:proofErr w:type="spellStart"/>
      <w:r w:rsidRPr="03530F7B">
        <w:rPr>
          <w:rFonts w:ascii="Calibri" w:eastAsia="Calibri" w:hAnsi="Calibri" w:cs="Calibri"/>
          <w:color w:val="000000" w:themeColor="text1"/>
        </w:rPr>
        <w:t>Wallbox</w:t>
      </w:r>
      <w:proofErr w:type="spellEnd"/>
      <w:r w:rsidRPr="03530F7B">
        <w:rPr>
          <w:rFonts w:ascii="Calibri" w:eastAsia="Calibri" w:hAnsi="Calibri" w:cs="Calibri"/>
          <w:color w:val="000000" w:themeColor="text1"/>
        </w:rPr>
        <w:t xml:space="preserve"> | The Superior EV Home Charger2022-last update. Available: </w:t>
      </w:r>
      <w:hyperlink r:id="rId22">
        <w:r w:rsidRPr="03530F7B">
          <w:rPr>
            <w:rStyle w:val="Hyperlink"/>
            <w:rFonts w:ascii="Calibri" w:eastAsia="Calibri" w:hAnsi="Calibri" w:cs="Calibri"/>
          </w:rPr>
          <w:t>https://new.abb.com/ev-charging/terra-ac-wallbox</w:t>
        </w:r>
      </w:hyperlink>
      <w:r w:rsidRPr="03530F7B">
        <w:rPr>
          <w:rFonts w:ascii="Calibri" w:eastAsia="Calibri" w:hAnsi="Calibri" w:cs="Calibri"/>
          <w:color w:val="000000" w:themeColor="text1"/>
        </w:rPr>
        <w:t xml:space="preserve"> [May 20, 2022].</w:t>
      </w:r>
    </w:p>
    <w:p w14:paraId="76157428" w14:textId="519F6D0B" w:rsidR="03530F7B" w:rsidRDefault="03530F7B" w:rsidP="03530F7B">
      <w:pPr>
        <w:rPr>
          <w:rFonts w:ascii="Calibri" w:eastAsia="Calibri" w:hAnsi="Calibri" w:cs="Calibri"/>
          <w:color w:val="000000" w:themeColor="text1"/>
        </w:rPr>
      </w:pPr>
      <w:r w:rsidRPr="77335483">
        <w:rPr>
          <w:rFonts w:ascii="Calibri" w:eastAsia="Calibri" w:hAnsi="Calibri" w:cs="Calibri"/>
          <w:color w:val="000000" w:themeColor="text1"/>
        </w:rPr>
        <w:t xml:space="preserve">The future of EV charging infrastructure: Executive perspectives. 2021. </w:t>
      </w:r>
      <w:proofErr w:type="spellStart"/>
      <w:r w:rsidRPr="77335483">
        <w:rPr>
          <w:rFonts w:ascii="Calibri" w:eastAsia="Calibri" w:hAnsi="Calibri" w:cs="Calibri"/>
          <w:i/>
          <w:iCs/>
          <w:color w:val="000000" w:themeColor="text1"/>
        </w:rPr>
        <w:t>Mckinsey</w:t>
      </w:r>
      <w:proofErr w:type="spellEnd"/>
      <w:r w:rsidRPr="77335483">
        <w:rPr>
          <w:rFonts w:ascii="Calibri" w:eastAsia="Calibri" w:hAnsi="Calibri" w:cs="Calibri"/>
          <w:i/>
          <w:iCs/>
          <w:color w:val="000000" w:themeColor="text1"/>
        </w:rPr>
        <w:t xml:space="preserve"> &amp; Company</w:t>
      </w:r>
      <w:bookmarkStart w:id="14" w:name="_Int_3QADmcmK"/>
      <w:proofErr w:type="gramStart"/>
      <w:r w:rsidRPr="77335483">
        <w:rPr>
          <w:rFonts w:ascii="Calibri" w:eastAsia="Calibri" w:hAnsi="Calibri" w:cs="Calibri"/>
          <w:i/>
          <w:iCs/>
          <w:color w:val="000000" w:themeColor="text1"/>
        </w:rPr>
        <w:t xml:space="preserve">, </w:t>
      </w:r>
      <w:r w:rsidRPr="77335483">
        <w:rPr>
          <w:rFonts w:ascii="Calibri" w:eastAsia="Calibri" w:hAnsi="Calibri" w:cs="Calibri"/>
          <w:color w:val="000000" w:themeColor="text1"/>
        </w:rPr>
        <w:t>.</w:t>
      </w:r>
      <w:bookmarkEnd w:id="14"/>
      <w:proofErr w:type="gramEnd"/>
    </w:p>
    <w:p w14:paraId="2FBCBA68" w14:textId="2BFA5A31" w:rsidR="03530F7B" w:rsidRDefault="03530F7B" w:rsidP="03530F7B">
      <w:pPr>
        <w:rPr>
          <w:rFonts w:ascii="Calibri" w:eastAsia="Calibri" w:hAnsi="Calibri" w:cs="Calibri"/>
          <w:color w:val="000000" w:themeColor="text1"/>
        </w:rPr>
      </w:pPr>
      <w:r w:rsidRPr="77335483">
        <w:rPr>
          <w:rFonts w:ascii="Calibri" w:eastAsia="Calibri" w:hAnsi="Calibri" w:cs="Calibri"/>
          <w:color w:val="000000" w:themeColor="text1"/>
        </w:rPr>
        <w:t xml:space="preserve">ABB Develops DC Backbone for High-Power EV Chargers. 2018. </w:t>
      </w:r>
      <w:r w:rsidRPr="77335483">
        <w:rPr>
          <w:rFonts w:ascii="Calibri" w:eastAsia="Calibri" w:hAnsi="Calibri" w:cs="Calibri"/>
          <w:i/>
          <w:iCs/>
          <w:color w:val="000000" w:themeColor="text1"/>
        </w:rPr>
        <w:t>Transmission &amp; Distribution World</w:t>
      </w:r>
      <w:bookmarkStart w:id="15" w:name="_Int_mwhiN8Wb"/>
      <w:proofErr w:type="gramStart"/>
      <w:r w:rsidRPr="77335483">
        <w:rPr>
          <w:rFonts w:ascii="Calibri" w:eastAsia="Calibri" w:hAnsi="Calibri" w:cs="Calibri"/>
          <w:i/>
          <w:iCs/>
          <w:color w:val="000000" w:themeColor="text1"/>
        </w:rPr>
        <w:t xml:space="preserve">, </w:t>
      </w:r>
      <w:r w:rsidRPr="77335483">
        <w:rPr>
          <w:rFonts w:ascii="Calibri" w:eastAsia="Calibri" w:hAnsi="Calibri" w:cs="Calibri"/>
          <w:color w:val="000000" w:themeColor="text1"/>
        </w:rPr>
        <w:t>.</w:t>
      </w:r>
      <w:bookmarkEnd w:id="15"/>
      <w:proofErr w:type="gramEnd"/>
    </w:p>
    <w:p w14:paraId="2B2CFA32" w14:textId="2C9B2E88" w:rsidR="03530F7B" w:rsidRDefault="03530F7B" w:rsidP="03530F7B">
      <w:bookmarkStart w:id="16" w:name="_Int_JGulBKjc"/>
      <w:proofErr w:type="gramStart"/>
      <w:r w:rsidRPr="77335483">
        <w:rPr>
          <w:rFonts w:ascii="Calibri" w:eastAsia="Calibri" w:hAnsi="Calibri" w:cs="Calibri"/>
          <w:color w:val="000000" w:themeColor="text1"/>
        </w:rPr>
        <w:t>Switzerland :</w:t>
      </w:r>
      <w:bookmarkEnd w:id="16"/>
      <w:proofErr w:type="gramEnd"/>
      <w:r w:rsidRPr="77335483">
        <w:rPr>
          <w:rFonts w:ascii="Calibri" w:eastAsia="Calibri" w:hAnsi="Calibri" w:cs="Calibri"/>
          <w:color w:val="000000" w:themeColor="text1"/>
        </w:rPr>
        <w:t xml:space="preserve"> ABB e-mobility business recognized as one of Europe's Cleantech Companies of the Decade. 2014. </w:t>
      </w:r>
      <w:r w:rsidRPr="77335483">
        <w:rPr>
          <w:rFonts w:ascii="Calibri" w:eastAsia="Calibri" w:hAnsi="Calibri" w:cs="Calibri"/>
          <w:i/>
          <w:iCs/>
          <w:color w:val="000000" w:themeColor="text1"/>
        </w:rPr>
        <w:t>MENA Report</w:t>
      </w:r>
      <w:bookmarkStart w:id="17" w:name="_Int_Tv2hBzjM"/>
      <w:proofErr w:type="gramStart"/>
      <w:r w:rsidRPr="77335483">
        <w:rPr>
          <w:rFonts w:ascii="Calibri" w:eastAsia="Calibri" w:hAnsi="Calibri" w:cs="Calibri"/>
          <w:i/>
          <w:iCs/>
          <w:color w:val="000000" w:themeColor="text1"/>
        </w:rPr>
        <w:t xml:space="preserve">, </w:t>
      </w:r>
      <w:r w:rsidRPr="77335483">
        <w:rPr>
          <w:rFonts w:ascii="Calibri" w:eastAsia="Calibri" w:hAnsi="Calibri" w:cs="Calibri"/>
          <w:color w:val="000000" w:themeColor="text1"/>
        </w:rPr>
        <w:t>,</w:t>
      </w:r>
      <w:bookmarkEnd w:id="17"/>
      <w:proofErr w:type="gramEnd"/>
      <w:r w:rsidRPr="77335483">
        <w:rPr>
          <w:rFonts w:ascii="Calibri" w:eastAsia="Calibri" w:hAnsi="Calibri" w:cs="Calibri"/>
          <w:color w:val="000000" w:themeColor="text1"/>
        </w:rPr>
        <w:t xml:space="preserve"> pp. n/a.</w:t>
      </w:r>
    </w:p>
    <w:p w14:paraId="3357AED3" w14:textId="5F1B6DC8" w:rsidR="03530F7B" w:rsidRDefault="03530F7B" w:rsidP="03530F7B">
      <w:r w:rsidRPr="03530F7B">
        <w:rPr>
          <w:rFonts w:ascii="Calibri" w:eastAsia="Calibri" w:hAnsi="Calibri" w:cs="Calibri"/>
          <w:color w:val="000000" w:themeColor="text1"/>
        </w:rPr>
        <w:t xml:space="preserve">ABB, 2022-last update, ABB accelerates e-mobility innovation with new global R&amp;D </w:t>
      </w:r>
      <w:proofErr w:type="spellStart"/>
      <w:r w:rsidRPr="03530F7B">
        <w:rPr>
          <w:rFonts w:ascii="Calibri" w:eastAsia="Calibri" w:hAnsi="Calibri" w:cs="Calibri"/>
          <w:color w:val="000000" w:themeColor="text1"/>
        </w:rPr>
        <w:t>center</w:t>
      </w:r>
      <w:proofErr w:type="spellEnd"/>
      <w:r w:rsidRPr="03530F7B">
        <w:rPr>
          <w:rFonts w:ascii="Calibri" w:eastAsia="Calibri" w:hAnsi="Calibri" w:cs="Calibri"/>
          <w:color w:val="000000" w:themeColor="text1"/>
        </w:rPr>
        <w:t xml:space="preserve">. Available: </w:t>
      </w:r>
      <w:hyperlink r:id="rId23">
        <w:r w:rsidRPr="03530F7B">
          <w:rPr>
            <w:rStyle w:val="Hyperlink"/>
            <w:rFonts w:ascii="Calibri" w:eastAsia="Calibri" w:hAnsi="Calibri" w:cs="Calibri"/>
          </w:rPr>
          <w:t>https://new.abb.com/news/detail/71795/abb-accelerates-e-mobility-innovation-with-new-global-rd-center</w:t>
        </w:r>
      </w:hyperlink>
      <w:r w:rsidRPr="03530F7B">
        <w:rPr>
          <w:rFonts w:ascii="Calibri" w:eastAsia="Calibri" w:hAnsi="Calibri" w:cs="Calibri"/>
          <w:color w:val="000000" w:themeColor="text1"/>
        </w:rPr>
        <w:t xml:space="preserve"> [May 18, 2022].</w:t>
      </w:r>
    </w:p>
    <w:p w14:paraId="4E12187A" w14:textId="3311C106" w:rsidR="03530F7B" w:rsidRDefault="03530F7B" w:rsidP="03530F7B">
      <w:r w:rsidRPr="00C32854">
        <w:rPr>
          <w:rFonts w:ascii="Calibri" w:eastAsia="Calibri" w:hAnsi="Calibri" w:cs="Calibri"/>
          <w:color w:val="000000" w:themeColor="text1"/>
          <w:lang w:val="it-IT"/>
        </w:rPr>
        <w:t>ABB FORMULA E</w:t>
      </w:r>
      <w:bookmarkStart w:id="18" w:name="_Int_lZveVPT6"/>
      <w:r w:rsidRPr="00C32854">
        <w:rPr>
          <w:rFonts w:ascii="Calibri" w:eastAsia="Calibri" w:hAnsi="Calibri" w:cs="Calibri"/>
          <w:color w:val="000000" w:themeColor="text1"/>
          <w:lang w:val="it-IT"/>
        </w:rPr>
        <w:t>, ,</w:t>
      </w:r>
      <w:bookmarkEnd w:id="18"/>
      <w:r w:rsidRPr="00C32854">
        <w:rPr>
          <w:rFonts w:ascii="Calibri" w:eastAsia="Calibri" w:hAnsi="Calibri" w:cs="Calibri"/>
          <w:color w:val="000000" w:themeColor="text1"/>
          <w:lang w:val="it-IT"/>
        </w:rPr>
        <w:t xml:space="preserve"> ABB FIA Formula E Media Page. </w:t>
      </w:r>
      <w:r w:rsidRPr="77335483">
        <w:rPr>
          <w:rFonts w:ascii="Calibri" w:eastAsia="Calibri" w:hAnsi="Calibri" w:cs="Calibri"/>
          <w:color w:val="000000" w:themeColor="text1"/>
        </w:rPr>
        <w:t xml:space="preserve">Available: </w:t>
      </w:r>
      <w:hyperlink r:id="rId24">
        <w:r w:rsidRPr="77335483">
          <w:rPr>
            <w:rStyle w:val="Hyperlink"/>
            <w:rFonts w:ascii="Calibri" w:eastAsia="Calibri" w:hAnsi="Calibri" w:cs="Calibri"/>
          </w:rPr>
          <w:t>https://new.abb.com/media/abbformulae</w:t>
        </w:r>
      </w:hyperlink>
      <w:r w:rsidRPr="77335483">
        <w:rPr>
          <w:rFonts w:ascii="Calibri" w:eastAsia="Calibri" w:hAnsi="Calibri" w:cs="Calibri"/>
          <w:color w:val="000000" w:themeColor="text1"/>
        </w:rPr>
        <w:t xml:space="preserve"> [May 21, 2022].</w:t>
      </w:r>
    </w:p>
    <w:p w14:paraId="64ED8F60" w14:textId="4ADD0193" w:rsidR="03530F7B" w:rsidRDefault="03530F7B" w:rsidP="03530F7B">
      <w:r w:rsidRPr="03530F7B">
        <w:rPr>
          <w:rFonts w:ascii="Calibri" w:eastAsia="Calibri" w:hAnsi="Calibri" w:cs="Calibri"/>
          <w:color w:val="000000" w:themeColor="text1"/>
        </w:rPr>
        <w:t xml:space="preserve">ABB GROUP, 2022a-last update, 2021 Quarterly results &amp; annual reports. Available: </w:t>
      </w:r>
      <w:hyperlink r:id="rId25">
        <w:r w:rsidRPr="03530F7B">
          <w:rPr>
            <w:rStyle w:val="Hyperlink"/>
            <w:rFonts w:ascii="Calibri" w:eastAsia="Calibri" w:hAnsi="Calibri" w:cs="Calibri"/>
          </w:rPr>
          <w:t>https://global.abb/group/en/investors/results-and-reports/2021</w:t>
        </w:r>
      </w:hyperlink>
      <w:r w:rsidRPr="03530F7B">
        <w:rPr>
          <w:rFonts w:ascii="Calibri" w:eastAsia="Calibri" w:hAnsi="Calibri" w:cs="Calibri"/>
          <w:color w:val="000000" w:themeColor="text1"/>
        </w:rPr>
        <w:t xml:space="preserve"> [May 14, 2022].</w:t>
      </w:r>
    </w:p>
    <w:p w14:paraId="3C6A722C" w14:textId="7F8D006A" w:rsidR="03530F7B" w:rsidRDefault="03530F7B" w:rsidP="03530F7B">
      <w:r w:rsidRPr="03530F7B">
        <w:rPr>
          <w:rFonts w:ascii="Calibri" w:eastAsia="Calibri" w:hAnsi="Calibri" w:cs="Calibri"/>
          <w:color w:val="000000" w:themeColor="text1"/>
        </w:rPr>
        <w:t xml:space="preserve">ABB GROUP, 2022b-last update, E-mobility Solutions | Powering e-mobility forward. Available: </w:t>
      </w:r>
      <w:hyperlink r:id="rId26">
        <w:r w:rsidRPr="03530F7B">
          <w:rPr>
            <w:rStyle w:val="Hyperlink"/>
            <w:rFonts w:ascii="Calibri" w:eastAsia="Calibri" w:hAnsi="Calibri" w:cs="Calibri"/>
          </w:rPr>
          <w:t>https://new.abb.com/about/our-businesses/electrification/e-mobilitysolutions</w:t>
        </w:r>
      </w:hyperlink>
      <w:r w:rsidRPr="03530F7B">
        <w:rPr>
          <w:rFonts w:ascii="Calibri" w:eastAsia="Calibri" w:hAnsi="Calibri" w:cs="Calibri"/>
          <w:color w:val="000000" w:themeColor="text1"/>
        </w:rPr>
        <w:t xml:space="preserve"> [May 16, 2022].</w:t>
      </w:r>
    </w:p>
    <w:p w14:paraId="544837E6" w14:textId="20C24902" w:rsidR="03530F7B" w:rsidRDefault="03530F7B" w:rsidP="03530F7B">
      <w:r w:rsidRPr="03530F7B">
        <w:rPr>
          <w:rFonts w:ascii="Calibri" w:eastAsia="Calibri" w:hAnsi="Calibri" w:cs="Calibri"/>
          <w:color w:val="000000" w:themeColor="text1"/>
        </w:rPr>
        <w:t xml:space="preserve">ABB GROUP, a-last update, Intelligent electric mobility solutions for Hamburg’s e-buses | ABB. Available: </w:t>
      </w:r>
      <w:hyperlink r:id="rId27">
        <w:r w:rsidRPr="03530F7B">
          <w:rPr>
            <w:rStyle w:val="Hyperlink"/>
            <w:rFonts w:ascii="Calibri" w:eastAsia="Calibri" w:hAnsi="Calibri" w:cs="Calibri"/>
          </w:rPr>
          <w:t>https://new.abb.com/news/detail/41291/intelligent-electric-mobility-solutions-for-hamburgs-e-buses</w:t>
        </w:r>
      </w:hyperlink>
      <w:r w:rsidRPr="03530F7B">
        <w:rPr>
          <w:rFonts w:ascii="Calibri" w:eastAsia="Calibri" w:hAnsi="Calibri" w:cs="Calibri"/>
          <w:color w:val="000000" w:themeColor="text1"/>
        </w:rPr>
        <w:t xml:space="preserve"> [May 18, 2022].</w:t>
      </w:r>
    </w:p>
    <w:p w14:paraId="2A5A2C04" w14:textId="41FD8555" w:rsidR="03530F7B" w:rsidRDefault="03530F7B" w:rsidP="03530F7B">
      <w:r w:rsidRPr="03530F7B">
        <w:rPr>
          <w:rFonts w:ascii="Calibri" w:eastAsia="Calibri" w:hAnsi="Calibri" w:cs="Calibri"/>
          <w:color w:val="000000" w:themeColor="text1"/>
        </w:rPr>
        <w:t xml:space="preserve">ABB GROUP, b-last update, University collaboration. Available: </w:t>
      </w:r>
      <w:hyperlink r:id="rId28">
        <w:r w:rsidRPr="03530F7B">
          <w:rPr>
            <w:rStyle w:val="Hyperlink"/>
            <w:rFonts w:ascii="Calibri" w:eastAsia="Calibri" w:hAnsi="Calibri" w:cs="Calibri"/>
          </w:rPr>
          <w:t>https://global.abb/group/en/technology/university-collaboration</w:t>
        </w:r>
      </w:hyperlink>
      <w:r w:rsidRPr="03530F7B">
        <w:rPr>
          <w:rFonts w:ascii="Calibri" w:eastAsia="Calibri" w:hAnsi="Calibri" w:cs="Calibri"/>
          <w:color w:val="000000" w:themeColor="text1"/>
        </w:rPr>
        <w:t xml:space="preserve"> [May 18, 2022].</w:t>
      </w:r>
    </w:p>
    <w:p w14:paraId="2EBE6BF1" w14:textId="7DB98826" w:rsidR="03530F7B" w:rsidRDefault="03530F7B" w:rsidP="03530F7B">
      <w:r w:rsidRPr="77335483">
        <w:rPr>
          <w:rFonts w:ascii="Calibri" w:eastAsia="Calibri" w:hAnsi="Calibri" w:cs="Calibri"/>
          <w:color w:val="000000" w:themeColor="text1"/>
        </w:rPr>
        <w:t xml:space="preserve">BOVE, T., 2022-last update, </w:t>
      </w:r>
      <w:bookmarkStart w:id="19" w:name="_Int_dYDsGahD"/>
      <w:proofErr w:type="gramStart"/>
      <w:r w:rsidRPr="77335483">
        <w:rPr>
          <w:rFonts w:ascii="Calibri" w:eastAsia="Calibri" w:hAnsi="Calibri" w:cs="Calibri"/>
          <w:color w:val="000000" w:themeColor="text1"/>
        </w:rPr>
        <w:t>How</w:t>
      </w:r>
      <w:bookmarkEnd w:id="19"/>
      <w:proofErr w:type="gramEnd"/>
      <w:r w:rsidRPr="77335483">
        <w:rPr>
          <w:rFonts w:ascii="Calibri" w:eastAsia="Calibri" w:hAnsi="Calibri" w:cs="Calibri"/>
          <w:color w:val="000000" w:themeColor="text1"/>
        </w:rPr>
        <w:t xml:space="preserve"> a lithium shortage is making the red-hot electric car industry scramble. Available: </w:t>
      </w:r>
      <w:hyperlink r:id="rId29">
        <w:r w:rsidRPr="77335483">
          <w:rPr>
            <w:rStyle w:val="Hyperlink"/>
            <w:rFonts w:ascii="Calibri" w:eastAsia="Calibri" w:hAnsi="Calibri" w:cs="Calibri"/>
          </w:rPr>
          <w:t>https://fortune.com/2022/04/22/lithium-expert-says-supply-is-not-enough-to-keep-up-with-demand/</w:t>
        </w:r>
      </w:hyperlink>
      <w:r w:rsidRPr="77335483">
        <w:rPr>
          <w:rFonts w:ascii="Calibri" w:eastAsia="Calibri" w:hAnsi="Calibri" w:cs="Calibri"/>
          <w:color w:val="000000" w:themeColor="text1"/>
        </w:rPr>
        <w:t xml:space="preserve"> [May 16, 2022].</w:t>
      </w:r>
    </w:p>
    <w:p w14:paraId="19731C15" w14:textId="64E10F5A" w:rsidR="03530F7B" w:rsidRDefault="03530F7B" w:rsidP="03530F7B">
      <w:r w:rsidRPr="03530F7B">
        <w:rPr>
          <w:rFonts w:ascii="Calibri" w:eastAsia="Calibri" w:hAnsi="Calibri" w:cs="Calibri"/>
          <w:color w:val="000000" w:themeColor="text1"/>
        </w:rPr>
        <w:t xml:space="preserve">BURT, T., 1999. </w:t>
      </w:r>
      <w:r w:rsidRPr="03530F7B">
        <w:rPr>
          <w:rFonts w:ascii="Calibri" w:eastAsia="Calibri" w:hAnsi="Calibri" w:cs="Calibri"/>
          <w:i/>
          <w:iCs/>
          <w:color w:val="000000" w:themeColor="text1"/>
        </w:rPr>
        <w:t xml:space="preserve">All change for profits: MANAGEMENT BREAKTHROUGH CULTURE: A study of innovation and risk-taking at some of the world's leading companies is short on practical solutions, finds Tim Burt: [London edition] - ProQuest. </w:t>
      </w:r>
    </w:p>
    <w:p w14:paraId="59BAD3EC" w14:textId="5FBE74BE" w:rsidR="03530F7B" w:rsidRDefault="03530F7B" w:rsidP="03530F7B">
      <w:r w:rsidRPr="03530F7B">
        <w:rPr>
          <w:rFonts w:ascii="Calibri" w:eastAsia="Calibri" w:hAnsi="Calibri" w:cs="Calibri"/>
          <w:color w:val="000000" w:themeColor="text1"/>
        </w:rPr>
        <w:t xml:space="preserve">DITTLI, GABRIELLA HUNTER UND MARK, 2022-last update, ABB CEO: «All Our Businesses Are on the Lookout for Potential Acquisitions». Available: </w:t>
      </w:r>
      <w:hyperlink r:id="rId30">
        <w:r w:rsidRPr="03530F7B">
          <w:rPr>
            <w:rStyle w:val="Hyperlink"/>
            <w:rFonts w:ascii="Calibri" w:eastAsia="Calibri" w:hAnsi="Calibri" w:cs="Calibri"/>
          </w:rPr>
          <w:t>https://themarket.ch/english/abb-ceo-all-our-businesses-are-on-the-lookout-for-potential-acquisitions-ld.5994</w:t>
        </w:r>
      </w:hyperlink>
      <w:r w:rsidRPr="03530F7B">
        <w:rPr>
          <w:rFonts w:ascii="Calibri" w:eastAsia="Calibri" w:hAnsi="Calibri" w:cs="Calibri"/>
          <w:color w:val="000000" w:themeColor="text1"/>
        </w:rPr>
        <w:t xml:space="preserve"> [May 21, 2022].</w:t>
      </w:r>
    </w:p>
    <w:p w14:paraId="5EA97AD9" w14:textId="1B69C6CD" w:rsidR="03530F7B" w:rsidRDefault="03530F7B" w:rsidP="03530F7B">
      <w:r w:rsidRPr="03530F7B">
        <w:rPr>
          <w:rFonts w:ascii="Calibri" w:eastAsia="Calibri" w:hAnsi="Calibri" w:cs="Calibri"/>
          <w:color w:val="000000" w:themeColor="text1"/>
        </w:rPr>
        <w:t xml:space="preserve">JOHNSON, S., 2010. </w:t>
      </w:r>
      <w:r w:rsidRPr="03530F7B">
        <w:rPr>
          <w:rFonts w:ascii="Calibri" w:eastAsia="Calibri" w:hAnsi="Calibri" w:cs="Calibri"/>
          <w:i/>
          <w:iCs/>
          <w:color w:val="000000" w:themeColor="text1"/>
        </w:rPr>
        <w:t xml:space="preserve">Where good ideas come from. </w:t>
      </w:r>
      <w:r w:rsidRPr="03530F7B">
        <w:rPr>
          <w:rFonts w:ascii="Calibri" w:eastAsia="Calibri" w:hAnsi="Calibri" w:cs="Calibri"/>
          <w:color w:val="000000" w:themeColor="text1"/>
        </w:rPr>
        <w:t>TED Global 2010.</w:t>
      </w:r>
    </w:p>
    <w:p w14:paraId="1431998B" w14:textId="77777777" w:rsidR="03530F7B" w:rsidRDefault="03530F7B" w:rsidP="03530F7B">
      <w:pPr>
        <w:rPr>
          <w:rFonts w:ascii="Calibri" w:eastAsia="Calibri" w:hAnsi="Calibri" w:cs="Calibri"/>
          <w:color w:val="000000" w:themeColor="text1"/>
        </w:rPr>
      </w:pPr>
    </w:p>
    <w:p w14:paraId="7D16DAF5" w14:textId="421FFEE6" w:rsidR="03530F7B" w:rsidRDefault="03530F7B" w:rsidP="03530F7B">
      <w:r w:rsidRPr="03530F7B">
        <w:rPr>
          <w:rFonts w:ascii="Calibri" w:eastAsia="Calibri" w:hAnsi="Calibri" w:cs="Calibri"/>
          <w:color w:val="000000" w:themeColor="text1"/>
        </w:rPr>
        <w:lastRenderedPageBreak/>
        <w:t xml:space="preserve">KANELLOS, M., 2022-last update, ABB Invests in </w:t>
      </w:r>
      <w:proofErr w:type="spellStart"/>
      <w:r w:rsidRPr="03530F7B">
        <w:rPr>
          <w:rFonts w:ascii="Calibri" w:eastAsia="Calibri" w:hAnsi="Calibri" w:cs="Calibri"/>
          <w:color w:val="000000" w:themeColor="text1"/>
        </w:rPr>
        <w:t>Ecotality</w:t>
      </w:r>
      <w:proofErr w:type="spellEnd"/>
      <w:r w:rsidRPr="03530F7B">
        <w:rPr>
          <w:rFonts w:ascii="Calibri" w:eastAsia="Calibri" w:hAnsi="Calibri" w:cs="Calibri"/>
          <w:color w:val="000000" w:themeColor="text1"/>
        </w:rPr>
        <w:t xml:space="preserve">, Porsche Racing Green, and </w:t>
      </w:r>
      <w:proofErr w:type="spellStart"/>
      <w:r w:rsidRPr="03530F7B">
        <w:rPr>
          <w:rFonts w:ascii="Calibri" w:eastAsia="Calibri" w:hAnsi="Calibri" w:cs="Calibri"/>
          <w:color w:val="000000" w:themeColor="text1"/>
        </w:rPr>
        <w:t>Microhybrids</w:t>
      </w:r>
      <w:proofErr w:type="spellEnd"/>
      <w:r w:rsidRPr="03530F7B">
        <w:rPr>
          <w:rFonts w:ascii="Calibri" w:eastAsia="Calibri" w:hAnsi="Calibri" w:cs="Calibri"/>
          <w:color w:val="000000" w:themeColor="text1"/>
        </w:rPr>
        <w:t xml:space="preserve"> Cross the Pond: Auto Show Roundup. Available: </w:t>
      </w:r>
      <w:hyperlink r:id="rId31">
        <w:r w:rsidRPr="03530F7B">
          <w:rPr>
            <w:rStyle w:val="Hyperlink"/>
            <w:rFonts w:ascii="Calibri" w:eastAsia="Calibri" w:hAnsi="Calibri" w:cs="Calibri"/>
          </w:rPr>
          <w:t>https://www.greentechmedia.com/articles/read/abb-invests-in-ecotality-porsche-racing-green-and-microhybrids-cross-the-po</w:t>
        </w:r>
      </w:hyperlink>
      <w:r w:rsidRPr="03530F7B">
        <w:rPr>
          <w:rFonts w:ascii="Calibri" w:eastAsia="Calibri" w:hAnsi="Calibri" w:cs="Calibri"/>
          <w:color w:val="000000" w:themeColor="text1"/>
        </w:rPr>
        <w:t xml:space="preserve"> [May 16, 2022].</w:t>
      </w:r>
    </w:p>
    <w:p w14:paraId="21117E9E" w14:textId="2DAF9EC9" w:rsidR="03530F7B" w:rsidRDefault="03530F7B" w:rsidP="03530F7B">
      <w:r w:rsidRPr="03530F7B">
        <w:rPr>
          <w:rFonts w:ascii="Calibri" w:eastAsia="Calibri" w:hAnsi="Calibri" w:cs="Calibri"/>
          <w:color w:val="000000" w:themeColor="text1"/>
        </w:rPr>
        <w:t xml:space="preserve">MUEHLON, F., 2022-last update, Charging up for our EV future. Available: </w:t>
      </w:r>
      <w:hyperlink r:id="rId32">
        <w:r w:rsidRPr="03530F7B">
          <w:rPr>
            <w:rStyle w:val="Hyperlink"/>
            <w:rFonts w:ascii="Calibri" w:eastAsia="Calibri" w:hAnsi="Calibri" w:cs="Calibri"/>
          </w:rPr>
          <w:t>https://www.worldevday.org/post/charging-up-for-our-ev-future</w:t>
        </w:r>
      </w:hyperlink>
      <w:r w:rsidRPr="03530F7B">
        <w:rPr>
          <w:rFonts w:ascii="Calibri" w:eastAsia="Calibri" w:hAnsi="Calibri" w:cs="Calibri"/>
          <w:color w:val="000000" w:themeColor="text1"/>
        </w:rPr>
        <w:t xml:space="preserve"> [May 21, 2022].</w:t>
      </w:r>
    </w:p>
    <w:p w14:paraId="43293403" w14:textId="02DC60D9" w:rsidR="03530F7B" w:rsidRDefault="03530F7B" w:rsidP="03530F7B">
      <w:r w:rsidRPr="03530F7B">
        <w:rPr>
          <w:rFonts w:ascii="Calibri" w:eastAsia="Calibri" w:hAnsi="Calibri" w:cs="Calibri"/>
          <w:color w:val="000000" w:themeColor="text1"/>
        </w:rPr>
        <w:t xml:space="preserve">PIERCY, N.F., 2017. </w:t>
      </w:r>
      <w:r w:rsidRPr="03530F7B">
        <w:rPr>
          <w:rFonts w:ascii="Calibri" w:eastAsia="Calibri" w:hAnsi="Calibri" w:cs="Calibri"/>
          <w:i/>
          <w:iCs/>
          <w:color w:val="000000" w:themeColor="text1"/>
        </w:rPr>
        <w:t xml:space="preserve">Market-Led Strategic Change. </w:t>
      </w:r>
      <w:r w:rsidRPr="03530F7B">
        <w:rPr>
          <w:rFonts w:ascii="Calibri" w:eastAsia="Calibri" w:hAnsi="Calibri" w:cs="Calibri"/>
          <w:color w:val="000000" w:themeColor="text1"/>
        </w:rPr>
        <w:t xml:space="preserve">5th </w:t>
      </w:r>
      <w:proofErr w:type="spellStart"/>
      <w:r w:rsidRPr="03530F7B">
        <w:rPr>
          <w:rFonts w:ascii="Calibri" w:eastAsia="Calibri" w:hAnsi="Calibri" w:cs="Calibri"/>
          <w:color w:val="000000" w:themeColor="text1"/>
        </w:rPr>
        <w:t>edn</w:t>
      </w:r>
      <w:proofErr w:type="spellEnd"/>
      <w:r w:rsidRPr="03530F7B">
        <w:rPr>
          <w:rFonts w:ascii="Calibri" w:eastAsia="Calibri" w:hAnsi="Calibri" w:cs="Calibri"/>
          <w:color w:val="000000" w:themeColor="text1"/>
        </w:rPr>
        <w:t>. Oxford: Routledge.</w:t>
      </w:r>
    </w:p>
    <w:p w14:paraId="0E49E2C0" w14:textId="0AFF2990" w:rsidR="03530F7B" w:rsidRDefault="03530F7B" w:rsidP="03530F7B">
      <w:r w:rsidRPr="03530F7B">
        <w:rPr>
          <w:rFonts w:ascii="Calibri" w:eastAsia="Calibri" w:hAnsi="Calibri" w:cs="Calibri"/>
          <w:color w:val="000000" w:themeColor="text1"/>
        </w:rPr>
        <w:t xml:space="preserve">RAMACHANDRAN, S.E.A., 2019-last update, Infosys Knowledge Institute | ABB product configurator: a case study – a case study. Available: </w:t>
      </w:r>
      <w:hyperlink r:id="rId33">
        <w:r w:rsidRPr="03530F7B">
          <w:rPr>
            <w:rStyle w:val="Hyperlink"/>
            <w:rFonts w:ascii="Calibri" w:eastAsia="Calibri" w:hAnsi="Calibri" w:cs="Calibri"/>
          </w:rPr>
          <w:t>https://www.infosys.com/iki/insights/abb-product.html</w:t>
        </w:r>
      </w:hyperlink>
      <w:r w:rsidRPr="03530F7B">
        <w:rPr>
          <w:rFonts w:ascii="Calibri" w:eastAsia="Calibri" w:hAnsi="Calibri" w:cs="Calibri"/>
          <w:color w:val="000000" w:themeColor="text1"/>
        </w:rPr>
        <w:t xml:space="preserve"> [May 7, 2022].</w:t>
      </w:r>
    </w:p>
    <w:p w14:paraId="73CB3DCC" w14:textId="4E900A1C" w:rsidR="03530F7B" w:rsidRDefault="03530F7B" w:rsidP="03530F7B">
      <w:r w:rsidRPr="00C32854">
        <w:rPr>
          <w:rFonts w:ascii="Calibri" w:eastAsia="Calibri" w:hAnsi="Calibri" w:cs="Calibri"/>
          <w:color w:val="000000" w:themeColor="text1"/>
          <w:lang w:val="de-DE"/>
        </w:rPr>
        <w:t>RAYMUNT, M., 2022, -02-03T11:35:39.576Z, -05-20T01:51:24.261Z, -05-20T10:18:09.441Z, -05-19T19:42:23.295Z, -05-19T19:42:23.295Z, -05-18T20:22:07.772Z, -05-17T15:00:00.000Z, -05-19T19:42:23.295Z, -05-20T10:18:09.441Z, -05-20T01:52:43.503Z, -05-20T01:51:24.261Z, -05-19T19:42:23.295Z. ABB Forges Ahead With EV Charging IPO Seen Netting $750 Million</w:t>
      </w:r>
      <w:r w:rsidRPr="00C32854">
        <w:rPr>
          <w:rFonts w:ascii="Calibri" w:eastAsia="Calibri" w:hAnsi="Calibri" w:cs="Calibri"/>
          <w:i/>
          <w:iCs/>
          <w:color w:val="000000" w:themeColor="text1"/>
          <w:lang w:val="de-DE"/>
        </w:rPr>
        <w:t xml:space="preserve">. </w:t>
      </w:r>
      <w:r w:rsidRPr="77335483">
        <w:rPr>
          <w:rFonts w:ascii="Calibri" w:eastAsia="Calibri" w:hAnsi="Calibri" w:cs="Calibri"/>
          <w:i/>
          <w:iCs/>
          <w:color w:val="000000" w:themeColor="text1"/>
        </w:rPr>
        <w:t>Bloomberg.com</w:t>
      </w:r>
      <w:r w:rsidRPr="77335483">
        <w:rPr>
          <w:rFonts w:ascii="Calibri" w:eastAsia="Calibri" w:hAnsi="Calibri" w:cs="Calibri"/>
          <w:color w:val="000000" w:themeColor="text1"/>
        </w:rPr>
        <w:t>.</w:t>
      </w:r>
    </w:p>
    <w:p w14:paraId="3A61790E" w14:textId="3A90F552" w:rsidR="03530F7B" w:rsidRDefault="03530F7B" w:rsidP="03530F7B">
      <w:r w:rsidRPr="03530F7B">
        <w:rPr>
          <w:rFonts w:ascii="Calibri" w:eastAsia="Calibri" w:hAnsi="Calibri" w:cs="Calibri"/>
          <w:color w:val="000000" w:themeColor="text1"/>
        </w:rPr>
        <w:t xml:space="preserve">REUTERS, 2022-last update, Why German automakers are using hydrogen to hedge their green bets. Available: </w:t>
      </w:r>
      <w:hyperlink r:id="rId34">
        <w:r w:rsidRPr="03530F7B">
          <w:rPr>
            <w:rStyle w:val="Hyperlink"/>
            <w:rFonts w:ascii="Calibri" w:eastAsia="Calibri" w:hAnsi="Calibri" w:cs="Calibri"/>
          </w:rPr>
          <w:t>https://www.autoblog.com/2021/09/22/german-automakers-hydrogen-zero-emissions-bet/</w:t>
        </w:r>
      </w:hyperlink>
      <w:r w:rsidRPr="03530F7B">
        <w:rPr>
          <w:rFonts w:ascii="Calibri" w:eastAsia="Calibri" w:hAnsi="Calibri" w:cs="Calibri"/>
          <w:color w:val="000000" w:themeColor="text1"/>
        </w:rPr>
        <w:t xml:space="preserve"> [May 16, 2022].</w:t>
      </w:r>
    </w:p>
    <w:p w14:paraId="20284D83" w14:textId="07ABD759" w:rsidR="03530F7B" w:rsidRDefault="03530F7B" w:rsidP="03530F7B">
      <w:r w:rsidRPr="03530F7B">
        <w:rPr>
          <w:rFonts w:ascii="Calibri" w:eastAsia="Calibri" w:hAnsi="Calibri" w:cs="Calibri"/>
          <w:color w:val="000000" w:themeColor="text1"/>
        </w:rPr>
        <w:t xml:space="preserve">SCHAEFER, A., 2018-last update, ABB Conversations &gt; Keeping innovation going at a 130-year-old company. Available: </w:t>
      </w:r>
      <w:hyperlink r:id="rId35">
        <w:r w:rsidRPr="03530F7B">
          <w:rPr>
            <w:rStyle w:val="Hyperlink"/>
            <w:rFonts w:ascii="Calibri" w:eastAsia="Calibri" w:hAnsi="Calibri" w:cs="Calibri"/>
          </w:rPr>
          <w:t>https://www.abb-conversations.com/2018/11/keeping-innovation-going-at-a-130-year-old-company/</w:t>
        </w:r>
      </w:hyperlink>
      <w:r w:rsidRPr="03530F7B">
        <w:rPr>
          <w:rFonts w:ascii="Calibri" w:eastAsia="Calibri" w:hAnsi="Calibri" w:cs="Calibri"/>
          <w:color w:val="000000" w:themeColor="text1"/>
        </w:rPr>
        <w:t xml:space="preserve"> [May 3, 2022].</w:t>
      </w:r>
    </w:p>
    <w:p w14:paraId="2E4C6AAD" w14:textId="6958F221" w:rsidR="03530F7B" w:rsidRDefault="03530F7B" w:rsidP="03530F7B">
      <w:r w:rsidRPr="03530F7B">
        <w:rPr>
          <w:rFonts w:ascii="Calibri" w:eastAsia="Calibri" w:hAnsi="Calibri" w:cs="Calibri"/>
          <w:color w:val="000000" w:themeColor="text1"/>
        </w:rPr>
        <w:t xml:space="preserve">SCHILLING, M., 2022. </w:t>
      </w:r>
      <w:r w:rsidRPr="03530F7B">
        <w:rPr>
          <w:rFonts w:ascii="Calibri" w:eastAsia="Calibri" w:hAnsi="Calibri" w:cs="Calibri"/>
          <w:i/>
          <w:iCs/>
          <w:color w:val="000000" w:themeColor="text1"/>
        </w:rPr>
        <w:t xml:space="preserve">Strategic Management of Technological Innovation. </w:t>
      </w:r>
      <w:r w:rsidRPr="03530F7B">
        <w:rPr>
          <w:rFonts w:ascii="Calibri" w:eastAsia="Calibri" w:hAnsi="Calibri" w:cs="Calibri"/>
          <w:color w:val="000000" w:themeColor="text1"/>
        </w:rPr>
        <w:t xml:space="preserve">7th </w:t>
      </w:r>
      <w:proofErr w:type="spellStart"/>
      <w:r w:rsidRPr="03530F7B">
        <w:rPr>
          <w:rFonts w:ascii="Calibri" w:eastAsia="Calibri" w:hAnsi="Calibri" w:cs="Calibri"/>
          <w:color w:val="000000" w:themeColor="text1"/>
        </w:rPr>
        <w:t>edn</w:t>
      </w:r>
      <w:proofErr w:type="spellEnd"/>
      <w:r w:rsidRPr="03530F7B">
        <w:rPr>
          <w:rFonts w:ascii="Calibri" w:eastAsia="Calibri" w:hAnsi="Calibri" w:cs="Calibri"/>
          <w:color w:val="000000" w:themeColor="text1"/>
        </w:rPr>
        <w:t xml:space="preserve">. </w:t>
      </w:r>
      <w:proofErr w:type="spellStart"/>
      <w:r w:rsidRPr="03530F7B">
        <w:rPr>
          <w:rFonts w:ascii="Calibri" w:eastAsia="Calibri" w:hAnsi="Calibri" w:cs="Calibri"/>
          <w:color w:val="000000" w:themeColor="text1"/>
        </w:rPr>
        <w:t>epub</w:t>
      </w:r>
      <w:proofErr w:type="spellEnd"/>
      <w:r w:rsidRPr="03530F7B">
        <w:rPr>
          <w:rFonts w:ascii="Calibri" w:eastAsia="Calibri" w:hAnsi="Calibri" w:cs="Calibri"/>
          <w:color w:val="000000" w:themeColor="text1"/>
        </w:rPr>
        <w:t>: McGraw-Hill Higher Education (International).</w:t>
      </w:r>
    </w:p>
    <w:p w14:paraId="65E0AF59" w14:textId="19F0D791" w:rsidR="03530F7B" w:rsidRDefault="03530F7B" w:rsidP="03530F7B">
      <w:r w:rsidRPr="77335483">
        <w:rPr>
          <w:rFonts w:ascii="Calibri" w:eastAsia="Calibri" w:hAnsi="Calibri" w:cs="Calibri"/>
          <w:color w:val="000000" w:themeColor="text1"/>
        </w:rPr>
        <w:t xml:space="preserve">TINGSTRÖM, J., SWANSTRÖM, L. and KARLSSON, R., 2006. Sustainability management in product development projects – the ABB experience. </w:t>
      </w:r>
      <w:r w:rsidRPr="77335483">
        <w:rPr>
          <w:rFonts w:ascii="Calibri" w:eastAsia="Calibri" w:hAnsi="Calibri" w:cs="Calibri"/>
          <w:i/>
          <w:iCs/>
          <w:color w:val="000000" w:themeColor="text1"/>
        </w:rPr>
        <w:t xml:space="preserve">Journal of Cleaner Production, </w:t>
      </w:r>
      <w:r w:rsidRPr="77335483">
        <w:rPr>
          <w:rFonts w:ascii="Calibri" w:eastAsia="Calibri" w:hAnsi="Calibri" w:cs="Calibri"/>
          <w:b/>
          <w:bCs/>
          <w:color w:val="000000" w:themeColor="text1"/>
        </w:rPr>
        <w:t>14</w:t>
      </w:r>
      <w:r w:rsidRPr="77335483">
        <w:rPr>
          <w:rFonts w:ascii="Calibri" w:eastAsia="Calibri" w:hAnsi="Calibri" w:cs="Calibri"/>
          <w:color w:val="000000" w:themeColor="text1"/>
        </w:rPr>
        <w:t>(15), pp. 1377-1385.</w:t>
      </w:r>
    </w:p>
    <w:p w14:paraId="4DDB6A90" w14:textId="39AAF570" w:rsidR="03530F7B" w:rsidRDefault="03530F7B" w:rsidP="03530F7B">
      <w:r w:rsidRPr="03530F7B">
        <w:rPr>
          <w:rFonts w:ascii="Calibri" w:eastAsia="Calibri" w:hAnsi="Calibri" w:cs="Calibri"/>
          <w:color w:val="000000" w:themeColor="text1"/>
        </w:rPr>
        <w:t xml:space="preserve">TWEED, K., 2016-last update, ABB Sells First Order for 15-Second Bus Charging. Available: </w:t>
      </w:r>
      <w:hyperlink r:id="rId36">
        <w:r w:rsidRPr="03530F7B">
          <w:rPr>
            <w:rStyle w:val="Hyperlink"/>
            <w:rFonts w:ascii="Calibri" w:eastAsia="Calibri" w:hAnsi="Calibri" w:cs="Calibri"/>
          </w:rPr>
          <w:t>https://www.greentechmedia.com/articles/read/abb-sells-first-order-for-15-second-bus-charging</w:t>
        </w:r>
      </w:hyperlink>
      <w:r w:rsidRPr="03530F7B">
        <w:rPr>
          <w:rFonts w:ascii="Calibri" w:eastAsia="Calibri" w:hAnsi="Calibri" w:cs="Calibri"/>
          <w:color w:val="000000" w:themeColor="text1"/>
        </w:rPr>
        <w:t xml:space="preserve"> [May 16, 2022].</w:t>
      </w:r>
    </w:p>
    <w:p w14:paraId="2B2B7BCD" w14:textId="67D9F440" w:rsidR="03530F7B" w:rsidRDefault="03530F7B" w:rsidP="03530F7B">
      <w:r w:rsidRPr="03530F7B">
        <w:rPr>
          <w:rFonts w:ascii="Calibri" w:eastAsia="Calibri" w:hAnsi="Calibri" w:cs="Calibri"/>
          <w:color w:val="000000" w:themeColor="text1"/>
        </w:rPr>
        <w:t xml:space="preserve">TWEED, K., 2011-last update, ABB Acquires </w:t>
      </w:r>
      <w:proofErr w:type="spellStart"/>
      <w:r w:rsidRPr="03530F7B">
        <w:rPr>
          <w:rFonts w:ascii="Calibri" w:eastAsia="Calibri" w:hAnsi="Calibri" w:cs="Calibri"/>
          <w:color w:val="000000" w:themeColor="text1"/>
        </w:rPr>
        <w:t>Epyon</w:t>
      </w:r>
      <w:proofErr w:type="spellEnd"/>
      <w:r w:rsidRPr="03530F7B">
        <w:rPr>
          <w:rFonts w:ascii="Calibri" w:eastAsia="Calibri" w:hAnsi="Calibri" w:cs="Calibri"/>
          <w:color w:val="000000" w:themeColor="text1"/>
        </w:rPr>
        <w:t xml:space="preserve"> for Fast EV Charging. Available: </w:t>
      </w:r>
      <w:hyperlink r:id="rId37">
        <w:r w:rsidRPr="03530F7B">
          <w:rPr>
            <w:rStyle w:val="Hyperlink"/>
            <w:rFonts w:ascii="Calibri" w:eastAsia="Calibri" w:hAnsi="Calibri" w:cs="Calibri"/>
          </w:rPr>
          <w:t>https://www.greentechmedia.com/articles/read/abb-buys-epyon-for-fast-ev-charging</w:t>
        </w:r>
      </w:hyperlink>
      <w:r w:rsidRPr="03530F7B">
        <w:rPr>
          <w:rFonts w:ascii="Calibri" w:eastAsia="Calibri" w:hAnsi="Calibri" w:cs="Calibri"/>
          <w:color w:val="000000" w:themeColor="text1"/>
        </w:rPr>
        <w:t xml:space="preserve"> [May 16, 2022].</w:t>
      </w:r>
    </w:p>
    <w:p w14:paraId="6B69E27E" w14:textId="177056FE" w:rsidR="03530F7B" w:rsidRDefault="03530F7B" w:rsidP="03530F7B">
      <w:r w:rsidRPr="03530F7B">
        <w:rPr>
          <w:rFonts w:ascii="Calibri" w:eastAsia="Calibri" w:hAnsi="Calibri" w:cs="Calibri"/>
          <w:color w:val="000000" w:themeColor="text1"/>
        </w:rPr>
        <w:t xml:space="preserve">UN CLIMATE CHANGE CONFERENCE UK 2021, -11-11T17:50:44+00:00, 2021-last update, Zero Emission Vehicles Transition Council: 2022 action plan. Available: </w:t>
      </w:r>
      <w:hyperlink r:id="rId38">
        <w:r w:rsidRPr="03530F7B">
          <w:rPr>
            <w:rStyle w:val="Hyperlink"/>
            <w:rFonts w:ascii="Calibri" w:eastAsia="Calibri" w:hAnsi="Calibri" w:cs="Calibri"/>
          </w:rPr>
          <w:t>https://ukcop26.org/zero-emission-vehicles-transition-council-2022-action-plan/</w:t>
        </w:r>
      </w:hyperlink>
      <w:r w:rsidRPr="03530F7B">
        <w:rPr>
          <w:rFonts w:ascii="Calibri" w:eastAsia="Calibri" w:hAnsi="Calibri" w:cs="Calibri"/>
          <w:color w:val="000000" w:themeColor="text1"/>
        </w:rPr>
        <w:t xml:space="preserve"> [May 15, 2022].</w:t>
      </w:r>
    </w:p>
    <w:p w14:paraId="0AF0A534" w14:textId="77777777" w:rsidR="03530F7B" w:rsidRDefault="03530F7B" w:rsidP="03530F7B"/>
    <w:sectPr w:rsidR="03530F7B">
      <w:headerReference w:type="default" r:id="rId39"/>
      <w:footerReference w:type="default" r:id="rId40"/>
      <w:headerReference w:type="first" r:id="rId41"/>
      <w:footerReference w:type="firs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AEC9B" w14:textId="77777777" w:rsidR="00CE41FD" w:rsidRDefault="00CE41FD">
      <w:pPr>
        <w:spacing w:after="0" w:line="240" w:lineRule="auto"/>
      </w:pPr>
      <w:r>
        <w:separator/>
      </w:r>
    </w:p>
  </w:endnote>
  <w:endnote w:type="continuationSeparator" w:id="0">
    <w:p w14:paraId="729DE2EC" w14:textId="77777777" w:rsidR="00CE41FD" w:rsidRDefault="00CE4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5E914B0" w14:paraId="0BF5DA8C" w14:textId="77777777" w:rsidTr="50EC019F">
      <w:tc>
        <w:tcPr>
          <w:tcW w:w="3005" w:type="dxa"/>
        </w:tcPr>
        <w:p w14:paraId="296FAD78" w14:textId="49AB67D6" w:rsidR="45E914B0" w:rsidRDefault="45E914B0" w:rsidP="45E914B0">
          <w:pPr>
            <w:pStyle w:val="Header"/>
            <w:ind w:left="-115"/>
          </w:pPr>
        </w:p>
      </w:tc>
      <w:tc>
        <w:tcPr>
          <w:tcW w:w="3005" w:type="dxa"/>
        </w:tcPr>
        <w:p w14:paraId="30B5446C" w14:textId="1440EED0" w:rsidR="45E914B0" w:rsidRDefault="45E914B0" w:rsidP="45E914B0">
          <w:pPr>
            <w:pStyle w:val="Header"/>
            <w:jc w:val="center"/>
          </w:pPr>
        </w:p>
      </w:tc>
      <w:tc>
        <w:tcPr>
          <w:tcW w:w="3005" w:type="dxa"/>
        </w:tcPr>
        <w:p w14:paraId="0B1B24FA" w14:textId="56028C4F" w:rsidR="45E914B0" w:rsidRDefault="45E914B0" w:rsidP="45E914B0">
          <w:pPr>
            <w:pStyle w:val="Header"/>
            <w:ind w:right="-115"/>
            <w:jc w:val="right"/>
          </w:pPr>
          <w:r>
            <w:fldChar w:fldCharType="begin"/>
          </w:r>
          <w:r>
            <w:instrText>PAGE</w:instrText>
          </w:r>
          <w:r w:rsidR="00CE41FD">
            <w:fldChar w:fldCharType="separate"/>
          </w:r>
          <w:r w:rsidR="00C32854">
            <w:rPr>
              <w:noProof/>
            </w:rPr>
            <w:t>2</w:t>
          </w:r>
          <w:r>
            <w:fldChar w:fldCharType="end"/>
          </w:r>
        </w:p>
      </w:tc>
    </w:tr>
  </w:tbl>
  <w:p w14:paraId="1E3FB059" w14:textId="3CCB1337" w:rsidR="45E914B0" w:rsidRDefault="45E914B0" w:rsidP="45E914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EC019F" w14:paraId="028D8E34" w14:textId="77777777" w:rsidTr="50EC019F">
      <w:tc>
        <w:tcPr>
          <w:tcW w:w="3005" w:type="dxa"/>
        </w:tcPr>
        <w:p w14:paraId="2346195A" w14:textId="21607002" w:rsidR="50EC019F" w:rsidRDefault="50EC019F" w:rsidP="50EC019F">
          <w:pPr>
            <w:pStyle w:val="Header"/>
            <w:ind w:left="-115"/>
          </w:pPr>
        </w:p>
      </w:tc>
      <w:tc>
        <w:tcPr>
          <w:tcW w:w="3005" w:type="dxa"/>
        </w:tcPr>
        <w:p w14:paraId="15BC39A9" w14:textId="1B0B27DC" w:rsidR="50EC019F" w:rsidRDefault="50EC019F" w:rsidP="50EC019F">
          <w:pPr>
            <w:pStyle w:val="Header"/>
            <w:jc w:val="center"/>
          </w:pPr>
        </w:p>
      </w:tc>
      <w:tc>
        <w:tcPr>
          <w:tcW w:w="3005" w:type="dxa"/>
        </w:tcPr>
        <w:p w14:paraId="68C64FE1" w14:textId="102203F7" w:rsidR="50EC019F" w:rsidRDefault="50EC019F" w:rsidP="50EC019F">
          <w:pPr>
            <w:pStyle w:val="Header"/>
            <w:ind w:right="-115"/>
            <w:jc w:val="right"/>
          </w:pPr>
        </w:p>
      </w:tc>
    </w:tr>
  </w:tbl>
  <w:p w14:paraId="5FF557BE" w14:textId="529C5A3C" w:rsidR="50EC019F" w:rsidRDefault="50EC019F" w:rsidP="50EC0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E4235" w14:textId="77777777" w:rsidR="00CE41FD" w:rsidRDefault="00CE41FD">
      <w:pPr>
        <w:spacing w:after="0" w:line="240" w:lineRule="auto"/>
      </w:pPr>
      <w:r>
        <w:separator/>
      </w:r>
    </w:p>
  </w:footnote>
  <w:footnote w:type="continuationSeparator" w:id="0">
    <w:p w14:paraId="6C7C822B" w14:textId="77777777" w:rsidR="00CE41FD" w:rsidRDefault="00CE4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3005" w:type="dxa"/>
      <w:tblLayout w:type="fixed"/>
      <w:tblLook w:val="06A0" w:firstRow="1" w:lastRow="0" w:firstColumn="1" w:lastColumn="0" w:noHBand="1" w:noVBand="1"/>
    </w:tblPr>
    <w:tblGrid>
      <w:gridCol w:w="3005"/>
    </w:tblGrid>
    <w:tr w:rsidR="45E914B0" w14:paraId="0F745DBE" w14:textId="77777777" w:rsidTr="2DEFBAD2">
      <w:trPr>
        <w:trHeight w:val="1545"/>
      </w:trPr>
      <w:tc>
        <w:tcPr>
          <w:tcW w:w="3005" w:type="dxa"/>
        </w:tcPr>
        <w:p w14:paraId="5B754AEA" w14:textId="42D283B6" w:rsidR="45E914B0" w:rsidRDefault="45E914B0" w:rsidP="45E914B0">
          <w:pPr>
            <w:pStyle w:val="Header"/>
            <w:ind w:right="-115"/>
            <w:jc w:val="right"/>
          </w:pPr>
        </w:p>
      </w:tc>
    </w:tr>
  </w:tbl>
  <w:p w14:paraId="2CB76603" w14:textId="50F5B927" w:rsidR="45E914B0" w:rsidRDefault="45E914B0" w:rsidP="45E914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9D628" w14:textId="27F0CB5E" w:rsidR="009454DE" w:rsidRDefault="009454DE">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A60D886EF3A74B8D820DCB08B2E84D33"/>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color w:val="4472C4" w:themeColor="accent1"/>
            <w:sz w:val="24"/>
            <w:szCs w:val="24"/>
          </w:rPr>
          <w:t>Assessment B submission by Chris Davies (Student No. 2126255)</w:t>
        </w:r>
      </w:sdtContent>
    </w:sdt>
    <w:r>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8CB12913EAE547E0B10E24D1AA3FBD07"/>
        </w:placeholder>
        <w:dataBinding w:prefixMappings="xmlns:ns0='http://schemas.microsoft.com/office/2006/coverPageProps'" w:xpath="/ns0:CoverPageProperties[1]/ns0:PublishDate[1]" w:storeItemID="{55AF091B-3C7A-41E3-B477-F2FDAA23CFDA}"/>
        <w:date w:fullDate="2022-05-22T00:00:00Z">
          <w:dateFormat w:val="MMMM d, yyyy"/>
          <w:lid w:val="en-US"/>
          <w:storeMappedDataAs w:val="dateTime"/>
          <w:calendar w:val="gregorian"/>
        </w:date>
      </w:sdtPr>
      <w:sdtContent>
        <w:r>
          <w:rPr>
            <w:rFonts w:asciiTheme="majorHAnsi" w:eastAsiaTheme="majorEastAsia" w:hAnsiTheme="majorHAnsi" w:cstheme="majorBidi"/>
            <w:color w:val="4472C4" w:themeColor="accent1"/>
            <w:sz w:val="24"/>
            <w:szCs w:val="24"/>
            <w:lang w:val="en-US"/>
          </w:rPr>
          <w:t>May 22, 2022</w:t>
        </w:r>
      </w:sdtContent>
    </w:sdt>
  </w:p>
  <w:p w14:paraId="38BEF22B" w14:textId="16612656" w:rsidR="50EC019F" w:rsidRDefault="50EC019F" w:rsidP="50EC019F">
    <w:pPr>
      <w:pStyle w:val="Header"/>
    </w:pPr>
  </w:p>
</w:hdr>
</file>

<file path=word/intelligence2.xml><?xml version="1.0" encoding="utf-8"?>
<int2:intelligence xmlns:int2="http://schemas.microsoft.com/office/intelligence/2020/intelligence" xmlns:oel="http://schemas.microsoft.com/office/2019/extlst">
  <int2:observations>
    <int2:textHash int2:hashCode="O4pzNphTXBMsaB" int2:id="EDE9z4en">
      <int2:state int2:value="Rejected" int2:type="AugLoop_Text_Critique"/>
    </int2:textHash>
    <int2:textHash int2:hashCode="RoHRJMxsS3O6q/" int2:id="7C4kQ99w">
      <int2:state int2:value="Rejected" int2:type="AugLoop_Text_Critique"/>
    </int2:textHash>
    <int2:textHash int2:hashCode="a7X/VNNYq0VXgz" int2:id="s9hqxMvs">
      <int2:state int2:value="Rejected" int2:type="AugLoop_Text_Critique"/>
    </int2:textHash>
    <int2:textHash int2:hashCode="VpWB23M7j4xzXW" int2:id="rlDMx7wR">
      <int2:state int2:value="Rejected" int2:type="AugLoop_Text_Critique"/>
    </int2:textHash>
    <int2:textHash int2:hashCode="1B8ctoylE7ipZl" int2:id="k6dZO5lW">
      <int2:state int2:value="Rejected" int2:type="AugLoop_Text_Critique"/>
    </int2:textHash>
    <int2:textHash int2:hashCode="G2OI4A1E+kuZ0J" int2:id="yYyj99TN">
      <int2:state int2:value="Rejected" int2:type="AugLoop_Text_Critique"/>
    </int2:textHash>
    <int2:textHash int2:hashCode="ENo5oMRZaEfBQa" int2:id="LYjlHtWG">
      <int2:state int2:value="Rejected" int2:type="AugLoop_Acronyms_AcronymsCritique"/>
    </int2:textHash>
    <int2:textHash int2:hashCode="MFBH6W7AiQIWYO" int2:id="wsalbpoP">
      <int2:state int2:value="Rejected" int2:type="LegacyProofing"/>
    </int2:textHash>
    <int2:textHash int2:hashCode="TE5txLvbzo+E8H" int2:id="2HuUVJz5">
      <int2:state int2:value="Rejected" int2:type="LegacyProofing"/>
    </int2:textHash>
    <int2:textHash int2:hashCode="Y7rxyEYEGk+h8X" int2:id="ZY5BoKx3">
      <int2:state int2:value="Rejected" int2:type="LegacyProofing"/>
    </int2:textHash>
    <int2:textHash int2:hashCode="lrLpBci8C4O0jf" int2:id="uPd5hEXN">
      <int2:state int2:value="Rejected" int2:type="LegacyProofing"/>
    </int2:textHash>
    <int2:textHash int2:hashCode="NszP8/P3Vqal1e" int2:id="2vMkYuMG">
      <int2:state int2:value="Rejected" int2:type="AugLoop_Text_Critique"/>
    </int2:textHash>
    <int2:textHash int2:hashCode="/m4Iz5W8Y7z0W7" int2:id="CqroStJs">
      <int2:state int2:value="Rejected" int2:type="AugLoop_Text_Critique"/>
    </int2:textHash>
    <int2:textHash int2:hashCode="RqhmcRGM7U3nVn" int2:id="Y7yc9UA5">
      <int2:state int2:value="Rejected" int2:type="AugLoop_Text_Critique"/>
    </int2:textHash>
    <int2:textHash int2:hashCode="gRg+Ewpr1g5/o3" int2:id="dl5Kyd2l">
      <int2:state int2:value="Rejected" int2:type="AugLoop_Text_Critique"/>
    </int2:textHash>
    <int2:textHash int2:hashCode="ZanletI6wlweVG" int2:id="mVXUe4g6">
      <int2:state int2:value="Rejected" int2:type="AugLoop_Text_Critique"/>
    </int2:textHash>
    <int2:textHash int2:hashCode="maS+KK4PEzqNKd" int2:id="ykIWVNJs">
      <int2:state int2:value="Rejected" int2:type="AugLoop_Text_Critique"/>
    </int2:textHash>
    <int2:textHash int2:hashCode="7yntNT95YUsK8K" int2:id="ti9wAtyR">
      <int2:state int2:value="Rejected" int2:type="AugLoop_Acronyms_AcronymsCritique"/>
    </int2:textHash>
    <int2:textHash int2:hashCode="s4nYnOhSAw/+QB" int2:id="msF5UTix">
      <int2:state int2:value="Rejected" int2:type="AugLoop_Text_Critique"/>
    </int2:textHash>
    <int2:textHash int2:hashCode="ZX08dxT7jZ8t+M" int2:id="BBLhZ8Fn">
      <int2:state int2:value="Rejected" int2:type="AugLoop_Text_Critique"/>
    </int2:textHash>
    <int2:textHash int2:hashCode="m/D4/19di8v/ud" int2:id="rSuq3uLV">
      <int2:state int2:value="Rejected" int2:type="AugLoop_Text_Critique"/>
    </int2:textHash>
    <int2:textHash int2:hashCode="N7dBRKxbARt7Js" int2:id="gUw2bqtA">
      <int2:state int2:value="Rejected" int2:type="AugLoop_Text_Critique"/>
    </int2:textHash>
    <int2:textHash int2:hashCode="/GEKYUMiMplfhJ" int2:id="ywZ9jUFn">
      <int2:state int2:value="Rejected" int2:type="AugLoop_Text_Critique"/>
    </int2:textHash>
    <int2:textHash int2:hashCode="wbBHxv7+jIfiUc" int2:id="S2IxJDth">
      <int2:state int2:value="Rejected" int2:type="AugLoop_Text_Critique"/>
    </int2:textHash>
    <int2:textHash int2:hashCode="DnfKAEcAKPtOFp" int2:id="dbfy05PY">
      <int2:state int2:value="Rejected" int2:type="AugLoop_Text_Critique"/>
    </int2:textHash>
    <int2:textHash int2:hashCode="SradH0SdDJdch8" int2:id="pGb3iKBX">
      <int2:state int2:value="Rejected" int2:type="AugLoop_Text_Critique"/>
    </int2:textHash>
    <int2:textHash int2:hashCode="lYDxgaT6QVo2Hp" int2:id="OxXOd4Mp">
      <int2:state int2:value="Rejected" int2:type="AugLoop_Text_Critique"/>
    </int2:textHash>
    <int2:textHash int2:hashCode="T2uh1uCfFUtYOn" int2:id="9Uog0ORn">
      <int2:state int2:value="Rejected" int2:type="AugLoop_Text_Critique"/>
    </int2:textHash>
    <int2:textHash int2:hashCode="MhRxVSeMhyrbQQ" int2:id="n3pHpKAs">
      <int2:state int2:value="Rejected" int2:type="LegacyProofing"/>
    </int2:textHash>
    <int2:textHash int2:hashCode="gJgZ4FF+hHK7hX" int2:id="KCQM1hJx">
      <int2:state int2:value="Rejected" int2:type="LegacyProofing"/>
    </int2:textHash>
    <int2:textHash int2:hashCode="A76OME65udzUzp" int2:id="UQ6oKa2s">
      <int2:state int2:value="Rejected" int2:type="LegacyProofing"/>
    </int2:textHash>
    <int2:textHash int2:hashCode="JxDKB9IM5qayeG" int2:id="HzYvaBAP">
      <int2:state int2:value="Rejected" int2:type="LegacyProofing"/>
    </int2:textHash>
    <int2:textHash int2:hashCode="oRYDbeMFvhxnDF" int2:id="3fqu2LMH">
      <int2:state int2:value="Rejected" int2:type="AugLoop_Text_Critique"/>
    </int2:textHash>
    <int2:textHash int2:hashCode="LW6ingQOMN36oo" int2:id="MTgDz0zE">
      <int2:state int2:value="Rejected" int2:type="AugLoop_Text_Critique"/>
    </int2:textHash>
    <int2:textHash int2:hashCode="u1qHAEtIyfhx7q" int2:id="rS51FFJo">
      <int2:state int2:value="Rejected" int2:type="AugLoop_Text_Critique"/>
    </int2:textHash>
    <int2:textHash int2:hashCode="9BVwDU0M4cgYEP" int2:id="5MVISZxY">
      <int2:state int2:value="Rejected" int2:type="AugLoop_Text_Critique"/>
    </int2:textHash>
    <int2:textHash int2:hashCode="RPAlGzPK+i0SsD" int2:id="eEwXtEWP">
      <int2:state int2:value="Rejected" int2:type="AugLoop_Text_Critique"/>
    </int2:textHash>
    <int2:textHash int2:hashCode="0lx5lma75QlEKJ" int2:id="QKiaLkNK">
      <int2:state int2:value="Rejected" int2:type="LegacyProofing"/>
    </int2:textHash>
    <int2:textHash int2:hashCode="9mkaPIdL7stcCA" int2:id="IIskjLPZ">
      <int2:state int2:value="Rejected" int2:type="LegacyProofing"/>
    </int2:textHash>
    <int2:textHash int2:hashCode="25tLiGM8X9LGgv" int2:id="Ew8zkjNv">
      <int2:state int2:value="Rejected" int2:type="LegacyProofing"/>
    </int2:textHash>
    <int2:textHash int2:hashCode="6m+2o/+daLQc6r" int2:id="YFmNPnpJ">
      <int2:state int2:value="Rejected" int2:type="LegacyProofing"/>
    </int2:textHash>
    <int2:textHash int2:hashCode="pHoYbfduGRBidh" int2:id="ZXG4bG1B">
      <int2:state int2:value="Rejected" int2:type="LegacyProofing"/>
    </int2:textHash>
    <int2:textHash int2:hashCode="hU3t7G+NJZjg44" int2:id="nQuZfA6w">
      <int2:state int2:value="Rejected" int2:type="LegacyProofing"/>
    </int2:textHash>
    <int2:textHash int2:hashCode="FYIhJ9eqYj58xY" int2:id="ovzwPPmY">
      <int2:state int2:value="Rejected" int2:type="LegacyProofing"/>
    </int2:textHash>
    <int2:bookmark int2:bookmarkName="_Int_dYDsGahD" int2:invalidationBookmarkName="" int2:hashCode="DIGryHvcVTjfln" int2:id="azRMKY05">
      <int2:state int2:value="Rejected" int2:type="LegacyProofing"/>
    </int2:bookmark>
    <int2:bookmark int2:bookmarkName="_Int_lZveVPT6" int2:invalidationBookmarkName="" int2:hashCode="kT4xepf1TgnSmj" int2:id="XAt5iv7v">
      <int2:state int2:value="Rejected" int2:type="LegacyProofing"/>
    </int2:bookmark>
    <int2:bookmark int2:bookmarkName="_Int_Tv2hBzjM" int2:invalidationBookmarkName="" int2:hashCode="kT4xepf1TgnSmj" int2:id="TfcWcVFd">
      <int2:state int2:value="Rejected" int2:type="LegacyProofing"/>
    </int2:bookmark>
    <int2:bookmark int2:bookmarkName="_Int_JGulBKjc" int2:invalidationBookmarkName="" int2:hashCode="sD6zvhYCdxh8Oi" int2:id="BEW2oelO">
      <int2:state int2:value="Rejected" int2:type="LegacyProofing"/>
    </int2:bookmark>
    <int2:bookmark int2:bookmarkName="_Int_mwhiN8Wb" int2:invalidationBookmarkName="" int2:hashCode="I8eAuljCnKWrVA" int2:id="E1TaVKG2">
      <int2:state int2:value="Rejected" int2:type="LegacyProofing"/>
    </int2:bookmark>
    <int2:bookmark int2:bookmarkName="_Int_3QADmcmK" int2:invalidationBookmarkName="" int2:hashCode="I8eAuljCnKWrVA" int2:id="vYtFE19U">
      <int2:state int2:value="Rejected" int2:type="LegacyProofing"/>
    </int2:bookmark>
    <int2:bookmark int2:bookmarkName="_Int_YpL69kfl" int2:invalidationBookmarkName="" int2:hashCode="VH2Y+4FbZ7/OUc" int2:id="HNqPNGRm">
      <int2:state int2:value="Rejected" int2:type="LegacyProofing"/>
    </int2:bookmark>
    <int2:bookmark int2:bookmarkName="_Int_2Nd63cRo" int2:invalidationBookmarkName="" int2:hashCode="5m5NSshjFTmVVQ" int2:id="QCna8fEM">
      <int2:state int2:value="Rejected" int2:type="LegacyProofing"/>
    </int2:bookmark>
    <int2:bookmark int2:bookmarkName="_Int_V1F1PEP1" int2:invalidationBookmarkName="" int2:hashCode="sD6zvhYCdxh8Oi" int2:id="qoBkYl5o">
      <int2:state int2:value="Rejected" int2:type="LegacyProofing"/>
    </int2:bookmark>
    <int2:bookmark int2:bookmarkName="_Int_T6az73bz" int2:invalidationBookmarkName="" int2:hashCode="sD6zvhYCdxh8Oi" int2:id="OsAfnxIz">
      <int2:state int2:value="Rejected" int2:type="LegacyProofing"/>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62CC8"/>
    <w:multiLevelType w:val="hybridMultilevel"/>
    <w:tmpl w:val="84460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72DF0"/>
    <w:multiLevelType w:val="hybridMultilevel"/>
    <w:tmpl w:val="21481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D3F2B"/>
    <w:multiLevelType w:val="hybridMultilevel"/>
    <w:tmpl w:val="0BA4FEF6"/>
    <w:lvl w:ilvl="0" w:tplc="D5FE0EA4">
      <w:start w:val="1"/>
      <w:numFmt w:val="bullet"/>
      <w:lvlText w:val=""/>
      <w:lvlJc w:val="left"/>
      <w:pPr>
        <w:ind w:left="720" w:hanging="360"/>
      </w:pPr>
      <w:rPr>
        <w:rFonts w:ascii="Symbol" w:hAnsi="Symbol" w:hint="default"/>
      </w:rPr>
    </w:lvl>
    <w:lvl w:ilvl="1" w:tplc="2E587354">
      <w:start w:val="1"/>
      <w:numFmt w:val="bullet"/>
      <w:lvlText w:val="o"/>
      <w:lvlJc w:val="left"/>
      <w:pPr>
        <w:ind w:left="1440" w:hanging="360"/>
      </w:pPr>
      <w:rPr>
        <w:rFonts w:ascii="Courier New" w:hAnsi="Courier New" w:hint="default"/>
      </w:rPr>
    </w:lvl>
    <w:lvl w:ilvl="2" w:tplc="C1E05BCE">
      <w:start w:val="1"/>
      <w:numFmt w:val="bullet"/>
      <w:lvlText w:val=""/>
      <w:lvlJc w:val="left"/>
      <w:pPr>
        <w:ind w:left="2160" w:hanging="360"/>
      </w:pPr>
      <w:rPr>
        <w:rFonts w:ascii="Wingdings" w:hAnsi="Wingdings" w:hint="default"/>
      </w:rPr>
    </w:lvl>
    <w:lvl w:ilvl="3" w:tplc="75444BFA">
      <w:start w:val="1"/>
      <w:numFmt w:val="bullet"/>
      <w:lvlText w:val=""/>
      <w:lvlJc w:val="left"/>
      <w:pPr>
        <w:ind w:left="2880" w:hanging="360"/>
      </w:pPr>
      <w:rPr>
        <w:rFonts w:ascii="Symbol" w:hAnsi="Symbol" w:hint="default"/>
      </w:rPr>
    </w:lvl>
    <w:lvl w:ilvl="4" w:tplc="4BAC7E7A">
      <w:start w:val="1"/>
      <w:numFmt w:val="bullet"/>
      <w:lvlText w:val="o"/>
      <w:lvlJc w:val="left"/>
      <w:pPr>
        <w:ind w:left="3600" w:hanging="360"/>
      </w:pPr>
      <w:rPr>
        <w:rFonts w:ascii="Courier New" w:hAnsi="Courier New" w:hint="default"/>
      </w:rPr>
    </w:lvl>
    <w:lvl w:ilvl="5" w:tplc="6F58E34A">
      <w:start w:val="1"/>
      <w:numFmt w:val="bullet"/>
      <w:lvlText w:val=""/>
      <w:lvlJc w:val="left"/>
      <w:pPr>
        <w:ind w:left="4320" w:hanging="360"/>
      </w:pPr>
      <w:rPr>
        <w:rFonts w:ascii="Wingdings" w:hAnsi="Wingdings" w:hint="default"/>
      </w:rPr>
    </w:lvl>
    <w:lvl w:ilvl="6" w:tplc="1424EB24">
      <w:start w:val="1"/>
      <w:numFmt w:val="bullet"/>
      <w:lvlText w:val=""/>
      <w:lvlJc w:val="left"/>
      <w:pPr>
        <w:ind w:left="5040" w:hanging="360"/>
      </w:pPr>
      <w:rPr>
        <w:rFonts w:ascii="Symbol" w:hAnsi="Symbol" w:hint="default"/>
      </w:rPr>
    </w:lvl>
    <w:lvl w:ilvl="7" w:tplc="6434A016">
      <w:start w:val="1"/>
      <w:numFmt w:val="bullet"/>
      <w:lvlText w:val="o"/>
      <w:lvlJc w:val="left"/>
      <w:pPr>
        <w:ind w:left="5760" w:hanging="360"/>
      </w:pPr>
      <w:rPr>
        <w:rFonts w:ascii="Courier New" w:hAnsi="Courier New" w:hint="default"/>
      </w:rPr>
    </w:lvl>
    <w:lvl w:ilvl="8" w:tplc="07102CA2">
      <w:start w:val="1"/>
      <w:numFmt w:val="bullet"/>
      <w:lvlText w:val=""/>
      <w:lvlJc w:val="left"/>
      <w:pPr>
        <w:ind w:left="6480" w:hanging="360"/>
      </w:pPr>
      <w:rPr>
        <w:rFonts w:ascii="Wingdings" w:hAnsi="Wingdings" w:hint="default"/>
      </w:rPr>
    </w:lvl>
  </w:abstractNum>
  <w:abstractNum w:abstractNumId="3" w15:restartNumberingAfterBreak="0">
    <w:nsid w:val="21A500C5"/>
    <w:multiLevelType w:val="hybridMultilevel"/>
    <w:tmpl w:val="6E984048"/>
    <w:lvl w:ilvl="0" w:tplc="A77AA6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AA018C"/>
    <w:multiLevelType w:val="hybridMultilevel"/>
    <w:tmpl w:val="11B6F7EA"/>
    <w:lvl w:ilvl="0" w:tplc="8E2CC848">
      <w:start w:val="1"/>
      <w:numFmt w:val="bullet"/>
      <w:lvlText w:val=""/>
      <w:lvlJc w:val="left"/>
      <w:pPr>
        <w:ind w:left="720" w:hanging="360"/>
      </w:pPr>
      <w:rPr>
        <w:rFonts w:ascii="Symbol" w:hAnsi="Symbol" w:hint="default"/>
      </w:rPr>
    </w:lvl>
    <w:lvl w:ilvl="1" w:tplc="13DADF80">
      <w:start w:val="1"/>
      <w:numFmt w:val="bullet"/>
      <w:lvlText w:val="o"/>
      <w:lvlJc w:val="left"/>
      <w:pPr>
        <w:ind w:left="1440" w:hanging="360"/>
      </w:pPr>
      <w:rPr>
        <w:rFonts w:ascii="Courier New" w:hAnsi="Courier New" w:hint="default"/>
      </w:rPr>
    </w:lvl>
    <w:lvl w:ilvl="2" w:tplc="CBF86428">
      <w:start w:val="1"/>
      <w:numFmt w:val="bullet"/>
      <w:lvlText w:val=""/>
      <w:lvlJc w:val="left"/>
      <w:pPr>
        <w:ind w:left="2160" w:hanging="360"/>
      </w:pPr>
      <w:rPr>
        <w:rFonts w:ascii="Wingdings" w:hAnsi="Wingdings" w:hint="default"/>
      </w:rPr>
    </w:lvl>
    <w:lvl w:ilvl="3" w:tplc="B4B86748">
      <w:start w:val="1"/>
      <w:numFmt w:val="bullet"/>
      <w:lvlText w:val=""/>
      <w:lvlJc w:val="left"/>
      <w:pPr>
        <w:ind w:left="2880" w:hanging="360"/>
      </w:pPr>
      <w:rPr>
        <w:rFonts w:ascii="Symbol" w:hAnsi="Symbol" w:hint="default"/>
      </w:rPr>
    </w:lvl>
    <w:lvl w:ilvl="4" w:tplc="9BE4EA5C">
      <w:start w:val="1"/>
      <w:numFmt w:val="bullet"/>
      <w:lvlText w:val="o"/>
      <w:lvlJc w:val="left"/>
      <w:pPr>
        <w:ind w:left="3600" w:hanging="360"/>
      </w:pPr>
      <w:rPr>
        <w:rFonts w:ascii="Courier New" w:hAnsi="Courier New" w:hint="default"/>
      </w:rPr>
    </w:lvl>
    <w:lvl w:ilvl="5" w:tplc="8FA4F222">
      <w:start w:val="1"/>
      <w:numFmt w:val="bullet"/>
      <w:lvlText w:val=""/>
      <w:lvlJc w:val="left"/>
      <w:pPr>
        <w:ind w:left="4320" w:hanging="360"/>
      </w:pPr>
      <w:rPr>
        <w:rFonts w:ascii="Wingdings" w:hAnsi="Wingdings" w:hint="default"/>
      </w:rPr>
    </w:lvl>
    <w:lvl w:ilvl="6" w:tplc="A814A44C">
      <w:start w:val="1"/>
      <w:numFmt w:val="bullet"/>
      <w:lvlText w:val=""/>
      <w:lvlJc w:val="left"/>
      <w:pPr>
        <w:ind w:left="5040" w:hanging="360"/>
      </w:pPr>
      <w:rPr>
        <w:rFonts w:ascii="Symbol" w:hAnsi="Symbol" w:hint="default"/>
      </w:rPr>
    </w:lvl>
    <w:lvl w:ilvl="7" w:tplc="9940BED2">
      <w:start w:val="1"/>
      <w:numFmt w:val="bullet"/>
      <w:lvlText w:val="o"/>
      <w:lvlJc w:val="left"/>
      <w:pPr>
        <w:ind w:left="5760" w:hanging="360"/>
      </w:pPr>
      <w:rPr>
        <w:rFonts w:ascii="Courier New" w:hAnsi="Courier New" w:hint="default"/>
      </w:rPr>
    </w:lvl>
    <w:lvl w:ilvl="8" w:tplc="F43ADB6E">
      <w:start w:val="1"/>
      <w:numFmt w:val="bullet"/>
      <w:lvlText w:val=""/>
      <w:lvlJc w:val="left"/>
      <w:pPr>
        <w:ind w:left="6480" w:hanging="360"/>
      </w:pPr>
      <w:rPr>
        <w:rFonts w:ascii="Wingdings" w:hAnsi="Wingdings" w:hint="default"/>
      </w:rPr>
    </w:lvl>
  </w:abstractNum>
  <w:abstractNum w:abstractNumId="5" w15:restartNumberingAfterBreak="0">
    <w:nsid w:val="25FB3CB1"/>
    <w:multiLevelType w:val="hybridMultilevel"/>
    <w:tmpl w:val="4B3CC16E"/>
    <w:lvl w:ilvl="0" w:tplc="11041384">
      <w:start w:val="1"/>
      <w:numFmt w:val="bullet"/>
      <w:lvlText w:val=""/>
      <w:lvlJc w:val="left"/>
      <w:pPr>
        <w:ind w:left="720" w:hanging="360"/>
      </w:pPr>
      <w:rPr>
        <w:rFonts w:ascii="Symbol" w:hAnsi="Symbol" w:hint="default"/>
      </w:rPr>
    </w:lvl>
    <w:lvl w:ilvl="1" w:tplc="F7C25942">
      <w:start w:val="1"/>
      <w:numFmt w:val="bullet"/>
      <w:lvlText w:val="o"/>
      <w:lvlJc w:val="left"/>
      <w:pPr>
        <w:ind w:left="1440" w:hanging="360"/>
      </w:pPr>
      <w:rPr>
        <w:rFonts w:ascii="Courier New" w:hAnsi="Courier New" w:hint="default"/>
      </w:rPr>
    </w:lvl>
    <w:lvl w:ilvl="2" w:tplc="8DF6B062">
      <w:start w:val="1"/>
      <w:numFmt w:val="bullet"/>
      <w:lvlText w:val=""/>
      <w:lvlJc w:val="left"/>
      <w:pPr>
        <w:ind w:left="2160" w:hanging="360"/>
      </w:pPr>
      <w:rPr>
        <w:rFonts w:ascii="Wingdings" w:hAnsi="Wingdings" w:hint="default"/>
      </w:rPr>
    </w:lvl>
    <w:lvl w:ilvl="3" w:tplc="22DC9B0C">
      <w:start w:val="1"/>
      <w:numFmt w:val="bullet"/>
      <w:lvlText w:val=""/>
      <w:lvlJc w:val="left"/>
      <w:pPr>
        <w:ind w:left="2880" w:hanging="360"/>
      </w:pPr>
      <w:rPr>
        <w:rFonts w:ascii="Symbol" w:hAnsi="Symbol" w:hint="default"/>
      </w:rPr>
    </w:lvl>
    <w:lvl w:ilvl="4" w:tplc="C4EC1B9A">
      <w:start w:val="1"/>
      <w:numFmt w:val="bullet"/>
      <w:lvlText w:val="o"/>
      <w:lvlJc w:val="left"/>
      <w:pPr>
        <w:ind w:left="3600" w:hanging="360"/>
      </w:pPr>
      <w:rPr>
        <w:rFonts w:ascii="Courier New" w:hAnsi="Courier New" w:hint="default"/>
      </w:rPr>
    </w:lvl>
    <w:lvl w:ilvl="5" w:tplc="2BBE837A">
      <w:start w:val="1"/>
      <w:numFmt w:val="bullet"/>
      <w:lvlText w:val=""/>
      <w:lvlJc w:val="left"/>
      <w:pPr>
        <w:ind w:left="4320" w:hanging="360"/>
      </w:pPr>
      <w:rPr>
        <w:rFonts w:ascii="Wingdings" w:hAnsi="Wingdings" w:hint="default"/>
      </w:rPr>
    </w:lvl>
    <w:lvl w:ilvl="6" w:tplc="57140536">
      <w:start w:val="1"/>
      <w:numFmt w:val="bullet"/>
      <w:lvlText w:val=""/>
      <w:lvlJc w:val="left"/>
      <w:pPr>
        <w:ind w:left="5040" w:hanging="360"/>
      </w:pPr>
      <w:rPr>
        <w:rFonts w:ascii="Symbol" w:hAnsi="Symbol" w:hint="default"/>
      </w:rPr>
    </w:lvl>
    <w:lvl w:ilvl="7" w:tplc="514E9DA8">
      <w:start w:val="1"/>
      <w:numFmt w:val="bullet"/>
      <w:lvlText w:val="o"/>
      <w:lvlJc w:val="left"/>
      <w:pPr>
        <w:ind w:left="5760" w:hanging="360"/>
      </w:pPr>
      <w:rPr>
        <w:rFonts w:ascii="Courier New" w:hAnsi="Courier New" w:hint="default"/>
      </w:rPr>
    </w:lvl>
    <w:lvl w:ilvl="8" w:tplc="D58025A4">
      <w:start w:val="1"/>
      <w:numFmt w:val="bullet"/>
      <w:lvlText w:val=""/>
      <w:lvlJc w:val="left"/>
      <w:pPr>
        <w:ind w:left="6480" w:hanging="360"/>
      </w:pPr>
      <w:rPr>
        <w:rFonts w:ascii="Wingdings" w:hAnsi="Wingdings" w:hint="default"/>
      </w:rPr>
    </w:lvl>
  </w:abstractNum>
  <w:abstractNum w:abstractNumId="6" w15:restartNumberingAfterBreak="0">
    <w:nsid w:val="27D12A6C"/>
    <w:multiLevelType w:val="hybridMultilevel"/>
    <w:tmpl w:val="625A9D96"/>
    <w:lvl w:ilvl="0" w:tplc="22BE411E">
      <w:start w:val="1"/>
      <w:numFmt w:val="decimal"/>
      <w:lvlText w:val="%1."/>
      <w:lvlJc w:val="left"/>
      <w:pPr>
        <w:ind w:left="720" w:hanging="360"/>
      </w:pPr>
    </w:lvl>
    <w:lvl w:ilvl="1" w:tplc="8FEE0DF6">
      <w:start w:val="1"/>
      <w:numFmt w:val="lowerLetter"/>
      <w:lvlText w:val="%2."/>
      <w:lvlJc w:val="left"/>
      <w:pPr>
        <w:ind w:left="1440" w:hanging="360"/>
      </w:pPr>
    </w:lvl>
    <w:lvl w:ilvl="2" w:tplc="02E2D3DC">
      <w:start w:val="1"/>
      <w:numFmt w:val="lowerRoman"/>
      <w:lvlText w:val="%3."/>
      <w:lvlJc w:val="right"/>
      <w:pPr>
        <w:ind w:left="2160" w:hanging="180"/>
      </w:pPr>
    </w:lvl>
    <w:lvl w:ilvl="3" w:tplc="25D23FF8">
      <w:start w:val="1"/>
      <w:numFmt w:val="decimal"/>
      <w:lvlText w:val="%4."/>
      <w:lvlJc w:val="left"/>
      <w:pPr>
        <w:ind w:left="2880" w:hanging="360"/>
      </w:pPr>
    </w:lvl>
    <w:lvl w:ilvl="4" w:tplc="6DDC1D86">
      <w:start w:val="1"/>
      <w:numFmt w:val="lowerLetter"/>
      <w:lvlText w:val="%5."/>
      <w:lvlJc w:val="left"/>
      <w:pPr>
        <w:ind w:left="3600" w:hanging="360"/>
      </w:pPr>
    </w:lvl>
    <w:lvl w:ilvl="5" w:tplc="210048A0">
      <w:start w:val="1"/>
      <w:numFmt w:val="lowerRoman"/>
      <w:lvlText w:val="%6."/>
      <w:lvlJc w:val="right"/>
      <w:pPr>
        <w:ind w:left="4320" w:hanging="180"/>
      </w:pPr>
    </w:lvl>
    <w:lvl w:ilvl="6" w:tplc="AFC0D408">
      <w:start w:val="1"/>
      <w:numFmt w:val="decimal"/>
      <w:lvlText w:val="%7."/>
      <w:lvlJc w:val="left"/>
      <w:pPr>
        <w:ind w:left="5040" w:hanging="360"/>
      </w:pPr>
    </w:lvl>
    <w:lvl w:ilvl="7" w:tplc="CB725178">
      <w:start w:val="1"/>
      <w:numFmt w:val="lowerLetter"/>
      <w:lvlText w:val="%8."/>
      <w:lvlJc w:val="left"/>
      <w:pPr>
        <w:ind w:left="5760" w:hanging="360"/>
      </w:pPr>
    </w:lvl>
    <w:lvl w:ilvl="8" w:tplc="C016A1C4">
      <w:start w:val="1"/>
      <w:numFmt w:val="lowerRoman"/>
      <w:lvlText w:val="%9."/>
      <w:lvlJc w:val="right"/>
      <w:pPr>
        <w:ind w:left="6480" w:hanging="180"/>
      </w:pPr>
    </w:lvl>
  </w:abstractNum>
  <w:abstractNum w:abstractNumId="7" w15:restartNumberingAfterBreak="0">
    <w:nsid w:val="2A6B185A"/>
    <w:multiLevelType w:val="hybridMultilevel"/>
    <w:tmpl w:val="FA1E1E7C"/>
    <w:lvl w:ilvl="0" w:tplc="C6F88D56">
      <w:start w:val="1"/>
      <w:numFmt w:val="bullet"/>
      <w:lvlText w:val=""/>
      <w:lvlJc w:val="left"/>
      <w:pPr>
        <w:ind w:left="720" w:hanging="360"/>
      </w:pPr>
      <w:rPr>
        <w:rFonts w:ascii="Symbol" w:hAnsi="Symbol" w:hint="default"/>
      </w:rPr>
    </w:lvl>
    <w:lvl w:ilvl="1" w:tplc="8AECED22">
      <w:start w:val="1"/>
      <w:numFmt w:val="bullet"/>
      <w:lvlText w:val="o"/>
      <w:lvlJc w:val="left"/>
      <w:pPr>
        <w:ind w:left="1440" w:hanging="360"/>
      </w:pPr>
      <w:rPr>
        <w:rFonts w:ascii="Courier New" w:hAnsi="Courier New" w:hint="default"/>
      </w:rPr>
    </w:lvl>
    <w:lvl w:ilvl="2" w:tplc="EAB019C0">
      <w:start w:val="1"/>
      <w:numFmt w:val="bullet"/>
      <w:lvlText w:val=""/>
      <w:lvlJc w:val="left"/>
      <w:pPr>
        <w:ind w:left="2160" w:hanging="360"/>
      </w:pPr>
      <w:rPr>
        <w:rFonts w:ascii="Wingdings" w:hAnsi="Wingdings" w:hint="default"/>
      </w:rPr>
    </w:lvl>
    <w:lvl w:ilvl="3" w:tplc="1E588DFE">
      <w:start w:val="1"/>
      <w:numFmt w:val="bullet"/>
      <w:lvlText w:val=""/>
      <w:lvlJc w:val="left"/>
      <w:pPr>
        <w:ind w:left="2880" w:hanging="360"/>
      </w:pPr>
      <w:rPr>
        <w:rFonts w:ascii="Symbol" w:hAnsi="Symbol" w:hint="default"/>
      </w:rPr>
    </w:lvl>
    <w:lvl w:ilvl="4" w:tplc="D2AEECB4">
      <w:start w:val="1"/>
      <w:numFmt w:val="bullet"/>
      <w:lvlText w:val="o"/>
      <w:lvlJc w:val="left"/>
      <w:pPr>
        <w:ind w:left="3600" w:hanging="360"/>
      </w:pPr>
      <w:rPr>
        <w:rFonts w:ascii="Courier New" w:hAnsi="Courier New" w:hint="default"/>
      </w:rPr>
    </w:lvl>
    <w:lvl w:ilvl="5" w:tplc="76A4E2AE">
      <w:start w:val="1"/>
      <w:numFmt w:val="bullet"/>
      <w:lvlText w:val=""/>
      <w:lvlJc w:val="left"/>
      <w:pPr>
        <w:ind w:left="4320" w:hanging="360"/>
      </w:pPr>
      <w:rPr>
        <w:rFonts w:ascii="Wingdings" w:hAnsi="Wingdings" w:hint="default"/>
      </w:rPr>
    </w:lvl>
    <w:lvl w:ilvl="6" w:tplc="EFF2BEC0">
      <w:start w:val="1"/>
      <w:numFmt w:val="bullet"/>
      <w:lvlText w:val=""/>
      <w:lvlJc w:val="left"/>
      <w:pPr>
        <w:ind w:left="5040" w:hanging="360"/>
      </w:pPr>
      <w:rPr>
        <w:rFonts w:ascii="Symbol" w:hAnsi="Symbol" w:hint="default"/>
      </w:rPr>
    </w:lvl>
    <w:lvl w:ilvl="7" w:tplc="3E467050">
      <w:start w:val="1"/>
      <w:numFmt w:val="bullet"/>
      <w:lvlText w:val="o"/>
      <w:lvlJc w:val="left"/>
      <w:pPr>
        <w:ind w:left="5760" w:hanging="360"/>
      </w:pPr>
      <w:rPr>
        <w:rFonts w:ascii="Courier New" w:hAnsi="Courier New" w:hint="default"/>
      </w:rPr>
    </w:lvl>
    <w:lvl w:ilvl="8" w:tplc="0C08F60C">
      <w:start w:val="1"/>
      <w:numFmt w:val="bullet"/>
      <w:lvlText w:val=""/>
      <w:lvlJc w:val="left"/>
      <w:pPr>
        <w:ind w:left="6480" w:hanging="360"/>
      </w:pPr>
      <w:rPr>
        <w:rFonts w:ascii="Wingdings" w:hAnsi="Wingdings" w:hint="default"/>
      </w:rPr>
    </w:lvl>
  </w:abstractNum>
  <w:abstractNum w:abstractNumId="8" w15:restartNumberingAfterBreak="0">
    <w:nsid w:val="44CE5463"/>
    <w:multiLevelType w:val="hybridMultilevel"/>
    <w:tmpl w:val="4DAE8C0E"/>
    <w:lvl w:ilvl="0" w:tplc="9EEC4D6A">
      <w:start w:val="1"/>
      <w:numFmt w:val="decimal"/>
      <w:lvlText w:val="%1."/>
      <w:lvlJc w:val="left"/>
      <w:pPr>
        <w:ind w:left="720" w:hanging="360"/>
      </w:pPr>
    </w:lvl>
    <w:lvl w:ilvl="1" w:tplc="6EAA0B40">
      <w:start w:val="1"/>
      <w:numFmt w:val="lowerLetter"/>
      <w:lvlText w:val="%2."/>
      <w:lvlJc w:val="left"/>
      <w:pPr>
        <w:ind w:left="1440" w:hanging="360"/>
      </w:pPr>
    </w:lvl>
    <w:lvl w:ilvl="2" w:tplc="D612274A">
      <w:start w:val="1"/>
      <w:numFmt w:val="lowerRoman"/>
      <w:lvlText w:val="%3."/>
      <w:lvlJc w:val="right"/>
      <w:pPr>
        <w:ind w:left="2160" w:hanging="180"/>
      </w:pPr>
    </w:lvl>
    <w:lvl w:ilvl="3" w:tplc="9AF0616A">
      <w:start w:val="1"/>
      <w:numFmt w:val="decimal"/>
      <w:lvlText w:val="%4."/>
      <w:lvlJc w:val="left"/>
      <w:pPr>
        <w:ind w:left="2880" w:hanging="360"/>
      </w:pPr>
    </w:lvl>
    <w:lvl w:ilvl="4" w:tplc="7DACB33C">
      <w:start w:val="1"/>
      <w:numFmt w:val="lowerLetter"/>
      <w:lvlText w:val="%5."/>
      <w:lvlJc w:val="left"/>
      <w:pPr>
        <w:ind w:left="3600" w:hanging="360"/>
      </w:pPr>
    </w:lvl>
    <w:lvl w:ilvl="5" w:tplc="97E2271A">
      <w:start w:val="1"/>
      <w:numFmt w:val="lowerRoman"/>
      <w:lvlText w:val="%6."/>
      <w:lvlJc w:val="right"/>
      <w:pPr>
        <w:ind w:left="4320" w:hanging="180"/>
      </w:pPr>
    </w:lvl>
    <w:lvl w:ilvl="6" w:tplc="7170475C">
      <w:start w:val="1"/>
      <w:numFmt w:val="decimal"/>
      <w:lvlText w:val="%7."/>
      <w:lvlJc w:val="left"/>
      <w:pPr>
        <w:ind w:left="5040" w:hanging="360"/>
      </w:pPr>
    </w:lvl>
    <w:lvl w:ilvl="7" w:tplc="E22EBA66">
      <w:start w:val="1"/>
      <w:numFmt w:val="lowerLetter"/>
      <w:lvlText w:val="%8."/>
      <w:lvlJc w:val="left"/>
      <w:pPr>
        <w:ind w:left="5760" w:hanging="360"/>
      </w:pPr>
    </w:lvl>
    <w:lvl w:ilvl="8" w:tplc="4E101DFA">
      <w:start w:val="1"/>
      <w:numFmt w:val="lowerRoman"/>
      <w:lvlText w:val="%9."/>
      <w:lvlJc w:val="right"/>
      <w:pPr>
        <w:ind w:left="6480" w:hanging="180"/>
      </w:pPr>
    </w:lvl>
  </w:abstractNum>
  <w:abstractNum w:abstractNumId="9" w15:restartNumberingAfterBreak="0">
    <w:nsid w:val="5CFA1C3B"/>
    <w:multiLevelType w:val="hybridMultilevel"/>
    <w:tmpl w:val="574C8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4A084E"/>
    <w:multiLevelType w:val="hybridMultilevel"/>
    <w:tmpl w:val="748A2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D0CBF"/>
    <w:multiLevelType w:val="hybridMultilevel"/>
    <w:tmpl w:val="544E9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7C0290"/>
    <w:multiLevelType w:val="hybridMultilevel"/>
    <w:tmpl w:val="FEC68172"/>
    <w:lvl w:ilvl="0" w:tplc="709CA20C">
      <w:start w:val="1"/>
      <w:numFmt w:val="bullet"/>
      <w:lvlText w:val=""/>
      <w:lvlJc w:val="left"/>
      <w:pPr>
        <w:ind w:left="720" w:hanging="360"/>
      </w:pPr>
      <w:rPr>
        <w:rFonts w:ascii="Symbol" w:hAnsi="Symbol" w:hint="default"/>
      </w:rPr>
    </w:lvl>
    <w:lvl w:ilvl="1" w:tplc="1BBC6BCA">
      <w:start w:val="1"/>
      <w:numFmt w:val="bullet"/>
      <w:lvlText w:val="o"/>
      <w:lvlJc w:val="left"/>
      <w:pPr>
        <w:ind w:left="1440" w:hanging="360"/>
      </w:pPr>
      <w:rPr>
        <w:rFonts w:ascii="Courier New" w:hAnsi="Courier New" w:hint="default"/>
      </w:rPr>
    </w:lvl>
    <w:lvl w:ilvl="2" w:tplc="A46078AA">
      <w:start w:val="1"/>
      <w:numFmt w:val="bullet"/>
      <w:lvlText w:val=""/>
      <w:lvlJc w:val="left"/>
      <w:pPr>
        <w:ind w:left="2160" w:hanging="360"/>
      </w:pPr>
      <w:rPr>
        <w:rFonts w:ascii="Wingdings" w:hAnsi="Wingdings" w:hint="default"/>
      </w:rPr>
    </w:lvl>
    <w:lvl w:ilvl="3" w:tplc="7D4AF6AC">
      <w:start w:val="1"/>
      <w:numFmt w:val="bullet"/>
      <w:lvlText w:val=""/>
      <w:lvlJc w:val="left"/>
      <w:pPr>
        <w:ind w:left="2880" w:hanging="360"/>
      </w:pPr>
      <w:rPr>
        <w:rFonts w:ascii="Symbol" w:hAnsi="Symbol" w:hint="default"/>
      </w:rPr>
    </w:lvl>
    <w:lvl w:ilvl="4" w:tplc="AD1A4C08">
      <w:start w:val="1"/>
      <w:numFmt w:val="bullet"/>
      <w:lvlText w:val="o"/>
      <w:lvlJc w:val="left"/>
      <w:pPr>
        <w:ind w:left="3600" w:hanging="360"/>
      </w:pPr>
      <w:rPr>
        <w:rFonts w:ascii="Courier New" w:hAnsi="Courier New" w:hint="default"/>
      </w:rPr>
    </w:lvl>
    <w:lvl w:ilvl="5" w:tplc="2632A28A">
      <w:start w:val="1"/>
      <w:numFmt w:val="bullet"/>
      <w:lvlText w:val=""/>
      <w:lvlJc w:val="left"/>
      <w:pPr>
        <w:ind w:left="4320" w:hanging="360"/>
      </w:pPr>
      <w:rPr>
        <w:rFonts w:ascii="Wingdings" w:hAnsi="Wingdings" w:hint="default"/>
      </w:rPr>
    </w:lvl>
    <w:lvl w:ilvl="6" w:tplc="F684BCB8">
      <w:start w:val="1"/>
      <w:numFmt w:val="bullet"/>
      <w:lvlText w:val=""/>
      <w:lvlJc w:val="left"/>
      <w:pPr>
        <w:ind w:left="5040" w:hanging="360"/>
      </w:pPr>
      <w:rPr>
        <w:rFonts w:ascii="Symbol" w:hAnsi="Symbol" w:hint="default"/>
      </w:rPr>
    </w:lvl>
    <w:lvl w:ilvl="7" w:tplc="6120847C">
      <w:start w:val="1"/>
      <w:numFmt w:val="bullet"/>
      <w:lvlText w:val="o"/>
      <w:lvlJc w:val="left"/>
      <w:pPr>
        <w:ind w:left="5760" w:hanging="360"/>
      </w:pPr>
      <w:rPr>
        <w:rFonts w:ascii="Courier New" w:hAnsi="Courier New" w:hint="default"/>
      </w:rPr>
    </w:lvl>
    <w:lvl w:ilvl="8" w:tplc="148ECD86">
      <w:start w:val="1"/>
      <w:numFmt w:val="bullet"/>
      <w:lvlText w:val=""/>
      <w:lvlJc w:val="left"/>
      <w:pPr>
        <w:ind w:left="6480" w:hanging="360"/>
      </w:pPr>
      <w:rPr>
        <w:rFonts w:ascii="Wingdings" w:hAnsi="Wingdings" w:hint="default"/>
      </w:rPr>
    </w:lvl>
  </w:abstractNum>
  <w:abstractNum w:abstractNumId="13" w15:restartNumberingAfterBreak="0">
    <w:nsid w:val="72D518C9"/>
    <w:multiLevelType w:val="hybridMultilevel"/>
    <w:tmpl w:val="02442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890955">
    <w:abstractNumId w:val="8"/>
  </w:num>
  <w:num w:numId="2" w16cid:durableId="334191539">
    <w:abstractNumId w:val="4"/>
  </w:num>
  <w:num w:numId="3" w16cid:durableId="399445346">
    <w:abstractNumId w:val="6"/>
  </w:num>
  <w:num w:numId="4" w16cid:durableId="1641691581">
    <w:abstractNumId w:val="12"/>
  </w:num>
  <w:num w:numId="5" w16cid:durableId="370807329">
    <w:abstractNumId w:val="2"/>
  </w:num>
  <w:num w:numId="6" w16cid:durableId="442727396">
    <w:abstractNumId w:val="7"/>
  </w:num>
  <w:num w:numId="7" w16cid:durableId="291133344">
    <w:abstractNumId w:val="5"/>
  </w:num>
  <w:num w:numId="8" w16cid:durableId="1260211290">
    <w:abstractNumId w:val="3"/>
  </w:num>
  <w:num w:numId="9" w16cid:durableId="1318723158">
    <w:abstractNumId w:val="13"/>
  </w:num>
  <w:num w:numId="10" w16cid:durableId="1150439359">
    <w:abstractNumId w:val="0"/>
  </w:num>
  <w:num w:numId="11" w16cid:durableId="186918015">
    <w:abstractNumId w:val="9"/>
  </w:num>
  <w:num w:numId="12" w16cid:durableId="956762004">
    <w:abstractNumId w:val="10"/>
  </w:num>
  <w:num w:numId="13" w16cid:durableId="531848971">
    <w:abstractNumId w:val="11"/>
  </w:num>
  <w:num w:numId="14" w16cid:durableId="1085154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5B7"/>
    <w:rsid w:val="000E5F43"/>
    <w:rsid w:val="00101435"/>
    <w:rsid w:val="001257A7"/>
    <w:rsid w:val="0017D985"/>
    <w:rsid w:val="001A2ED9"/>
    <w:rsid w:val="001B6EB9"/>
    <w:rsid w:val="001F908A"/>
    <w:rsid w:val="00210B61"/>
    <w:rsid w:val="0035ACB4"/>
    <w:rsid w:val="003C4483"/>
    <w:rsid w:val="003F06D3"/>
    <w:rsid w:val="00421D88"/>
    <w:rsid w:val="0043128A"/>
    <w:rsid w:val="00494F66"/>
    <w:rsid w:val="005645B7"/>
    <w:rsid w:val="005E0961"/>
    <w:rsid w:val="00654029"/>
    <w:rsid w:val="00675B48"/>
    <w:rsid w:val="00752E40"/>
    <w:rsid w:val="008066B7"/>
    <w:rsid w:val="00810027"/>
    <w:rsid w:val="008B6F09"/>
    <w:rsid w:val="008C091C"/>
    <w:rsid w:val="009308D4"/>
    <w:rsid w:val="009454DE"/>
    <w:rsid w:val="00A025F9"/>
    <w:rsid w:val="00A20C91"/>
    <w:rsid w:val="00A75BF2"/>
    <w:rsid w:val="00A910A3"/>
    <w:rsid w:val="00A94598"/>
    <w:rsid w:val="00ACBEFC"/>
    <w:rsid w:val="00B24373"/>
    <w:rsid w:val="00C32854"/>
    <w:rsid w:val="00CE41FD"/>
    <w:rsid w:val="00D00891"/>
    <w:rsid w:val="00D66D80"/>
    <w:rsid w:val="00DA7217"/>
    <w:rsid w:val="00E2D0E4"/>
    <w:rsid w:val="00E3479D"/>
    <w:rsid w:val="00E9452A"/>
    <w:rsid w:val="00F42624"/>
    <w:rsid w:val="00FF54B7"/>
    <w:rsid w:val="014CC9CD"/>
    <w:rsid w:val="01535592"/>
    <w:rsid w:val="015B29ED"/>
    <w:rsid w:val="0166E1C0"/>
    <w:rsid w:val="018FCBFC"/>
    <w:rsid w:val="01A77515"/>
    <w:rsid w:val="01AE9852"/>
    <w:rsid w:val="01C0564B"/>
    <w:rsid w:val="01C82CAB"/>
    <w:rsid w:val="01CCC2D6"/>
    <w:rsid w:val="01D270FC"/>
    <w:rsid w:val="01DBCFD1"/>
    <w:rsid w:val="01F82051"/>
    <w:rsid w:val="0233BB1C"/>
    <w:rsid w:val="0236C7BF"/>
    <w:rsid w:val="02409BD1"/>
    <w:rsid w:val="02704A28"/>
    <w:rsid w:val="02E7CE3F"/>
    <w:rsid w:val="02E89A2E"/>
    <w:rsid w:val="0352A214"/>
    <w:rsid w:val="03530F7B"/>
    <w:rsid w:val="035C1F95"/>
    <w:rsid w:val="036C7725"/>
    <w:rsid w:val="04260704"/>
    <w:rsid w:val="04739FD9"/>
    <w:rsid w:val="048EAE7F"/>
    <w:rsid w:val="0493A60E"/>
    <w:rsid w:val="04A83BAA"/>
    <w:rsid w:val="04DF9B41"/>
    <w:rsid w:val="04E503D3"/>
    <w:rsid w:val="0500EF51"/>
    <w:rsid w:val="051EB478"/>
    <w:rsid w:val="05392C21"/>
    <w:rsid w:val="0547AE26"/>
    <w:rsid w:val="054A54A4"/>
    <w:rsid w:val="05596267"/>
    <w:rsid w:val="057CB823"/>
    <w:rsid w:val="057E6A29"/>
    <w:rsid w:val="0585B071"/>
    <w:rsid w:val="05C3ABBD"/>
    <w:rsid w:val="05E56DEC"/>
    <w:rsid w:val="05E7F645"/>
    <w:rsid w:val="05FB11CC"/>
    <w:rsid w:val="06203AF0"/>
    <w:rsid w:val="063A52E3"/>
    <w:rsid w:val="068C1754"/>
    <w:rsid w:val="06DA4703"/>
    <w:rsid w:val="06E5DCEB"/>
    <w:rsid w:val="07244F86"/>
    <w:rsid w:val="07501B4A"/>
    <w:rsid w:val="0757DE39"/>
    <w:rsid w:val="07F55911"/>
    <w:rsid w:val="07FB9142"/>
    <w:rsid w:val="0805787F"/>
    <w:rsid w:val="081ED139"/>
    <w:rsid w:val="08235526"/>
    <w:rsid w:val="084A40A6"/>
    <w:rsid w:val="0881AD4C"/>
    <w:rsid w:val="0881F566"/>
    <w:rsid w:val="08A06EC2"/>
    <w:rsid w:val="08B20C38"/>
    <w:rsid w:val="08DF8BAC"/>
    <w:rsid w:val="08F3AE9A"/>
    <w:rsid w:val="095F4B66"/>
    <w:rsid w:val="09655EA1"/>
    <w:rsid w:val="0966256A"/>
    <w:rsid w:val="09902203"/>
    <w:rsid w:val="09A82ADD"/>
    <w:rsid w:val="09C34488"/>
    <w:rsid w:val="09F24DA8"/>
    <w:rsid w:val="0A1D7DAD"/>
    <w:rsid w:val="0A22711F"/>
    <w:rsid w:val="0A5BF048"/>
    <w:rsid w:val="0A69EDFA"/>
    <w:rsid w:val="0AF3AC13"/>
    <w:rsid w:val="0AFB1BC7"/>
    <w:rsid w:val="0B2CF9D3"/>
    <w:rsid w:val="0B76FC77"/>
    <w:rsid w:val="0B9DAB44"/>
    <w:rsid w:val="0BD00F2C"/>
    <w:rsid w:val="0BEC7B44"/>
    <w:rsid w:val="0BED6A97"/>
    <w:rsid w:val="0BF75F29"/>
    <w:rsid w:val="0C0BBB39"/>
    <w:rsid w:val="0C2FD0AB"/>
    <w:rsid w:val="0C30152E"/>
    <w:rsid w:val="0C3CDDC7"/>
    <w:rsid w:val="0CAAAE7E"/>
    <w:rsid w:val="0CCF394E"/>
    <w:rsid w:val="0CECD4E1"/>
    <w:rsid w:val="0D333FDD"/>
    <w:rsid w:val="0D884BA5"/>
    <w:rsid w:val="0D93910A"/>
    <w:rsid w:val="0D9D575A"/>
    <w:rsid w:val="0D9ED3B7"/>
    <w:rsid w:val="0DE129C7"/>
    <w:rsid w:val="0DEEB54C"/>
    <w:rsid w:val="0DEFBEE7"/>
    <w:rsid w:val="0DF11B0A"/>
    <w:rsid w:val="0E07A11A"/>
    <w:rsid w:val="0E148473"/>
    <w:rsid w:val="0EA3F8C2"/>
    <w:rsid w:val="0EDEE728"/>
    <w:rsid w:val="0F021AD9"/>
    <w:rsid w:val="0F536E1A"/>
    <w:rsid w:val="0F5C0C96"/>
    <w:rsid w:val="0F7CFA28"/>
    <w:rsid w:val="0F8A85AD"/>
    <w:rsid w:val="0F91CFE5"/>
    <w:rsid w:val="0F9628B9"/>
    <w:rsid w:val="0F9904D4"/>
    <w:rsid w:val="0FE87645"/>
    <w:rsid w:val="0FF076B3"/>
    <w:rsid w:val="100097AB"/>
    <w:rsid w:val="10411083"/>
    <w:rsid w:val="105290FD"/>
    <w:rsid w:val="1080D856"/>
    <w:rsid w:val="108CBF31"/>
    <w:rsid w:val="10A4CA34"/>
    <w:rsid w:val="10D23B04"/>
    <w:rsid w:val="10FBCB72"/>
    <w:rsid w:val="1104B085"/>
    <w:rsid w:val="110CE788"/>
    <w:rsid w:val="11240179"/>
    <w:rsid w:val="1126BC8D"/>
    <w:rsid w:val="1134D535"/>
    <w:rsid w:val="1148F94B"/>
    <w:rsid w:val="116D4710"/>
    <w:rsid w:val="117C4476"/>
    <w:rsid w:val="119589D0"/>
    <w:rsid w:val="119D7140"/>
    <w:rsid w:val="11AC8B22"/>
    <w:rsid w:val="11C049DE"/>
    <w:rsid w:val="11FE3A76"/>
    <w:rsid w:val="12154EE8"/>
    <w:rsid w:val="1255A3C5"/>
    <w:rsid w:val="12771E63"/>
    <w:rsid w:val="12A8A6D3"/>
    <w:rsid w:val="12AB3D31"/>
    <w:rsid w:val="12C28CEE"/>
    <w:rsid w:val="132D18C2"/>
    <w:rsid w:val="13315A31"/>
    <w:rsid w:val="1360E88E"/>
    <w:rsid w:val="13935C04"/>
    <w:rsid w:val="13959A07"/>
    <w:rsid w:val="1395ECA0"/>
    <w:rsid w:val="13BA2F08"/>
    <w:rsid w:val="13BF58F7"/>
    <w:rsid w:val="13DEA4BD"/>
    <w:rsid w:val="13F78D29"/>
    <w:rsid w:val="14085472"/>
    <w:rsid w:val="1427A133"/>
    <w:rsid w:val="14447734"/>
    <w:rsid w:val="14B0DBFF"/>
    <w:rsid w:val="14D7ABD2"/>
    <w:rsid w:val="14DF45EE"/>
    <w:rsid w:val="15263E26"/>
    <w:rsid w:val="15750D3E"/>
    <w:rsid w:val="1577BA33"/>
    <w:rsid w:val="158B1810"/>
    <w:rsid w:val="1592E434"/>
    <w:rsid w:val="1598AAC5"/>
    <w:rsid w:val="15997522"/>
    <w:rsid w:val="15ADADCE"/>
    <w:rsid w:val="15E04795"/>
    <w:rsid w:val="15F9C731"/>
    <w:rsid w:val="165F21CE"/>
    <w:rsid w:val="1672F590"/>
    <w:rsid w:val="16766ED1"/>
    <w:rsid w:val="169F7341"/>
    <w:rsid w:val="16AA0014"/>
    <w:rsid w:val="16B01891"/>
    <w:rsid w:val="16B4126C"/>
    <w:rsid w:val="16BF73DD"/>
    <w:rsid w:val="16D0D0B0"/>
    <w:rsid w:val="16F6DA72"/>
    <w:rsid w:val="1703E044"/>
    <w:rsid w:val="1719E054"/>
    <w:rsid w:val="1725E894"/>
    <w:rsid w:val="172C2724"/>
    <w:rsid w:val="173A11D0"/>
    <w:rsid w:val="1762A79B"/>
    <w:rsid w:val="177B3BFE"/>
    <w:rsid w:val="17B2C0F4"/>
    <w:rsid w:val="180E851E"/>
    <w:rsid w:val="183AB5E5"/>
    <w:rsid w:val="18469C21"/>
    <w:rsid w:val="18557F7F"/>
    <w:rsid w:val="1874668A"/>
    <w:rsid w:val="187B2B82"/>
    <w:rsid w:val="1893A6F2"/>
    <w:rsid w:val="18AF29AC"/>
    <w:rsid w:val="18B367F1"/>
    <w:rsid w:val="18C31757"/>
    <w:rsid w:val="18C707D6"/>
    <w:rsid w:val="18CD4DF8"/>
    <w:rsid w:val="18E1E9F9"/>
    <w:rsid w:val="18E54E90"/>
    <w:rsid w:val="1931CE72"/>
    <w:rsid w:val="194DB064"/>
    <w:rsid w:val="19606404"/>
    <w:rsid w:val="1968E9B2"/>
    <w:rsid w:val="19A34543"/>
    <w:rsid w:val="1A14EF12"/>
    <w:rsid w:val="1A1BEF82"/>
    <w:rsid w:val="1A2F7753"/>
    <w:rsid w:val="1A415D56"/>
    <w:rsid w:val="1A82FC7A"/>
    <w:rsid w:val="1A9D784B"/>
    <w:rsid w:val="1AFE7A6C"/>
    <w:rsid w:val="1B10FA5E"/>
    <w:rsid w:val="1B142956"/>
    <w:rsid w:val="1B1D91EA"/>
    <w:rsid w:val="1B2B2D22"/>
    <w:rsid w:val="1B34B26D"/>
    <w:rsid w:val="1B3B9735"/>
    <w:rsid w:val="1B5C15B1"/>
    <w:rsid w:val="1B7A04A4"/>
    <w:rsid w:val="1B87838F"/>
    <w:rsid w:val="1B9A4765"/>
    <w:rsid w:val="1BCB47B4"/>
    <w:rsid w:val="1BFAB819"/>
    <w:rsid w:val="1C334118"/>
    <w:rsid w:val="1C3CBDB2"/>
    <w:rsid w:val="1C3F15BB"/>
    <w:rsid w:val="1C50F979"/>
    <w:rsid w:val="1CBB10B3"/>
    <w:rsid w:val="1CEB260F"/>
    <w:rsid w:val="1CFEA815"/>
    <w:rsid w:val="1CFED8B2"/>
    <w:rsid w:val="1D00E4E7"/>
    <w:rsid w:val="1D3CCEE6"/>
    <w:rsid w:val="1D463301"/>
    <w:rsid w:val="1D47FFBA"/>
    <w:rsid w:val="1D9A52C7"/>
    <w:rsid w:val="1DCB645B"/>
    <w:rsid w:val="1E2F0E1C"/>
    <w:rsid w:val="1E350F35"/>
    <w:rsid w:val="1E51A1BF"/>
    <w:rsid w:val="1E7337F7"/>
    <w:rsid w:val="1E740CD8"/>
    <w:rsid w:val="1E7A89B6"/>
    <w:rsid w:val="1E844F6A"/>
    <w:rsid w:val="1EB1A566"/>
    <w:rsid w:val="1ED1E827"/>
    <w:rsid w:val="1EDD8A85"/>
    <w:rsid w:val="1EEF60A5"/>
    <w:rsid w:val="1F1F1D9D"/>
    <w:rsid w:val="1F2C8BF9"/>
    <w:rsid w:val="1F55B360"/>
    <w:rsid w:val="1FB5CEAB"/>
    <w:rsid w:val="1FD15212"/>
    <w:rsid w:val="20006EA6"/>
    <w:rsid w:val="200F0858"/>
    <w:rsid w:val="201A2F44"/>
    <w:rsid w:val="203B5BFD"/>
    <w:rsid w:val="203F96AE"/>
    <w:rsid w:val="20405160"/>
    <w:rsid w:val="206904C4"/>
    <w:rsid w:val="2072E0CD"/>
    <w:rsid w:val="208551D6"/>
    <w:rsid w:val="21130C48"/>
    <w:rsid w:val="2171E7A9"/>
    <w:rsid w:val="21B199AD"/>
    <w:rsid w:val="21BBF02C"/>
    <w:rsid w:val="21DAD62B"/>
    <w:rsid w:val="21EEA3F8"/>
    <w:rsid w:val="21F6C513"/>
    <w:rsid w:val="221B70DD"/>
    <w:rsid w:val="221E0E25"/>
    <w:rsid w:val="225C797C"/>
    <w:rsid w:val="2281A598"/>
    <w:rsid w:val="2284CDEB"/>
    <w:rsid w:val="22B671DF"/>
    <w:rsid w:val="22B7D209"/>
    <w:rsid w:val="22BBF4B9"/>
    <w:rsid w:val="22CEFEEA"/>
    <w:rsid w:val="22EF8EB7"/>
    <w:rsid w:val="230DB80A"/>
    <w:rsid w:val="231A103C"/>
    <w:rsid w:val="232512E2"/>
    <w:rsid w:val="234D6A0E"/>
    <w:rsid w:val="23766708"/>
    <w:rsid w:val="2384D6DB"/>
    <w:rsid w:val="238C30ED"/>
    <w:rsid w:val="23B2E4CF"/>
    <w:rsid w:val="23E80A5C"/>
    <w:rsid w:val="2405C9FE"/>
    <w:rsid w:val="240BD1AB"/>
    <w:rsid w:val="2410B663"/>
    <w:rsid w:val="243328D6"/>
    <w:rsid w:val="2439FA57"/>
    <w:rsid w:val="243FCB83"/>
    <w:rsid w:val="244CAFA2"/>
    <w:rsid w:val="2474E362"/>
    <w:rsid w:val="24847F14"/>
    <w:rsid w:val="24AFF810"/>
    <w:rsid w:val="24B5E09D"/>
    <w:rsid w:val="24C074B0"/>
    <w:rsid w:val="24D49794"/>
    <w:rsid w:val="24E182A9"/>
    <w:rsid w:val="24E60E85"/>
    <w:rsid w:val="24E847AF"/>
    <w:rsid w:val="24EA015F"/>
    <w:rsid w:val="24F8259A"/>
    <w:rsid w:val="2535B6E4"/>
    <w:rsid w:val="254EB530"/>
    <w:rsid w:val="2551D669"/>
    <w:rsid w:val="2553119F"/>
    <w:rsid w:val="256376D3"/>
    <w:rsid w:val="25748361"/>
    <w:rsid w:val="25A4A398"/>
    <w:rsid w:val="25C49A79"/>
    <w:rsid w:val="260152C2"/>
    <w:rsid w:val="262660B8"/>
    <w:rsid w:val="26575DEC"/>
    <w:rsid w:val="26621ABD"/>
    <w:rsid w:val="2693F5FB"/>
    <w:rsid w:val="26A35BDF"/>
    <w:rsid w:val="26A61C4B"/>
    <w:rsid w:val="26C7D1F4"/>
    <w:rsid w:val="26D1170B"/>
    <w:rsid w:val="26EAC380"/>
    <w:rsid w:val="27301815"/>
    <w:rsid w:val="275AA3C0"/>
    <w:rsid w:val="27627488"/>
    <w:rsid w:val="276D8ED4"/>
    <w:rsid w:val="276FF157"/>
    <w:rsid w:val="277C914F"/>
    <w:rsid w:val="27AC8424"/>
    <w:rsid w:val="27B10B7E"/>
    <w:rsid w:val="27B67188"/>
    <w:rsid w:val="27C18F10"/>
    <w:rsid w:val="27E13C1E"/>
    <w:rsid w:val="2806B295"/>
    <w:rsid w:val="2820DB31"/>
    <w:rsid w:val="282D5DE4"/>
    <w:rsid w:val="28351E32"/>
    <w:rsid w:val="285AEE4C"/>
    <w:rsid w:val="28664674"/>
    <w:rsid w:val="286F4817"/>
    <w:rsid w:val="28AC2519"/>
    <w:rsid w:val="28BBF810"/>
    <w:rsid w:val="28CD46F4"/>
    <w:rsid w:val="28D93B21"/>
    <w:rsid w:val="29110EF3"/>
    <w:rsid w:val="29133CA6"/>
    <w:rsid w:val="29138129"/>
    <w:rsid w:val="291F0852"/>
    <w:rsid w:val="292049C2"/>
    <w:rsid w:val="2931BB1A"/>
    <w:rsid w:val="2956742F"/>
    <w:rsid w:val="2958124C"/>
    <w:rsid w:val="29B42E9B"/>
    <w:rsid w:val="29D98B1F"/>
    <w:rsid w:val="29E23E43"/>
    <w:rsid w:val="29EF354D"/>
    <w:rsid w:val="29FCD6D3"/>
    <w:rsid w:val="2A17A2B5"/>
    <w:rsid w:val="2A66AB62"/>
    <w:rsid w:val="2AD769C9"/>
    <w:rsid w:val="2B1A8D57"/>
    <w:rsid w:val="2B280FAF"/>
    <w:rsid w:val="2B40D3AE"/>
    <w:rsid w:val="2BA9E3E3"/>
    <w:rsid w:val="2BAC4FA3"/>
    <w:rsid w:val="2BE099F1"/>
    <w:rsid w:val="2BF6D655"/>
    <w:rsid w:val="2C027BC3"/>
    <w:rsid w:val="2C090788"/>
    <w:rsid w:val="2C278F29"/>
    <w:rsid w:val="2C760C48"/>
    <w:rsid w:val="2C7DDEA1"/>
    <w:rsid w:val="2C7F0085"/>
    <w:rsid w:val="2C8D1A23"/>
    <w:rsid w:val="2CD44338"/>
    <w:rsid w:val="2CD528D3"/>
    <w:rsid w:val="2CDDDCBC"/>
    <w:rsid w:val="2CEBA81F"/>
    <w:rsid w:val="2CFB68BA"/>
    <w:rsid w:val="2CFBD41F"/>
    <w:rsid w:val="2D29796D"/>
    <w:rsid w:val="2D36F758"/>
    <w:rsid w:val="2D548862"/>
    <w:rsid w:val="2D59C715"/>
    <w:rsid w:val="2D9E4C24"/>
    <w:rsid w:val="2DA0B817"/>
    <w:rsid w:val="2DB5988D"/>
    <w:rsid w:val="2DBFB81B"/>
    <w:rsid w:val="2DD7401A"/>
    <w:rsid w:val="2DDA698B"/>
    <w:rsid w:val="2DEFBAD2"/>
    <w:rsid w:val="2E23B32E"/>
    <w:rsid w:val="2E510250"/>
    <w:rsid w:val="2E522E19"/>
    <w:rsid w:val="2E5FB071"/>
    <w:rsid w:val="2E6E5ECD"/>
    <w:rsid w:val="2E8B1127"/>
    <w:rsid w:val="2EAE6DC4"/>
    <w:rsid w:val="2EE20596"/>
    <w:rsid w:val="2F36B2EF"/>
    <w:rsid w:val="2F3A1D0B"/>
    <w:rsid w:val="2F8474D3"/>
    <w:rsid w:val="2F9049FC"/>
    <w:rsid w:val="2F93D97E"/>
    <w:rsid w:val="2FA69C05"/>
    <w:rsid w:val="2FBD0A93"/>
    <w:rsid w:val="2FD312B5"/>
    <w:rsid w:val="2FD5CACB"/>
    <w:rsid w:val="2FEDFE7A"/>
    <w:rsid w:val="2FFB80D2"/>
    <w:rsid w:val="303E311B"/>
    <w:rsid w:val="3077A484"/>
    <w:rsid w:val="3095C446"/>
    <w:rsid w:val="30DC78AB"/>
    <w:rsid w:val="31213CB0"/>
    <w:rsid w:val="312A54F0"/>
    <w:rsid w:val="312B5BA7"/>
    <w:rsid w:val="313EC567"/>
    <w:rsid w:val="31442B71"/>
    <w:rsid w:val="315A9B42"/>
    <w:rsid w:val="31ABAC5E"/>
    <w:rsid w:val="31B88A19"/>
    <w:rsid w:val="31BB17CD"/>
    <w:rsid w:val="31C8EA09"/>
    <w:rsid w:val="3219A658"/>
    <w:rsid w:val="322D3838"/>
    <w:rsid w:val="322F6764"/>
    <w:rsid w:val="323194A7"/>
    <w:rsid w:val="326BD96E"/>
    <w:rsid w:val="329292D5"/>
    <w:rsid w:val="32AA0398"/>
    <w:rsid w:val="32C7EABE"/>
    <w:rsid w:val="32E78373"/>
    <w:rsid w:val="32EC4DFE"/>
    <w:rsid w:val="33183465"/>
    <w:rsid w:val="334B7DFD"/>
    <w:rsid w:val="335620B8"/>
    <w:rsid w:val="338555A0"/>
    <w:rsid w:val="339E9B96"/>
    <w:rsid w:val="33F113A9"/>
    <w:rsid w:val="344B25F3"/>
    <w:rsid w:val="3462FC69"/>
    <w:rsid w:val="348A34A9"/>
    <w:rsid w:val="34B89098"/>
    <w:rsid w:val="34E34D20"/>
    <w:rsid w:val="356CC680"/>
    <w:rsid w:val="357A16B7"/>
    <w:rsid w:val="36153A6D"/>
    <w:rsid w:val="361F2435"/>
    <w:rsid w:val="363C36D6"/>
    <w:rsid w:val="3661FD21"/>
    <w:rsid w:val="36A3FF5A"/>
    <w:rsid w:val="36B3960D"/>
    <w:rsid w:val="36C2317E"/>
    <w:rsid w:val="370896E1"/>
    <w:rsid w:val="371A9A80"/>
    <w:rsid w:val="373151F6"/>
    <w:rsid w:val="3784735B"/>
    <w:rsid w:val="379AF170"/>
    <w:rsid w:val="37DAECB2"/>
    <w:rsid w:val="37E74E54"/>
    <w:rsid w:val="3800FDE5"/>
    <w:rsid w:val="3858C6C3"/>
    <w:rsid w:val="389C79BC"/>
    <w:rsid w:val="38AC835E"/>
    <w:rsid w:val="38B07694"/>
    <w:rsid w:val="38BB9EE3"/>
    <w:rsid w:val="38D58D50"/>
    <w:rsid w:val="38DDC58F"/>
    <w:rsid w:val="3915F1CA"/>
    <w:rsid w:val="392B5719"/>
    <w:rsid w:val="3932191C"/>
    <w:rsid w:val="3937E199"/>
    <w:rsid w:val="39691218"/>
    <w:rsid w:val="39840D7B"/>
    <w:rsid w:val="39999DE3"/>
    <w:rsid w:val="399CCE46"/>
    <w:rsid w:val="399CE379"/>
    <w:rsid w:val="39B1D460"/>
    <w:rsid w:val="39B6BE43"/>
    <w:rsid w:val="39E51361"/>
    <w:rsid w:val="3A14796F"/>
    <w:rsid w:val="3A203AE1"/>
    <w:rsid w:val="3A30F1DA"/>
    <w:rsid w:val="3A4FE128"/>
    <w:rsid w:val="3A7F3B1F"/>
    <w:rsid w:val="3AC5C806"/>
    <w:rsid w:val="3ADA2B73"/>
    <w:rsid w:val="3AE02B91"/>
    <w:rsid w:val="3AEB0DB7"/>
    <w:rsid w:val="3B6D2889"/>
    <w:rsid w:val="3B73C86F"/>
    <w:rsid w:val="3B948361"/>
    <w:rsid w:val="3B99FA3B"/>
    <w:rsid w:val="3BB5EFF5"/>
    <w:rsid w:val="3BBC0B42"/>
    <w:rsid w:val="3BFE4F84"/>
    <w:rsid w:val="3C25E474"/>
    <w:rsid w:val="3C62F7DB"/>
    <w:rsid w:val="3C842A78"/>
    <w:rsid w:val="3C860E79"/>
    <w:rsid w:val="3C8FA1E2"/>
    <w:rsid w:val="3C939017"/>
    <w:rsid w:val="3CAE6EEB"/>
    <w:rsid w:val="3CF236EA"/>
    <w:rsid w:val="3D00BD12"/>
    <w:rsid w:val="3D1CE344"/>
    <w:rsid w:val="3E27BA8E"/>
    <w:rsid w:val="3E2A75F7"/>
    <w:rsid w:val="3E2D1BDB"/>
    <w:rsid w:val="3E45EFA9"/>
    <w:rsid w:val="3E7207FD"/>
    <w:rsid w:val="3E869996"/>
    <w:rsid w:val="3E8A2F66"/>
    <w:rsid w:val="3ECAC97C"/>
    <w:rsid w:val="3ED19AFD"/>
    <w:rsid w:val="3EDC9133"/>
    <w:rsid w:val="3EDD17EF"/>
    <w:rsid w:val="3EEB3510"/>
    <w:rsid w:val="3F23524B"/>
    <w:rsid w:val="3F415BE2"/>
    <w:rsid w:val="3F46BB58"/>
    <w:rsid w:val="3F71995E"/>
    <w:rsid w:val="3F7DAF2B"/>
    <w:rsid w:val="3FB85481"/>
    <w:rsid w:val="3FC75849"/>
    <w:rsid w:val="400BFF0E"/>
    <w:rsid w:val="402ADAE5"/>
    <w:rsid w:val="402DED4D"/>
    <w:rsid w:val="404591DA"/>
    <w:rsid w:val="40635FC4"/>
    <w:rsid w:val="407CE244"/>
    <w:rsid w:val="409769EB"/>
    <w:rsid w:val="40AF7927"/>
    <w:rsid w:val="40B4C6A8"/>
    <w:rsid w:val="40F3941B"/>
    <w:rsid w:val="413998DB"/>
    <w:rsid w:val="416B8E8C"/>
    <w:rsid w:val="419C175C"/>
    <w:rsid w:val="41A7E02B"/>
    <w:rsid w:val="41C9BDAE"/>
    <w:rsid w:val="41D7774B"/>
    <w:rsid w:val="41EAC6DC"/>
    <w:rsid w:val="41FFBD40"/>
    <w:rsid w:val="42026A3E"/>
    <w:rsid w:val="42420E24"/>
    <w:rsid w:val="42AE3EA5"/>
    <w:rsid w:val="42C06944"/>
    <w:rsid w:val="42CCD78C"/>
    <w:rsid w:val="42F0F598"/>
    <w:rsid w:val="43298F21"/>
    <w:rsid w:val="43658E0F"/>
    <w:rsid w:val="436FFE96"/>
    <w:rsid w:val="4370DBC7"/>
    <w:rsid w:val="43AADD4C"/>
    <w:rsid w:val="43AB21CF"/>
    <w:rsid w:val="43C1A690"/>
    <w:rsid w:val="43CCF0F4"/>
    <w:rsid w:val="43CF0AAD"/>
    <w:rsid w:val="43D58ADF"/>
    <w:rsid w:val="43E3EB45"/>
    <w:rsid w:val="443E0FBB"/>
    <w:rsid w:val="444A0F06"/>
    <w:rsid w:val="44564DAB"/>
    <w:rsid w:val="4460CEEB"/>
    <w:rsid w:val="447CDBB2"/>
    <w:rsid w:val="44E52949"/>
    <w:rsid w:val="44F5955E"/>
    <w:rsid w:val="44FC9BF5"/>
    <w:rsid w:val="4504EA48"/>
    <w:rsid w:val="4536D0E7"/>
    <w:rsid w:val="453A0B00"/>
    <w:rsid w:val="455C3668"/>
    <w:rsid w:val="4571EEC5"/>
    <w:rsid w:val="45E914B0"/>
    <w:rsid w:val="461D9CD0"/>
    <w:rsid w:val="4633F1D1"/>
    <w:rsid w:val="465B5F13"/>
    <w:rsid w:val="46601496"/>
    <w:rsid w:val="46631D9F"/>
    <w:rsid w:val="46740A7C"/>
    <w:rsid w:val="467B514E"/>
    <w:rsid w:val="4685EFA4"/>
    <w:rsid w:val="468656C2"/>
    <w:rsid w:val="46CE7ABB"/>
    <w:rsid w:val="46CF574C"/>
    <w:rsid w:val="4716A12B"/>
    <w:rsid w:val="4765ABAD"/>
    <w:rsid w:val="476E3934"/>
    <w:rsid w:val="4781AFC8"/>
    <w:rsid w:val="478A42AD"/>
    <w:rsid w:val="478DEE6D"/>
    <w:rsid w:val="47A1F3FA"/>
    <w:rsid w:val="47EC2908"/>
    <w:rsid w:val="4838FF32"/>
    <w:rsid w:val="483AF908"/>
    <w:rsid w:val="483B1A7F"/>
    <w:rsid w:val="4859DE0C"/>
    <w:rsid w:val="48622588"/>
    <w:rsid w:val="486B0D12"/>
    <w:rsid w:val="4887071B"/>
    <w:rsid w:val="4896860E"/>
    <w:rsid w:val="48A5429E"/>
    <w:rsid w:val="48C83FC0"/>
    <w:rsid w:val="4908B871"/>
    <w:rsid w:val="49250EFD"/>
    <w:rsid w:val="498DA572"/>
    <w:rsid w:val="49B894CE"/>
    <w:rsid w:val="49BBB638"/>
    <w:rsid w:val="49CD767A"/>
    <w:rsid w:val="49DF401A"/>
    <w:rsid w:val="49EBFB50"/>
    <w:rsid w:val="49F6095E"/>
    <w:rsid w:val="4A0B4AF5"/>
    <w:rsid w:val="4A1C977B"/>
    <w:rsid w:val="4A22D77C"/>
    <w:rsid w:val="4A2BEE6A"/>
    <w:rsid w:val="4A2FA78B"/>
    <w:rsid w:val="4A572435"/>
    <w:rsid w:val="4A758094"/>
    <w:rsid w:val="4A8F71C5"/>
    <w:rsid w:val="4AC7EC11"/>
    <w:rsid w:val="4ADAE461"/>
    <w:rsid w:val="4AF10DF3"/>
    <w:rsid w:val="4AFE3CE1"/>
    <w:rsid w:val="4B05DCB4"/>
    <w:rsid w:val="4B3A4651"/>
    <w:rsid w:val="4B4628C9"/>
    <w:rsid w:val="4B5B6DA1"/>
    <w:rsid w:val="4B7299CA"/>
    <w:rsid w:val="4BBBEC9A"/>
    <w:rsid w:val="4BBEA7DD"/>
    <w:rsid w:val="4BDCE360"/>
    <w:rsid w:val="4BE8F06A"/>
    <w:rsid w:val="4C910DE7"/>
    <w:rsid w:val="4CBA871B"/>
    <w:rsid w:val="4CBF910F"/>
    <w:rsid w:val="4CC4D8DE"/>
    <w:rsid w:val="4D42D92B"/>
    <w:rsid w:val="4D6B7A68"/>
    <w:rsid w:val="4D7DBC2C"/>
    <w:rsid w:val="4DB74E52"/>
    <w:rsid w:val="4DB83135"/>
    <w:rsid w:val="4DE945C1"/>
    <w:rsid w:val="4DF17B72"/>
    <w:rsid w:val="4E05BB94"/>
    <w:rsid w:val="4E489F1B"/>
    <w:rsid w:val="4E550727"/>
    <w:rsid w:val="4E5B6170"/>
    <w:rsid w:val="4E72065A"/>
    <w:rsid w:val="4EC603DC"/>
    <w:rsid w:val="4EEDD476"/>
    <w:rsid w:val="4EFA9D0F"/>
    <w:rsid w:val="4F1B3457"/>
    <w:rsid w:val="4F29CC90"/>
    <w:rsid w:val="4F48BC22"/>
    <w:rsid w:val="4F4ADF01"/>
    <w:rsid w:val="4F769539"/>
    <w:rsid w:val="4F916BCC"/>
    <w:rsid w:val="4F941623"/>
    <w:rsid w:val="4F9EC538"/>
    <w:rsid w:val="4FEF732B"/>
    <w:rsid w:val="5018524C"/>
    <w:rsid w:val="50253BEB"/>
    <w:rsid w:val="50441117"/>
    <w:rsid w:val="50485A99"/>
    <w:rsid w:val="50542D4B"/>
    <w:rsid w:val="505CBAC4"/>
    <w:rsid w:val="50748555"/>
    <w:rsid w:val="5084AB2D"/>
    <w:rsid w:val="50C59CF1"/>
    <w:rsid w:val="50D978ED"/>
    <w:rsid w:val="50EC019F"/>
    <w:rsid w:val="5101D1E2"/>
    <w:rsid w:val="510C8DF3"/>
    <w:rsid w:val="5111CF31"/>
    <w:rsid w:val="51262996"/>
    <w:rsid w:val="513B83B6"/>
    <w:rsid w:val="5144B1C5"/>
    <w:rsid w:val="516D7E65"/>
    <w:rsid w:val="51803AC5"/>
    <w:rsid w:val="51837E13"/>
    <w:rsid w:val="51A1E3B3"/>
    <w:rsid w:val="51D1F50D"/>
    <w:rsid w:val="51ECBF33"/>
    <w:rsid w:val="520988AE"/>
    <w:rsid w:val="5222D19C"/>
    <w:rsid w:val="52372C1A"/>
    <w:rsid w:val="5252D519"/>
    <w:rsid w:val="52A85E54"/>
    <w:rsid w:val="52AE35FB"/>
    <w:rsid w:val="52BC2F5F"/>
    <w:rsid w:val="52EFEE85"/>
    <w:rsid w:val="52F9FA1F"/>
    <w:rsid w:val="53012CB0"/>
    <w:rsid w:val="532780BC"/>
    <w:rsid w:val="533C45D7"/>
    <w:rsid w:val="5350765A"/>
    <w:rsid w:val="535CAB1A"/>
    <w:rsid w:val="535E9179"/>
    <w:rsid w:val="538EED17"/>
    <w:rsid w:val="539BE631"/>
    <w:rsid w:val="53BEA1FD"/>
    <w:rsid w:val="53C8EE9C"/>
    <w:rsid w:val="53FE067B"/>
    <w:rsid w:val="54033A7D"/>
    <w:rsid w:val="5414927A"/>
    <w:rsid w:val="543E416C"/>
    <w:rsid w:val="5468D2F3"/>
    <w:rsid w:val="547C92FB"/>
    <w:rsid w:val="548BBEE6"/>
    <w:rsid w:val="548C1B10"/>
    <w:rsid w:val="549D2AED"/>
    <w:rsid w:val="54A84698"/>
    <w:rsid w:val="54FA37EA"/>
    <w:rsid w:val="551EC94B"/>
    <w:rsid w:val="553FC8D1"/>
    <w:rsid w:val="554CF5C0"/>
    <w:rsid w:val="55670DF9"/>
    <w:rsid w:val="55B3325E"/>
    <w:rsid w:val="55C43D80"/>
    <w:rsid w:val="55F21CD0"/>
    <w:rsid w:val="560B01FF"/>
    <w:rsid w:val="561EC7D0"/>
    <w:rsid w:val="562C7EF8"/>
    <w:rsid w:val="5633C09A"/>
    <w:rsid w:val="5671091A"/>
    <w:rsid w:val="56A3FE44"/>
    <w:rsid w:val="56AF770F"/>
    <w:rsid w:val="56C5B0A8"/>
    <w:rsid w:val="56F1C31E"/>
    <w:rsid w:val="570A9D3D"/>
    <w:rsid w:val="5722A306"/>
    <w:rsid w:val="573ADB3F"/>
    <w:rsid w:val="574BA1D8"/>
    <w:rsid w:val="5767E858"/>
    <w:rsid w:val="578AA87E"/>
    <w:rsid w:val="57F2BF97"/>
    <w:rsid w:val="5817751A"/>
    <w:rsid w:val="582307AB"/>
    <w:rsid w:val="584A2116"/>
    <w:rsid w:val="584B4770"/>
    <w:rsid w:val="587187B1"/>
    <w:rsid w:val="587DC3DC"/>
    <w:rsid w:val="588E18E9"/>
    <w:rsid w:val="588FBD12"/>
    <w:rsid w:val="58A4313B"/>
    <w:rsid w:val="58B77EC5"/>
    <w:rsid w:val="58B79B7F"/>
    <w:rsid w:val="58C603E1"/>
    <w:rsid w:val="58C6F30A"/>
    <w:rsid w:val="58EEB7B2"/>
    <w:rsid w:val="58EFAC60"/>
    <w:rsid w:val="591C8182"/>
    <w:rsid w:val="5922DE98"/>
    <w:rsid w:val="59342E19"/>
    <w:rsid w:val="594A5DCA"/>
    <w:rsid w:val="5955A348"/>
    <w:rsid w:val="595685E8"/>
    <w:rsid w:val="59A35432"/>
    <w:rsid w:val="59BED80C"/>
    <w:rsid w:val="59FE2E9B"/>
    <w:rsid w:val="5A1FBB5B"/>
    <w:rsid w:val="5A32EE70"/>
    <w:rsid w:val="5A3FF636"/>
    <w:rsid w:val="5A426F97"/>
    <w:rsid w:val="5A4E459F"/>
    <w:rsid w:val="5A608CE2"/>
    <w:rsid w:val="5A8252EB"/>
    <w:rsid w:val="5A838CF9"/>
    <w:rsid w:val="5AB851E3"/>
    <w:rsid w:val="5ABFE124"/>
    <w:rsid w:val="5AEADF67"/>
    <w:rsid w:val="5AF7231C"/>
    <w:rsid w:val="5AFFE37C"/>
    <w:rsid w:val="5B0366D4"/>
    <w:rsid w:val="5B0DF9C6"/>
    <w:rsid w:val="5B2065EB"/>
    <w:rsid w:val="5B2F0A91"/>
    <w:rsid w:val="5B53C097"/>
    <w:rsid w:val="5B811209"/>
    <w:rsid w:val="5B846125"/>
    <w:rsid w:val="5BB25EBA"/>
    <w:rsid w:val="5BB64D8F"/>
    <w:rsid w:val="5BC5B9AB"/>
    <w:rsid w:val="5BE10D9D"/>
    <w:rsid w:val="5BEDD95D"/>
    <w:rsid w:val="5C0E4C62"/>
    <w:rsid w:val="5C28C0D1"/>
    <w:rsid w:val="5C2B04B1"/>
    <w:rsid w:val="5C40A3EE"/>
    <w:rsid w:val="5CDE0F2D"/>
    <w:rsid w:val="5CE20E33"/>
    <w:rsid w:val="5CE35784"/>
    <w:rsid w:val="5CFC624D"/>
    <w:rsid w:val="5D227739"/>
    <w:rsid w:val="5D23DFCC"/>
    <w:rsid w:val="5D29DB30"/>
    <w:rsid w:val="5D3EDF48"/>
    <w:rsid w:val="5D575C1D"/>
    <w:rsid w:val="5D83A835"/>
    <w:rsid w:val="5DB5666F"/>
    <w:rsid w:val="5DCBFB55"/>
    <w:rsid w:val="5DFD2EB5"/>
    <w:rsid w:val="5DFDE845"/>
    <w:rsid w:val="5E001771"/>
    <w:rsid w:val="5E17D792"/>
    <w:rsid w:val="5E4C926A"/>
    <w:rsid w:val="5E5D9CF8"/>
    <w:rsid w:val="5E64919A"/>
    <w:rsid w:val="5E66AB53"/>
    <w:rsid w:val="5E894AB3"/>
    <w:rsid w:val="5E8B6159"/>
    <w:rsid w:val="5EDAAFA9"/>
    <w:rsid w:val="5EE9BBEE"/>
    <w:rsid w:val="5F0D97EC"/>
    <w:rsid w:val="5F30ECE9"/>
    <w:rsid w:val="5F3905CA"/>
    <w:rsid w:val="5F5C35CE"/>
    <w:rsid w:val="5F72D077"/>
    <w:rsid w:val="5FA987C3"/>
    <w:rsid w:val="5FCA4BD7"/>
    <w:rsid w:val="5FDE92D6"/>
    <w:rsid w:val="600D149B"/>
    <w:rsid w:val="600EF24E"/>
    <w:rsid w:val="606C92EE"/>
    <w:rsid w:val="60A9684D"/>
    <w:rsid w:val="60FE75D4"/>
    <w:rsid w:val="6127303C"/>
    <w:rsid w:val="616A41EE"/>
    <w:rsid w:val="617A6337"/>
    <w:rsid w:val="619C325C"/>
    <w:rsid w:val="61AAB939"/>
    <w:rsid w:val="61BFD631"/>
    <w:rsid w:val="624E3783"/>
    <w:rsid w:val="62510DD7"/>
    <w:rsid w:val="62691EEB"/>
    <w:rsid w:val="62DBDBCA"/>
    <w:rsid w:val="63163398"/>
    <w:rsid w:val="63746CB4"/>
    <w:rsid w:val="6384B087"/>
    <w:rsid w:val="63991CB4"/>
    <w:rsid w:val="63B2E321"/>
    <w:rsid w:val="63D1A206"/>
    <w:rsid w:val="6404EF4C"/>
    <w:rsid w:val="646C7039"/>
    <w:rsid w:val="64794DF4"/>
    <w:rsid w:val="64E09393"/>
    <w:rsid w:val="64EEC4DB"/>
    <w:rsid w:val="65000954"/>
    <w:rsid w:val="658584A0"/>
    <w:rsid w:val="659E5D86"/>
    <w:rsid w:val="65C896A9"/>
    <w:rsid w:val="65CE9FE8"/>
    <w:rsid w:val="66061DC8"/>
    <w:rsid w:val="660F87AB"/>
    <w:rsid w:val="6621F5EE"/>
    <w:rsid w:val="666A246B"/>
    <w:rsid w:val="668484A5"/>
    <w:rsid w:val="668A953C"/>
    <w:rsid w:val="66BC1CD2"/>
    <w:rsid w:val="66DB966A"/>
    <w:rsid w:val="67064377"/>
    <w:rsid w:val="67308C04"/>
    <w:rsid w:val="673698C4"/>
    <w:rsid w:val="673C900E"/>
    <w:rsid w:val="675DE663"/>
    <w:rsid w:val="675FD13E"/>
    <w:rsid w:val="6760D5F3"/>
    <w:rsid w:val="676A519B"/>
    <w:rsid w:val="676DB758"/>
    <w:rsid w:val="67A0FE93"/>
    <w:rsid w:val="67E1E9DC"/>
    <w:rsid w:val="684FD1DB"/>
    <w:rsid w:val="68B73FC7"/>
    <w:rsid w:val="68EB3128"/>
    <w:rsid w:val="68F9B6C4"/>
    <w:rsid w:val="6914AE1C"/>
    <w:rsid w:val="6922C0FC"/>
    <w:rsid w:val="692477B7"/>
    <w:rsid w:val="693589FE"/>
    <w:rsid w:val="69392013"/>
    <w:rsid w:val="69485BD9"/>
    <w:rsid w:val="69512271"/>
    <w:rsid w:val="69523F69"/>
    <w:rsid w:val="6985751C"/>
    <w:rsid w:val="69A13648"/>
    <w:rsid w:val="69A844D9"/>
    <w:rsid w:val="69D90441"/>
    <w:rsid w:val="69E23D15"/>
    <w:rsid w:val="69E28559"/>
    <w:rsid w:val="6A02B909"/>
    <w:rsid w:val="6A17789B"/>
    <w:rsid w:val="6A2C5654"/>
    <w:rsid w:val="6A5C1FBC"/>
    <w:rsid w:val="6A77E6A0"/>
    <w:rsid w:val="6A958725"/>
    <w:rsid w:val="6A977200"/>
    <w:rsid w:val="6AA5581A"/>
    <w:rsid w:val="6AC1B104"/>
    <w:rsid w:val="6ADBB1BD"/>
    <w:rsid w:val="6B01ECEB"/>
    <w:rsid w:val="6B21457D"/>
    <w:rsid w:val="6B2C05FE"/>
    <w:rsid w:val="6B323ADB"/>
    <w:rsid w:val="6B3528EF"/>
    <w:rsid w:val="6B4F23F9"/>
    <w:rsid w:val="6B7331AD"/>
    <w:rsid w:val="6B74D4A2"/>
    <w:rsid w:val="6B7E55BA"/>
    <w:rsid w:val="6B889A49"/>
    <w:rsid w:val="6B9E896A"/>
    <w:rsid w:val="6BA10596"/>
    <w:rsid w:val="6BD9531A"/>
    <w:rsid w:val="6BECF961"/>
    <w:rsid w:val="6C11244B"/>
    <w:rsid w:val="6C18C4FB"/>
    <w:rsid w:val="6C230C3F"/>
    <w:rsid w:val="6C46182C"/>
    <w:rsid w:val="6C7194FF"/>
    <w:rsid w:val="6CA045F6"/>
    <w:rsid w:val="6CBC5784"/>
    <w:rsid w:val="6CC5F033"/>
    <w:rsid w:val="6CCE80D4"/>
    <w:rsid w:val="6CDC83E8"/>
    <w:rsid w:val="6D11B487"/>
    <w:rsid w:val="6D454038"/>
    <w:rsid w:val="6D57BCA7"/>
    <w:rsid w:val="6D7584FB"/>
    <w:rsid w:val="6D913D8C"/>
    <w:rsid w:val="6E13527F"/>
    <w:rsid w:val="6E317A22"/>
    <w:rsid w:val="6E53EC95"/>
    <w:rsid w:val="6E608F42"/>
    <w:rsid w:val="6E7BB5FC"/>
    <w:rsid w:val="6E86C4BB"/>
    <w:rsid w:val="6E8FB2D4"/>
    <w:rsid w:val="6EC7AABF"/>
    <w:rsid w:val="6ECC0F92"/>
    <w:rsid w:val="6EEAE9BE"/>
    <w:rsid w:val="6F48C50D"/>
    <w:rsid w:val="6F63FE74"/>
    <w:rsid w:val="6F68F2D6"/>
    <w:rsid w:val="6F7581E8"/>
    <w:rsid w:val="6F77A5C7"/>
    <w:rsid w:val="6F89D81A"/>
    <w:rsid w:val="6F8C8D0C"/>
    <w:rsid w:val="6FA935C1"/>
    <w:rsid w:val="700D2A40"/>
    <w:rsid w:val="705C0B6C"/>
    <w:rsid w:val="709FD3F1"/>
    <w:rsid w:val="70A20DF8"/>
    <w:rsid w:val="70F33A14"/>
    <w:rsid w:val="710B4950"/>
    <w:rsid w:val="71450622"/>
    <w:rsid w:val="7145A4B7"/>
    <w:rsid w:val="715C84BD"/>
    <w:rsid w:val="71A67856"/>
    <w:rsid w:val="71AB2D93"/>
    <w:rsid w:val="71BDE6E2"/>
    <w:rsid w:val="71F291AF"/>
    <w:rsid w:val="7212EFDF"/>
    <w:rsid w:val="72228A80"/>
    <w:rsid w:val="722ECBC6"/>
    <w:rsid w:val="725FEFFF"/>
    <w:rsid w:val="726731A1"/>
    <w:rsid w:val="72689614"/>
    <w:rsid w:val="728065CF"/>
    <w:rsid w:val="729B9F36"/>
    <w:rsid w:val="72E0D683"/>
    <w:rsid w:val="72E17518"/>
    <w:rsid w:val="72E69F1C"/>
    <w:rsid w:val="72EE0AB3"/>
    <w:rsid w:val="73030ECB"/>
    <w:rsid w:val="73073310"/>
    <w:rsid w:val="730935E9"/>
    <w:rsid w:val="73253425"/>
    <w:rsid w:val="7327BC27"/>
    <w:rsid w:val="735AF494"/>
    <w:rsid w:val="7388D22B"/>
    <w:rsid w:val="739E54EC"/>
    <w:rsid w:val="73BA7F3E"/>
    <w:rsid w:val="73D3321F"/>
    <w:rsid w:val="73E76450"/>
    <w:rsid w:val="73FF322D"/>
    <w:rsid w:val="742F5832"/>
    <w:rsid w:val="74321F75"/>
    <w:rsid w:val="74435768"/>
    <w:rsid w:val="7471A0C3"/>
    <w:rsid w:val="747CA6E4"/>
    <w:rsid w:val="74D0834F"/>
    <w:rsid w:val="74D13F7D"/>
    <w:rsid w:val="74EC3E70"/>
    <w:rsid w:val="75165DAA"/>
    <w:rsid w:val="75318B7E"/>
    <w:rsid w:val="75326A71"/>
    <w:rsid w:val="7540F972"/>
    <w:rsid w:val="7552DEC5"/>
    <w:rsid w:val="7563A32A"/>
    <w:rsid w:val="758B83B7"/>
    <w:rsid w:val="75AB8ADF"/>
    <w:rsid w:val="75B2CCF3"/>
    <w:rsid w:val="75B80691"/>
    <w:rsid w:val="75E81BA7"/>
    <w:rsid w:val="760144CD"/>
    <w:rsid w:val="760AF724"/>
    <w:rsid w:val="762E74D7"/>
    <w:rsid w:val="76429C04"/>
    <w:rsid w:val="7649ACC6"/>
    <w:rsid w:val="766D0FDE"/>
    <w:rsid w:val="76780A88"/>
    <w:rsid w:val="7686C02D"/>
    <w:rsid w:val="76B280A4"/>
    <w:rsid w:val="76CE3AD2"/>
    <w:rsid w:val="770C3A38"/>
    <w:rsid w:val="770E06C2"/>
    <w:rsid w:val="77335483"/>
    <w:rsid w:val="7736D7DB"/>
    <w:rsid w:val="778BC8A8"/>
    <w:rsid w:val="77C09E7B"/>
    <w:rsid w:val="77C17BD6"/>
    <w:rsid w:val="77DE6C65"/>
    <w:rsid w:val="781A4095"/>
    <w:rsid w:val="789076CE"/>
    <w:rsid w:val="7895EE46"/>
    <w:rsid w:val="7897B817"/>
    <w:rsid w:val="789AA3F7"/>
    <w:rsid w:val="78BD4AC8"/>
    <w:rsid w:val="78D7E358"/>
    <w:rsid w:val="79501807"/>
    <w:rsid w:val="7969E15A"/>
    <w:rsid w:val="7981B354"/>
    <w:rsid w:val="79A4B0A0"/>
    <w:rsid w:val="79AC2D34"/>
    <w:rsid w:val="79AD6679"/>
    <w:rsid w:val="79E5A5A6"/>
    <w:rsid w:val="79F38581"/>
    <w:rsid w:val="79F68E8A"/>
    <w:rsid w:val="79FAAC2D"/>
    <w:rsid w:val="79FF6C5C"/>
    <w:rsid w:val="7A038BE8"/>
    <w:rsid w:val="7A039D81"/>
    <w:rsid w:val="7A0EC239"/>
    <w:rsid w:val="7A3D7D77"/>
    <w:rsid w:val="7A4273A3"/>
    <w:rsid w:val="7A73B3B9"/>
    <w:rsid w:val="7A775AB8"/>
    <w:rsid w:val="7AC3696A"/>
    <w:rsid w:val="7AE79CFE"/>
    <w:rsid w:val="7AEC6C16"/>
    <w:rsid w:val="7B160D27"/>
    <w:rsid w:val="7B23A2ED"/>
    <w:rsid w:val="7B2EF6F6"/>
    <w:rsid w:val="7B985896"/>
    <w:rsid w:val="7BAC68C6"/>
    <w:rsid w:val="7BC78127"/>
    <w:rsid w:val="7BCE69F3"/>
    <w:rsid w:val="7BCF58D9"/>
    <w:rsid w:val="7BD94DD8"/>
    <w:rsid w:val="7BE9CB8E"/>
    <w:rsid w:val="7BF103E7"/>
    <w:rsid w:val="7BFE7DFD"/>
    <w:rsid w:val="7C2B2C3A"/>
    <w:rsid w:val="7C393009"/>
    <w:rsid w:val="7C3FE259"/>
    <w:rsid w:val="7C4B07A7"/>
    <w:rsid w:val="7C588C1B"/>
    <w:rsid w:val="7C7EA4D8"/>
    <w:rsid w:val="7C86497B"/>
    <w:rsid w:val="7CB57610"/>
    <w:rsid w:val="7CC6F788"/>
    <w:rsid w:val="7CF4BB87"/>
    <w:rsid w:val="7D17E810"/>
    <w:rsid w:val="7D4E5081"/>
    <w:rsid w:val="7D5B94B5"/>
    <w:rsid w:val="7D74D17C"/>
    <w:rsid w:val="7D814D3C"/>
    <w:rsid w:val="7DA6195F"/>
    <w:rsid w:val="7DADD43E"/>
    <w:rsid w:val="7DB60C7F"/>
    <w:rsid w:val="7DBC52CB"/>
    <w:rsid w:val="7DBE7555"/>
    <w:rsid w:val="7DE48489"/>
    <w:rsid w:val="7DF1F28B"/>
    <w:rsid w:val="7DF4421E"/>
    <w:rsid w:val="7E0A9C37"/>
    <w:rsid w:val="7E0E74DC"/>
    <w:rsid w:val="7E2F40FD"/>
    <w:rsid w:val="7E4F8B72"/>
    <w:rsid w:val="7E590126"/>
    <w:rsid w:val="7E651616"/>
    <w:rsid w:val="7E9C8FF2"/>
    <w:rsid w:val="7EB3B871"/>
    <w:rsid w:val="7EF0BD1E"/>
    <w:rsid w:val="7F1621BE"/>
    <w:rsid w:val="7F166EEC"/>
    <w:rsid w:val="7F4836C6"/>
    <w:rsid w:val="7F92D1BB"/>
    <w:rsid w:val="7FB498CA"/>
    <w:rsid w:val="7FB78530"/>
    <w:rsid w:val="7FBE7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27575"/>
  <w15:chartTrackingRefBased/>
  <w15:docId w15:val="{289DABE2-5492-4E57-8093-32E12B96F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50EC019F"/>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45B7"/>
    <w:pPr>
      <w:ind w:left="720"/>
      <w:contextualSpacing/>
    </w:pPr>
  </w:style>
  <w:style w:type="character" w:styleId="Hyperlink">
    <w:name w:val="Hyperlink"/>
    <w:basedOn w:val="DefaultParagraphFont"/>
    <w:uiPriority w:val="99"/>
    <w:unhideWhenUsed/>
    <w:rsid w:val="00F42624"/>
    <w:rPr>
      <w:color w:val="0563C1" w:themeColor="hyperlink"/>
      <w:u w:val="single"/>
    </w:rPr>
  </w:style>
  <w:style w:type="character" w:styleId="UnresolvedMention">
    <w:name w:val="Unresolved Mention"/>
    <w:basedOn w:val="DefaultParagraphFont"/>
    <w:uiPriority w:val="99"/>
    <w:semiHidden/>
    <w:unhideWhenUsed/>
    <w:rsid w:val="00F42624"/>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50EC019F"/>
    <w:rPr>
      <w:b/>
      <w:bCs/>
    </w:rPr>
  </w:style>
  <w:style w:type="paragraph" w:styleId="TOC1">
    <w:name w:val="toc 1"/>
    <w:basedOn w:val="Normal"/>
    <w:next w:val="Normal"/>
    <w:autoRedefine/>
    <w:uiPriority w:val="39"/>
    <w:unhideWhenUsed/>
    <w:pPr>
      <w:spacing w:after="100"/>
    </w:p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new.abb.com/about/our-businesses/electrification/e-mobilitysolutions" TargetMode="External"/><Relationship Id="rId39" Type="http://schemas.openxmlformats.org/officeDocument/2006/relationships/header" Target="header1.xml"/><Relationship Id="rId21" Type="http://schemas.openxmlformats.org/officeDocument/2006/relationships/hyperlink" Target="https://search.abb.com/library/Download.aspx?DocumentID=9AKK107991A8880&amp;LanguageCode=en&amp;DocumentPartId=&amp;Action=Launch" TargetMode="External"/><Relationship Id="rId34" Type="http://schemas.openxmlformats.org/officeDocument/2006/relationships/hyperlink" Target="https://www.autoblog.com/2021/09/22/german-automakers-hydrogen-zero-emissions-bet/" TargetMode="External"/><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fortune.com/2022/04/22/lithium-expert-says-supply-is-not-enough-to-keep-up-with-deman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new.abb.com/media/abbformulae" TargetMode="External"/><Relationship Id="rId32" Type="http://schemas.openxmlformats.org/officeDocument/2006/relationships/hyperlink" Target="https://www.worldevday.org/post/charging-up-for-our-ev-future" TargetMode="External"/><Relationship Id="rId37" Type="http://schemas.openxmlformats.org/officeDocument/2006/relationships/hyperlink" Target="https://www.greentechmedia.com/articles/read/abb-buys-epyon-for-fast-ev-charging"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new.abb.com/news/detail/71795/abb-accelerates-e-mobility-innovation-with-new-global-rd-center" TargetMode="External"/><Relationship Id="rId28" Type="http://schemas.openxmlformats.org/officeDocument/2006/relationships/hyperlink" Target="https://global.abb/group/en/technology/university-collaboration" TargetMode="External"/><Relationship Id="rId36" Type="http://schemas.openxmlformats.org/officeDocument/2006/relationships/hyperlink" Target="https://www.greentechmedia.com/articles/read/abb-sells-first-order-for-15-second-bus-charging"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greentechmedia.com/articles/read/abb-invests-in-ecotality-porsche-racing-green-and-microhybrids-cross-the-po" TargetMode="External"/><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new.abb.com/ev-charging/terra-ac-wallbox" TargetMode="External"/><Relationship Id="rId27" Type="http://schemas.openxmlformats.org/officeDocument/2006/relationships/hyperlink" Target="https://new.abb.com/news/detail/41291/intelligent-electric-mobility-solutions-for-hamburgs-e-buses" TargetMode="External"/><Relationship Id="rId30" Type="http://schemas.openxmlformats.org/officeDocument/2006/relationships/hyperlink" Target="https://themarket.ch/english/abb-ceo-all-our-businesses-are-on-the-lookout-for-potential-acquisitions-ld.5994" TargetMode="External"/><Relationship Id="rId35" Type="http://schemas.openxmlformats.org/officeDocument/2006/relationships/hyperlink" Target="https://www.abb-conversations.com/2018/11/keeping-innovation-going-at-a-130-year-old-company/"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global.abb/group/en/investors/results-and-reports/2021" TargetMode="External"/><Relationship Id="rId33" Type="http://schemas.openxmlformats.org/officeDocument/2006/relationships/hyperlink" Target="https://www.infosys.com/iki/insights/abb-product.html" TargetMode="External"/><Relationship Id="rId38" Type="http://schemas.openxmlformats.org/officeDocument/2006/relationships/hyperlink" Target="https://ukcop26.org/zero-emission-vehicles-transition-council-2022-action-plan/" TargetMode="External"/><Relationship Id="rId46" Type="http://schemas.microsoft.com/office/2020/10/relationships/intelligence" Target="intelligence2.xml"/><Relationship Id="rId20" Type="http://schemas.openxmlformats.org/officeDocument/2006/relationships/image" Target="media/image12.png"/><Relationship Id="rId41"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3ECF706-0385-475D-9D52-E0C7D34A2192}"/>
      </w:docPartPr>
      <w:docPartBody>
        <w:p w:rsidR="004A7C3F" w:rsidRDefault="0017541B">
          <w:r>
            <w:t>Click here to enter text.</w:t>
          </w:r>
        </w:p>
      </w:docPartBody>
    </w:docPart>
    <w:docPart>
      <w:docPartPr>
        <w:name w:val="A60D886EF3A74B8D820DCB08B2E84D33"/>
        <w:category>
          <w:name w:val="General"/>
          <w:gallery w:val="placeholder"/>
        </w:category>
        <w:types>
          <w:type w:val="bbPlcHdr"/>
        </w:types>
        <w:behaviors>
          <w:behavior w:val="content"/>
        </w:behaviors>
        <w:guid w:val="{29D6286C-87ED-4D10-BFB1-D8E34391B14D}"/>
      </w:docPartPr>
      <w:docPartBody>
        <w:p w:rsidR="00000000" w:rsidRDefault="004A7C3F" w:rsidP="004A7C3F">
          <w:pPr>
            <w:pStyle w:val="A60D886EF3A74B8D820DCB08B2E84D33"/>
          </w:pPr>
          <w:r>
            <w:rPr>
              <w:rFonts w:asciiTheme="majorHAnsi" w:eastAsiaTheme="majorEastAsia" w:hAnsiTheme="majorHAnsi" w:cstheme="majorBidi"/>
              <w:color w:val="4472C4" w:themeColor="accent1"/>
              <w:sz w:val="27"/>
              <w:szCs w:val="27"/>
            </w:rPr>
            <w:t>[Document title]</w:t>
          </w:r>
        </w:p>
      </w:docPartBody>
    </w:docPart>
    <w:docPart>
      <w:docPartPr>
        <w:name w:val="8CB12913EAE547E0B10E24D1AA3FBD07"/>
        <w:category>
          <w:name w:val="General"/>
          <w:gallery w:val="placeholder"/>
        </w:category>
        <w:types>
          <w:type w:val="bbPlcHdr"/>
        </w:types>
        <w:behaviors>
          <w:behavior w:val="content"/>
        </w:behaviors>
        <w:guid w:val="{444B1537-246D-4FEB-A053-3958AF307BE3}"/>
      </w:docPartPr>
      <w:docPartBody>
        <w:p w:rsidR="00000000" w:rsidRDefault="004A7C3F" w:rsidP="004A7C3F">
          <w:pPr>
            <w:pStyle w:val="8CB12913EAE547E0B10E24D1AA3FBD07"/>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A7C3F"/>
    <w:rsid w:val="0017541B"/>
    <w:rsid w:val="004A7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0D886EF3A74B8D820DCB08B2E84D33">
    <w:name w:val="A60D886EF3A74B8D820DCB08B2E84D33"/>
    <w:rsid w:val="004A7C3F"/>
  </w:style>
  <w:style w:type="paragraph" w:customStyle="1" w:styleId="8CB12913EAE547E0B10E24D1AA3FBD07">
    <w:name w:val="8CB12913EAE547E0B10E24D1AA3FBD07"/>
    <w:rsid w:val="004A7C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696FF6F-D8B1-41AB-A69A-C8B50879691D}">
  <we:reference id="wa104380122" version="2.1.0.1" store="en-US" storeType="OMEX"/>
  <we:alternateReferences>
    <we:reference id="wa104380122" version="2.1.0.1" store="WA104380122"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1b5b824-53e0-47dc-8af9-a426299a68cb">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79384498&quot;:{&quot;referencesIds&quot;:[&quot;doc:628382a08f084bf47f33aa65&quot;],&quot;referencesOptions&quot;:{&quot;doc:628382a08f084bf47f33aa65&quot;:{&quot;author&quot;:true,&quot;year&quot;:true,&quot;pageReplace&quot;:&quot;&quot;,&quot;prefix&quot;:&quot;&quot;,&quot;suffix&quot;:&quot;&quot;}},&quot;hasBrokenReferences&quot;:false,&quot;hasManualEdits&quot;:false,&quot;citationType&quot;:&quot;inline&quot;,&quot;id&quot;:79384498,&quot;citationText&quot;:&quot;&lt;span style=\&quot;font-family:Calibri;font-size:14.666666666666666px;color:#000000\&quot;&gt;(Schilling 2022)&lt;/span&gt;&quot;},&quot;137260138&quot;:{&quot;referencesIds&quot;:[&quot;doc:628275f68f081c0392ab3857&quot;],&quot;referencesOptions&quot;:{&quot;doc:628275f68f081c0392ab3857&quot;:{&quot;author&quot;:true,&quot;year&quot;:true,&quot;pageReplace&quot;:&quot;&quot;,&quot;prefix&quot;:&quot;&quot;,&quot;suffix&quot;:&quot;&quot;}},&quot;hasBrokenReferences&quot;:false,&quot;hasManualEdits&quot;:false,&quot;citationType&quot;:&quot;inline&quot;,&quot;id&quot;:137260138,&quot;citationText&quot;:&quot;&lt;span style=\&quot;font-family:Calibri;font-size:14.666666666666666px;color:#000000\&quot;&gt;(Kanellos 2022)&lt;/span&gt;&quot;},&quot;232042005&quot;:{&quot;referencesIds&quot;:[&quot;doc:6287f9af8f080ff0f844eb22&quot;],&quot;referencesOptions&quot;:{&quot;doc:6287f9af8f080ff0f844eb22&quot;:{&quot;author&quot;:true,&quot;year&quot;:true,&quot;pageReplace&quot;:&quot;&quot;,&quot;prefix&quot;:&quot;&quot;,&quot;suffix&quot;:&quot;&quot;}},&quot;hasBrokenReferences&quot;:false,&quot;hasManualEdits&quot;:false,&quot;citationType&quot;:&quot;inline&quot;,&quot;id&quot;:232042005,&quot;citationText&quot;:&quot;&lt;span style=\&quot;font-family:Calibri;font-size:14.666666666666666px;color:#000000\&quot;&gt;(, Terra AC Wallbox | The Superior EV Home Charger2022)&lt;/span&gt;&quot;},&quot;280356901&quot;:{&quot;referencesIds&quot;:[&quot;doc:6288bbca8f08a808ee6998c4&quot;],&quot;referencesOptions&quot;:{&quot;doc:6288bbca8f08a808ee6998c4&quot;:{&quot;author&quot;:true,&quot;year&quot;:true,&quot;pageReplace&quot;:&quot;&quot;,&quot;prefix&quot;:&quot;&quot;,&quot;suffix&quot;:&quot;&quot;}},&quot;hasBrokenReferences&quot;:false,&quot;hasManualEdits&quot;:false,&quot;citationType&quot;:&quot;inline&quot;,&quot;id&quot;:280356901,&quot;citationText&quot;:&quot;&lt;span style=\&quot;font-family:Calibri;font-size:14.666666666666666px;color:#000000\&quot;&gt;(Raymunt 2022)&lt;/span&gt;&quot;},&quot;283592516&quot;:{&quot;referencesIds&quot;:[&quot;doc:628226578f08f5b36bde4df4&quot;],&quot;referencesOptions&quot;:{&quot;doc:628226578f08f5b36bde4df4&quot;:{&quot;author&quot;:true,&quot;year&quot;:true,&quot;pageReplace&quot;:&quot;&quot;,&quot;prefix&quot;:&quot;&quot;,&quot;suffix&quot;:&quot;&quot;}},&quot;hasBrokenReferences&quot;:false,&quot;hasManualEdits&quot;:false,&quot;citationType&quot;:&quot;inline&quot;,&quot;id&quot;:283592516,&quot;citationText&quot;:&quot;&lt;span style=\&quot;font-family:Calibri;font-size:14.666666666666666px;color:#000000\&quot;&gt;(, ABB Group Annual Report 2020 - English2022)&lt;/span&gt;&quot;},&quot;361528243&quot;:{&quot;referencesIds&quot;:[&quot;doc:628382a08f084bf47f33aa65&quot;],&quot;referencesOptions&quot;:{&quot;doc:628382a08f084bf47f33aa65&quot;:{&quot;author&quot;:true,&quot;year&quot;:true,&quot;pageReplace&quot;:&quot;&quot;,&quot;prefix&quot;:&quot;&quot;,&quot;suffix&quot;:&quot;&quot;}},&quot;hasBrokenReferences&quot;:false,&quot;hasManualEdits&quot;:false,&quot;citationType&quot;:&quot;inline&quot;,&quot;id&quot;:361528243,&quot;citationText&quot;:&quot;&lt;span style=\&quot;font-family:Calibri;font-size:14.666666666666666px;color:#000000\&quot;&gt;(Schilling 2022)&lt;/span&gt;&quot;},&quot;454145598&quot;:{&quot;referencesIds&quot;:[&quot;doc:6276cf238f0892490b1315ef&quot;],&quot;referencesOptions&quot;:{&quot;doc:6276cf238f0892490b1315ef&quot;:{&quot;author&quot;:true,&quot;year&quot;:true,&quot;pageReplace&quot;:&quot;&quot;,&quot;prefix&quot;:&quot;&quot;,&quot;suffix&quot;:&quot;&quot;}},&quot;hasBrokenReferences&quot;:false,&quot;hasManualEdits&quot;:false,&quot;citationType&quot;:&quot;inline&quot;,&quot;id&quot;:454145598,&quot;citationText&quot;:&quot;&lt;span style=\&quot;font-family:Calibri;font-size:14.666666666666666px;color:#000000\&quot;&gt;(ABB Develops DC Backbone for High-Power EV Chargers. 2018)&lt;/span&gt;&quot;},&quot;456737897&quot;:{&quot;referencesIds&quot;:[&quot;doc:6285d0e98f08e7cc0789b9d2&quot;],&quot;referencesOptions&quot;:{&quot;doc:6285d0e98f08e7cc0789b9d2&quot;:{&quot;author&quot;:true,&quot;year&quot;:true,&quot;pageReplace&quot;:&quot;&quot;,&quot;prefix&quot;:&quot;&quot;,&quot;suffix&quot;:&quot;&quot;}},&quot;hasBrokenReferences&quot;:false,&quot;hasManualEdits&quot;:false,&quot;citationType&quot;:&quot;inline&quot;,&quot;id&quot;:456737897,&quot;citationText&quot;:&quot;&lt;span style=\&quot;font-family:Calibri;font-size:14.666666666666666px;color:#000000\&quot;&gt;(Piercy 2017)&lt;/span&gt;&quot;},&quot;479577045&quot;:{&quot;referencesIds&quot;:[&quot;doc:62823f918f081c0392ab2e19&quot;],&quot;referencesOptions&quot;:{&quot;doc:62823f918f081c0392ab2e19&quot;:{&quot;author&quot;:true,&quot;year&quot;:true,&quot;pageReplace&quot;:&quot;&quot;,&quot;prefix&quot;:&quot;&quot;,&quot;suffix&quot;:&quot;&quot;}},&quot;hasBrokenReferences&quot;:false,&quot;hasManualEdits&quot;:false,&quot;citationType&quot;:&quot;inline&quot;,&quot;id&quot;:479577045,&quot;citationText&quot;:&quot;&lt;span style=\&quot;font-family:Calibri;font-size:14.666666666666666px;color:#000000\&quot;&gt;(Switzerland : ABB e-mobility business recognized as one of Europe's Cleantech Companies of the Decade. 2014)&lt;/span&gt;&quot;},&quot;557409154&quot;:{&quot;referencesIds&quot;:[&quot;doc:628681208f08be505d0d976d&quot;],&quot;referencesOptions&quot;:{&quot;doc:628681208f08be505d0d976d&quot;:{&quot;author&quot;:true,&quot;year&quot;:true,&quot;pageReplace&quot;:&quot;&quot;,&quot;prefix&quot;:&quot;&quot;,&quot;suffix&quot;:&quot;&quot;}},&quot;hasBrokenReferences&quot;:false,&quot;hasManualEdits&quot;:false,&quot;citationType&quot;:&quot;inline&quot;,&quot;id&quot;:557409154,&quot;citationText&quot;:&quot;&lt;span style=\&quot;font-family:Calibri;font-size:14.666666666666666px;color:#000000\&quot;&gt;(Johnson 2010)&lt;/span&gt;&quot;},&quot;591390704&quot;:{&quot;referencesIds&quot;:[&quot;doc:62848feb8f089685c8199c1e&quot;],&quot;referencesOptions&quot;:{&quot;doc:62848feb8f089685c8199c1e&quot;:{&quot;author&quot;:true,&quot;year&quot;:true,&quot;pageReplace&quot;:&quot;&quot;,&quot;prefix&quot;:&quot;&quot;,&quot;suffix&quot;:&quot;&quot;}},&quot;hasBrokenReferences&quot;:false,&quot;hasManualEdits&quot;:false,&quot;citationType&quot;:&quot;inline&quot;,&quot;id&quot;:591390704,&quot;citationText&quot;:&quot;&lt;span style=\&quot;font-family:Calibri;font-size:14.666666666666666px;color:#000000\&quot;&gt;(ABB Group a)&lt;/span&gt;&quot;},&quot;631728792&quot;:{&quot;referencesIds&quot;:[&quot;doc:62889cf58f080a94bbb12ed6&quot;],&quot;referencesOptions&quot;:{&quot;doc:62889cf58f080a94bbb12ed6&quot;:{&quot;author&quot;:true,&quot;year&quot;:true,&quot;pageReplace&quot;:&quot;&quot;,&quot;prefix&quot;:&quot;&quot;,&quot;suffix&quot;:&quot;&quot;}},&quot;hasBrokenReferences&quot;:false,&quot;hasManualEdits&quot;:false,&quot;citationType&quot;:&quot;inline&quot;,&quot;id&quot;:631728792,&quot;citationText&quot;:&quot;&lt;span style=\&quot;font-family:Calibri;font-size:14.666666666666666px;color:#000000\&quot;&gt;(ABB Formula E )&lt;/span&gt;&quot;},&quot;637272834&quot;:{&quot;referencesIds&quot;:[&quot;doc:6280b6e58f0873b18018b0d2&quot;],&quot;referencesOptions&quot;:{&quot;doc:6280b6e58f0873b18018b0d2&quot;:{&quot;author&quot;:true,&quot;year&quot;:true,&quot;pageReplace&quot;:&quot;&quot;,&quot;prefix&quot;:&quot;&quot;,&quot;suffix&quot;:&quot;&quot;}},&quot;hasBrokenReferences&quot;:false,&quot;hasManualEdits&quot;:false,&quot;citationType&quot;:&quot;inline&quot;,&quot;id&quot;:637272834,&quot;citationText&quot;:&quot;&lt;span style=\&quot;font-family:Calibri;font-size:14.666666666666666px;color:#000000\&quot;&gt;(The future of EV charging infrastructure: Executive perspectives. 2021)&lt;/span&gt;&quot;},&quot;651198042&quot;:{&quot;referencesIds&quot;:[&quot;doc:626e67f88f085c4d3e7bd34d&quot;],&quot;referencesOptions&quot;:{&quot;doc:626e67f88f085c4d3e7bd34d&quot;:{&quot;author&quot;:true,&quot;year&quot;:true,&quot;pageReplace&quot;:&quot;&quot;,&quot;prefix&quot;:&quot;&quot;,&quot;suffix&quot;:&quot;&quot;}},&quot;hasBrokenReferences&quot;:false,&quot;hasManualEdits&quot;:false,&quot;citationType&quot;:&quot;inline&quot;,&quot;id&quot;:651198042,&quot;citationText&quot;:&quot;&lt;span style=\&quot;font-family:Calibri;font-size:14.666666666666666px;color:#000000\&quot;&gt;(Burt 1999)&lt;/span&gt;&quot;},&quot;715420465&quot;:{&quot;referencesIds&quot;:[&quot;doc:62814da38f081c0392aaf9ed&quot;],&quot;referencesOptions&quot;:{&quot;doc:62814da38f081c0392aaf9ed&quot;:{&quot;author&quot;:true,&quot;year&quot;:true,&quot;pageReplace&quot;:&quot;&quot;,&quot;prefix&quot;:&quot;&quot;,&quot;suffix&quot;:&quot;&quot;}},&quot;hasBrokenReferences&quot;:false,&quot;hasManualEdits&quot;:false,&quot;citationType&quot;:&quot;inline&quot;,&quot;id&quot;:715420465,&quot;citationText&quot;:&quot;&lt;span style=\&quot;font-family:Calibri;font-size:14.666666666666666px;color:#000000\&quot;&gt;(UN Climate Change Conference UK 2021 2021)&lt;/span&gt;&quot;},&quot;819000546&quot;:{&quot;referencesIds&quot;:[&quot;doc:627f63888f08f5b36bddf3c8&quot;],&quot;referencesOptions&quot;:{&quot;doc:627f63888f08f5b36bddf3c8&quot;:{&quot;author&quot;:true,&quot;year&quot;:true,&quot;pageReplace&quot;:&quot;&quot;,&quot;prefix&quot;:&quot;&quot;,&quot;suffix&quot;:&quot;&quot;}},&quot;hasBrokenReferences&quot;:false,&quot;hasManualEdits&quot;:false,&quot;citationType&quot;:&quot;inline&quot;,&quot;id&quot;:819000546,&quot;citationText&quot;:&quot;&lt;span style=\&quot;font-family:Calibri;font-size:14.666666666666666px;color:#000000\&quot;&gt;(ABB Group 2022a)&lt;/span&gt;&quot;},&quot;903667555&quot;:{&quot;referencesIds&quot;:[&quot;doc:6288913e8f08cba10f957148&quot;],&quot;referencesOptions&quot;:{&quot;doc:6288913e8f08cba10f957148&quot;:{&quot;author&quot;:true,&quot;year&quot;:true,&quot;pageReplace&quot;:&quot;&quot;,&quot;prefix&quot;:&quot;&quot;,&quot;suffix&quot;:&quot;&quot;}},&quot;hasBrokenReferences&quot;:false,&quot;hasManualEdits&quot;:false,&quot;citationType&quot;:&quot;inline&quot;,&quot;id&quot;:903667555,&quot;citationText&quot;:&quot;&lt;span style=\&quot;font-family:Calibri;font-size:14.666666666666666px;color:#000000\&quot;&gt;(Muehlon 2022)&lt;/span&gt;&quot;},&quot;990469092&quot;:{&quot;referencesIds&quot;:[&quot;doc:628276438f089b685951eda1&quot;],&quot;referencesOptions&quot;:{&quot;doc:628276438f089b685951eda1&quot;:{&quot;author&quot;:true,&quot;year&quot;:true,&quot;pageReplace&quot;:&quot;&quot;,&quot;prefix&quot;:&quot;&quot;,&quot;suffix&quot;:&quot;&quot;}},&quot;hasBrokenReferences&quot;:false,&quot;hasManualEdits&quot;:false,&quot;citationType&quot;:&quot;inline&quot;,&quot;id&quot;:990469092,&quot;citationText&quot;:&quot;&lt;span style=\&quot;font-family:Calibri;font-size:14.666666666666666px;color:#000000\&quot;&gt;(Tweed 2011)&lt;/span&gt;&quot;},&quot;1028340166&quot;:{&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028340166,&quot;citationText&quot;:&quot;&lt;span style=\&quot;font-family:Calibri;font-size:14.666666666666666px;color:#000000\&quot;&gt;(Tingström, Swanström et al. 2006)&lt;/span&gt;&quot;},&quot;1040556234&quot;:{&quot;referencesIds&quot;:[&quot;doc:627613048f0837f2078bacc3&quot;],&quot;referencesOptions&quot;:{&quot;doc:627613048f0837f2078bacc3&quot;:{&quot;author&quot;:true,&quot;year&quot;:true,&quot;pageReplace&quot;:&quot;&quot;,&quot;prefix&quot;:&quot;&quot;,&quot;suffix&quot;:&quot;&quot;}},&quot;hasBrokenReferences&quot;:false,&quot;hasManualEdits&quot;:false,&quot;citationType&quot;:&quot;inline&quot;,&quot;id&quot;:1040556234,&quot;citationText&quot;:&quot;&lt;span style=\&quot;font-family:Calibri;font-size:14.666666666666666px;color:#000000\&quot;&gt;(Ramachandran 2019)&lt;/span&gt;&quot;},&quot;1047326292&quot;:{&quot;referencesIds&quot;:[&quot;doc:6282337f8f08457c71cee56f&quot;],&quot;referencesOptions&quot;:{&quot;doc:6282337f8f08457c71cee56f&quot;:{&quot;author&quot;:true,&quot;year&quot;:true,&quot;pageReplace&quot;:&quot;&quot;,&quot;prefix&quot;:&quot;&quot;,&quot;suffix&quot;:&quot;&quot;}},&quot;hasBrokenReferences&quot;:false,&quot;hasManualEdits&quot;:false,&quot;citationType&quot;:&quot;inline&quot;,&quot;id&quot;:1047326292,&quot;citationText&quot;:&quot;&lt;span style=\&quot;font-family:Calibri;font-size:14.666666666666666px;color:#000000\&quot;&gt;(Bove 2022)&lt;/span&gt;&quot;},&quot;1100888143&quot;:{&quot;referencesIds&quot;:[&quot;doc:6285d0e98f08e7cc0789b9d2&quot;],&quot;referencesOptions&quot;:{&quot;doc:6285d0e98f08e7cc0789b9d2&quot;:{&quot;author&quot;:true,&quot;year&quot;:true,&quot;pageReplace&quot;:&quot;&quot;,&quot;prefix&quot;:&quot;&quot;,&quot;suffix&quot;:&quot;&quot;}},&quot;hasBrokenReferences&quot;:false,&quot;hasManualEdits&quot;:false,&quot;citationType&quot;:&quot;inline&quot;,&quot;id&quot;:1100888143,&quot;citationText&quot;:&quot;&lt;span style=\&quot;font-family:Calibri;font-size:14.666666666666666px;color:#000000\&quot;&gt;(Piercy 2017)&lt;/span&gt;&quot;},&quot;1117819193&quot;:{&quot;referencesIds&quot;:[&quot;doc:6288913e8f08cba10f957148&quot;],&quot;referencesOptions&quot;:{&quot;doc:6288913e8f08cba10f957148&quot;:{&quot;author&quot;:true,&quot;year&quot;:true,&quot;pageReplace&quot;:&quot;&quot;,&quot;prefix&quot;:&quot;&quot;,&quot;suffix&quot;:&quot;&quot;}},&quot;hasBrokenReferences&quot;:false,&quot;hasManualEdits&quot;:false,&quot;citationType&quot;:&quot;inline&quot;,&quot;id&quot;:1117819193,&quot;citationText&quot;:&quot;&lt;span style=\&quot;font-family:Calibri;font-size:14.666666666666666px;color:#000000\&quot;&gt;(Muehlon 2022)&lt;/span&gt;&quot;},&quot;1147658268&quot;:{&quot;referencesIds&quot;:[&quot;doc:6284da3e8f0887ca4a1f6215&quot;],&quot;referencesOptions&quot;:{&quot;doc:6284da3e8f0887ca4a1f6215&quot;:{&quot;author&quot;:true,&quot;year&quot;:true,&quot;pageReplace&quot;:&quot;&quot;,&quot;prefix&quot;:&quot;&quot;,&quot;suffix&quot;:&quot;&quot;}},&quot;hasBrokenReferences&quot;:false,&quot;hasManualEdits&quot;:false,&quot;citationType&quot;:&quot;inline&quot;,&quot;id&quot;:1147658268,&quot;citationText&quot;:&quot;&lt;span style=\&quot;font-family:Calibri;font-size:14.666666666666666px;color:#000000\&quot;&gt;(ABB 2022)&lt;/span&gt;&quot;},&quot;1244982158&quot;:{&quot;referencesIds&quot;:[&quot;doc:628382a08f084bf47f33aa65&quot;],&quot;referencesOptions&quot;:{&quot;doc:628382a08f084bf47f33aa65&quot;:{&quot;author&quot;:true,&quot;year&quot;:true,&quot;pageReplace&quot;:&quot;&quot;,&quot;prefix&quot;:&quot;&quot;,&quot;suffix&quot;:&quot;&quot;}},&quot;hasBrokenReferences&quot;:false,&quot;hasManualEdits&quot;:false,&quot;citationType&quot;:&quot;inline&quot;,&quot;id&quot;:1244982158,&quot;citationText&quot;:&quot;&lt;span style=\&quot;font-family:Calibri;font-size:14.666666666666666px;color:#000000\&quot;&gt;(Schilling 2022)&lt;/span&gt;&quot;},&quot;1248196770&quot;:{&quot;referencesIds&quot;:[&quot;doc:626e67f88f085c4d3e7bd34d&quot;],&quot;referencesOptions&quot;:{&quot;doc:626e67f88f085c4d3e7bd34d&quot;:{&quot;author&quot;:true,&quot;year&quot;:true,&quot;pageReplace&quot;:&quot;&quot;,&quot;prefix&quot;:&quot;&quot;,&quot;suffix&quot;:&quot;&quot;}},&quot;hasBrokenReferences&quot;:false,&quot;hasManualEdits&quot;:false,&quot;citationType&quot;:&quot;inline&quot;,&quot;id&quot;:1248196770,&quot;citationText&quot;:&quot;&lt;span style=\&quot;font-family:Calibri;font-size:14.666666666666666px;color:#000000\&quot;&gt;(Burt 1999)&lt;/span&gt;&quot;},&quot;1279345703&quot;:{&quot;referencesIds&quot;:[&quot;doc:6282772f8f08c907a1b82953&quot;],&quot;referencesOptions&quot;:{&quot;doc:6282772f8f08c907a1b82953&quot;:{&quot;author&quot;:true,&quot;year&quot;:true,&quot;pageReplace&quot;:&quot;&quot;,&quot;prefix&quot;:&quot;&quot;,&quot;suffix&quot;:&quot;&quot;}},&quot;hasBrokenReferences&quot;:false,&quot;hasManualEdits&quot;:false,&quot;citationType&quot;:&quot;inline&quot;,&quot;id&quot;:1279345703,&quot;citationText&quot;:&quot;&lt;span style=\&quot;font-family:Calibri;font-size:14.666666666666666px;color:#000000\&quot;&gt;(Tweed 2016)&lt;/span&gt;&quot;},&quot;1311271348&quot;:{&quot;referencesIds&quot;:[&quot;doc:628879bf8f08b47d912fa344&quot;],&quot;referencesOptions&quot;:{&quot;doc:628879bf8f08b47d912fa344&quot;:{&quot;author&quot;:true,&quot;year&quot;:true,&quot;pageReplace&quot;:&quot;&quot;,&quot;prefix&quot;:&quot;&quot;,&quot;suffix&quot;:&quot;&quot;}},&quot;hasBrokenReferences&quot;:false,&quot;hasManualEdits&quot;:false,&quot;citationType&quot;:&quot;inline&quot;,&quot;id&quot;:1311271348,&quot;citationText&quot;:&quot;&lt;span style=\&quot;font-family:Calibri;font-size:14.666666666666666px;color:#000000\&quot;&gt;(Dittli, Gabriella Hunter und Mark 2022)&lt;/span&gt;&quot;},&quot;1355744185&quot;:{&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355744185,&quot;citationText&quot;:&quot;&lt;span style=\&quot;font-family:Calibri;font-size:14.666666666666666px;color:#000000\&quot;&gt;(Tingström, Swanström et al. 2006)&lt;/span&gt;&quot;},&quot;1380589592&quot;:{&quot;referencesIds&quot;:[&quot;doc:628226578f08f5b36bde4df4&quot;],&quot;referencesOptions&quot;:{&quot;doc:628226578f08f5b36bde4df4&quot;:{&quot;author&quot;:true,&quot;year&quot;:true,&quot;pageReplace&quot;:&quot;&quot;,&quot;prefix&quot;:&quot;&quot;,&quot;suffix&quot;:&quot;&quot;}},&quot;hasBrokenReferences&quot;:false,&quot;hasManualEdits&quot;:false,&quot;citationType&quot;:&quot;inline&quot;,&quot;id&quot;:1380589592,&quot;citationText&quot;:&quot;&lt;span style=\&quot;font-family:Calibri;font-size:14.666666666666666px;color:#000000\&quot;&gt;(, ABB Group Annual Report 2020 - English2022)&lt;/span&gt;&quot;},&quot;1381011654&quot;:{&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381011654,&quot;citationText&quot;:&quot;&lt;span style=\&quot;font-family:Calibri;font-size:14.666666666666666px;color:#000000\&quot;&gt;(Tingström, Swanström et al. 2006)&lt;/span&gt;&quot;},&quot;1485246726&quot;:{&quot;referencesIds&quot;:[&quot;doc:628226578f08f5b36bde4df4&quot;],&quot;referencesOptions&quot;:{&quot;doc:628226578f08f5b36bde4df4&quot;:{&quot;author&quot;:true,&quot;year&quot;:true,&quot;pageReplace&quot;:&quot;&quot;,&quot;prefix&quot;:&quot;&quot;,&quot;suffix&quot;:&quot;&quot;}},&quot;hasBrokenReferences&quot;:false,&quot;hasManualEdits&quot;:false,&quot;citationType&quot;:&quot;inline&quot;,&quot;id&quot;:1485246726,&quot;citationText&quot;:&quot;&lt;span style=\&quot;font-family:Calibri;font-size:14.666666666666666px;color:#000000\&quot;&gt;(, ABB Group Annual Report 2020 - English2022)&lt;/span&gt;&quot;},&quot;1489510116&quot;:{&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489510116,&quot;citationText&quot;:&quot;&lt;span style=\&quot;font-family:Calibri;font-size:14.666666666666666px;color:#000000\&quot;&gt;(Tingström, Swanström et al. 2006)&lt;/span&gt;&quot;},&quot;1494056351&quot;:{&quot;referencesIds&quot;:[&quot;doc:6280b6e58f0873b18018b0d2&quot;],&quot;referencesOptions&quot;:{&quot;doc:6280b6e58f0873b18018b0d2&quot;:{&quot;author&quot;:true,&quot;year&quot;:true,&quot;pageReplace&quot;:&quot;&quot;,&quot;prefix&quot;:&quot;&quot;,&quot;suffix&quot;:&quot;&quot;}},&quot;hasBrokenReferences&quot;:false,&quot;hasManualEdits&quot;:false,&quot;citationType&quot;:&quot;inline&quot;,&quot;id&quot;:1494056351,&quot;citationText&quot;:&quot;&lt;span style=\&quot;font-family:Calibri;font-size:14.666666666666666px;color:#000000\&quot;&gt;(The future of EV charging infrastructure: Executive perspectives. 2021)&lt;/span&gt;&quot;},&quot;1559298862&quot;:{&quot;referencesIds&quot;:[&quot;doc:628293c28f084bf47f338fa1&quot;],&quot;referencesOptions&quot;:{&quot;doc:628293c28f084bf47f338fa1&quot;:{&quot;author&quot;:true,&quot;year&quot;:true,&quot;pageReplace&quot;:&quot;&quot;,&quot;prefix&quot;:&quot;&quot;,&quot;suffix&quot;:&quot;&quot;}},&quot;hasBrokenReferences&quot;:false,&quot;hasManualEdits&quot;:false,&quot;citationType&quot;:&quot;inline&quot;,&quot;id&quot;:1559298862,&quot;citationText&quot;:&quot;&lt;span style=\&quot;font-family:Calibri;font-size:14.666666666666666px;color:#000000\&quot;&gt;(ABB Group 2022b)&lt;/span&gt;&quot;},&quot;1563078829&quot;:{&quot;referencesIds&quot;:[&quot;doc:6270c5c78f08ad510fa17c83&quot;],&quot;referencesOptions&quot;:{&quot;doc:6270c5c78f08ad510fa17c83&quot;:{&quot;author&quot;:true,&quot;year&quot;:true,&quot;pageReplace&quot;:&quot;&quot;,&quot;prefix&quot;:&quot;&quot;,&quot;suffix&quot;:&quot;&quot;}},&quot;hasBrokenReferences&quot;:false,&quot;hasManualEdits&quot;:false,&quot;citationType&quot;:&quot;inline&quot;,&quot;id&quot;:1563078829,&quot;citationText&quot;:&quot;&lt;span style=\&quot;font-family:Calibri;font-size:14.666666666666666px;color:#000000\&quot;&gt;(Schaefer 2018)&lt;/span&gt;&quot;},&quot;1589528474&quot;:{&quot;referencesIds&quot;:[&quot;doc:62823f918f081c0392ab2e19&quot;],&quot;referencesOptions&quot;:{&quot;doc:62823f918f081c0392ab2e19&quot;:{&quot;author&quot;:true,&quot;year&quot;:true,&quot;pageReplace&quot;:&quot;&quot;,&quot;prefix&quot;:&quot;&quot;,&quot;suffix&quot;:&quot;&quot;}},&quot;hasBrokenReferences&quot;:false,&quot;hasManualEdits&quot;:false,&quot;citationType&quot;:&quot;inline&quot;,&quot;id&quot;:1589528474,&quot;citationText&quot;:&quot;&lt;span style=\&quot;font-family:Calibri;font-size:14.666666666666666px;color:#000000\&quot;&gt;(Switzerland : ABB e-mobility business recognized as one of Europe's Cleantech Companies of the Decade. 2014)&lt;/span&gt;&quot;},&quot;1589900027&quot;:{&quot;referencesIds&quot;:[&quot;doc:6284cdaa8f08d54c707a41da&quot;],&quot;referencesOptions&quot;:{&quot;doc:6284cdaa8f08d54c707a41da&quot;:{&quot;author&quot;:true,&quot;year&quot;:true,&quot;pageReplace&quot;:&quot;&quot;,&quot;prefix&quot;:&quot;&quot;,&quot;suffix&quot;:&quot;&quot;}},&quot;hasBrokenReferences&quot;:false,&quot;hasManualEdits&quot;:false,&quot;citationType&quot;:&quot;inline&quot;,&quot;id&quot;:1589900027,&quot;citationText&quot;:&quot;&lt;span style=\&quot;font-family:Calibri;font-size:14.666666666666666px;color:#000000\&quot;&gt;(ABB Group b)&lt;/span&gt;&quot;},&quot;1606812772&quot;:{&quot;referencesIds&quot;:[&quot;doc:6270c5c78f08ad510fa17c83&quot;],&quot;referencesOptions&quot;:{&quot;doc:6270c5c78f08ad510fa17c83&quot;:{&quot;author&quot;:true,&quot;year&quot;:true,&quot;pageReplace&quot;:&quot;&quot;,&quot;prefix&quot;:&quot;&quot;,&quot;suffix&quot;:&quot;&quot;}},&quot;hasBrokenReferences&quot;:false,&quot;hasManualEdits&quot;:false,&quot;citationType&quot;:&quot;inline&quot;,&quot;id&quot;:1606812772,&quot;citationText&quot;:&quot;&lt;span style=\&quot;font-family:Calibri;font-size:14.666666666666666px;color:#000000\&quot;&gt;(Schaefer 2018)&lt;/span&gt;&quot;},&quot;1621044777&quot;:{&quot;referencesIds&quot;:[&quot;doc:62760abb8f0837f2078bac91&quot;],&quot;referencesOptions&quot;:{&quot;doc:62760abb8f0837f2078bac91&quot;:{&quot;author&quot;:true,&quot;year&quot;:true,&quot;pageReplace&quot;:&quot;&quot;,&quot;prefix&quot;:&quot;&quot;,&quot;suffix&quot;:&quot;&quot;}},&quot;hasBrokenReferences&quot;:false,&quot;hasManualEdits&quot;:false,&quot;citationType&quot;:&quot;inline&quot;,&quot;id&quot;:1621044777,&quot;citationText&quot;:&quot;&lt;span style=\&quot;font-family:Calibri;font-size:14.666666666666666px;color:#000000\&quot;&gt;(Tingström, Swanström et al. 2006)&lt;/span&gt;&quot;},&quot;1675140843&quot;:{&quot;referencesIds&quot;:[&quot;doc:6276cf238f0892490b1315ef&quot;],&quot;referencesOptions&quot;:{&quot;doc:6276cf238f0892490b1315ef&quot;:{&quot;author&quot;:true,&quot;year&quot;:true,&quot;pageReplace&quot;:&quot;&quot;,&quot;prefix&quot;:&quot;&quot;,&quot;suffix&quot;:&quot;&quot;}},&quot;hasBrokenReferences&quot;:false,&quot;hasManualEdits&quot;:false,&quot;citationType&quot;:&quot;inline&quot;,&quot;id&quot;:1675140843,&quot;citationText&quot;:&quot;&lt;span style=\&quot;font-family:Calibri;font-size:14.666666666666666px;color:#000000\&quot;&gt;(ABB Develops DC Backbone for High-Power EV Chargers. 2018)&lt;/span&gt;&quot;},&quot;1879971067&quot;:{&quot;referencesIds&quot;:[&quot;doc:6270c5c78f08ad510fa17c83&quot;],&quot;referencesOptions&quot;:{&quot;doc:6270c5c78f08ad510fa17c83&quot;:{&quot;author&quot;:true,&quot;year&quot;:true,&quot;pageReplace&quot;:&quot;&quot;,&quot;prefix&quot;:&quot;&quot;,&quot;suffix&quot;:&quot;&quot;}},&quot;hasBrokenReferences&quot;:false,&quot;hasManualEdits&quot;:false,&quot;citationType&quot;:&quot;inline&quot;,&quot;id&quot;:1879971067,&quot;citationText&quot;:&quot;&lt;span style=\&quot;font-family:Calibri;font-size:14.666666666666666px;color:#000000\&quot;&gt;(Schaefer 2018)&lt;/span&gt;&quot;},&quot;1928789703&quot;:{&quot;referencesIds&quot;:[&quot;doc:62822ac58f081c0392ab2a12&quot;],&quot;referencesOptions&quot;:{&quot;doc:62822ac58f081c0392ab2a12&quot;:{&quot;author&quot;:true,&quot;year&quot;:true,&quot;pageReplace&quot;:&quot;&quot;,&quot;prefix&quot;:&quot;&quot;,&quot;suffix&quot;:&quot;&quot;}},&quot;hasBrokenReferences&quot;:false,&quot;hasManualEdits&quot;:false,&quot;citationType&quot;:&quot;inline&quot;,&quot;id&quot;:1928789703,&quot;citationText&quot;:&quot;&lt;span style=\&quot;font-family:Calibri;font-size:14.666666666666666px;color:#000000\&quot;&gt;(Reuters 2022)&lt;/span&gt;&quot;},&quot;2028153761&quot;:{&quot;referencesIds&quot;:[&quot;doc:628382a08f084bf47f33aa65&quot;],&quot;referencesOptions&quot;:{&quot;doc:628382a08f084bf47f33aa65&quot;:{&quot;author&quot;:true,&quot;year&quot;:true,&quot;pageReplace&quot;:&quot;&quot;,&quot;prefix&quot;:&quot;&quot;,&quot;suffix&quot;:&quot;&quot;}},&quot;hasBrokenReferences&quot;:false,&quot;hasManualEdits&quot;:false,&quot;citationType&quot;:&quot;inline&quot;,&quot;id&quot;:2028153761,&quot;citationText&quot;:&quot;&lt;span style=\&quot;font-family:Calibri;font-size:14.666666666666666px;color:#000000\&quot;&gt;(Schilling 2022)&lt;/span&gt;&quot;},&quot;2063099720&quot;:{&quot;referencesIds&quot;:[&quot;doc:6280b6e58f0873b18018b0d2&quot;],&quot;referencesOptions&quot;:{&quot;doc:6280b6e58f0873b18018b0d2&quot;:{&quot;author&quot;:true,&quot;year&quot;:true,&quot;pageReplace&quot;:&quot;&quot;,&quot;prefix&quot;:&quot;&quot;,&quot;suffix&quot;:&quot;&quot;}},&quot;hasBrokenReferences&quot;:false,&quot;hasManualEdits&quot;:false,&quot;citationType&quot;:&quot;inline&quot;,&quot;id&quot;:2063099720,&quot;citationText&quot;:&quot;&lt;span style=\&quot;font-family:Calibri;font-size:14.666666666666666px;color:#000000\&quot;&gt;(The future of EV charging infrastructure: Executive perspectives. 2021)&lt;/span&gt;&quot;},&quot;2108167947&quot;:{&quot;referencesIds&quot;:[&quot;doc:628226578f08f5b36bde4df4&quot;],&quot;referencesOptions&quot;:{&quot;doc:628226578f08f5b36bde4df4&quot;:{&quot;author&quot;:true,&quot;year&quot;:true,&quot;pageReplace&quot;:&quot;&quot;,&quot;prefix&quot;:&quot;&quot;,&quot;suffix&quot;:&quot;&quot;}},&quot;hasBrokenReferences&quot;:false,&quot;hasManualEdits&quot;:false,&quot;citationType&quot;:&quot;inline&quot;,&quot;id&quot;:2108167947,&quot;citationText&quot;:&quot;&lt;span style=\&quot;font-family:Calibri;font-size:14.666666666666666px;color:#000000\&quot;&gt;(, ABB Group Annual Report 2020 - English2022)&lt;/span&gt;&quot;}}"/>
    <we:property name="rw.control.unlocked" value="true"/>
    <we:property name="rw.officeVersion" value="&quot;1.3&quot;"/>
    <we:property name="bibliographyEnabled" value="&quot;bibliographyEnabled&quot;"/>
    <we:property name="rw.userId" value="&quot;user:620f90728f08f85e55258ca3&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50C68E-7977-4035-A107-1B1317C04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4252</Words>
  <Characters>24237</Characters>
  <Application>Microsoft Office Word</Application>
  <DocSecurity>0</DocSecurity>
  <Lines>201</Lines>
  <Paragraphs>56</Paragraphs>
  <ScaleCrop>false</ScaleCrop>
  <Company/>
  <LinksUpToDate>false</LinksUpToDate>
  <CharactersWithSpaces>28433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B submission by Chris Davies (Student No. 2126255)</dc:title>
  <dc:subject/>
  <dc:creator>Christopher</dc:creator>
  <cp:keywords/>
  <dc:description/>
  <cp:lastModifiedBy>Christopher Davies</cp:lastModifiedBy>
  <cp:revision>3</cp:revision>
  <dcterms:created xsi:type="dcterms:W3CDTF">2022-05-22T06:42:00Z</dcterms:created>
  <dcterms:modified xsi:type="dcterms:W3CDTF">2022-05-22T06:48:00Z</dcterms:modified>
</cp:coreProperties>
</file>