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5F6D6" w14:textId="77777777" w:rsidR="00FB5C47" w:rsidRPr="005D76B6" w:rsidRDefault="00FB5C47" w:rsidP="00FB5C47">
      <w:pPr>
        <w:rPr>
          <w:rFonts w:ascii="Arial" w:hAnsi="Arial" w:cs="Arial"/>
          <w:b/>
          <w:bCs/>
          <w:sz w:val="22"/>
          <w:szCs w:val="22"/>
          <w:u w:val="single"/>
          <w:lang w:val="en-US"/>
        </w:rPr>
      </w:pPr>
      <w:bookmarkStart w:id="0" w:name="OLE_LINK1"/>
      <w:bookmarkStart w:id="1" w:name="OLE_LINK11"/>
      <w:bookmarkStart w:id="2" w:name="OLE_LINK4"/>
      <w:r>
        <w:rPr>
          <w:rFonts w:ascii="Arial" w:hAnsi="Arial" w:cs="Arial"/>
          <w:b/>
          <w:bCs/>
          <w:sz w:val="22"/>
          <w:szCs w:val="22"/>
          <w:u w:val="single"/>
          <w:lang w:val="en-US"/>
        </w:rPr>
        <w:t xml:space="preserve">                                               </w:t>
      </w:r>
    </w:p>
    <w:p w14:paraId="230B2851" w14:textId="77777777" w:rsidR="00FB5C47" w:rsidRDefault="00FB5C47" w:rsidP="00FB5C47">
      <w:pPr>
        <w:tabs>
          <w:tab w:val="left" w:pos="4512"/>
        </w:tabs>
        <w:rPr>
          <w:color w:val="000000" w:themeColor="text1"/>
          <w:sz w:val="22"/>
          <w:szCs w:val="22"/>
        </w:rPr>
      </w:pPr>
    </w:p>
    <w:p w14:paraId="7E166438" w14:textId="77777777" w:rsidR="00FB5C47" w:rsidRDefault="00FB5C47" w:rsidP="00FB5C47">
      <w:pPr>
        <w:jc w:val="center"/>
        <w:rPr>
          <w:sz w:val="22"/>
          <w:szCs w:val="22"/>
          <w:lang w:val="en-US"/>
        </w:rPr>
      </w:pPr>
      <w:r w:rsidRPr="00AA1F3F">
        <w:rPr>
          <w:noProof/>
          <w:sz w:val="22"/>
          <w:szCs w:val="22"/>
          <w:lang w:val="en-US"/>
        </w:rPr>
        <w:drawing>
          <wp:inline distT="0" distB="0" distL="0" distR="0" wp14:anchorId="6F5F69E0" wp14:editId="3A6DBB26">
            <wp:extent cx="3208020" cy="1432560"/>
            <wp:effectExtent l="0" t="0" r="0" b="0"/>
            <wp:docPr id="1374420262" name="Picture 6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0262" name="Picture 6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3C0FAC69" w14:textId="77777777" w:rsidR="00FB5C47" w:rsidRDefault="00FB5C47" w:rsidP="00FB5C47">
      <w:pPr>
        <w:jc w:val="center"/>
        <w:rPr>
          <w:b/>
          <w:sz w:val="36"/>
          <w:szCs w:val="36"/>
        </w:rPr>
      </w:pPr>
    </w:p>
    <w:p w14:paraId="4055F98F" w14:textId="77777777" w:rsidR="00FB5C47" w:rsidRDefault="00FB5C47" w:rsidP="00FB5C47">
      <w:pPr>
        <w:jc w:val="center"/>
        <w:rPr>
          <w:b/>
          <w:sz w:val="36"/>
          <w:szCs w:val="36"/>
        </w:rPr>
      </w:pPr>
    </w:p>
    <w:p w14:paraId="7EDD50B5" w14:textId="77777777" w:rsidR="0042563F" w:rsidRDefault="0042563F" w:rsidP="0042563F">
      <w:pPr>
        <w:jc w:val="center"/>
        <w:rPr>
          <w:b/>
          <w:bCs/>
          <w:sz w:val="36"/>
          <w:szCs w:val="36"/>
        </w:rPr>
      </w:pPr>
      <w:r w:rsidRPr="0042563F">
        <w:rPr>
          <w:b/>
          <w:bCs/>
          <w:sz w:val="36"/>
          <w:szCs w:val="36"/>
        </w:rPr>
        <w:t>Digital Transformation in the Health and Care Professions (BMHP6026_BIRM)</w:t>
      </w:r>
    </w:p>
    <w:p w14:paraId="4F9ED44B" w14:textId="77777777" w:rsidR="000E729D" w:rsidRPr="0042563F" w:rsidRDefault="000E729D" w:rsidP="0042563F">
      <w:pPr>
        <w:jc w:val="center"/>
        <w:rPr>
          <w:b/>
          <w:bCs/>
          <w:sz w:val="36"/>
          <w:szCs w:val="36"/>
        </w:rPr>
      </w:pPr>
    </w:p>
    <w:p w14:paraId="3D53AC61" w14:textId="32962D5F" w:rsidR="00FB5C47" w:rsidRPr="000E729D" w:rsidRDefault="000E729D" w:rsidP="000E729D">
      <w:pPr>
        <w:jc w:val="center"/>
        <w:rPr>
          <w:b/>
          <w:sz w:val="36"/>
          <w:szCs w:val="36"/>
        </w:rPr>
      </w:pPr>
      <w:r w:rsidRPr="00734AAF">
        <w:rPr>
          <w:b/>
          <w:sz w:val="36"/>
          <w:szCs w:val="36"/>
        </w:rPr>
        <w:t xml:space="preserve">Component </w:t>
      </w:r>
      <w:r>
        <w:rPr>
          <w:b/>
          <w:sz w:val="36"/>
          <w:szCs w:val="36"/>
        </w:rPr>
        <w:t>1</w:t>
      </w:r>
      <w:r w:rsidRPr="00734AAF">
        <w:rPr>
          <w:b/>
          <w:sz w:val="36"/>
          <w:szCs w:val="36"/>
        </w:rPr>
        <w:t>:</w:t>
      </w:r>
      <w:r>
        <w:rPr>
          <w:b/>
          <w:sz w:val="36"/>
          <w:szCs w:val="36"/>
        </w:rPr>
        <w:t xml:space="preserve"> Report</w:t>
      </w:r>
    </w:p>
    <w:p w14:paraId="0307EF9E" w14:textId="77777777" w:rsidR="000E729D" w:rsidRPr="00643A7A" w:rsidRDefault="000E729D" w:rsidP="00FB5C47">
      <w:pPr>
        <w:jc w:val="center"/>
        <w:rPr>
          <w:b/>
          <w:bCs/>
          <w:sz w:val="36"/>
          <w:szCs w:val="36"/>
        </w:rPr>
      </w:pPr>
    </w:p>
    <w:p w14:paraId="4E08DF60" w14:textId="16DCA58E" w:rsidR="00FB5C47" w:rsidRPr="004D0C7F" w:rsidRDefault="004D0C7F" w:rsidP="00FB5C47">
      <w:pPr>
        <w:jc w:val="center"/>
        <w:rPr>
          <w:b/>
          <w:sz w:val="48"/>
          <w:szCs w:val="48"/>
        </w:rPr>
      </w:pPr>
      <w:r w:rsidRPr="004D0C7F">
        <w:rPr>
          <w:rFonts w:ascii="Arial" w:hAnsi="Arial" w:cs="Arial"/>
          <w:b/>
          <w:bCs/>
          <w:sz w:val="32"/>
          <w:szCs w:val="32"/>
          <w:u w:val="single"/>
        </w:rPr>
        <w:t xml:space="preserve"> Virtual Ward Implementation in UK Healthcare</w:t>
      </w:r>
    </w:p>
    <w:p w14:paraId="67C059D0" w14:textId="77777777" w:rsidR="00FB5C47" w:rsidRDefault="00FB5C47" w:rsidP="00E239F5">
      <w:pPr>
        <w:rPr>
          <w:b/>
          <w:sz w:val="36"/>
          <w:szCs w:val="36"/>
        </w:rPr>
      </w:pPr>
    </w:p>
    <w:p w14:paraId="59426710" w14:textId="77777777" w:rsidR="00FB5C47" w:rsidRDefault="00FB5C47" w:rsidP="00FB5C47">
      <w:pPr>
        <w:jc w:val="center"/>
        <w:rPr>
          <w:b/>
          <w:sz w:val="36"/>
          <w:szCs w:val="36"/>
        </w:rPr>
      </w:pPr>
      <w:r>
        <w:rPr>
          <w:b/>
          <w:sz w:val="36"/>
          <w:szCs w:val="36"/>
        </w:rPr>
        <w:t>Thara Bi (2243859)</w:t>
      </w:r>
    </w:p>
    <w:p w14:paraId="40D0ED13" w14:textId="77777777" w:rsidR="00FA0EE3" w:rsidRDefault="00FA0EE3" w:rsidP="00FB5C47">
      <w:pPr>
        <w:jc w:val="center"/>
        <w:rPr>
          <w:b/>
          <w:sz w:val="36"/>
          <w:szCs w:val="36"/>
        </w:rPr>
      </w:pPr>
    </w:p>
    <w:p w14:paraId="4823C620" w14:textId="77777777" w:rsidR="00E239F5" w:rsidRDefault="00E239F5" w:rsidP="00E239F5">
      <w:pPr>
        <w:jc w:val="center"/>
        <w:rPr>
          <w:b/>
          <w:sz w:val="36"/>
          <w:szCs w:val="36"/>
        </w:rPr>
      </w:pPr>
      <w:r>
        <w:rPr>
          <w:b/>
          <w:sz w:val="36"/>
          <w:szCs w:val="36"/>
        </w:rPr>
        <w:t>Joanne Davies</w:t>
      </w:r>
    </w:p>
    <w:p w14:paraId="6134F83A" w14:textId="77777777" w:rsidR="00E239F5" w:rsidRDefault="00E239F5" w:rsidP="00FB5C47">
      <w:pPr>
        <w:jc w:val="center"/>
        <w:rPr>
          <w:b/>
          <w:sz w:val="36"/>
          <w:szCs w:val="36"/>
        </w:rPr>
      </w:pPr>
    </w:p>
    <w:p w14:paraId="384980D8" w14:textId="419DBCDA" w:rsidR="00FA0EE3" w:rsidRPr="009A26BA" w:rsidRDefault="00FA0EE3" w:rsidP="00FB5C47">
      <w:pPr>
        <w:jc w:val="center"/>
        <w:rPr>
          <w:b/>
          <w:sz w:val="36"/>
          <w:szCs w:val="36"/>
        </w:rPr>
      </w:pPr>
      <w:r>
        <w:rPr>
          <w:b/>
          <w:sz w:val="36"/>
          <w:szCs w:val="36"/>
        </w:rPr>
        <w:t>1</w:t>
      </w:r>
      <w:r w:rsidRPr="00FA0EE3">
        <w:rPr>
          <w:b/>
          <w:sz w:val="36"/>
          <w:szCs w:val="36"/>
          <w:vertAlign w:val="superscript"/>
        </w:rPr>
        <w:t>st</w:t>
      </w:r>
      <w:r>
        <w:rPr>
          <w:b/>
          <w:sz w:val="36"/>
          <w:szCs w:val="36"/>
        </w:rPr>
        <w:t xml:space="preserve"> March 2026 </w:t>
      </w:r>
    </w:p>
    <w:p w14:paraId="6378BD3B" w14:textId="77777777" w:rsidR="00FB5C47" w:rsidRDefault="00FB5C47" w:rsidP="00FB5C47">
      <w:pPr>
        <w:jc w:val="center"/>
        <w:rPr>
          <w:b/>
          <w:sz w:val="36"/>
          <w:szCs w:val="36"/>
        </w:rPr>
      </w:pPr>
    </w:p>
    <w:p w14:paraId="29F12F52" w14:textId="4A61B715" w:rsidR="00812434" w:rsidRDefault="00812434" w:rsidP="00FB5C47">
      <w:pPr>
        <w:rPr>
          <w:rFonts w:ascii="Arial" w:hAnsi="Arial" w:cs="Arial"/>
          <w:b/>
          <w:bCs/>
          <w:sz w:val="22"/>
          <w:szCs w:val="22"/>
          <w:u w:val="single"/>
        </w:rPr>
      </w:pPr>
      <w:r>
        <w:rPr>
          <w:rFonts w:ascii="Arial" w:hAnsi="Arial" w:cs="Arial"/>
          <w:b/>
          <w:bCs/>
          <w:sz w:val="22"/>
          <w:szCs w:val="22"/>
          <w:u w:val="single"/>
        </w:rPr>
        <w:br w:type="page"/>
      </w:r>
    </w:p>
    <w:sdt>
      <w:sdtPr>
        <w:rPr>
          <w:rFonts w:asciiTheme="minorHAnsi" w:eastAsiaTheme="minorHAnsi" w:hAnsiTheme="minorHAnsi" w:cstheme="minorBidi"/>
          <w:color w:val="auto"/>
          <w:kern w:val="2"/>
          <w:sz w:val="24"/>
          <w:szCs w:val="24"/>
          <w:lang w:eastAsia="en-US"/>
          <w14:ligatures w14:val="standardContextual"/>
        </w:rPr>
        <w:id w:val="1138143044"/>
        <w:docPartObj>
          <w:docPartGallery w:val="Table of Contents"/>
          <w:docPartUnique/>
        </w:docPartObj>
      </w:sdtPr>
      <w:sdtEndPr>
        <w:rPr>
          <w:b/>
          <w:bCs/>
        </w:rPr>
      </w:sdtEndPr>
      <w:sdtContent>
        <w:p w14:paraId="285D271A" w14:textId="36381E32" w:rsidR="00BF4A7D" w:rsidRDefault="00BF4A7D">
          <w:pPr>
            <w:pStyle w:val="TOCHeading"/>
            <w:rPr>
              <w:rFonts w:ascii="Arial" w:hAnsi="Arial" w:cs="Arial"/>
              <w:b/>
              <w:bCs/>
              <w:color w:val="auto"/>
              <w:sz w:val="22"/>
              <w:szCs w:val="22"/>
              <w:u w:val="single"/>
            </w:rPr>
          </w:pPr>
          <w:r w:rsidRPr="00C23742">
            <w:rPr>
              <w:rFonts w:ascii="Arial" w:hAnsi="Arial" w:cs="Arial"/>
              <w:b/>
              <w:bCs/>
              <w:color w:val="auto"/>
              <w:sz w:val="22"/>
              <w:szCs w:val="22"/>
              <w:u w:val="single"/>
            </w:rPr>
            <w:t>Contents</w:t>
          </w:r>
        </w:p>
        <w:p w14:paraId="1C05C6E6" w14:textId="77777777" w:rsidR="00C74D57" w:rsidRPr="00C74D57" w:rsidRDefault="00C74D57" w:rsidP="00C74D57">
          <w:pPr>
            <w:rPr>
              <w:lang w:eastAsia="en-GB"/>
            </w:rPr>
          </w:pPr>
        </w:p>
        <w:p w14:paraId="03E5696D" w14:textId="7D3E97F5" w:rsidR="00093D59" w:rsidRDefault="00BF4A7D">
          <w:pPr>
            <w:pStyle w:val="TOC1"/>
            <w:tabs>
              <w:tab w:val="right" w:leader="dot" w:pos="9016"/>
            </w:tabs>
            <w:rPr>
              <w:rFonts w:eastAsiaTheme="minorEastAsia"/>
              <w:noProof/>
              <w:lang w:eastAsia="en-GB"/>
            </w:rPr>
          </w:pPr>
          <w:r w:rsidRPr="00C23742">
            <w:rPr>
              <w:sz w:val="22"/>
              <w:szCs w:val="22"/>
            </w:rPr>
            <w:fldChar w:fldCharType="begin"/>
          </w:r>
          <w:r w:rsidRPr="00C23742">
            <w:rPr>
              <w:sz w:val="22"/>
              <w:szCs w:val="22"/>
            </w:rPr>
            <w:instrText xml:space="preserve"> TOC \o "1-3" \h \z \u </w:instrText>
          </w:r>
          <w:r w:rsidRPr="00C23742">
            <w:rPr>
              <w:sz w:val="22"/>
              <w:szCs w:val="22"/>
            </w:rPr>
            <w:fldChar w:fldCharType="separate"/>
          </w:r>
          <w:hyperlink w:anchor="_Toc222173714" w:history="1">
            <w:r w:rsidR="00093D59" w:rsidRPr="00A847BF">
              <w:rPr>
                <w:rStyle w:val="Hyperlink"/>
                <w:rFonts w:ascii="Arial" w:hAnsi="Arial" w:cs="Arial"/>
                <w:b/>
                <w:bCs/>
                <w:noProof/>
              </w:rPr>
              <w:t>A Critical Analysis of Virtual Ward Implementation in UK Healthcare</w:t>
            </w:r>
            <w:r w:rsidR="00093D59">
              <w:rPr>
                <w:noProof/>
                <w:webHidden/>
              </w:rPr>
              <w:tab/>
            </w:r>
            <w:r w:rsidR="00093D59">
              <w:rPr>
                <w:noProof/>
                <w:webHidden/>
              </w:rPr>
              <w:fldChar w:fldCharType="begin"/>
            </w:r>
            <w:r w:rsidR="00093D59">
              <w:rPr>
                <w:noProof/>
                <w:webHidden/>
              </w:rPr>
              <w:instrText xml:space="preserve"> PAGEREF _Toc222173714 \h </w:instrText>
            </w:r>
            <w:r w:rsidR="00093D59">
              <w:rPr>
                <w:noProof/>
                <w:webHidden/>
              </w:rPr>
            </w:r>
            <w:r w:rsidR="00093D59">
              <w:rPr>
                <w:noProof/>
                <w:webHidden/>
              </w:rPr>
              <w:fldChar w:fldCharType="separate"/>
            </w:r>
            <w:r w:rsidR="00093D59">
              <w:rPr>
                <w:noProof/>
                <w:webHidden/>
              </w:rPr>
              <w:t>3</w:t>
            </w:r>
            <w:r w:rsidR="00093D59">
              <w:rPr>
                <w:noProof/>
                <w:webHidden/>
              </w:rPr>
              <w:fldChar w:fldCharType="end"/>
            </w:r>
          </w:hyperlink>
        </w:p>
        <w:p w14:paraId="130A38CB" w14:textId="11ABAFE7" w:rsidR="00093D59" w:rsidRDefault="00093D59">
          <w:pPr>
            <w:pStyle w:val="TOC1"/>
            <w:tabs>
              <w:tab w:val="right" w:leader="dot" w:pos="9016"/>
            </w:tabs>
            <w:rPr>
              <w:rFonts w:eastAsiaTheme="minorEastAsia"/>
              <w:noProof/>
              <w:lang w:eastAsia="en-GB"/>
            </w:rPr>
          </w:pPr>
          <w:hyperlink w:anchor="_Toc222173715" w:history="1">
            <w:r w:rsidRPr="00A847B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_Toc222173715 \h </w:instrText>
            </w:r>
            <w:r>
              <w:rPr>
                <w:noProof/>
                <w:webHidden/>
              </w:rPr>
            </w:r>
            <w:r>
              <w:rPr>
                <w:noProof/>
                <w:webHidden/>
              </w:rPr>
              <w:fldChar w:fldCharType="separate"/>
            </w:r>
            <w:r>
              <w:rPr>
                <w:noProof/>
                <w:webHidden/>
              </w:rPr>
              <w:t>3</w:t>
            </w:r>
            <w:r>
              <w:rPr>
                <w:noProof/>
                <w:webHidden/>
              </w:rPr>
              <w:fldChar w:fldCharType="end"/>
            </w:r>
          </w:hyperlink>
        </w:p>
        <w:p w14:paraId="0A316E16" w14:textId="34F549F9" w:rsidR="00093D59" w:rsidRDefault="00093D59">
          <w:pPr>
            <w:pStyle w:val="TOC2"/>
            <w:tabs>
              <w:tab w:val="right" w:leader="dot" w:pos="9016"/>
            </w:tabs>
            <w:rPr>
              <w:rFonts w:eastAsiaTheme="minorEastAsia"/>
              <w:noProof/>
              <w:lang w:eastAsia="en-GB"/>
            </w:rPr>
          </w:pPr>
          <w:hyperlink w:anchor="_Toc222173716" w:history="1">
            <w:r w:rsidRPr="00A847BF">
              <w:rPr>
                <w:rStyle w:val="Hyperlink"/>
                <w:rFonts w:ascii="Arial" w:hAnsi="Arial" w:cs="Arial"/>
                <w:b/>
                <w:bCs/>
                <w:noProof/>
              </w:rPr>
              <w:t>Table 1: Virtual Ward Capacity and Occupancy</w:t>
            </w:r>
            <w:r>
              <w:rPr>
                <w:noProof/>
                <w:webHidden/>
              </w:rPr>
              <w:tab/>
            </w:r>
            <w:r>
              <w:rPr>
                <w:noProof/>
                <w:webHidden/>
              </w:rPr>
              <w:fldChar w:fldCharType="begin"/>
            </w:r>
            <w:r>
              <w:rPr>
                <w:noProof/>
                <w:webHidden/>
              </w:rPr>
              <w:instrText xml:space="preserve"> PAGEREF _Toc222173716 \h </w:instrText>
            </w:r>
            <w:r>
              <w:rPr>
                <w:noProof/>
                <w:webHidden/>
              </w:rPr>
            </w:r>
            <w:r>
              <w:rPr>
                <w:noProof/>
                <w:webHidden/>
              </w:rPr>
              <w:fldChar w:fldCharType="separate"/>
            </w:r>
            <w:r>
              <w:rPr>
                <w:noProof/>
                <w:webHidden/>
              </w:rPr>
              <w:t>3</w:t>
            </w:r>
            <w:r>
              <w:rPr>
                <w:noProof/>
                <w:webHidden/>
              </w:rPr>
              <w:fldChar w:fldCharType="end"/>
            </w:r>
          </w:hyperlink>
        </w:p>
        <w:p w14:paraId="2558E729" w14:textId="0F90503B" w:rsidR="00093D59" w:rsidRDefault="00093D59">
          <w:pPr>
            <w:pStyle w:val="TOC1"/>
            <w:tabs>
              <w:tab w:val="right" w:leader="dot" w:pos="9016"/>
            </w:tabs>
            <w:rPr>
              <w:rFonts w:eastAsiaTheme="minorEastAsia"/>
              <w:noProof/>
              <w:lang w:eastAsia="en-GB"/>
            </w:rPr>
          </w:pPr>
          <w:hyperlink w:anchor="_Toc222173717" w:history="1">
            <w:r w:rsidRPr="00A847BF">
              <w:rPr>
                <w:rStyle w:val="Hyperlink"/>
                <w:rFonts w:ascii="Arial" w:hAnsi="Arial" w:cs="Arial"/>
                <w:b/>
                <w:bCs/>
                <w:noProof/>
              </w:rPr>
              <w:t>Impact on the Healthcare Workforce</w:t>
            </w:r>
            <w:r>
              <w:rPr>
                <w:noProof/>
                <w:webHidden/>
              </w:rPr>
              <w:tab/>
            </w:r>
            <w:r>
              <w:rPr>
                <w:noProof/>
                <w:webHidden/>
              </w:rPr>
              <w:fldChar w:fldCharType="begin"/>
            </w:r>
            <w:r>
              <w:rPr>
                <w:noProof/>
                <w:webHidden/>
              </w:rPr>
              <w:instrText xml:space="preserve"> PAGEREF _Toc222173717 \h </w:instrText>
            </w:r>
            <w:r>
              <w:rPr>
                <w:noProof/>
                <w:webHidden/>
              </w:rPr>
            </w:r>
            <w:r>
              <w:rPr>
                <w:noProof/>
                <w:webHidden/>
              </w:rPr>
              <w:fldChar w:fldCharType="separate"/>
            </w:r>
            <w:r>
              <w:rPr>
                <w:noProof/>
                <w:webHidden/>
              </w:rPr>
              <w:t>4</w:t>
            </w:r>
            <w:r>
              <w:rPr>
                <w:noProof/>
                <w:webHidden/>
              </w:rPr>
              <w:fldChar w:fldCharType="end"/>
            </w:r>
          </w:hyperlink>
        </w:p>
        <w:p w14:paraId="5EA8C6F7" w14:textId="16DAF9F5" w:rsidR="00093D59" w:rsidRDefault="00093D59">
          <w:pPr>
            <w:pStyle w:val="TOC1"/>
            <w:tabs>
              <w:tab w:val="right" w:leader="dot" w:pos="9016"/>
            </w:tabs>
            <w:rPr>
              <w:rFonts w:eastAsiaTheme="minorEastAsia"/>
              <w:noProof/>
              <w:lang w:eastAsia="en-GB"/>
            </w:rPr>
          </w:pPr>
          <w:hyperlink w:anchor="_Toc222173718" w:history="1">
            <w:r w:rsidRPr="00A847BF">
              <w:rPr>
                <w:rStyle w:val="Hyperlink"/>
                <w:rFonts w:ascii="Arial" w:hAnsi="Arial" w:cs="Arial"/>
                <w:b/>
                <w:bCs/>
                <w:noProof/>
              </w:rPr>
              <w:t>Impact on the Patient/Service User Experience</w:t>
            </w:r>
            <w:r>
              <w:rPr>
                <w:noProof/>
                <w:webHidden/>
              </w:rPr>
              <w:tab/>
            </w:r>
            <w:r>
              <w:rPr>
                <w:noProof/>
                <w:webHidden/>
              </w:rPr>
              <w:fldChar w:fldCharType="begin"/>
            </w:r>
            <w:r>
              <w:rPr>
                <w:noProof/>
                <w:webHidden/>
              </w:rPr>
              <w:instrText xml:space="preserve"> PAGEREF _Toc222173718 \h </w:instrText>
            </w:r>
            <w:r>
              <w:rPr>
                <w:noProof/>
                <w:webHidden/>
              </w:rPr>
            </w:r>
            <w:r>
              <w:rPr>
                <w:noProof/>
                <w:webHidden/>
              </w:rPr>
              <w:fldChar w:fldCharType="separate"/>
            </w:r>
            <w:r>
              <w:rPr>
                <w:noProof/>
                <w:webHidden/>
              </w:rPr>
              <w:t>6</w:t>
            </w:r>
            <w:r>
              <w:rPr>
                <w:noProof/>
                <w:webHidden/>
              </w:rPr>
              <w:fldChar w:fldCharType="end"/>
            </w:r>
          </w:hyperlink>
        </w:p>
        <w:p w14:paraId="0BE5DEFB" w14:textId="385717E7" w:rsidR="00093D59" w:rsidRDefault="00093D59">
          <w:pPr>
            <w:pStyle w:val="TOC1"/>
            <w:tabs>
              <w:tab w:val="right" w:leader="dot" w:pos="9016"/>
            </w:tabs>
            <w:rPr>
              <w:rFonts w:eastAsiaTheme="minorEastAsia"/>
              <w:noProof/>
              <w:lang w:eastAsia="en-GB"/>
            </w:rPr>
          </w:pPr>
          <w:hyperlink w:anchor="_Toc222173719" w:history="1">
            <w:r w:rsidRPr="00A847BF">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_Toc222173719 \h </w:instrText>
            </w:r>
            <w:r>
              <w:rPr>
                <w:noProof/>
                <w:webHidden/>
              </w:rPr>
            </w:r>
            <w:r>
              <w:rPr>
                <w:noProof/>
                <w:webHidden/>
              </w:rPr>
              <w:fldChar w:fldCharType="separate"/>
            </w:r>
            <w:r>
              <w:rPr>
                <w:noProof/>
                <w:webHidden/>
              </w:rPr>
              <w:t>9</w:t>
            </w:r>
            <w:r>
              <w:rPr>
                <w:noProof/>
                <w:webHidden/>
              </w:rPr>
              <w:fldChar w:fldCharType="end"/>
            </w:r>
          </w:hyperlink>
        </w:p>
        <w:p w14:paraId="0CA7F038" w14:textId="37D2F522" w:rsidR="00093D59" w:rsidRDefault="00093D59">
          <w:pPr>
            <w:pStyle w:val="TOC2"/>
            <w:tabs>
              <w:tab w:val="right" w:leader="dot" w:pos="9016"/>
            </w:tabs>
            <w:rPr>
              <w:rFonts w:eastAsiaTheme="minorEastAsia"/>
              <w:noProof/>
              <w:lang w:eastAsia="en-GB"/>
            </w:rPr>
          </w:pPr>
          <w:hyperlink w:anchor="_Toc222173720" w:history="1">
            <w:r w:rsidRPr="00A847BF">
              <w:rPr>
                <w:rStyle w:val="Hyperlink"/>
                <w:rFonts w:ascii="Arial" w:hAnsi="Arial" w:cs="Arial"/>
                <w:b/>
                <w:bCs/>
                <w:noProof/>
              </w:rPr>
              <w:t>1. Practice and Workforce Development</w:t>
            </w:r>
            <w:r>
              <w:rPr>
                <w:noProof/>
                <w:webHidden/>
              </w:rPr>
              <w:tab/>
            </w:r>
            <w:r>
              <w:rPr>
                <w:noProof/>
                <w:webHidden/>
              </w:rPr>
              <w:fldChar w:fldCharType="begin"/>
            </w:r>
            <w:r>
              <w:rPr>
                <w:noProof/>
                <w:webHidden/>
              </w:rPr>
              <w:instrText xml:space="preserve"> PAGEREF _Toc222173720 \h </w:instrText>
            </w:r>
            <w:r>
              <w:rPr>
                <w:noProof/>
                <w:webHidden/>
              </w:rPr>
            </w:r>
            <w:r>
              <w:rPr>
                <w:noProof/>
                <w:webHidden/>
              </w:rPr>
              <w:fldChar w:fldCharType="separate"/>
            </w:r>
            <w:r>
              <w:rPr>
                <w:noProof/>
                <w:webHidden/>
              </w:rPr>
              <w:t>9</w:t>
            </w:r>
            <w:r>
              <w:rPr>
                <w:noProof/>
                <w:webHidden/>
              </w:rPr>
              <w:fldChar w:fldCharType="end"/>
            </w:r>
          </w:hyperlink>
        </w:p>
        <w:p w14:paraId="21B74E31" w14:textId="77D20CD3" w:rsidR="00093D59" w:rsidRDefault="00093D59">
          <w:pPr>
            <w:pStyle w:val="TOC2"/>
            <w:tabs>
              <w:tab w:val="right" w:leader="dot" w:pos="9016"/>
            </w:tabs>
            <w:rPr>
              <w:rFonts w:eastAsiaTheme="minorEastAsia"/>
              <w:noProof/>
              <w:lang w:eastAsia="en-GB"/>
            </w:rPr>
          </w:pPr>
          <w:hyperlink w:anchor="_Toc222173721" w:history="1">
            <w:r w:rsidRPr="00A847BF">
              <w:rPr>
                <w:rStyle w:val="Hyperlink"/>
                <w:rFonts w:ascii="Arial" w:hAnsi="Arial" w:cs="Arial"/>
                <w:b/>
                <w:bCs/>
                <w:noProof/>
              </w:rPr>
              <w:t>2. Policy and Health Equity</w:t>
            </w:r>
            <w:r>
              <w:rPr>
                <w:noProof/>
                <w:webHidden/>
              </w:rPr>
              <w:tab/>
            </w:r>
            <w:r>
              <w:rPr>
                <w:noProof/>
                <w:webHidden/>
              </w:rPr>
              <w:fldChar w:fldCharType="begin"/>
            </w:r>
            <w:r>
              <w:rPr>
                <w:noProof/>
                <w:webHidden/>
              </w:rPr>
              <w:instrText xml:space="preserve"> PAGEREF _Toc222173721 \h </w:instrText>
            </w:r>
            <w:r>
              <w:rPr>
                <w:noProof/>
                <w:webHidden/>
              </w:rPr>
            </w:r>
            <w:r>
              <w:rPr>
                <w:noProof/>
                <w:webHidden/>
              </w:rPr>
              <w:fldChar w:fldCharType="separate"/>
            </w:r>
            <w:r>
              <w:rPr>
                <w:noProof/>
                <w:webHidden/>
              </w:rPr>
              <w:t>9</w:t>
            </w:r>
            <w:r>
              <w:rPr>
                <w:noProof/>
                <w:webHidden/>
              </w:rPr>
              <w:fldChar w:fldCharType="end"/>
            </w:r>
          </w:hyperlink>
        </w:p>
        <w:p w14:paraId="103F69F9" w14:textId="318AD8BE" w:rsidR="00093D59" w:rsidRDefault="00093D59">
          <w:pPr>
            <w:pStyle w:val="TOC2"/>
            <w:tabs>
              <w:tab w:val="right" w:leader="dot" w:pos="9016"/>
            </w:tabs>
            <w:rPr>
              <w:rFonts w:eastAsiaTheme="minorEastAsia"/>
              <w:noProof/>
              <w:lang w:eastAsia="en-GB"/>
            </w:rPr>
          </w:pPr>
          <w:hyperlink w:anchor="_Toc222173722" w:history="1">
            <w:r w:rsidRPr="00A847BF">
              <w:rPr>
                <w:rStyle w:val="Hyperlink"/>
                <w:rFonts w:ascii="Arial" w:hAnsi="Arial" w:cs="Arial"/>
                <w:b/>
                <w:bCs/>
                <w:noProof/>
              </w:rPr>
              <w:t>3. Future Service Configuration</w:t>
            </w:r>
            <w:r>
              <w:rPr>
                <w:noProof/>
                <w:webHidden/>
              </w:rPr>
              <w:tab/>
            </w:r>
            <w:r>
              <w:rPr>
                <w:noProof/>
                <w:webHidden/>
              </w:rPr>
              <w:fldChar w:fldCharType="begin"/>
            </w:r>
            <w:r>
              <w:rPr>
                <w:noProof/>
                <w:webHidden/>
              </w:rPr>
              <w:instrText xml:space="preserve"> PAGEREF _Toc222173722 \h </w:instrText>
            </w:r>
            <w:r>
              <w:rPr>
                <w:noProof/>
                <w:webHidden/>
              </w:rPr>
            </w:r>
            <w:r>
              <w:rPr>
                <w:noProof/>
                <w:webHidden/>
              </w:rPr>
              <w:fldChar w:fldCharType="separate"/>
            </w:r>
            <w:r>
              <w:rPr>
                <w:noProof/>
                <w:webHidden/>
              </w:rPr>
              <w:t>9</w:t>
            </w:r>
            <w:r>
              <w:rPr>
                <w:noProof/>
                <w:webHidden/>
              </w:rPr>
              <w:fldChar w:fldCharType="end"/>
            </w:r>
          </w:hyperlink>
        </w:p>
        <w:p w14:paraId="6BD12376" w14:textId="2890CC36" w:rsidR="00093D59" w:rsidRDefault="00093D59">
          <w:pPr>
            <w:pStyle w:val="TOC1"/>
            <w:tabs>
              <w:tab w:val="right" w:leader="dot" w:pos="9016"/>
            </w:tabs>
            <w:rPr>
              <w:rFonts w:eastAsiaTheme="minorEastAsia"/>
              <w:noProof/>
              <w:lang w:eastAsia="en-GB"/>
            </w:rPr>
          </w:pPr>
          <w:hyperlink w:anchor="_Toc222173723" w:history="1">
            <w:r w:rsidRPr="00A847B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_Toc222173723 \h </w:instrText>
            </w:r>
            <w:r>
              <w:rPr>
                <w:noProof/>
                <w:webHidden/>
              </w:rPr>
            </w:r>
            <w:r>
              <w:rPr>
                <w:noProof/>
                <w:webHidden/>
              </w:rPr>
              <w:fldChar w:fldCharType="separate"/>
            </w:r>
            <w:r>
              <w:rPr>
                <w:noProof/>
                <w:webHidden/>
              </w:rPr>
              <w:t>10</w:t>
            </w:r>
            <w:r>
              <w:rPr>
                <w:noProof/>
                <w:webHidden/>
              </w:rPr>
              <w:fldChar w:fldCharType="end"/>
            </w:r>
          </w:hyperlink>
        </w:p>
        <w:p w14:paraId="514A53F0" w14:textId="009E40C2" w:rsidR="00093D59" w:rsidRDefault="00093D59">
          <w:pPr>
            <w:pStyle w:val="TOC1"/>
            <w:tabs>
              <w:tab w:val="right" w:leader="dot" w:pos="9016"/>
            </w:tabs>
            <w:rPr>
              <w:rFonts w:eastAsiaTheme="minorEastAsia"/>
              <w:noProof/>
              <w:lang w:eastAsia="en-GB"/>
            </w:rPr>
          </w:pPr>
          <w:hyperlink w:anchor="_Toc222173724" w:history="1">
            <w:r w:rsidRPr="00A847B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_Toc222173724 \h </w:instrText>
            </w:r>
            <w:r>
              <w:rPr>
                <w:noProof/>
                <w:webHidden/>
              </w:rPr>
            </w:r>
            <w:r>
              <w:rPr>
                <w:noProof/>
                <w:webHidden/>
              </w:rPr>
              <w:fldChar w:fldCharType="separate"/>
            </w:r>
            <w:r>
              <w:rPr>
                <w:noProof/>
                <w:webHidden/>
              </w:rPr>
              <w:t>11</w:t>
            </w:r>
            <w:r>
              <w:rPr>
                <w:noProof/>
                <w:webHidden/>
              </w:rPr>
              <w:fldChar w:fldCharType="end"/>
            </w:r>
          </w:hyperlink>
        </w:p>
        <w:p w14:paraId="18B1DC0D" w14:textId="2B82F196" w:rsidR="00BF4A7D" w:rsidRDefault="00BF4A7D">
          <w:r w:rsidRPr="00C23742">
            <w:rPr>
              <w:b/>
              <w:bCs/>
              <w:sz w:val="22"/>
              <w:szCs w:val="22"/>
            </w:rPr>
            <w:fldChar w:fldCharType="end"/>
          </w:r>
        </w:p>
      </w:sdtContent>
    </w:sdt>
    <w:p w14:paraId="335F3ECF" w14:textId="77777777" w:rsidR="00503BDB" w:rsidRPr="005D43C8" w:rsidRDefault="00503BDB" w:rsidP="005D43C8">
      <w:pPr>
        <w:spacing w:line="360" w:lineRule="auto"/>
        <w:jc w:val="both"/>
        <w:rPr>
          <w:rFonts w:ascii="Arial" w:hAnsi="Arial" w:cs="Arial"/>
          <w:b/>
          <w:bCs/>
          <w:sz w:val="22"/>
          <w:szCs w:val="22"/>
          <w:u w:val="single"/>
        </w:rPr>
      </w:pPr>
      <w:r w:rsidRPr="005D43C8">
        <w:rPr>
          <w:rFonts w:ascii="Arial" w:hAnsi="Arial" w:cs="Arial"/>
          <w:b/>
          <w:bCs/>
          <w:sz w:val="22"/>
          <w:szCs w:val="22"/>
          <w:u w:val="single"/>
        </w:rPr>
        <w:br w:type="page"/>
      </w:r>
    </w:p>
    <w:p w14:paraId="5745F396" w14:textId="61355827" w:rsidR="00C6706B" w:rsidRPr="00FE4590" w:rsidRDefault="00503BDB" w:rsidP="00FE4590">
      <w:pPr>
        <w:pStyle w:val="Heading1"/>
        <w:rPr>
          <w:rFonts w:ascii="Arial" w:hAnsi="Arial" w:cs="Arial"/>
          <w:b/>
          <w:bCs/>
          <w:color w:val="auto"/>
          <w:sz w:val="22"/>
          <w:szCs w:val="22"/>
          <w:u w:val="single"/>
        </w:rPr>
      </w:pPr>
      <w:bookmarkStart w:id="3" w:name="_Toc222173714"/>
      <w:r w:rsidRPr="00FE4590">
        <w:rPr>
          <w:rFonts w:ascii="Arial" w:hAnsi="Arial" w:cs="Arial"/>
          <w:b/>
          <w:bCs/>
          <w:color w:val="auto"/>
          <w:sz w:val="22"/>
          <w:szCs w:val="22"/>
          <w:u w:val="single"/>
        </w:rPr>
        <w:lastRenderedPageBreak/>
        <w:t xml:space="preserve">A </w:t>
      </w:r>
      <w:r w:rsidR="00C6706B" w:rsidRPr="00FE4590">
        <w:rPr>
          <w:rFonts w:ascii="Arial" w:hAnsi="Arial" w:cs="Arial"/>
          <w:b/>
          <w:bCs/>
          <w:color w:val="auto"/>
          <w:sz w:val="22"/>
          <w:szCs w:val="22"/>
          <w:u w:val="single"/>
        </w:rPr>
        <w:t>Critical Analysis of Virtual Ward Implementation in UK Healthcare</w:t>
      </w:r>
      <w:bookmarkEnd w:id="3"/>
      <w:r w:rsidR="00C6706B" w:rsidRPr="00FE4590">
        <w:rPr>
          <w:rFonts w:ascii="Arial" w:hAnsi="Arial" w:cs="Arial"/>
          <w:b/>
          <w:bCs/>
          <w:color w:val="auto"/>
          <w:sz w:val="22"/>
          <w:szCs w:val="22"/>
          <w:u w:val="single"/>
        </w:rPr>
        <w:t xml:space="preserve"> </w:t>
      </w:r>
    </w:p>
    <w:p w14:paraId="2EDEE4DA" w14:textId="77777777" w:rsidR="00C6706B" w:rsidRPr="000E17C5" w:rsidRDefault="00C6706B" w:rsidP="000E17C5">
      <w:pPr>
        <w:spacing w:line="360" w:lineRule="auto"/>
        <w:rPr>
          <w:rFonts w:ascii="Arial" w:hAnsi="Arial" w:cs="Arial"/>
          <w:b/>
          <w:bCs/>
          <w:sz w:val="22"/>
          <w:szCs w:val="22"/>
        </w:rPr>
      </w:pPr>
    </w:p>
    <w:p w14:paraId="50057B16" w14:textId="2BAFD6AD" w:rsidR="00F94452" w:rsidRDefault="00F94452" w:rsidP="00FE4590">
      <w:pPr>
        <w:pStyle w:val="Heading1"/>
        <w:rPr>
          <w:rFonts w:ascii="Arial" w:hAnsi="Arial" w:cs="Arial"/>
          <w:b/>
          <w:bCs/>
          <w:color w:val="000000" w:themeColor="text1"/>
          <w:sz w:val="22"/>
          <w:szCs w:val="22"/>
          <w:u w:val="single"/>
        </w:rPr>
      </w:pPr>
      <w:bookmarkStart w:id="4" w:name="OLE_LINK5"/>
      <w:bookmarkStart w:id="5" w:name="_Toc222173715"/>
      <w:r w:rsidRPr="00A03130">
        <w:rPr>
          <w:rFonts w:ascii="Arial" w:hAnsi="Arial" w:cs="Arial"/>
          <w:b/>
          <w:bCs/>
          <w:color w:val="000000" w:themeColor="text1"/>
          <w:sz w:val="22"/>
          <w:szCs w:val="22"/>
          <w:u w:val="single"/>
        </w:rPr>
        <w:t>Introduction:</w:t>
      </w:r>
      <w:bookmarkEnd w:id="5"/>
    </w:p>
    <w:p w14:paraId="546E8B70" w14:textId="77777777" w:rsidR="005A56A3" w:rsidRPr="005A56A3" w:rsidRDefault="005A56A3" w:rsidP="005A56A3"/>
    <w:p w14:paraId="7D4FC83D" w14:textId="5647661A" w:rsidR="00F94452" w:rsidRPr="000E17C5" w:rsidRDefault="00F94452" w:rsidP="004E4DD1">
      <w:pPr>
        <w:spacing w:line="360" w:lineRule="auto"/>
        <w:jc w:val="both"/>
        <w:rPr>
          <w:rFonts w:ascii="Arial" w:hAnsi="Arial" w:cs="Arial"/>
          <w:sz w:val="22"/>
          <w:szCs w:val="22"/>
        </w:rPr>
      </w:pPr>
      <w:r w:rsidRPr="000E17C5">
        <w:rPr>
          <w:rFonts w:ascii="Arial" w:hAnsi="Arial" w:cs="Arial"/>
          <w:sz w:val="22"/>
          <w:szCs w:val="22"/>
        </w:rPr>
        <w:t xml:space="preserve">The NHS faces mounting sustainability challenges from demographic ageing, rising multimorbidity, workforce gaps, and persistent hospital bed pressures (NHS England, 2022a). To address these pressures, services increasingly adopt digital innovations enabling care outside hospital wards (NHS Confederation, 2025). The Virtual Ward (VW) model, or Hospital at Home, is among the most significant national innovations of the past decade (NHS England, 2023a). Virtual wards use home monitoring devices, including pulse oximeters and blood pressure cuffs, plus digital surveillance platforms and multidisciplinary support to deliver acute </w:t>
      </w:r>
      <w:r w:rsidR="004E4DD1">
        <w:rPr>
          <w:rFonts w:ascii="Arial" w:hAnsi="Arial" w:cs="Arial"/>
          <w:sz w:val="22"/>
          <w:szCs w:val="22"/>
        </w:rPr>
        <w:t>hospital-standard</w:t>
      </w:r>
      <w:r w:rsidRPr="000E17C5">
        <w:rPr>
          <w:rFonts w:ascii="Arial" w:hAnsi="Arial" w:cs="Arial"/>
          <w:sz w:val="22"/>
          <w:szCs w:val="22"/>
        </w:rPr>
        <w:t xml:space="preserve"> treatment at home (NHS England, 2023a). NHS England's national virtual ward scheme, launched in April 2022, aims to provide 40</w:t>
      </w:r>
      <w:r w:rsidR="00673001">
        <w:rPr>
          <w:rFonts w:ascii="Arial" w:hAnsi="Arial" w:cs="Arial"/>
          <w:sz w:val="22"/>
          <w:szCs w:val="22"/>
        </w:rPr>
        <w:t>-</w:t>
      </w:r>
      <w:r w:rsidRPr="000E17C5">
        <w:rPr>
          <w:rFonts w:ascii="Arial" w:hAnsi="Arial" w:cs="Arial"/>
          <w:sz w:val="22"/>
          <w:szCs w:val="22"/>
        </w:rPr>
        <w:t xml:space="preserve">50 virtual beds per 100,000 population to relieve acute capacity pressures, reduce preventable stays, and support </w:t>
      </w:r>
      <w:r w:rsidR="00673001">
        <w:rPr>
          <w:rFonts w:ascii="Arial" w:hAnsi="Arial" w:cs="Arial"/>
          <w:sz w:val="22"/>
          <w:szCs w:val="22"/>
        </w:rPr>
        <w:t>patient-centred</w:t>
      </w:r>
      <w:r w:rsidRPr="000E17C5">
        <w:rPr>
          <w:rFonts w:ascii="Arial" w:hAnsi="Arial" w:cs="Arial"/>
          <w:sz w:val="22"/>
          <w:szCs w:val="22"/>
        </w:rPr>
        <w:t xml:space="preserve"> care (The Health Foundation, 2022</w:t>
      </w:r>
      <w:bookmarkStart w:id="6" w:name="OLE_LINK9"/>
      <w:r w:rsidRPr="000E17C5">
        <w:rPr>
          <w:rFonts w:ascii="Arial" w:hAnsi="Arial" w:cs="Arial"/>
          <w:sz w:val="22"/>
          <w:szCs w:val="22"/>
        </w:rPr>
        <w:t>).</w:t>
      </w:r>
      <w:bookmarkEnd w:id="6"/>
      <w:r w:rsidR="003E104A" w:rsidRPr="003E104A">
        <w:t xml:space="preserve"> </w:t>
      </w:r>
      <w:bookmarkStart w:id="7" w:name="OLE_LINK7"/>
      <w:r w:rsidR="003E104A" w:rsidRPr="003E104A">
        <w:rPr>
          <w:rFonts w:ascii="Arial" w:hAnsi="Arial" w:cs="Arial"/>
          <w:sz w:val="22"/>
          <w:szCs w:val="22"/>
        </w:rPr>
        <w:t xml:space="preserve">However, uptake was slow: </w:t>
      </w:r>
      <w:bookmarkEnd w:id="7"/>
      <w:r w:rsidR="00EE4722" w:rsidRPr="00EE4722">
        <w:rPr>
          <w:rFonts w:ascii="Arial" w:hAnsi="Arial" w:cs="Arial"/>
          <w:sz w:val="22"/>
          <w:szCs w:val="22"/>
        </w:rPr>
        <w:t>By December 2023, NHS England virtual ward beds had reached just under 73% occupancy</w:t>
      </w:r>
      <w:r w:rsidR="005734BD">
        <w:rPr>
          <w:rFonts w:ascii="Arial" w:hAnsi="Arial" w:cs="Arial"/>
          <w:sz w:val="22"/>
          <w:szCs w:val="22"/>
        </w:rPr>
        <w:t xml:space="preserve"> </w:t>
      </w:r>
      <w:r w:rsidR="005734BD" w:rsidRPr="005734BD">
        <w:rPr>
          <w:rFonts w:ascii="Arial" w:hAnsi="Arial" w:cs="Arial"/>
          <w:sz w:val="22"/>
          <w:szCs w:val="22"/>
        </w:rPr>
        <w:t>(Chappell et al., 2024</w:t>
      </w:r>
      <w:r w:rsidR="008B7697">
        <w:rPr>
          <w:rFonts w:ascii="Arial" w:hAnsi="Arial" w:cs="Arial"/>
          <w:sz w:val="22"/>
          <w:szCs w:val="22"/>
        </w:rPr>
        <w:t xml:space="preserve">). </w:t>
      </w:r>
      <w:proofErr w:type="gramStart"/>
      <w:r w:rsidRPr="000E17C5">
        <w:rPr>
          <w:rFonts w:ascii="Arial" w:hAnsi="Arial" w:cs="Arial"/>
          <w:sz w:val="22"/>
          <w:szCs w:val="22"/>
        </w:rPr>
        <w:t>While</w:t>
      </w:r>
      <w:proofErr w:type="gramEnd"/>
      <w:r w:rsidRPr="000E17C5">
        <w:rPr>
          <w:rFonts w:ascii="Arial" w:hAnsi="Arial" w:cs="Arial"/>
          <w:sz w:val="22"/>
          <w:szCs w:val="22"/>
        </w:rPr>
        <w:t xml:space="preserve"> policy discourse highlights the transformative potential of virtual wards, emerging evidence shows varied and complex implementation outcomes</w:t>
      </w:r>
      <w:r w:rsidR="00214F49">
        <w:rPr>
          <w:rFonts w:ascii="Arial" w:hAnsi="Arial" w:cs="Arial"/>
          <w:sz w:val="22"/>
          <w:szCs w:val="22"/>
        </w:rPr>
        <w:t>.</w:t>
      </w:r>
    </w:p>
    <w:p w14:paraId="250027EC" w14:textId="3BE0FDB5" w:rsidR="001238CB" w:rsidRDefault="00BF5614" w:rsidP="001238CB">
      <w:pPr>
        <w:spacing w:line="360" w:lineRule="auto"/>
        <w:jc w:val="both"/>
        <w:rPr>
          <w:rFonts w:ascii="Arial" w:hAnsi="Arial" w:cs="Arial"/>
          <w:color w:val="000000" w:themeColor="text1"/>
          <w:sz w:val="22"/>
          <w:szCs w:val="22"/>
        </w:rPr>
      </w:pPr>
      <w:r w:rsidRPr="000E17C5">
        <w:rPr>
          <w:rFonts w:ascii="Arial" w:hAnsi="Arial" w:cs="Arial"/>
          <w:color w:val="000000" w:themeColor="text1"/>
          <w:sz w:val="22"/>
          <w:szCs w:val="22"/>
        </w:rPr>
        <w:t xml:space="preserve">Additionally, </w:t>
      </w:r>
      <w:r w:rsidR="00AD296F">
        <w:rPr>
          <w:rFonts w:ascii="Arial" w:hAnsi="Arial" w:cs="Arial"/>
          <w:color w:val="000000" w:themeColor="text1"/>
          <w:sz w:val="22"/>
          <w:szCs w:val="22"/>
        </w:rPr>
        <w:t>Table</w:t>
      </w:r>
      <w:r w:rsidRPr="000E17C5">
        <w:rPr>
          <w:rFonts w:ascii="Arial" w:hAnsi="Arial" w:cs="Arial"/>
          <w:color w:val="000000" w:themeColor="text1"/>
          <w:sz w:val="22"/>
          <w:szCs w:val="22"/>
        </w:rPr>
        <w:t xml:space="preserve"> 1 demonstrates that although virtual ward capacity grew modestly by 6% (12,059 to 12,825 beds), occupancy increased more sharply from 69.7% to 76.2% (NHS England, 2024</w:t>
      </w:r>
      <w:r w:rsidR="00E253AB">
        <w:rPr>
          <w:rFonts w:ascii="Arial" w:hAnsi="Arial" w:cs="Arial"/>
          <w:color w:val="000000" w:themeColor="text1"/>
          <w:sz w:val="22"/>
          <w:szCs w:val="22"/>
        </w:rPr>
        <w:t>b</w:t>
      </w:r>
      <w:r w:rsidR="00CE7780">
        <w:rPr>
          <w:rFonts w:ascii="Arial" w:hAnsi="Arial" w:cs="Arial"/>
          <w:color w:val="000000" w:themeColor="text1"/>
          <w:sz w:val="22"/>
          <w:szCs w:val="22"/>
        </w:rPr>
        <w:t>)</w:t>
      </w:r>
      <w:r w:rsidRPr="000E17C5">
        <w:rPr>
          <w:rFonts w:ascii="Arial" w:hAnsi="Arial" w:cs="Arial"/>
          <w:color w:val="000000" w:themeColor="text1"/>
          <w:sz w:val="22"/>
          <w:szCs w:val="22"/>
        </w:rPr>
        <w:t xml:space="preserve">. While this indicates improved efficiency, it also implies increasing pressure on existing infrastructure, potentially limiting the model’s scalability without </w:t>
      </w:r>
      <w:r w:rsidR="001238CB" w:rsidRPr="000E17C5">
        <w:rPr>
          <w:rFonts w:ascii="Arial" w:hAnsi="Arial" w:cs="Arial"/>
          <w:color w:val="000000" w:themeColor="text1"/>
          <w:sz w:val="22"/>
          <w:szCs w:val="22"/>
        </w:rPr>
        <w:t xml:space="preserve">further </w:t>
      </w:r>
      <w:r w:rsidR="001238CB">
        <w:rPr>
          <w:rFonts w:ascii="Arial" w:hAnsi="Arial" w:cs="Arial"/>
          <w:color w:val="000000" w:themeColor="text1"/>
          <w:sz w:val="22"/>
          <w:szCs w:val="22"/>
        </w:rPr>
        <w:t>investment</w:t>
      </w:r>
      <w:r w:rsidRPr="000E17C5">
        <w:rPr>
          <w:rFonts w:ascii="Arial" w:hAnsi="Arial" w:cs="Arial"/>
          <w:color w:val="000000" w:themeColor="text1"/>
          <w:sz w:val="22"/>
          <w:szCs w:val="22"/>
        </w:rPr>
        <w:t>.</w:t>
      </w:r>
      <w:bookmarkEnd w:id="4"/>
    </w:p>
    <w:p w14:paraId="66197A50" w14:textId="77777777" w:rsidR="001238CB" w:rsidRDefault="001238CB" w:rsidP="001238CB">
      <w:pPr>
        <w:spacing w:line="360" w:lineRule="auto"/>
        <w:jc w:val="both"/>
        <w:rPr>
          <w:rFonts w:ascii="Arial" w:hAnsi="Arial" w:cs="Arial"/>
          <w:color w:val="000000" w:themeColor="text1"/>
          <w:sz w:val="22"/>
          <w:szCs w:val="22"/>
        </w:rPr>
      </w:pPr>
    </w:p>
    <w:p w14:paraId="7148A013" w14:textId="4765BC93" w:rsidR="00CE5D3F" w:rsidRPr="00264C95" w:rsidRDefault="00CE5D3F" w:rsidP="001238CB">
      <w:pPr>
        <w:spacing w:line="360" w:lineRule="auto"/>
        <w:jc w:val="both"/>
        <w:rPr>
          <w:rFonts w:ascii="Arial" w:hAnsi="Arial" w:cs="Arial"/>
          <w:color w:val="000000" w:themeColor="text1"/>
          <w:sz w:val="22"/>
          <w:szCs w:val="22"/>
        </w:rPr>
      </w:pPr>
      <w:r w:rsidRPr="000E17C5">
        <w:rPr>
          <w:noProof/>
        </w:rPr>
        <w:drawing>
          <wp:inline distT="0" distB="0" distL="0" distR="0" wp14:anchorId="4F341715" wp14:editId="3BF13452">
            <wp:extent cx="5731510" cy="1924050"/>
            <wp:effectExtent l="0" t="0" r="2540" b="0"/>
            <wp:docPr id="139058272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82725" name="Picture 1" descr="A screenshot of a computer screen&#10;&#10;AI-generated content may be incorrect."/>
                    <pic:cNvPicPr/>
                  </pic:nvPicPr>
                  <pic:blipFill>
                    <a:blip r:embed="rId9"/>
                    <a:stretch>
                      <a:fillRect/>
                    </a:stretch>
                  </pic:blipFill>
                  <pic:spPr>
                    <a:xfrm>
                      <a:off x="0" y="0"/>
                      <a:ext cx="5731510" cy="1924050"/>
                    </a:xfrm>
                    <a:prstGeom prst="rect">
                      <a:avLst/>
                    </a:prstGeom>
                  </pic:spPr>
                </pic:pic>
              </a:graphicData>
            </a:graphic>
          </wp:inline>
        </w:drawing>
      </w:r>
    </w:p>
    <w:p w14:paraId="755F17B2" w14:textId="4B8905BB" w:rsidR="00AA6685" w:rsidRDefault="003B2D4B" w:rsidP="000E17C5">
      <w:pPr>
        <w:spacing w:line="360" w:lineRule="auto"/>
        <w:rPr>
          <w:rFonts w:ascii="Arial" w:hAnsi="Arial" w:cs="Arial"/>
          <w:sz w:val="22"/>
          <w:szCs w:val="22"/>
        </w:rPr>
      </w:pPr>
      <w:bookmarkStart w:id="8" w:name="_Toc222173716"/>
      <w:r w:rsidRPr="00A3574B">
        <w:rPr>
          <w:rStyle w:val="Heading2Char"/>
          <w:rFonts w:ascii="Arial" w:hAnsi="Arial" w:cs="Arial"/>
          <w:b/>
          <w:bCs/>
          <w:color w:val="auto"/>
          <w:sz w:val="22"/>
          <w:szCs w:val="22"/>
          <w:u w:val="single"/>
        </w:rPr>
        <w:t>Table 1: Virtual Ward Capacity and Occupancy</w:t>
      </w:r>
      <w:bookmarkEnd w:id="8"/>
      <w:r w:rsidRPr="00A3574B">
        <w:rPr>
          <w:rFonts w:ascii="Arial" w:hAnsi="Arial" w:cs="Arial"/>
          <w:sz w:val="22"/>
          <w:szCs w:val="22"/>
        </w:rPr>
        <w:t xml:space="preserve"> </w:t>
      </w:r>
      <w:r w:rsidRPr="000E17C5">
        <w:rPr>
          <w:rFonts w:ascii="Arial" w:hAnsi="Arial" w:cs="Arial"/>
          <w:sz w:val="22"/>
          <w:szCs w:val="22"/>
        </w:rPr>
        <w:t>(NHS England</w:t>
      </w:r>
      <w:r w:rsidR="00213786">
        <w:rPr>
          <w:rFonts w:ascii="Arial" w:hAnsi="Arial" w:cs="Arial"/>
          <w:sz w:val="22"/>
          <w:szCs w:val="22"/>
        </w:rPr>
        <w:t>,</w:t>
      </w:r>
      <w:r w:rsidRPr="000E17C5">
        <w:rPr>
          <w:rFonts w:ascii="Arial" w:hAnsi="Arial" w:cs="Arial"/>
          <w:sz w:val="22"/>
          <w:szCs w:val="22"/>
        </w:rPr>
        <w:t xml:space="preserve"> 2024</w:t>
      </w:r>
      <w:r w:rsidR="00CE7780">
        <w:rPr>
          <w:rFonts w:ascii="Arial" w:hAnsi="Arial" w:cs="Arial"/>
          <w:sz w:val="22"/>
          <w:szCs w:val="22"/>
        </w:rPr>
        <w:t>b</w:t>
      </w:r>
      <w:r w:rsidRPr="000E17C5">
        <w:rPr>
          <w:rFonts w:ascii="Arial" w:hAnsi="Arial" w:cs="Arial"/>
          <w:sz w:val="22"/>
          <w:szCs w:val="22"/>
        </w:rPr>
        <w:t>)</w:t>
      </w:r>
      <w:r w:rsidR="001E66E4" w:rsidRPr="000E17C5">
        <w:rPr>
          <w:rFonts w:ascii="Arial" w:hAnsi="Arial" w:cs="Arial"/>
          <w:sz w:val="22"/>
          <w:szCs w:val="22"/>
        </w:rPr>
        <w:t>.</w:t>
      </w:r>
    </w:p>
    <w:p w14:paraId="7D2D8751" w14:textId="0A12BEA0" w:rsidR="00156235" w:rsidRPr="000E17C5" w:rsidRDefault="008C77A8" w:rsidP="008C77A8">
      <w:pPr>
        <w:spacing w:line="360" w:lineRule="auto"/>
        <w:jc w:val="both"/>
        <w:rPr>
          <w:rFonts w:ascii="Arial" w:hAnsi="Arial" w:cs="Arial"/>
          <w:sz w:val="22"/>
          <w:szCs w:val="22"/>
        </w:rPr>
      </w:pPr>
      <w:r w:rsidRPr="008C77A8">
        <w:rPr>
          <w:rFonts w:ascii="Arial" w:hAnsi="Arial" w:cs="Arial"/>
          <w:sz w:val="22"/>
          <w:szCs w:val="22"/>
        </w:rPr>
        <w:lastRenderedPageBreak/>
        <w:t xml:space="preserve">This report critically evaluates </w:t>
      </w:r>
      <w:r w:rsidR="00C02E18">
        <w:rPr>
          <w:rFonts w:ascii="Arial" w:hAnsi="Arial" w:cs="Arial"/>
          <w:sz w:val="22"/>
          <w:szCs w:val="22"/>
        </w:rPr>
        <w:t xml:space="preserve">the impact of virtual wards on workforce sustainability and patient experience, situating the model within the </w:t>
      </w:r>
      <w:r w:rsidRPr="008C77A8">
        <w:rPr>
          <w:rFonts w:ascii="Arial" w:hAnsi="Arial" w:cs="Arial"/>
          <w:sz w:val="22"/>
          <w:szCs w:val="22"/>
        </w:rPr>
        <w:t>wider NHS capacity pressures. Drawing on UK policy frameworks, peer-reviewed literature, and institutional evaluations, it interrogates whether virtual wards represent structural transformation or a technologically mediated redistribution of risk across staff and patients.</w:t>
      </w:r>
    </w:p>
    <w:p w14:paraId="79E82DB2" w14:textId="77777777" w:rsidR="00967722" w:rsidRPr="00A03130" w:rsidRDefault="00967722" w:rsidP="00A03130">
      <w:pPr>
        <w:pStyle w:val="Heading1"/>
        <w:rPr>
          <w:rFonts w:ascii="Arial" w:hAnsi="Arial" w:cs="Arial"/>
          <w:b/>
          <w:bCs/>
          <w:color w:val="auto"/>
          <w:sz w:val="22"/>
          <w:szCs w:val="22"/>
          <w:u w:val="single"/>
        </w:rPr>
      </w:pPr>
      <w:bookmarkStart w:id="9" w:name="_Toc222173717"/>
      <w:r w:rsidRPr="00A03130">
        <w:rPr>
          <w:rFonts w:ascii="Arial" w:hAnsi="Arial" w:cs="Arial"/>
          <w:b/>
          <w:bCs/>
          <w:color w:val="auto"/>
          <w:sz w:val="22"/>
          <w:szCs w:val="22"/>
          <w:u w:val="single"/>
        </w:rPr>
        <w:t>Impact on the Healthcare Workforce</w:t>
      </w:r>
      <w:bookmarkEnd w:id="9"/>
    </w:p>
    <w:p w14:paraId="00D07C66" w14:textId="77777777" w:rsidR="00091C7E" w:rsidRDefault="00091C7E" w:rsidP="005F53DF">
      <w:pPr>
        <w:spacing w:line="360" w:lineRule="auto"/>
        <w:jc w:val="both"/>
        <w:rPr>
          <w:rFonts w:ascii="Arial" w:hAnsi="Arial" w:cs="Arial"/>
          <w:sz w:val="22"/>
          <w:szCs w:val="22"/>
        </w:rPr>
      </w:pPr>
    </w:p>
    <w:p w14:paraId="74BD049C" w14:textId="49C96D65" w:rsidR="00873880" w:rsidRDefault="00967722" w:rsidP="005F53DF">
      <w:pPr>
        <w:spacing w:line="360" w:lineRule="auto"/>
        <w:jc w:val="both"/>
        <w:rPr>
          <w:rFonts w:ascii="Arial" w:hAnsi="Arial" w:cs="Arial"/>
          <w:sz w:val="22"/>
          <w:szCs w:val="22"/>
        </w:rPr>
      </w:pPr>
      <w:bookmarkStart w:id="10" w:name="OLE_LINK2"/>
      <w:r w:rsidRPr="00FA3BE1">
        <w:rPr>
          <w:rFonts w:ascii="Arial" w:hAnsi="Arial" w:cs="Arial"/>
          <w:sz w:val="22"/>
          <w:szCs w:val="22"/>
        </w:rPr>
        <w:t>Virtual ward implementation fundamentally transforms healthcare professional roles, competencies, and working patterns, creating a contradictory landscape of enhanced practice opportunities alongside substantial operational and workforce wellbeing challenges. The most significant and unavoidable consequence is the dynamic transformation and growing specialisation of traditional workforce roles (NHS England, 2024</w:t>
      </w:r>
      <w:r w:rsidR="00300E24">
        <w:rPr>
          <w:rFonts w:ascii="Arial" w:hAnsi="Arial" w:cs="Arial"/>
          <w:sz w:val="22"/>
          <w:szCs w:val="22"/>
        </w:rPr>
        <w:t>a</w:t>
      </w:r>
      <w:r w:rsidRPr="00FA3BE1">
        <w:rPr>
          <w:rFonts w:ascii="Arial" w:hAnsi="Arial" w:cs="Arial"/>
          <w:sz w:val="22"/>
          <w:szCs w:val="22"/>
        </w:rPr>
        <w:t xml:space="preserve">). The nursing profession particularly transitions from conventional bedside, physical care provision to a framework incorporating virtual patient assessment, ongoing monitoring data interpretation, and remotely conducted clinical decision-making (Sealey, 2025). </w:t>
      </w:r>
    </w:p>
    <w:p w14:paraId="2ACDD7E9" w14:textId="33C43CA5" w:rsidR="00336A3C" w:rsidRDefault="00336A3C" w:rsidP="005F53DF">
      <w:pPr>
        <w:spacing w:line="360" w:lineRule="auto"/>
        <w:jc w:val="both"/>
        <w:rPr>
          <w:rFonts w:ascii="Arial" w:hAnsi="Arial" w:cs="Arial"/>
          <w:sz w:val="22"/>
          <w:szCs w:val="22"/>
        </w:rPr>
      </w:pPr>
      <w:r w:rsidRPr="00336A3C">
        <w:rPr>
          <w:rFonts w:ascii="Arial" w:hAnsi="Arial" w:cs="Arial"/>
          <w:sz w:val="22"/>
          <w:szCs w:val="22"/>
        </w:rPr>
        <w:t>In addition,</w:t>
      </w:r>
      <w:r w:rsidR="00EB76FF" w:rsidRPr="00EB76FF">
        <w:t xml:space="preserve"> </w:t>
      </w:r>
      <w:r w:rsidR="00EB76FF" w:rsidRPr="00EB76FF">
        <w:rPr>
          <w:rFonts w:ascii="Arial" w:hAnsi="Arial" w:cs="Arial"/>
          <w:sz w:val="22"/>
          <w:szCs w:val="22"/>
        </w:rPr>
        <w:t xml:space="preserve">Virtual ward implementation must align with national digital governance standards. NHS England's What Good Looks Like framework (2021) emphasises digital leadership, data security, interoperability, and accountability for safe digital transformation. Virtual wards rely on continuous remote data transmission and digital decision-making, requiring compliance with UK GDPR and the Data Protection Act 2018 to safeguard patient confidentiality, lawful data processing, and cybersecurity. Without robust information governance, </w:t>
      </w:r>
      <w:proofErr w:type="gramStart"/>
      <w:r w:rsidR="00EB76FF" w:rsidRPr="00EB76FF">
        <w:rPr>
          <w:rFonts w:ascii="Arial" w:hAnsi="Arial" w:cs="Arial"/>
          <w:sz w:val="22"/>
          <w:szCs w:val="22"/>
        </w:rPr>
        <w:t>this</w:t>
      </w:r>
      <w:r w:rsidR="00785DC6">
        <w:rPr>
          <w:rFonts w:ascii="Arial" w:hAnsi="Arial" w:cs="Arial"/>
          <w:sz w:val="22"/>
          <w:szCs w:val="22"/>
        </w:rPr>
        <w:t xml:space="preserve"> </w:t>
      </w:r>
      <w:r w:rsidR="00EB76FF" w:rsidRPr="00EB76FF">
        <w:rPr>
          <w:rFonts w:ascii="Arial" w:hAnsi="Arial" w:cs="Arial"/>
          <w:sz w:val="22"/>
          <w:szCs w:val="22"/>
        </w:rPr>
        <w:t>risks</w:t>
      </w:r>
      <w:proofErr w:type="gramEnd"/>
      <w:r w:rsidR="00EB76FF" w:rsidRPr="00EB76FF">
        <w:rPr>
          <w:rFonts w:ascii="Arial" w:hAnsi="Arial" w:cs="Arial"/>
          <w:sz w:val="22"/>
          <w:szCs w:val="22"/>
        </w:rPr>
        <w:t xml:space="preserve"> undermining patient trust and exposing services to clinical and legal risk.</w:t>
      </w:r>
    </w:p>
    <w:bookmarkEnd w:id="10"/>
    <w:p w14:paraId="5B2DF7C7" w14:textId="112F8DA7" w:rsidR="00967722" w:rsidRPr="00FA3BE1" w:rsidRDefault="00967722" w:rsidP="005F53DF">
      <w:pPr>
        <w:spacing w:line="360" w:lineRule="auto"/>
        <w:jc w:val="both"/>
        <w:rPr>
          <w:rFonts w:ascii="Arial" w:hAnsi="Arial" w:cs="Arial"/>
          <w:sz w:val="22"/>
          <w:szCs w:val="22"/>
        </w:rPr>
      </w:pPr>
      <w:r w:rsidRPr="00FA3BE1">
        <w:rPr>
          <w:rFonts w:ascii="Arial" w:hAnsi="Arial" w:cs="Arial"/>
          <w:sz w:val="22"/>
          <w:szCs w:val="22"/>
        </w:rPr>
        <w:t xml:space="preserve">Moreover, centralised remote monitoring infrastructures have generated entirely new professional positions such as virtual ward clinicians, digital patient pathway coordinators, and consultant-grade hospital-at-home programme leads, demanding integrated competencies across advanced clinical judgement, data interpretation skills, and digital patient interaction (Shepperd et al., 2021; NHS Confederation, 2025). Although such specialisation can cultivate more concentrated and professionally satisfying career pathways, it simultaneously threatens to generate technological capability divisions within the workforce, </w:t>
      </w:r>
      <w:proofErr w:type="gramStart"/>
      <w:r w:rsidRPr="00FA3BE1">
        <w:rPr>
          <w:rFonts w:ascii="Arial" w:hAnsi="Arial" w:cs="Arial"/>
          <w:sz w:val="22"/>
          <w:szCs w:val="22"/>
        </w:rPr>
        <w:t>where</w:t>
      </w:r>
      <w:proofErr w:type="gramEnd"/>
      <w:r w:rsidRPr="00FA3BE1">
        <w:rPr>
          <w:rFonts w:ascii="Arial" w:hAnsi="Arial" w:cs="Arial"/>
          <w:sz w:val="22"/>
          <w:szCs w:val="22"/>
        </w:rPr>
        <w:t xml:space="preserve"> practitioners with limited digital confidence, insufficient training, or restricted access to ongoing professional development may face deskilling or marginalisation, thereby potentially deepening pre-existing workforce inequalities (Tack et al., 2022).</w:t>
      </w:r>
    </w:p>
    <w:p w14:paraId="0D877FB6" w14:textId="50A21193" w:rsidR="00967722" w:rsidRPr="00FA3BE1" w:rsidRDefault="00967722" w:rsidP="005F53DF">
      <w:pPr>
        <w:spacing w:line="360" w:lineRule="auto"/>
        <w:jc w:val="both"/>
        <w:rPr>
          <w:rFonts w:ascii="Arial" w:hAnsi="Arial" w:cs="Arial"/>
          <w:sz w:val="22"/>
          <w:szCs w:val="22"/>
        </w:rPr>
      </w:pPr>
      <w:r w:rsidRPr="00FA3BE1">
        <w:rPr>
          <w:rFonts w:ascii="Arial" w:hAnsi="Arial" w:cs="Arial"/>
          <w:sz w:val="22"/>
          <w:szCs w:val="22"/>
        </w:rPr>
        <w:t xml:space="preserve">The alleged workforce benefits, regularly promoted in pilot study findings, emphasise improved efficiency and enhanced staff wellbeing, yet critical analysis exposes these </w:t>
      </w:r>
      <w:r w:rsidRPr="00FA3BE1">
        <w:rPr>
          <w:rFonts w:ascii="Arial" w:hAnsi="Arial" w:cs="Arial"/>
          <w:sz w:val="22"/>
          <w:szCs w:val="22"/>
        </w:rPr>
        <w:lastRenderedPageBreak/>
        <w:t>outcomes as highly context-dependent and commonly overstated. Supporters maintain that virtual wards empower clinicians, especially community-based nurses and hub monitoring staff, to manage larger patient numbers more efficiently by eliminating geographical travel constraints and enabling interventio</w:t>
      </w:r>
      <w:r w:rsidR="00751F44">
        <w:rPr>
          <w:rFonts w:ascii="Arial" w:hAnsi="Arial" w:cs="Arial"/>
          <w:sz w:val="22"/>
          <w:szCs w:val="22"/>
        </w:rPr>
        <w:t xml:space="preserve">n </w:t>
      </w:r>
      <w:r w:rsidRPr="00FA3BE1">
        <w:rPr>
          <w:rFonts w:ascii="Arial" w:hAnsi="Arial" w:cs="Arial"/>
          <w:sz w:val="22"/>
          <w:szCs w:val="22"/>
        </w:rPr>
        <w:t>and data-informed clinical actions that prevent burdensome and costly acute admissions (</w:t>
      </w:r>
      <w:proofErr w:type="spellStart"/>
      <w:r w:rsidRPr="00FA3BE1">
        <w:rPr>
          <w:rFonts w:ascii="Arial" w:hAnsi="Arial" w:cs="Arial"/>
          <w:sz w:val="22"/>
          <w:szCs w:val="22"/>
        </w:rPr>
        <w:t>Vindrola-Padros</w:t>
      </w:r>
      <w:proofErr w:type="spellEnd"/>
      <w:r w:rsidRPr="00FA3BE1">
        <w:rPr>
          <w:rFonts w:ascii="Arial" w:hAnsi="Arial" w:cs="Arial"/>
          <w:sz w:val="22"/>
          <w:szCs w:val="22"/>
        </w:rPr>
        <w:t xml:space="preserve"> et al., 2020). Qualitative research does document elements of enhanced workforce satisfaction, attributed to expanded opportunities for holistic and individualised care provision. UK primary care practitioners, for example, reported that remote consultation formats enabled more effective scheduling and time coordination (Powell et al., 2021). However, such potential gains are critically undermined by substantial and extensively documented barriers.</w:t>
      </w:r>
    </w:p>
    <w:p w14:paraId="455C6307" w14:textId="77777777" w:rsidR="004671E9" w:rsidRDefault="00967722" w:rsidP="001238CB">
      <w:pPr>
        <w:spacing w:line="360" w:lineRule="auto"/>
        <w:jc w:val="both"/>
        <w:rPr>
          <w:rFonts w:ascii="Arial" w:hAnsi="Arial" w:cs="Arial"/>
          <w:sz w:val="22"/>
          <w:szCs w:val="22"/>
        </w:rPr>
      </w:pPr>
      <w:r w:rsidRPr="00FA3BE1">
        <w:rPr>
          <w:rFonts w:ascii="Arial" w:hAnsi="Arial" w:cs="Arial"/>
          <w:sz w:val="22"/>
          <w:szCs w:val="22"/>
        </w:rPr>
        <w:t xml:space="preserve">A critical problem is the phenomenon of intensified workload and digital strain. The uninterrupted monitoring characteristic of virtual wards produces continuous, rapid patient information streams, commonly resulting in overwhelming quantities of automated alerts, a significant proportion of which are clinically trivial or represent system anomalies (Greenhalgh et al., 2023). This pattern reflects a workforce planning barrier rather than a technological inevitability; NHS England (2023b) emphasises structured clinical triage protocols and protected hub staffing models to mitigate alert fatigue and cognitive overload. This establishes a new and subtle form of cognitive demand and professional strain, as healthcare staff must sustain constant watchfulness, interpret isolated data without the contextual framework provided by tactile patient assessment, and render important clinical judgements frequently based on incomplete evidence (Greenhalgh et al., 2022). </w:t>
      </w:r>
    </w:p>
    <w:p w14:paraId="223B2A9B" w14:textId="4D44040E" w:rsidR="00967722" w:rsidRPr="00FA3BE1" w:rsidRDefault="00967722" w:rsidP="001238CB">
      <w:pPr>
        <w:spacing w:line="360" w:lineRule="auto"/>
        <w:jc w:val="both"/>
        <w:rPr>
          <w:rFonts w:ascii="Arial" w:hAnsi="Arial" w:cs="Arial"/>
          <w:sz w:val="22"/>
          <w:szCs w:val="22"/>
        </w:rPr>
      </w:pPr>
      <w:r w:rsidRPr="00FA3BE1">
        <w:rPr>
          <w:rFonts w:ascii="Arial" w:hAnsi="Arial" w:cs="Arial"/>
          <w:sz w:val="22"/>
          <w:szCs w:val="22"/>
        </w:rPr>
        <w:t>Critically, remote patient monitoring duties rarely replace conventional workload; they are typically added to pre-existing community service commitments, effectively prolonging work time and contributing to professional exhaustion and fatigue. The additive nature of monitoring duties therefore represents a role-design barrier, with the Health Foundation (2022) arguing that sustainable digital transformation requires explicit workforce modelling rather than assumed efficiency gains. This transcends frontline workforce concerns to represent a system-wide threat. A 2024 national policy assessment warned that transferring care to virtual ward frameworks risks unintended adverse consequences across other service areas (Chappell et al., 2024).</w:t>
      </w:r>
    </w:p>
    <w:p w14:paraId="15D0F5EA" w14:textId="77777777" w:rsidR="001B198B" w:rsidRDefault="00967722" w:rsidP="001238CB">
      <w:pPr>
        <w:spacing w:line="360" w:lineRule="auto"/>
        <w:jc w:val="both"/>
        <w:rPr>
          <w:rFonts w:ascii="Arial" w:hAnsi="Arial" w:cs="Arial"/>
          <w:sz w:val="22"/>
          <w:szCs w:val="22"/>
        </w:rPr>
      </w:pPr>
      <w:r w:rsidRPr="00FA3BE1">
        <w:rPr>
          <w:rFonts w:ascii="Arial" w:hAnsi="Arial" w:cs="Arial"/>
          <w:sz w:val="22"/>
          <w:szCs w:val="22"/>
        </w:rPr>
        <w:t xml:space="preserve">Additionally, UK evidence shows that professional resistance, insufficient training, and unclear governance structures remain entrenched barriers to virtual ward implementation. </w:t>
      </w:r>
      <w:proofErr w:type="spellStart"/>
      <w:r w:rsidRPr="00FA3BE1">
        <w:rPr>
          <w:rFonts w:ascii="Arial" w:hAnsi="Arial" w:cs="Arial"/>
          <w:sz w:val="22"/>
          <w:szCs w:val="22"/>
        </w:rPr>
        <w:t>McGlen</w:t>
      </w:r>
      <w:proofErr w:type="spellEnd"/>
      <w:r w:rsidRPr="00FA3BE1">
        <w:rPr>
          <w:rFonts w:ascii="Arial" w:hAnsi="Arial" w:cs="Arial"/>
          <w:sz w:val="22"/>
          <w:szCs w:val="22"/>
        </w:rPr>
        <w:t xml:space="preserve"> et al. (2023) highlight that clinicians frequently lack confidence in remote monitoring technologies and face ambiguity around clinical responsibility, with successful adoption hinging on clinicians’ trust in both the devices and the broader care model. Professional resistance, </w:t>
      </w:r>
      <w:r w:rsidRPr="00FA3BE1">
        <w:rPr>
          <w:rFonts w:ascii="Arial" w:hAnsi="Arial" w:cs="Arial"/>
          <w:sz w:val="22"/>
          <w:szCs w:val="22"/>
        </w:rPr>
        <w:lastRenderedPageBreak/>
        <w:t xml:space="preserve">training deficits, and ambiguous governance present deep-seated barriers to effective and sustainable implementation. Moreover, the clinical success of a virtual ward relies not only on technology but fundamentally on clinicians' trust in both the devices and the underlying care model. </w:t>
      </w:r>
    </w:p>
    <w:p w14:paraId="52DE4CB5" w14:textId="21856719" w:rsidR="00967722" w:rsidRPr="00FA3BE1" w:rsidRDefault="00967722" w:rsidP="001238CB">
      <w:pPr>
        <w:spacing w:line="360" w:lineRule="auto"/>
        <w:jc w:val="both"/>
        <w:rPr>
          <w:rFonts w:ascii="Arial" w:hAnsi="Arial" w:cs="Arial"/>
          <w:sz w:val="22"/>
          <w:szCs w:val="22"/>
        </w:rPr>
      </w:pPr>
      <w:r w:rsidRPr="00FA3BE1">
        <w:rPr>
          <w:rFonts w:ascii="Arial" w:hAnsi="Arial" w:cs="Arial"/>
          <w:sz w:val="22"/>
          <w:szCs w:val="22"/>
        </w:rPr>
        <w:t>A UK literature review for the NHS identifies “clinician concerns” about safety and efficiency as a key barrier, underscoring the trust deficit (</w:t>
      </w:r>
      <w:proofErr w:type="spellStart"/>
      <w:r w:rsidRPr="00FA3BE1">
        <w:rPr>
          <w:rFonts w:ascii="Arial" w:hAnsi="Arial" w:cs="Arial"/>
          <w:sz w:val="22"/>
          <w:szCs w:val="22"/>
        </w:rPr>
        <w:t>McGlen</w:t>
      </w:r>
      <w:proofErr w:type="spellEnd"/>
      <w:r w:rsidRPr="00FA3BE1">
        <w:rPr>
          <w:rFonts w:ascii="Arial" w:hAnsi="Arial" w:cs="Arial"/>
          <w:sz w:val="22"/>
          <w:szCs w:val="22"/>
        </w:rPr>
        <w:t xml:space="preserve"> et al., 2023). These anxieties are amplified by the intrinsic challenges of remote care, which, as Greenhalgh et al. (2021) argue, strip away the contextual cues and therapeutic rapport afforded by physical presence. Therefore, this loss of embodied information increases clinicians’ cognitive burden and uncertainty, further eroding the trust essential for safe practice.</w:t>
      </w:r>
    </w:p>
    <w:p w14:paraId="353191C6" w14:textId="7B71B896" w:rsidR="00967722" w:rsidRPr="00FA3BE1" w:rsidRDefault="00967722" w:rsidP="001238CB">
      <w:pPr>
        <w:spacing w:line="360" w:lineRule="auto"/>
        <w:jc w:val="both"/>
        <w:rPr>
          <w:rFonts w:ascii="Arial" w:hAnsi="Arial" w:cs="Arial"/>
          <w:sz w:val="22"/>
          <w:szCs w:val="22"/>
        </w:rPr>
      </w:pPr>
      <w:r w:rsidRPr="00FA3BE1">
        <w:rPr>
          <w:rFonts w:ascii="Arial" w:hAnsi="Arial" w:cs="Arial"/>
          <w:sz w:val="22"/>
          <w:szCs w:val="22"/>
        </w:rPr>
        <w:t xml:space="preserve">Furthermore, these challenges are often exacerbated by insufficient and inconsistent training provision. Shaw et al. (2021) </w:t>
      </w:r>
      <w:r w:rsidR="00B94297" w:rsidRPr="00B94297">
        <w:rPr>
          <w:rFonts w:ascii="Arial" w:hAnsi="Arial" w:cs="Arial"/>
          <w:sz w:val="22"/>
          <w:szCs w:val="22"/>
        </w:rPr>
        <w:t>similarly found</w:t>
      </w:r>
      <w:r w:rsidRPr="00FA3BE1">
        <w:rPr>
          <w:rFonts w:ascii="Arial" w:hAnsi="Arial" w:cs="Arial"/>
          <w:sz w:val="22"/>
          <w:szCs w:val="22"/>
        </w:rPr>
        <w:t xml:space="preserve"> that UK primary care implementation strategies often prioritised technical system operation over the more complex clinical judgement, communicative proficiency, and safety governance capabilities required for competent remote healthcare delivery, generating feelings of inadequate preparation and professional doubt among clinicians, a skills-confidence gap mirroring risks observed in virtual ward implementation.</w:t>
      </w:r>
    </w:p>
    <w:p w14:paraId="49B2207C" w14:textId="1F574C3A" w:rsidR="00967722" w:rsidRPr="00FA3BE1" w:rsidRDefault="00ED2A5A" w:rsidP="001238CB">
      <w:pPr>
        <w:spacing w:line="360" w:lineRule="auto"/>
        <w:jc w:val="both"/>
        <w:rPr>
          <w:rFonts w:ascii="Arial" w:hAnsi="Arial" w:cs="Arial"/>
          <w:sz w:val="22"/>
          <w:szCs w:val="22"/>
        </w:rPr>
      </w:pPr>
      <w:r>
        <w:rPr>
          <w:rFonts w:ascii="Arial" w:hAnsi="Arial" w:cs="Arial"/>
          <w:sz w:val="22"/>
          <w:szCs w:val="22"/>
        </w:rPr>
        <w:t>Therefore</w:t>
      </w:r>
      <w:r w:rsidR="00967722" w:rsidRPr="00FA3BE1">
        <w:rPr>
          <w:rFonts w:ascii="Arial" w:hAnsi="Arial" w:cs="Arial"/>
          <w:sz w:val="22"/>
          <w:szCs w:val="22"/>
        </w:rPr>
        <w:t xml:space="preserve">, even though virtual wards offer a vision of a modern, technologically advanced healthcare workforce, their successful and equitable operationalisation is entirely dependent on systematic and strategic organisational </w:t>
      </w:r>
      <w:r w:rsidR="00E52D7F">
        <w:rPr>
          <w:rFonts w:ascii="Arial" w:hAnsi="Arial" w:cs="Arial"/>
          <w:sz w:val="22"/>
          <w:szCs w:val="22"/>
        </w:rPr>
        <w:t xml:space="preserve">investment. </w:t>
      </w:r>
      <w:r w:rsidR="00162859">
        <w:rPr>
          <w:rFonts w:ascii="Arial" w:hAnsi="Arial" w:cs="Arial"/>
          <w:sz w:val="22"/>
          <w:szCs w:val="22"/>
        </w:rPr>
        <w:t>Therefore, without</w:t>
      </w:r>
      <w:r w:rsidR="00E52D7F" w:rsidRPr="00E52D7F">
        <w:rPr>
          <w:rFonts w:ascii="Arial" w:hAnsi="Arial" w:cs="Arial"/>
          <w:sz w:val="22"/>
          <w:szCs w:val="22"/>
        </w:rPr>
        <w:t xml:space="preserve"> explicit role redesign, protected monitoring time, simulation-based professional development, and clearly defined governance structures, virtual wards risk intensifying workforce strain rather than delivering sustainable digital transformation.</w:t>
      </w:r>
    </w:p>
    <w:p w14:paraId="57C280FA" w14:textId="77777777" w:rsidR="00967722" w:rsidRPr="000E17C5" w:rsidRDefault="00967722" w:rsidP="000E17C5">
      <w:pPr>
        <w:spacing w:line="360" w:lineRule="auto"/>
        <w:rPr>
          <w:rFonts w:ascii="Arial" w:hAnsi="Arial" w:cs="Arial"/>
          <w:sz w:val="22"/>
          <w:szCs w:val="22"/>
        </w:rPr>
      </w:pPr>
    </w:p>
    <w:p w14:paraId="255C4EE1" w14:textId="51E14A67" w:rsidR="002F4226" w:rsidRPr="00CD3D4C" w:rsidRDefault="002F4226" w:rsidP="00CD3D4C">
      <w:pPr>
        <w:pStyle w:val="Heading1"/>
        <w:rPr>
          <w:rFonts w:ascii="Arial" w:hAnsi="Arial" w:cs="Arial"/>
          <w:b/>
          <w:bCs/>
          <w:color w:val="auto"/>
          <w:sz w:val="22"/>
          <w:szCs w:val="22"/>
          <w:u w:val="single"/>
        </w:rPr>
      </w:pPr>
      <w:bookmarkStart w:id="11" w:name="_Toc222173718"/>
      <w:r w:rsidRPr="00CD3D4C">
        <w:rPr>
          <w:rFonts w:ascii="Arial" w:hAnsi="Arial" w:cs="Arial"/>
          <w:b/>
          <w:bCs/>
          <w:color w:val="auto"/>
          <w:sz w:val="22"/>
          <w:szCs w:val="22"/>
          <w:u w:val="single"/>
        </w:rPr>
        <w:t>Impact on the Patient/Service User Experience</w:t>
      </w:r>
      <w:bookmarkEnd w:id="11"/>
      <w:r w:rsidRPr="00CD3D4C">
        <w:rPr>
          <w:rFonts w:ascii="Arial" w:hAnsi="Arial" w:cs="Arial"/>
          <w:b/>
          <w:bCs/>
          <w:color w:val="auto"/>
          <w:sz w:val="22"/>
          <w:szCs w:val="22"/>
          <w:u w:val="single"/>
        </w:rPr>
        <w:t xml:space="preserve"> </w:t>
      </w:r>
    </w:p>
    <w:p w14:paraId="159B00C0" w14:textId="77777777" w:rsidR="008C68CA" w:rsidRPr="000E17C5" w:rsidRDefault="008C68CA" w:rsidP="000E17C5">
      <w:pPr>
        <w:spacing w:line="360" w:lineRule="auto"/>
        <w:rPr>
          <w:rFonts w:ascii="Arial" w:hAnsi="Arial" w:cs="Arial"/>
          <w:sz w:val="22"/>
          <w:szCs w:val="22"/>
        </w:rPr>
      </w:pPr>
    </w:p>
    <w:p w14:paraId="634DA2B4" w14:textId="12471F1E" w:rsidR="008C68CA" w:rsidRPr="002110DD" w:rsidRDefault="008C68CA" w:rsidP="001238CB">
      <w:pPr>
        <w:spacing w:line="360" w:lineRule="auto"/>
        <w:jc w:val="both"/>
        <w:rPr>
          <w:rFonts w:ascii="Arial" w:hAnsi="Arial" w:cs="Arial"/>
          <w:sz w:val="22"/>
          <w:szCs w:val="22"/>
        </w:rPr>
      </w:pPr>
      <w:bookmarkStart w:id="12" w:name="OLE_LINK8"/>
      <w:r w:rsidRPr="002110DD">
        <w:rPr>
          <w:rFonts w:ascii="Arial" w:hAnsi="Arial" w:cs="Arial"/>
          <w:sz w:val="22"/>
          <w:szCs w:val="22"/>
        </w:rPr>
        <w:t>For patients and those receiving care, virtual ward models present an appealing vision of more convenient, personalised, and enabling healthcare, while simultaneously raising critical questions about equity of access, the quality of interpersonal interactions, and the redistribution of care responsibilities (</w:t>
      </w:r>
      <w:proofErr w:type="spellStart"/>
      <w:r w:rsidRPr="002110DD">
        <w:rPr>
          <w:rFonts w:ascii="Arial" w:hAnsi="Arial" w:cs="Arial"/>
          <w:sz w:val="22"/>
          <w:szCs w:val="22"/>
        </w:rPr>
        <w:t>Pahirden</w:t>
      </w:r>
      <w:proofErr w:type="spellEnd"/>
      <w:r w:rsidRPr="002110DD">
        <w:rPr>
          <w:rFonts w:ascii="Arial" w:hAnsi="Arial" w:cs="Arial"/>
          <w:sz w:val="22"/>
          <w:szCs w:val="22"/>
        </w:rPr>
        <w:t xml:space="preserve">, </w:t>
      </w:r>
      <w:proofErr w:type="spellStart"/>
      <w:r w:rsidRPr="002110DD">
        <w:rPr>
          <w:rFonts w:ascii="Arial" w:hAnsi="Arial" w:cs="Arial"/>
          <w:sz w:val="22"/>
          <w:szCs w:val="22"/>
        </w:rPr>
        <w:t>Stefler</w:t>
      </w:r>
      <w:proofErr w:type="spellEnd"/>
      <w:r w:rsidRPr="002110DD">
        <w:rPr>
          <w:rFonts w:ascii="Arial" w:hAnsi="Arial" w:cs="Arial"/>
          <w:sz w:val="22"/>
          <w:szCs w:val="22"/>
        </w:rPr>
        <w:t xml:space="preserve"> and </w:t>
      </w:r>
      <w:proofErr w:type="spellStart"/>
      <w:r w:rsidRPr="002110DD">
        <w:rPr>
          <w:rFonts w:ascii="Arial" w:hAnsi="Arial" w:cs="Arial"/>
          <w:sz w:val="22"/>
          <w:szCs w:val="22"/>
        </w:rPr>
        <w:t>Jayatunga</w:t>
      </w:r>
      <w:proofErr w:type="spellEnd"/>
      <w:r w:rsidRPr="002110DD">
        <w:rPr>
          <w:rFonts w:ascii="Arial" w:hAnsi="Arial" w:cs="Arial"/>
          <w:sz w:val="22"/>
          <w:szCs w:val="22"/>
        </w:rPr>
        <w:t xml:space="preserve">, 2025). The most consistently evidenced benefit relates to enhanced patient comfort, autonomy, and reduced exposure to </w:t>
      </w:r>
      <w:r w:rsidRPr="000E17C5">
        <w:rPr>
          <w:rFonts w:ascii="Arial" w:hAnsi="Arial" w:cs="Arial"/>
          <w:sz w:val="22"/>
          <w:szCs w:val="22"/>
        </w:rPr>
        <w:t>hospital-acquired</w:t>
      </w:r>
      <w:r w:rsidRPr="002110DD">
        <w:rPr>
          <w:rFonts w:ascii="Arial" w:hAnsi="Arial" w:cs="Arial"/>
          <w:sz w:val="22"/>
          <w:szCs w:val="22"/>
        </w:rPr>
        <w:t xml:space="preserve"> harm. For clinically suitable individuals, receiving acute interventions such as intravenous antibiotics, complex renal dialysis, or post</w:t>
      </w:r>
      <w:r w:rsidR="00871883">
        <w:rPr>
          <w:rFonts w:ascii="Arial" w:hAnsi="Arial" w:cs="Arial"/>
          <w:sz w:val="22"/>
          <w:szCs w:val="22"/>
        </w:rPr>
        <w:t>-</w:t>
      </w:r>
      <w:r w:rsidRPr="002110DD">
        <w:rPr>
          <w:rFonts w:ascii="Arial" w:hAnsi="Arial" w:cs="Arial"/>
          <w:sz w:val="22"/>
          <w:szCs w:val="22"/>
        </w:rPr>
        <w:t xml:space="preserve">operative surveillance at home allows them to remain in familiar, psychologically comforting </w:t>
      </w:r>
      <w:r w:rsidRPr="002110DD">
        <w:rPr>
          <w:rFonts w:ascii="Arial" w:hAnsi="Arial" w:cs="Arial"/>
          <w:sz w:val="22"/>
          <w:szCs w:val="22"/>
        </w:rPr>
        <w:lastRenderedPageBreak/>
        <w:t>environments, maintain daily routines, and preserve family relationships</w:t>
      </w:r>
      <w:r w:rsidR="001D25D6">
        <w:rPr>
          <w:rFonts w:ascii="Arial" w:hAnsi="Arial" w:cs="Arial"/>
          <w:sz w:val="22"/>
          <w:szCs w:val="22"/>
        </w:rPr>
        <w:t xml:space="preserve">, </w:t>
      </w:r>
      <w:r w:rsidRPr="002110DD">
        <w:rPr>
          <w:rFonts w:ascii="Arial" w:hAnsi="Arial" w:cs="Arial"/>
          <w:sz w:val="22"/>
          <w:szCs w:val="22"/>
        </w:rPr>
        <w:t xml:space="preserve">factors strongly associated with improved wellbeing and recovery (Shepperd et al., 2021). </w:t>
      </w:r>
      <w:r w:rsidR="00EF13EC" w:rsidRPr="00EF13EC">
        <w:rPr>
          <w:rFonts w:ascii="Arial" w:hAnsi="Arial" w:cs="Arial"/>
          <w:sz w:val="22"/>
          <w:szCs w:val="22"/>
        </w:rPr>
        <w:t xml:space="preserve">Home-based care may reduce exposure to healthcare-associated infections such as MRSA and </w:t>
      </w:r>
      <w:r w:rsidR="00EF13EC" w:rsidRPr="00D70778">
        <w:rPr>
          <w:rFonts w:ascii="Arial" w:hAnsi="Arial" w:cs="Arial"/>
          <w:sz w:val="22"/>
          <w:szCs w:val="22"/>
        </w:rPr>
        <w:t>Clostridioides difficile</w:t>
      </w:r>
      <w:r w:rsidR="00EF13EC" w:rsidRPr="00EF13EC">
        <w:rPr>
          <w:rFonts w:ascii="Arial" w:hAnsi="Arial" w:cs="Arial"/>
          <w:sz w:val="22"/>
          <w:szCs w:val="22"/>
        </w:rPr>
        <w:t xml:space="preserve"> by avoiding prolonged hospital stays.</w:t>
      </w:r>
      <w:r w:rsidR="00E538BD" w:rsidRPr="00E538BD">
        <w:t xml:space="preserve"> </w:t>
      </w:r>
      <w:r w:rsidR="00E538BD" w:rsidRPr="00E538BD">
        <w:rPr>
          <w:rFonts w:ascii="Arial" w:hAnsi="Arial" w:cs="Arial"/>
          <w:sz w:val="22"/>
          <w:szCs w:val="22"/>
        </w:rPr>
        <w:t xml:space="preserve">It is also associated with lower risks of hospital-related deconditioning and acute confusion or cognitive decline, particularly among older and clinically vulnerable </w:t>
      </w:r>
      <w:r w:rsidR="0083387D">
        <w:rPr>
          <w:rFonts w:ascii="Arial" w:hAnsi="Arial" w:cs="Arial"/>
          <w:sz w:val="22"/>
          <w:szCs w:val="22"/>
        </w:rPr>
        <w:t>adults</w:t>
      </w:r>
      <w:r w:rsidR="00EF13EC" w:rsidRPr="00EF13EC">
        <w:rPr>
          <w:rFonts w:ascii="Arial" w:hAnsi="Arial" w:cs="Arial"/>
          <w:sz w:val="22"/>
          <w:szCs w:val="22"/>
        </w:rPr>
        <w:t xml:space="preserve"> </w:t>
      </w:r>
      <w:r w:rsidRPr="002110DD">
        <w:rPr>
          <w:rFonts w:ascii="Arial" w:hAnsi="Arial" w:cs="Arial"/>
          <w:sz w:val="22"/>
          <w:szCs w:val="22"/>
        </w:rPr>
        <w:t>(Freeman, 2022).</w:t>
      </w:r>
      <w:r w:rsidR="008B3898" w:rsidRPr="008B3898">
        <w:t xml:space="preserve"> </w:t>
      </w:r>
      <w:r w:rsidR="008B3898" w:rsidRPr="008B3898">
        <w:rPr>
          <w:rFonts w:ascii="Arial" w:hAnsi="Arial" w:cs="Arial"/>
          <w:sz w:val="22"/>
          <w:szCs w:val="22"/>
        </w:rPr>
        <w:t>However, these benefits depend on appropriate patient selection and adequate community support, as complex cases may still require inpatient monitoring.</w:t>
      </w:r>
    </w:p>
    <w:p w14:paraId="3467C43C" w14:textId="70D23F74" w:rsidR="008C68CA" w:rsidRPr="002110DD" w:rsidRDefault="004E2AC0" w:rsidP="001238CB">
      <w:pPr>
        <w:spacing w:line="360" w:lineRule="auto"/>
        <w:jc w:val="both"/>
        <w:rPr>
          <w:rFonts w:ascii="Arial" w:hAnsi="Arial" w:cs="Arial"/>
          <w:sz w:val="22"/>
          <w:szCs w:val="22"/>
        </w:rPr>
      </w:pPr>
      <w:r w:rsidRPr="004E2AC0">
        <w:rPr>
          <w:rFonts w:ascii="Arial" w:hAnsi="Arial" w:cs="Arial"/>
          <w:sz w:val="22"/>
          <w:szCs w:val="22"/>
        </w:rPr>
        <w:t>Patients frequently report increased autonomy and a stronger sense of partnership in care, as remote monitoring systems require them to take and record physiological readings and participate in symptom self-management, thereby contributing to their own care plan</w:t>
      </w:r>
      <w:r w:rsidR="0085407F">
        <w:rPr>
          <w:rFonts w:ascii="Arial" w:hAnsi="Arial" w:cs="Arial"/>
          <w:sz w:val="22"/>
          <w:szCs w:val="22"/>
        </w:rPr>
        <w:t xml:space="preserve"> (</w:t>
      </w:r>
      <w:r w:rsidR="0085407F" w:rsidRPr="0085407F">
        <w:rPr>
          <w:rFonts w:ascii="Arial" w:hAnsi="Arial" w:cs="Arial"/>
          <w:sz w:val="22"/>
          <w:szCs w:val="22"/>
        </w:rPr>
        <w:t>Walton et al. 2022)</w:t>
      </w:r>
      <w:r w:rsidR="0085407F">
        <w:rPr>
          <w:rFonts w:ascii="Arial" w:hAnsi="Arial" w:cs="Arial"/>
          <w:sz w:val="22"/>
          <w:szCs w:val="22"/>
        </w:rPr>
        <w:t>.</w:t>
      </w:r>
      <w:r w:rsidRPr="004E2AC0">
        <w:rPr>
          <w:rFonts w:ascii="Arial" w:hAnsi="Arial" w:cs="Arial"/>
          <w:sz w:val="22"/>
          <w:szCs w:val="22"/>
        </w:rPr>
        <w:t xml:space="preserve"> </w:t>
      </w:r>
      <w:r w:rsidR="008C68CA" w:rsidRPr="002110DD">
        <w:rPr>
          <w:rFonts w:ascii="Arial" w:hAnsi="Arial" w:cs="Arial"/>
          <w:sz w:val="22"/>
          <w:szCs w:val="22"/>
        </w:rPr>
        <w:t xml:space="preserve">This aligns with policy ambitions for personalised and enabled </w:t>
      </w:r>
      <w:r w:rsidR="008C68CA" w:rsidRPr="000E17C5">
        <w:rPr>
          <w:rFonts w:ascii="Arial" w:hAnsi="Arial" w:cs="Arial"/>
          <w:sz w:val="22"/>
          <w:szCs w:val="22"/>
        </w:rPr>
        <w:t>self-care</w:t>
      </w:r>
      <w:r w:rsidR="008C68CA" w:rsidRPr="002110DD">
        <w:rPr>
          <w:rFonts w:ascii="Arial" w:hAnsi="Arial" w:cs="Arial"/>
          <w:sz w:val="22"/>
          <w:szCs w:val="22"/>
        </w:rPr>
        <w:t xml:space="preserve">, with potential </w:t>
      </w:r>
      <w:r w:rsidR="008C68CA" w:rsidRPr="000E17C5">
        <w:rPr>
          <w:rFonts w:ascii="Arial" w:hAnsi="Arial" w:cs="Arial"/>
          <w:sz w:val="22"/>
          <w:szCs w:val="22"/>
        </w:rPr>
        <w:t>long-term</w:t>
      </w:r>
      <w:r w:rsidR="008C68CA" w:rsidRPr="002110DD">
        <w:rPr>
          <w:rFonts w:ascii="Arial" w:hAnsi="Arial" w:cs="Arial"/>
          <w:sz w:val="22"/>
          <w:szCs w:val="22"/>
        </w:rPr>
        <w:t xml:space="preserve"> benefits for health literacy and chronic disease management (NHS England, 2022b).</w:t>
      </w:r>
    </w:p>
    <w:p w14:paraId="0BDFFA68" w14:textId="78BF74DC" w:rsidR="008C68CA" w:rsidRPr="002110DD" w:rsidRDefault="008C68CA" w:rsidP="001238CB">
      <w:pPr>
        <w:spacing w:line="360" w:lineRule="auto"/>
        <w:jc w:val="both"/>
        <w:rPr>
          <w:rFonts w:ascii="Arial" w:hAnsi="Arial" w:cs="Arial"/>
          <w:sz w:val="22"/>
          <w:szCs w:val="22"/>
        </w:rPr>
      </w:pPr>
      <w:r w:rsidRPr="002110DD">
        <w:rPr>
          <w:rFonts w:ascii="Arial" w:hAnsi="Arial" w:cs="Arial"/>
          <w:sz w:val="22"/>
          <w:szCs w:val="22"/>
        </w:rPr>
        <w:t>However, these advantages are not equitably distributed. The patient experience is fundamentally shaped by socioeconomic and technological determinants that can transform an innovative model into an exclusionary one for disadvantaged groups</w:t>
      </w:r>
      <w:r w:rsidR="004C4407" w:rsidRPr="004C4407">
        <w:rPr>
          <w:rFonts w:ascii="Arial" w:hAnsi="Arial" w:cs="Arial"/>
          <w:sz w:val="22"/>
          <w:szCs w:val="22"/>
        </w:rPr>
        <w:t xml:space="preserve"> </w:t>
      </w:r>
      <w:r w:rsidR="00244C90" w:rsidRPr="00244C90">
        <w:rPr>
          <w:rFonts w:ascii="Arial" w:hAnsi="Arial" w:cs="Arial"/>
          <w:sz w:val="22"/>
          <w:szCs w:val="22"/>
        </w:rPr>
        <w:t xml:space="preserve">(Mistry and </w:t>
      </w:r>
      <w:proofErr w:type="spellStart"/>
      <w:r w:rsidR="00244C90" w:rsidRPr="00244C90">
        <w:rPr>
          <w:rFonts w:ascii="Arial" w:hAnsi="Arial" w:cs="Arial"/>
          <w:sz w:val="22"/>
          <w:szCs w:val="22"/>
        </w:rPr>
        <w:t>Jabbal</w:t>
      </w:r>
      <w:proofErr w:type="spellEnd"/>
      <w:r w:rsidR="00244C90" w:rsidRPr="00244C90">
        <w:rPr>
          <w:rFonts w:ascii="Arial" w:hAnsi="Arial" w:cs="Arial"/>
          <w:sz w:val="22"/>
          <w:szCs w:val="22"/>
        </w:rPr>
        <w:t>, 2023)</w:t>
      </w:r>
      <w:r w:rsidRPr="004C4407">
        <w:rPr>
          <w:rFonts w:ascii="Arial" w:hAnsi="Arial" w:cs="Arial"/>
          <w:sz w:val="22"/>
          <w:szCs w:val="22"/>
        </w:rPr>
        <w:t>.</w:t>
      </w:r>
      <w:r w:rsidRPr="002110DD">
        <w:rPr>
          <w:rFonts w:ascii="Arial" w:hAnsi="Arial" w:cs="Arial"/>
          <w:sz w:val="22"/>
          <w:szCs w:val="22"/>
        </w:rPr>
        <w:t xml:space="preserve"> Effective participation requires reliable broadband or mobile data, access to appropriate digital devices, and sufficient technological literacy to operate equipment and troubleshoot basic issues. Yet 7% of UK households lack home internet access (NHS England, 2023b). These requirements create a significant digital divide that disproportionately affects older adults</w:t>
      </w:r>
      <w:r w:rsidR="002E5738">
        <w:rPr>
          <w:rFonts w:ascii="Arial" w:hAnsi="Arial" w:cs="Arial"/>
          <w:sz w:val="22"/>
          <w:szCs w:val="22"/>
        </w:rPr>
        <w:t xml:space="preserve">, </w:t>
      </w:r>
      <w:r w:rsidRPr="002110DD">
        <w:rPr>
          <w:rFonts w:ascii="Arial" w:hAnsi="Arial" w:cs="Arial"/>
          <w:sz w:val="22"/>
          <w:szCs w:val="22"/>
        </w:rPr>
        <w:t>particularly those over 80</w:t>
      </w:r>
      <w:r w:rsidR="0053759C">
        <w:rPr>
          <w:rFonts w:ascii="Arial" w:hAnsi="Arial" w:cs="Arial"/>
          <w:sz w:val="22"/>
          <w:szCs w:val="22"/>
        </w:rPr>
        <w:t xml:space="preserve">, </w:t>
      </w:r>
      <w:r w:rsidRPr="002110DD">
        <w:rPr>
          <w:rFonts w:ascii="Arial" w:hAnsi="Arial" w:cs="Arial"/>
          <w:sz w:val="22"/>
          <w:szCs w:val="22"/>
        </w:rPr>
        <w:t xml:space="preserve">people with cognitive impairments or learning disabilities, rural residents with poor connectivity, individuals from lower socioeconomic backgrounds, and linguistic minority groups when systems lack multilingual functionality (Mistry and </w:t>
      </w:r>
      <w:proofErr w:type="spellStart"/>
      <w:r w:rsidRPr="002110DD">
        <w:rPr>
          <w:rFonts w:ascii="Arial" w:hAnsi="Arial" w:cs="Arial"/>
          <w:sz w:val="22"/>
          <w:szCs w:val="22"/>
        </w:rPr>
        <w:t>Jabbal</w:t>
      </w:r>
      <w:proofErr w:type="spellEnd"/>
      <w:r w:rsidRPr="002110DD">
        <w:rPr>
          <w:rFonts w:ascii="Arial" w:hAnsi="Arial" w:cs="Arial"/>
          <w:sz w:val="22"/>
          <w:szCs w:val="22"/>
        </w:rPr>
        <w:t>, 2023).</w:t>
      </w:r>
    </w:p>
    <w:p w14:paraId="2A961BA2" w14:textId="381C8BF0" w:rsidR="008C68CA" w:rsidRPr="002110DD" w:rsidRDefault="008C68CA" w:rsidP="001238CB">
      <w:pPr>
        <w:spacing w:line="360" w:lineRule="auto"/>
        <w:jc w:val="both"/>
        <w:rPr>
          <w:rFonts w:ascii="Arial" w:hAnsi="Arial" w:cs="Arial"/>
          <w:sz w:val="22"/>
          <w:szCs w:val="22"/>
        </w:rPr>
      </w:pPr>
      <w:r w:rsidRPr="002110DD">
        <w:rPr>
          <w:rFonts w:ascii="Arial" w:hAnsi="Arial" w:cs="Arial"/>
          <w:sz w:val="22"/>
          <w:szCs w:val="22"/>
        </w:rPr>
        <w:t>Consequently, virtual wards risk exacerbating existing health inequalities, contradicting the NHS principle of equitable access based on clinical need rather than technological capability. A recent systematic review found that access to virtual wards is shaped by socioeconomic status, social capital, age, and digital literacy, creating barriers for older adults, those in inadequate housing, and individuals without caregiver support (</w:t>
      </w:r>
      <w:proofErr w:type="spellStart"/>
      <w:r w:rsidRPr="002110DD">
        <w:rPr>
          <w:rFonts w:ascii="Arial" w:hAnsi="Arial" w:cs="Arial"/>
          <w:sz w:val="22"/>
          <w:szCs w:val="22"/>
        </w:rPr>
        <w:t>Pahirden</w:t>
      </w:r>
      <w:proofErr w:type="spellEnd"/>
      <w:r w:rsidRPr="002110DD">
        <w:rPr>
          <w:rFonts w:ascii="Arial" w:hAnsi="Arial" w:cs="Arial"/>
          <w:sz w:val="22"/>
          <w:szCs w:val="22"/>
        </w:rPr>
        <w:t xml:space="preserve">, </w:t>
      </w:r>
      <w:proofErr w:type="spellStart"/>
      <w:r w:rsidRPr="002110DD">
        <w:rPr>
          <w:rFonts w:ascii="Arial" w:hAnsi="Arial" w:cs="Arial"/>
          <w:sz w:val="22"/>
          <w:szCs w:val="22"/>
        </w:rPr>
        <w:t>Stefler</w:t>
      </w:r>
      <w:proofErr w:type="spellEnd"/>
      <w:r w:rsidRPr="002110DD">
        <w:rPr>
          <w:rFonts w:ascii="Arial" w:hAnsi="Arial" w:cs="Arial"/>
          <w:sz w:val="22"/>
          <w:szCs w:val="22"/>
        </w:rPr>
        <w:t xml:space="preserve"> and </w:t>
      </w:r>
      <w:proofErr w:type="spellStart"/>
      <w:r w:rsidRPr="002110DD">
        <w:rPr>
          <w:rFonts w:ascii="Arial" w:hAnsi="Arial" w:cs="Arial"/>
          <w:sz w:val="22"/>
          <w:szCs w:val="22"/>
        </w:rPr>
        <w:t>Jayatunga</w:t>
      </w:r>
      <w:proofErr w:type="spellEnd"/>
      <w:r w:rsidRPr="002110DD">
        <w:rPr>
          <w:rFonts w:ascii="Arial" w:hAnsi="Arial" w:cs="Arial"/>
          <w:sz w:val="22"/>
          <w:szCs w:val="22"/>
        </w:rPr>
        <w:t xml:space="preserve">, 2025). </w:t>
      </w:r>
      <w:r w:rsidR="00A607DB">
        <w:rPr>
          <w:rFonts w:ascii="Arial" w:hAnsi="Arial" w:cs="Arial"/>
          <w:sz w:val="22"/>
          <w:szCs w:val="22"/>
        </w:rPr>
        <w:t>The</w:t>
      </w:r>
      <w:r w:rsidR="004744F8">
        <w:rPr>
          <w:rFonts w:ascii="Arial" w:hAnsi="Arial" w:cs="Arial"/>
          <w:sz w:val="22"/>
          <w:szCs w:val="22"/>
        </w:rPr>
        <w:t xml:space="preserve">refore, </w:t>
      </w:r>
      <w:r w:rsidR="000A17FF" w:rsidRPr="002110DD">
        <w:rPr>
          <w:rFonts w:ascii="Arial" w:hAnsi="Arial" w:cs="Arial"/>
          <w:sz w:val="22"/>
          <w:szCs w:val="22"/>
        </w:rPr>
        <w:t>addressing</w:t>
      </w:r>
      <w:r w:rsidRPr="002110DD">
        <w:rPr>
          <w:rFonts w:ascii="Arial" w:hAnsi="Arial" w:cs="Arial"/>
          <w:sz w:val="22"/>
          <w:szCs w:val="22"/>
        </w:rPr>
        <w:t xml:space="preserve"> these inequities requires targeted mitigation strategies, including </w:t>
      </w:r>
      <w:r w:rsidRPr="000E17C5">
        <w:rPr>
          <w:rFonts w:ascii="Arial" w:hAnsi="Arial" w:cs="Arial"/>
          <w:sz w:val="22"/>
          <w:szCs w:val="22"/>
        </w:rPr>
        <w:t xml:space="preserve">the </w:t>
      </w:r>
      <w:r w:rsidRPr="002110DD">
        <w:rPr>
          <w:rFonts w:ascii="Arial" w:hAnsi="Arial" w:cs="Arial"/>
          <w:sz w:val="22"/>
          <w:szCs w:val="22"/>
        </w:rPr>
        <w:t xml:space="preserve">provision of devices, digital literacy training, multilingual platforms, and alternative non-digital pathways, as reflected in NHS England’s digital inclusion commitments (NHS England, 2023b). Even among those able to participate, concerns about data security and commercial misuse can undermine trust. Patients may be uncertain about </w:t>
      </w:r>
      <w:r w:rsidRPr="002110DD">
        <w:rPr>
          <w:rFonts w:ascii="Arial" w:hAnsi="Arial" w:cs="Arial"/>
          <w:sz w:val="22"/>
          <w:szCs w:val="22"/>
        </w:rPr>
        <w:lastRenderedPageBreak/>
        <w:t xml:space="preserve">where their data is stored, who can access it, and how it may be used, potentially leading to withdrawal or selective </w:t>
      </w:r>
      <w:r w:rsidRPr="000E17C5">
        <w:rPr>
          <w:rFonts w:ascii="Arial" w:hAnsi="Arial" w:cs="Arial"/>
          <w:sz w:val="22"/>
          <w:szCs w:val="22"/>
        </w:rPr>
        <w:t>non-engagement</w:t>
      </w:r>
      <w:r w:rsidRPr="002110DD">
        <w:rPr>
          <w:rFonts w:ascii="Arial" w:hAnsi="Arial" w:cs="Arial"/>
          <w:sz w:val="22"/>
          <w:szCs w:val="22"/>
        </w:rPr>
        <w:t xml:space="preserve"> (</w:t>
      </w:r>
      <w:r w:rsidR="00E05FD0">
        <w:rPr>
          <w:rFonts w:ascii="Arial" w:hAnsi="Arial" w:cs="Arial"/>
          <w:sz w:val="22"/>
          <w:szCs w:val="22"/>
        </w:rPr>
        <w:t>B</w:t>
      </w:r>
      <w:r w:rsidRPr="002110DD">
        <w:rPr>
          <w:rFonts w:ascii="Arial" w:hAnsi="Arial" w:cs="Arial"/>
          <w:sz w:val="22"/>
          <w:szCs w:val="22"/>
        </w:rPr>
        <w:t>y</w:t>
      </w:r>
      <w:r w:rsidR="00E05FD0">
        <w:rPr>
          <w:rFonts w:ascii="Arial" w:hAnsi="Arial" w:cs="Arial"/>
          <w:sz w:val="22"/>
          <w:szCs w:val="22"/>
        </w:rPr>
        <w:t>r</w:t>
      </w:r>
      <w:r w:rsidRPr="002110DD">
        <w:rPr>
          <w:rFonts w:ascii="Arial" w:hAnsi="Arial" w:cs="Arial"/>
          <w:sz w:val="22"/>
          <w:szCs w:val="22"/>
        </w:rPr>
        <w:t>ne, 2024).</w:t>
      </w:r>
    </w:p>
    <w:p w14:paraId="5BAEE400" w14:textId="1578166D" w:rsidR="008C68CA" w:rsidRPr="002110DD" w:rsidRDefault="008C68CA" w:rsidP="001238CB">
      <w:pPr>
        <w:spacing w:line="360" w:lineRule="auto"/>
        <w:jc w:val="both"/>
        <w:rPr>
          <w:rFonts w:ascii="Arial" w:hAnsi="Arial" w:cs="Arial"/>
          <w:sz w:val="22"/>
          <w:szCs w:val="22"/>
        </w:rPr>
      </w:pPr>
      <w:r w:rsidRPr="002110DD">
        <w:rPr>
          <w:rFonts w:ascii="Arial" w:hAnsi="Arial" w:cs="Arial"/>
          <w:sz w:val="22"/>
          <w:szCs w:val="22"/>
        </w:rPr>
        <w:t xml:space="preserve">At a more experiential level, the impact on patient–clinician relationships and perceived safety </w:t>
      </w:r>
      <w:proofErr w:type="gramStart"/>
      <w:r w:rsidRPr="002110DD">
        <w:rPr>
          <w:rFonts w:ascii="Arial" w:hAnsi="Arial" w:cs="Arial"/>
          <w:sz w:val="22"/>
          <w:szCs w:val="22"/>
        </w:rPr>
        <w:t>remains</w:t>
      </w:r>
      <w:proofErr w:type="gramEnd"/>
      <w:r w:rsidRPr="002110DD">
        <w:rPr>
          <w:rFonts w:ascii="Arial" w:hAnsi="Arial" w:cs="Arial"/>
          <w:sz w:val="22"/>
          <w:szCs w:val="22"/>
        </w:rPr>
        <w:t xml:space="preserve"> ambiguous and warrants systematic evaluation. While many value the independence and accessibility of </w:t>
      </w:r>
      <w:r w:rsidRPr="000E17C5">
        <w:rPr>
          <w:rFonts w:ascii="Arial" w:hAnsi="Arial" w:cs="Arial"/>
          <w:sz w:val="22"/>
          <w:szCs w:val="22"/>
        </w:rPr>
        <w:t>home-based</w:t>
      </w:r>
      <w:r w:rsidRPr="002110DD">
        <w:rPr>
          <w:rFonts w:ascii="Arial" w:hAnsi="Arial" w:cs="Arial"/>
          <w:sz w:val="22"/>
          <w:szCs w:val="22"/>
        </w:rPr>
        <w:t xml:space="preserve"> acute care, a substantial minority report feelings of professional isolation or heightened anxiety due to the absence of immediate, </w:t>
      </w:r>
      <w:r w:rsidR="007E4E83">
        <w:rPr>
          <w:rFonts w:ascii="Arial" w:hAnsi="Arial" w:cs="Arial"/>
          <w:sz w:val="22"/>
          <w:szCs w:val="22"/>
        </w:rPr>
        <w:t>in-person</w:t>
      </w:r>
      <w:r w:rsidRPr="002110DD">
        <w:rPr>
          <w:rFonts w:ascii="Arial" w:hAnsi="Arial" w:cs="Arial"/>
          <w:sz w:val="22"/>
          <w:szCs w:val="22"/>
        </w:rPr>
        <w:t xml:space="preserve"> clinical support (Begum et al., 2025). The reassurance traditionally provided through tactile nursing assessment and compassionate presence is replaced by automated monitoring, asynchronous messaging, and scheduled virtual appointments, which may feel detached or insufficient during moments of distress or diagnostic uncertainty (Begum et al., 2025).</w:t>
      </w:r>
      <w:r w:rsidR="007E1166">
        <w:rPr>
          <w:rFonts w:ascii="Arial" w:hAnsi="Arial" w:cs="Arial"/>
          <w:sz w:val="22"/>
          <w:szCs w:val="22"/>
        </w:rPr>
        <w:t xml:space="preserve"> </w:t>
      </w:r>
      <w:r w:rsidR="00A708B0">
        <w:rPr>
          <w:rFonts w:ascii="Arial" w:hAnsi="Arial" w:cs="Arial"/>
          <w:sz w:val="22"/>
          <w:szCs w:val="22"/>
        </w:rPr>
        <w:t>Furthermore,</w:t>
      </w:r>
      <w:r w:rsidRPr="002110DD">
        <w:rPr>
          <w:rFonts w:ascii="Arial" w:hAnsi="Arial" w:cs="Arial"/>
          <w:sz w:val="22"/>
          <w:szCs w:val="22"/>
        </w:rPr>
        <w:t xml:space="preserve"> </w:t>
      </w:r>
      <w:r w:rsidR="00A708B0">
        <w:rPr>
          <w:rFonts w:ascii="Arial" w:hAnsi="Arial" w:cs="Arial"/>
          <w:sz w:val="22"/>
          <w:szCs w:val="22"/>
        </w:rPr>
        <w:t>h</w:t>
      </w:r>
      <w:r w:rsidRPr="002110DD">
        <w:rPr>
          <w:rFonts w:ascii="Arial" w:hAnsi="Arial" w:cs="Arial"/>
          <w:sz w:val="22"/>
          <w:szCs w:val="22"/>
        </w:rPr>
        <w:t>ybrid models combining remote monitoring with structured in-person review have been proposed within NHS implementation guidance to help preserve therapeutic relationships while retaining system efficiency (NHS England, 2023c).</w:t>
      </w:r>
    </w:p>
    <w:p w14:paraId="5F6DBF25" w14:textId="5C93AEC1" w:rsidR="008C68CA" w:rsidRPr="002110DD" w:rsidRDefault="008C68CA" w:rsidP="001238CB">
      <w:pPr>
        <w:spacing w:line="360" w:lineRule="auto"/>
        <w:jc w:val="both"/>
        <w:rPr>
          <w:rFonts w:ascii="Arial" w:hAnsi="Arial" w:cs="Arial"/>
          <w:sz w:val="22"/>
          <w:szCs w:val="22"/>
        </w:rPr>
      </w:pPr>
      <w:r w:rsidRPr="002110DD">
        <w:rPr>
          <w:rFonts w:ascii="Arial" w:hAnsi="Arial" w:cs="Arial"/>
          <w:sz w:val="22"/>
          <w:szCs w:val="22"/>
        </w:rPr>
        <w:t>Virtual wards also shift considerable responsibility onto patients and informal caregivers. Individuals must interpret symptoms accurately, operate monitoring equipment reliably, and judge when physiological changes constitute an emergency</w:t>
      </w:r>
      <w:r w:rsidR="00A47C8F">
        <w:rPr>
          <w:rFonts w:ascii="Arial" w:hAnsi="Arial" w:cs="Arial"/>
          <w:sz w:val="22"/>
          <w:szCs w:val="22"/>
        </w:rPr>
        <w:t xml:space="preserve">, </w:t>
      </w:r>
      <w:r w:rsidRPr="002110DD">
        <w:rPr>
          <w:rFonts w:ascii="Arial" w:hAnsi="Arial" w:cs="Arial"/>
          <w:sz w:val="22"/>
          <w:szCs w:val="22"/>
        </w:rPr>
        <w:t>tasks that can overwhelm those with complex needs or limited confidence (Tahsin et al., 2024). Although home care reduces institutional risks, it may lack rapid response capacity for acute crises such as falls, severe bleeding, or cardiac arrest, and may expose patients to alternative risks</w:t>
      </w:r>
      <w:r w:rsidRPr="000E17C5">
        <w:rPr>
          <w:rFonts w:ascii="Arial" w:hAnsi="Arial" w:cs="Arial"/>
          <w:sz w:val="22"/>
          <w:szCs w:val="22"/>
        </w:rPr>
        <w:t>,</w:t>
      </w:r>
      <w:r w:rsidRPr="002110DD">
        <w:rPr>
          <w:rFonts w:ascii="Arial" w:hAnsi="Arial" w:cs="Arial"/>
          <w:sz w:val="22"/>
          <w:szCs w:val="22"/>
        </w:rPr>
        <w:t xml:space="preserve"> including inadequate heating, poor nutrition, or social isolation (NICE, 2023; NHS England, 2023b). Clear escalation protocols and rapid response mechanisms are therefore essential to ensure that patient empowerment does not translate into unsafe responsibility transfer (NHS England, 2023c).</w:t>
      </w:r>
    </w:p>
    <w:p w14:paraId="35A4081A" w14:textId="2079772A" w:rsidR="00A5264F" w:rsidRPr="000E17C5" w:rsidRDefault="008C68CA" w:rsidP="001238CB">
      <w:pPr>
        <w:spacing w:line="360" w:lineRule="auto"/>
        <w:jc w:val="both"/>
        <w:rPr>
          <w:rFonts w:ascii="Arial" w:hAnsi="Arial" w:cs="Arial"/>
          <w:sz w:val="22"/>
          <w:szCs w:val="22"/>
        </w:rPr>
      </w:pPr>
      <w:r w:rsidRPr="002110DD">
        <w:rPr>
          <w:rFonts w:ascii="Arial" w:hAnsi="Arial" w:cs="Arial"/>
          <w:sz w:val="22"/>
          <w:szCs w:val="22"/>
        </w:rPr>
        <w:t>Ultimately, the success of virtual wards</w:t>
      </w:r>
      <w:r w:rsidR="00DB6146">
        <w:rPr>
          <w:rFonts w:ascii="Arial" w:hAnsi="Arial" w:cs="Arial"/>
          <w:sz w:val="22"/>
          <w:szCs w:val="22"/>
        </w:rPr>
        <w:t xml:space="preserve">, </w:t>
      </w:r>
      <w:r w:rsidRPr="002110DD">
        <w:rPr>
          <w:rFonts w:ascii="Arial" w:hAnsi="Arial" w:cs="Arial"/>
          <w:sz w:val="22"/>
          <w:szCs w:val="22"/>
        </w:rPr>
        <w:t>clinically and experientially</w:t>
      </w:r>
      <w:r w:rsidR="00DB6146">
        <w:rPr>
          <w:rFonts w:ascii="Arial" w:hAnsi="Arial" w:cs="Arial"/>
          <w:sz w:val="22"/>
          <w:szCs w:val="22"/>
        </w:rPr>
        <w:t xml:space="preserve">, </w:t>
      </w:r>
      <w:r w:rsidRPr="002110DD">
        <w:rPr>
          <w:rFonts w:ascii="Arial" w:hAnsi="Arial" w:cs="Arial"/>
          <w:sz w:val="22"/>
          <w:szCs w:val="22"/>
        </w:rPr>
        <w:t xml:space="preserve">depends on far more than technological investment. It requires ethically robust patient selection, comprehensive and rehearsed safety frameworks with clear escalation pathways, and service models that prioritise sustained human contact through frequent, </w:t>
      </w:r>
      <w:r w:rsidRPr="000E17C5">
        <w:rPr>
          <w:rFonts w:ascii="Arial" w:hAnsi="Arial" w:cs="Arial"/>
          <w:sz w:val="22"/>
          <w:szCs w:val="22"/>
        </w:rPr>
        <w:t>high-quality</w:t>
      </w:r>
      <w:r w:rsidRPr="002110DD">
        <w:rPr>
          <w:rFonts w:ascii="Arial" w:hAnsi="Arial" w:cs="Arial"/>
          <w:sz w:val="22"/>
          <w:szCs w:val="22"/>
        </w:rPr>
        <w:t xml:space="preserve"> communication to minimise risks of clinical and social isolation (NHS England, 2023c). Without structural safeguards and </w:t>
      </w:r>
      <w:r w:rsidRPr="000E17C5">
        <w:rPr>
          <w:rFonts w:ascii="Arial" w:hAnsi="Arial" w:cs="Arial"/>
          <w:sz w:val="22"/>
          <w:szCs w:val="22"/>
        </w:rPr>
        <w:t>equity-focused</w:t>
      </w:r>
      <w:r w:rsidRPr="002110DD">
        <w:rPr>
          <w:rFonts w:ascii="Arial" w:hAnsi="Arial" w:cs="Arial"/>
          <w:sz w:val="22"/>
          <w:szCs w:val="22"/>
        </w:rPr>
        <w:t xml:space="preserve"> implementation, virtual wards risk reinforcing rather than reducing existing health inequalities, despite their transformative potential.</w:t>
      </w:r>
    </w:p>
    <w:p w14:paraId="19FE099F" w14:textId="77777777" w:rsidR="00906C74" w:rsidRDefault="00906C74">
      <w:pPr>
        <w:rPr>
          <w:rFonts w:ascii="Arial" w:eastAsiaTheme="majorEastAsia" w:hAnsi="Arial" w:cs="Arial"/>
          <w:b/>
          <w:bCs/>
          <w:sz w:val="22"/>
          <w:szCs w:val="22"/>
          <w:u w:val="single"/>
        </w:rPr>
      </w:pPr>
      <w:r>
        <w:rPr>
          <w:rFonts w:ascii="Arial" w:hAnsi="Arial" w:cs="Arial"/>
          <w:b/>
          <w:bCs/>
          <w:sz w:val="22"/>
          <w:szCs w:val="22"/>
          <w:u w:val="single"/>
        </w:rPr>
        <w:br w:type="page"/>
      </w:r>
    </w:p>
    <w:p w14:paraId="1A7341A1" w14:textId="62CE28BF" w:rsidR="00A5264F" w:rsidRPr="00711DA4" w:rsidRDefault="00A5264F" w:rsidP="00711DA4">
      <w:pPr>
        <w:pStyle w:val="Heading1"/>
        <w:rPr>
          <w:rFonts w:ascii="Arial" w:hAnsi="Arial" w:cs="Arial"/>
          <w:b/>
          <w:bCs/>
          <w:color w:val="auto"/>
          <w:sz w:val="22"/>
          <w:szCs w:val="22"/>
          <w:u w:val="single"/>
        </w:rPr>
      </w:pPr>
      <w:bookmarkStart w:id="13" w:name="_Toc222173719"/>
      <w:r w:rsidRPr="00711DA4">
        <w:rPr>
          <w:rFonts w:ascii="Arial" w:hAnsi="Arial" w:cs="Arial"/>
          <w:b/>
          <w:bCs/>
          <w:color w:val="auto"/>
          <w:sz w:val="22"/>
          <w:szCs w:val="22"/>
          <w:u w:val="single"/>
        </w:rPr>
        <w:lastRenderedPageBreak/>
        <w:t>Recommendations</w:t>
      </w:r>
      <w:bookmarkEnd w:id="13"/>
    </w:p>
    <w:p w14:paraId="17AA030A" w14:textId="77777777" w:rsidR="004800FC" w:rsidRPr="007C6837" w:rsidRDefault="004800FC" w:rsidP="000E17C5">
      <w:pPr>
        <w:spacing w:line="360" w:lineRule="auto"/>
        <w:rPr>
          <w:rFonts w:ascii="Arial" w:hAnsi="Arial" w:cs="Arial"/>
          <w:sz w:val="22"/>
          <w:szCs w:val="22"/>
        </w:rPr>
      </w:pPr>
    </w:p>
    <w:bookmarkEnd w:id="12"/>
    <w:p w14:paraId="010F80EF" w14:textId="77777777" w:rsidR="0012697D" w:rsidRPr="0012697D" w:rsidRDefault="00913780" w:rsidP="001F64BF">
      <w:pPr>
        <w:spacing w:line="360" w:lineRule="auto"/>
        <w:jc w:val="both"/>
        <w:rPr>
          <w:rFonts w:ascii="Arial" w:hAnsi="Arial" w:cs="Arial"/>
          <w:sz w:val="22"/>
          <w:szCs w:val="22"/>
        </w:rPr>
      </w:pPr>
      <w:r w:rsidRPr="0012697D">
        <w:rPr>
          <w:rFonts w:ascii="Arial" w:hAnsi="Arial" w:cs="Arial"/>
          <w:sz w:val="22"/>
          <w:szCs w:val="22"/>
        </w:rPr>
        <w:t>Based on identified barriers</w:t>
      </w:r>
      <w:r w:rsidRPr="0012697D">
        <w:rPr>
          <w:rFonts w:ascii="Arial" w:hAnsi="Arial" w:cs="Arial"/>
          <w:sz w:val="22"/>
          <w:szCs w:val="22"/>
        </w:rPr>
        <w:t xml:space="preserve">, </w:t>
      </w:r>
      <w:r w:rsidRPr="0012697D">
        <w:rPr>
          <w:rFonts w:ascii="Arial" w:hAnsi="Arial" w:cs="Arial"/>
          <w:sz w:val="22"/>
          <w:szCs w:val="22"/>
        </w:rPr>
        <w:t>workforce strain, digital exclusion, and risks to relational continuity</w:t>
      </w:r>
      <w:r w:rsidRPr="0012697D">
        <w:rPr>
          <w:rFonts w:ascii="Arial" w:hAnsi="Arial" w:cs="Arial"/>
          <w:sz w:val="22"/>
          <w:szCs w:val="22"/>
        </w:rPr>
        <w:t xml:space="preserve">, </w:t>
      </w:r>
      <w:r w:rsidRPr="0012697D">
        <w:rPr>
          <w:rFonts w:ascii="Arial" w:hAnsi="Arial" w:cs="Arial"/>
          <w:sz w:val="22"/>
          <w:szCs w:val="22"/>
        </w:rPr>
        <w:t>three recommendations are proposed for practice, policy, and service configuration.</w:t>
      </w:r>
    </w:p>
    <w:p w14:paraId="2B5258E7" w14:textId="2B4494DC" w:rsidR="001F64BF" w:rsidRPr="00B30CEC" w:rsidRDefault="001F64BF" w:rsidP="00B30CEC">
      <w:pPr>
        <w:pStyle w:val="Heading2"/>
        <w:rPr>
          <w:rFonts w:ascii="Arial" w:hAnsi="Arial" w:cs="Arial"/>
          <w:b/>
          <w:bCs/>
          <w:color w:val="auto"/>
          <w:sz w:val="22"/>
          <w:szCs w:val="22"/>
        </w:rPr>
      </w:pPr>
      <w:bookmarkStart w:id="14" w:name="_Toc222173720"/>
      <w:r w:rsidRPr="00B30CEC">
        <w:rPr>
          <w:rFonts w:ascii="Arial" w:hAnsi="Arial" w:cs="Arial"/>
          <w:b/>
          <w:bCs/>
          <w:color w:val="auto"/>
          <w:sz w:val="22"/>
          <w:szCs w:val="22"/>
        </w:rPr>
        <w:t>1. Practice and Workforce Development</w:t>
      </w:r>
      <w:bookmarkEnd w:id="14"/>
    </w:p>
    <w:p w14:paraId="055E37E6" w14:textId="0BC84470" w:rsidR="006E7E56" w:rsidRDefault="006E7E56" w:rsidP="00C60B2A">
      <w:pPr>
        <w:spacing w:line="360" w:lineRule="auto"/>
        <w:jc w:val="both"/>
        <w:rPr>
          <w:rFonts w:ascii="Arial" w:hAnsi="Arial" w:cs="Arial"/>
          <w:sz w:val="22"/>
          <w:szCs w:val="22"/>
        </w:rPr>
      </w:pPr>
      <w:r w:rsidRPr="006E7E56">
        <w:rPr>
          <w:rFonts w:ascii="Arial" w:hAnsi="Arial" w:cs="Arial"/>
          <w:sz w:val="22"/>
          <w:szCs w:val="22"/>
        </w:rPr>
        <w:t>Given transformed professional roles and intensified remote-monitoring, Integrated Care Systems require structured, clinician-led workforce strategies rather than ad hoc digital upskilling. Sustainable virtual ward delivery depends on protected clinical time for remote monitoring, nationally standardised training in virtual assessment and digital communication, and clear multidisciplinary governance frameworks with defined accountability for remote decision-making (The King's Fund, 2024). Without these safeguards, digital expansion risks exacerbating workload pressures and professional fragmentation</w:t>
      </w:r>
      <w:r w:rsidR="00B30CEC">
        <w:rPr>
          <w:rFonts w:ascii="Arial" w:hAnsi="Arial" w:cs="Arial"/>
          <w:sz w:val="22"/>
          <w:szCs w:val="22"/>
        </w:rPr>
        <w:t>.</w:t>
      </w:r>
    </w:p>
    <w:p w14:paraId="4354A2FA" w14:textId="0413EF19" w:rsidR="00C60B2A" w:rsidRPr="00B30CEC" w:rsidRDefault="00C60B2A" w:rsidP="00B30CEC">
      <w:pPr>
        <w:pStyle w:val="Heading2"/>
        <w:rPr>
          <w:rFonts w:ascii="Arial" w:hAnsi="Arial" w:cs="Arial"/>
          <w:b/>
          <w:bCs/>
          <w:color w:val="auto"/>
          <w:sz w:val="22"/>
          <w:szCs w:val="22"/>
        </w:rPr>
      </w:pPr>
      <w:bookmarkStart w:id="15" w:name="_Toc222173721"/>
      <w:r w:rsidRPr="00B30CEC">
        <w:rPr>
          <w:rFonts w:ascii="Arial" w:hAnsi="Arial" w:cs="Arial"/>
          <w:b/>
          <w:bCs/>
          <w:color w:val="auto"/>
          <w:sz w:val="22"/>
          <w:szCs w:val="22"/>
        </w:rPr>
        <w:t>2. Policy and Health Equity</w:t>
      </w:r>
      <w:bookmarkEnd w:id="15"/>
    </w:p>
    <w:p w14:paraId="20FD3155" w14:textId="3DF1F243" w:rsidR="00C60B2A" w:rsidRPr="00C60B2A" w:rsidRDefault="000767D9" w:rsidP="00C60B2A">
      <w:pPr>
        <w:spacing w:line="360" w:lineRule="auto"/>
        <w:jc w:val="both"/>
        <w:rPr>
          <w:rFonts w:ascii="Arial" w:hAnsi="Arial" w:cs="Arial"/>
          <w:sz w:val="22"/>
          <w:szCs w:val="22"/>
        </w:rPr>
      </w:pPr>
      <w:r w:rsidRPr="000767D9">
        <w:rPr>
          <w:rFonts w:ascii="Arial" w:hAnsi="Arial" w:cs="Arial"/>
          <w:sz w:val="22"/>
          <w:szCs w:val="22"/>
        </w:rPr>
        <w:t xml:space="preserve">To prevent virtual ward expansion </w:t>
      </w:r>
      <w:r w:rsidR="00292CF7">
        <w:rPr>
          <w:rFonts w:ascii="Arial" w:hAnsi="Arial" w:cs="Arial"/>
          <w:sz w:val="22"/>
          <w:szCs w:val="22"/>
        </w:rPr>
        <w:t xml:space="preserve">from </w:t>
      </w:r>
      <w:r w:rsidRPr="000767D9">
        <w:rPr>
          <w:rFonts w:ascii="Arial" w:hAnsi="Arial" w:cs="Arial"/>
          <w:sz w:val="22"/>
          <w:szCs w:val="22"/>
        </w:rPr>
        <w:t>entrenching health inequalities, NHS England should mandate funded digital inclusion strategies as a condition of service growth, including loaned devices with data access, low-technology alternatives for digitally excluded groups, and digital support roles embedded within multidisciplinary teams (NHS England, 202</w:t>
      </w:r>
      <w:r w:rsidR="00466BBB">
        <w:rPr>
          <w:rFonts w:ascii="Arial" w:hAnsi="Arial" w:cs="Arial"/>
          <w:sz w:val="22"/>
          <w:szCs w:val="22"/>
        </w:rPr>
        <w:t>3b</w:t>
      </w:r>
      <w:r w:rsidRPr="000767D9">
        <w:rPr>
          <w:rFonts w:ascii="Arial" w:hAnsi="Arial" w:cs="Arial"/>
          <w:sz w:val="22"/>
          <w:szCs w:val="22"/>
        </w:rPr>
        <w:t>).</w:t>
      </w:r>
      <w:r w:rsidR="00292CF7">
        <w:rPr>
          <w:rFonts w:ascii="Arial" w:hAnsi="Arial" w:cs="Arial"/>
          <w:sz w:val="22"/>
          <w:szCs w:val="22"/>
        </w:rPr>
        <w:t xml:space="preserve"> Moreover,</w:t>
      </w:r>
      <w:r w:rsidRPr="000767D9">
        <w:rPr>
          <w:rFonts w:ascii="Arial" w:hAnsi="Arial" w:cs="Arial"/>
          <w:sz w:val="22"/>
          <w:szCs w:val="22"/>
        </w:rPr>
        <w:t xml:space="preserve"> </w:t>
      </w:r>
      <w:r w:rsidR="00292CF7">
        <w:rPr>
          <w:rFonts w:ascii="Arial" w:hAnsi="Arial" w:cs="Arial"/>
          <w:sz w:val="22"/>
          <w:szCs w:val="22"/>
        </w:rPr>
        <w:t>f</w:t>
      </w:r>
      <w:r w:rsidRPr="000767D9">
        <w:rPr>
          <w:rFonts w:ascii="Arial" w:hAnsi="Arial" w:cs="Arial"/>
          <w:sz w:val="22"/>
          <w:szCs w:val="22"/>
        </w:rPr>
        <w:t>ailure to address digital exclusion widens health disparities</w:t>
      </w:r>
      <w:r w:rsidR="00B30CEC">
        <w:rPr>
          <w:rFonts w:ascii="Arial" w:hAnsi="Arial" w:cs="Arial"/>
          <w:sz w:val="22"/>
          <w:szCs w:val="22"/>
        </w:rPr>
        <w:t>.</w:t>
      </w:r>
      <w:r w:rsidRPr="000767D9">
        <w:rPr>
          <w:rFonts w:ascii="Arial" w:hAnsi="Arial" w:cs="Arial"/>
          <w:sz w:val="22"/>
          <w:szCs w:val="22"/>
        </w:rPr>
        <w:t xml:space="preserve"> </w:t>
      </w:r>
    </w:p>
    <w:p w14:paraId="634216F3" w14:textId="77777777" w:rsidR="00D0746C" w:rsidRPr="00B30CEC" w:rsidRDefault="00D0746C" w:rsidP="00B30CEC">
      <w:pPr>
        <w:pStyle w:val="Heading2"/>
        <w:rPr>
          <w:rFonts w:ascii="Arial" w:hAnsi="Arial" w:cs="Arial"/>
          <w:b/>
          <w:bCs/>
          <w:color w:val="auto"/>
          <w:sz w:val="22"/>
          <w:szCs w:val="22"/>
        </w:rPr>
      </w:pPr>
      <w:bookmarkStart w:id="16" w:name="_Toc222173722"/>
      <w:r w:rsidRPr="00B30CEC">
        <w:rPr>
          <w:rFonts w:ascii="Arial" w:hAnsi="Arial" w:cs="Arial"/>
          <w:b/>
          <w:bCs/>
          <w:color w:val="auto"/>
          <w:sz w:val="22"/>
          <w:szCs w:val="22"/>
        </w:rPr>
        <w:t>3. Future Service Configuration</w:t>
      </w:r>
      <w:bookmarkEnd w:id="16"/>
    </w:p>
    <w:p w14:paraId="4268B0BA" w14:textId="4243A3EB" w:rsidR="00552E37" w:rsidRDefault="00552E37" w:rsidP="00D0746C">
      <w:pPr>
        <w:spacing w:line="360" w:lineRule="auto"/>
        <w:jc w:val="both"/>
        <w:rPr>
          <w:rFonts w:ascii="Arial" w:hAnsi="Arial" w:cs="Arial"/>
          <w:sz w:val="22"/>
          <w:szCs w:val="22"/>
        </w:rPr>
      </w:pPr>
      <w:r w:rsidRPr="00552E37">
        <w:rPr>
          <w:rFonts w:ascii="Arial" w:hAnsi="Arial" w:cs="Arial"/>
          <w:sz w:val="22"/>
          <w:szCs w:val="22"/>
        </w:rPr>
        <w:t>Addressing concerns about reduced face-to-face interaction and eroded therapeutic relationships, a "hybrid by design" model should be embedded within service configuration. Virtual care must integrate planned in-person contact to preserve relational continuity, enable physical assessment when indicated, and avoid disadvantaging patients unable or unwilling to engage digitally (NHS England, 2024e). Proactive hybrid design prevents technology-driven rather than patient-</w:t>
      </w:r>
      <w:r w:rsidRPr="00552E37">
        <w:rPr>
          <w:rFonts w:ascii="Arial" w:hAnsi="Arial" w:cs="Arial"/>
          <w:sz w:val="22"/>
          <w:szCs w:val="22"/>
        </w:rPr>
        <w:t>centred</w:t>
      </w:r>
      <w:r w:rsidRPr="00552E37">
        <w:rPr>
          <w:rFonts w:ascii="Arial" w:hAnsi="Arial" w:cs="Arial"/>
          <w:sz w:val="22"/>
          <w:szCs w:val="22"/>
        </w:rPr>
        <w:t xml:space="preserve"> service redesign.</w:t>
      </w:r>
    </w:p>
    <w:p w14:paraId="2010123B" w14:textId="00547066" w:rsidR="00951464" w:rsidRDefault="00951464" w:rsidP="00D0746C">
      <w:pPr>
        <w:spacing w:line="360" w:lineRule="auto"/>
        <w:jc w:val="both"/>
        <w:rPr>
          <w:rFonts w:ascii="Arial" w:hAnsi="Arial" w:cs="Arial"/>
          <w:sz w:val="22"/>
          <w:szCs w:val="22"/>
        </w:rPr>
      </w:pPr>
      <w:r w:rsidRPr="00951464">
        <w:rPr>
          <w:rFonts w:ascii="Arial" w:hAnsi="Arial" w:cs="Arial"/>
          <w:sz w:val="22"/>
          <w:szCs w:val="22"/>
        </w:rPr>
        <w:t>Ultimately, technology should function as an enabler rather than a driver of service redesign. Sustainable innovation depends on workforce stability, equitable access, and relational continuity</w:t>
      </w:r>
      <w:r w:rsidR="00655279">
        <w:rPr>
          <w:rFonts w:ascii="Arial" w:hAnsi="Arial" w:cs="Arial"/>
          <w:sz w:val="22"/>
          <w:szCs w:val="22"/>
        </w:rPr>
        <w:t xml:space="preserve">, </w:t>
      </w:r>
      <w:r w:rsidRPr="00951464">
        <w:rPr>
          <w:rFonts w:ascii="Arial" w:hAnsi="Arial" w:cs="Arial"/>
          <w:sz w:val="22"/>
          <w:szCs w:val="22"/>
        </w:rPr>
        <w:t>structural foundations without which digital transformation cannot achieve its intended impact.</w:t>
      </w:r>
      <w:r w:rsidR="00552E37">
        <w:rPr>
          <w:rFonts w:ascii="Arial" w:hAnsi="Arial" w:cs="Arial"/>
          <w:sz w:val="22"/>
          <w:szCs w:val="22"/>
        </w:rPr>
        <w:t xml:space="preserve"> </w:t>
      </w:r>
    </w:p>
    <w:p w14:paraId="3007358A" w14:textId="77777777" w:rsidR="00951464" w:rsidRPr="00D0746C" w:rsidRDefault="00951464" w:rsidP="00D0746C">
      <w:pPr>
        <w:spacing w:line="360" w:lineRule="auto"/>
        <w:jc w:val="both"/>
        <w:rPr>
          <w:rFonts w:ascii="Arial" w:hAnsi="Arial" w:cs="Arial"/>
          <w:sz w:val="22"/>
          <w:szCs w:val="22"/>
        </w:rPr>
      </w:pPr>
    </w:p>
    <w:p w14:paraId="12791D76" w14:textId="77777777" w:rsidR="00B30CEC" w:rsidRDefault="00B30CEC">
      <w:pPr>
        <w:rPr>
          <w:rFonts w:ascii="Arial" w:hAnsi="Arial" w:cs="Arial"/>
          <w:b/>
          <w:bCs/>
          <w:sz w:val="22"/>
          <w:szCs w:val="22"/>
          <w:u w:val="single"/>
        </w:rPr>
      </w:pPr>
      <w:r>
        <w:rPr>
          <w:rFonts w:ascii="Arial" w:hAnsi="Arial" w:cs="Arial"/>
          <w:b/>
          <w:bCs/>
          <w:sz w:val="22"/>
          <w:szCs w:val="22"/>
          <w:u w:val="single"/>
        </w:rPr>
        <w:br w:type="page"/>
      </w:r>
    </w:p>
    <w:p w14:paraId="4025008A" w14:textId="5C1AFD6D" w:rsidR="005712F2" w:rsidRPr="00905098" w:rsidRDefault="005712F2" w:rsidP="00B30CEC">
      <w:pPr>
        <w:pStyle w:val="Heading1"/>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2173723"/>
      <w:r w:rsidRPr="00905098">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17"/>
    </w:p>
    <w:p w14:paraId="49CAB7BF" w14:textId="77777777" w:rsidR="00115B0B" w:rsidRPr="000E17C5" w:rsidRDefault="00115B0B" w:rsidP="000E17C5">
      <w:pPr>
        <w:spacing w:line="360" w:lineRule="auto"/>
        <w:rPr>
          <w:rFonts w:ascii="Arial" w:hAnsi="Arial" w:cs="Arial"/>
          <w:sz w:val="22"/>
          <w:szCs w:val="22"/>
        </w:rPr>
      </w:pPr>
    </w:p>
    <w:p w14:paraId="2838B4B5" w14:textId="2D1DA88F" w:rsidR="00115B0B" w:rsidRPr="00115B0B" w:rsidRDefault="00115B0B" w:rsidP="008520A1">
      <w:pPr>
        <w:spacing w:line="360" w:lineRule="auto"/>
        <w:jc w:val="both"/>
        <w:rPr>
          <w:rFonts w:ascii="Arial" w:hAnsi="Arial" w:cs="Arial"/>
          <w:sz w:val="22"/>
          <w:szCs w:val="22"/>
        </w:rPr>
      </w:pPr>
      <w:r w:rsidRPr="00115B0B">
        <w:rPr>
          <w:rFonts w:ascii="Arial" w:hAnsi="Arial" w:cs="Arial"/>
          <w:sz w:val="22"/>
          <w:szCs w:val="22"/>
        </w:rPr>
        <w:t>This critical examination demonstrates that virtual ward models represent a significant yet complex digital transformation within UK healthcare. While policy frameworks position virtual wards as a response to capacity pressures and workforce shortages (NHS England, 2024</w:t>
      </w:r>
      <w:r w:rsidR="007923F9">
        <w:rPr>
          <w:rFonts w:ascii="Arial" w:hAnsi="Arial" w:cs="Arial"/>
          <w:sz w:val="22"/>
          <w:szCs w:val="22"/>
        </w:rPr>
        <w:t>a</w:t>
      </w:r>
      <w:r w:rsidRPr="00115B0B">
        <w:rPr>
          <w:rFonts w:ascii="Arial" w:hAnsi="Arial" w:cs="Arial"/>
          <w:sz w:val="22"/>
          <w:szCs w:val="22"/>
        </w:rPr>
        <w:t>), evidence suggests that implementation has exposed structural tensions within both workforce sustainability and equitable service access (The King’s Fund, 2024).</w:t>
      </w:r>
    </w:p>
    <w:p w14:paraId="2279574D" w14:textId="0A9D8F4A" w:rsidR="00115B0B" w:rsidRPr="00115B0B" w:rsidRDefault="00115B0B" w:rsidP="008520A1">
      <w:pPr>
        <w:spacing w:line="360" w:lineRule="auto"/>
        <w:jc w:val="both"/>
        <w:rPr>
          <w:rFonts w:ascii="Arial" w:hAnsi="Arial" w:cs="Arial"/>
          <w:sz w:val="22"/>
          <w:szCs w:val="22"/>
        </w:rPr>
      </w:pPr>
      <w:r w:rsidRPr="00115B0B">
        <w:rPr>
          <w:rFonts w:ascii="Arial" w:hAnsi="Arial" w:cs="Arial"/>
          <w:sz w:val="22"/>
          <w:szCs w:val="22"/>
        </w:rPr>
        <w:t>Workforce analysis highlights a shift toward technology-enhanced blended roles that offer potential efficiency gains but risk workload intensification and capability gaps if not strategically supported. For patients, virtual wards can enhance autonomy and reduce exposure to hospital-associated harm (</w:t>
      </w:r>
      <w:bookmarkStart w:id="18" w:name="OLE_LINK3"/>
      <w:r w:rsidRPr="00115B0B">
        <w:rPr>
          <w:rFonts w:ascii="Arial" w:hAnsi="Arial" w:cs="Arial"/>
          <w:sz w:val="22"/>
          <w:szCs w:val="22"/>
        </w:rPr>
        <w:t>Shepperd</w:t>
      </w:r>
      <w:bookmarkEnd w:id="18"/>
      <w:r w:rsidRPr="00115B0B">
        <w:rPr>
          <w:rFonts w:ascii="Arial" w:hAnsi="Arial" w:cs="Arial"/>
          <w:sz w:val="22"/>
          <w:szCs w:val="22"/>
        </w:rPr>
        <w:t xml:space="preserve"> et al., 2021), yet digital exclusion and uneven infrastructure threaten to widen health inequalities (Mistry and </w:t>
      </w:r>
      <w:proofErr w:type="spellStart"/>
      <w:r w:rsidRPr="00115B0B">
        <w:rPr>
          <w:rFonts w:ascii="Arial" w:hAnsi="Arial" w:cs="Arial"/>
          <w:sz w:val="22"/>
          <w:szCs w:val="22"/>
        </w:rPr>
        <w:t>Jabbal</w:t>
      </w:r>
      <w:proofErr w:type="spellEnd"/>
      <w:r w:rsidRPr="00115B0B">
        <w:rPr>
          <w:rFonts w:ascii="Arial" w:hAnsi="Arial" w:cs="Arial"/>
          <w:sz w:val="22"/>
          <w:szCs w:val="22"/>
        </w:rPr>
        <w:t>, 2023).</w:t>
      </w:r>
    </w:p>
    <w:p w14:paraId="2416ECC2" w14:textId="0D598E42" w:rsidR="00115B0B" w:rsidRPr="00115B0B" w:rsidRDefault="00115B0B" w:rsidP="008520A1">
      <w:pPr>
        <w:spacing w:line="360" w:lineRule="auto"/>
        <w:jc w:val="both"/>
        <w:rPr>
          <w:rFonts w:ascii="Arial" w:hAnsi="Arial" w:cs="Arial"/>
          <w:sz w:val="22"/>
          <w:szCs w:val="22"/>
        </w:rPr>
      </w:pPr>
      <w:r w:rsidRPr="00115B0B">
        <w:rPr>
          <w:rFonts w:ascii="Arial" w:hAnsi="Arial" w:cs="Arial"/>
          <w:sz w:val="22"/>
          <w:szCs w:val="22"/>
        </w:rPr>
        <w:t xml:space="preserve">Virtual wards are therefore neither inherently transformative nor inherently problematic. Their impact depends on how effectively workforce planning, digital inclusion, governance, and hybrid care models are operationalised. </w:t>
      </w:r>
      <w:r w:rsidR="00A94957" w:rsidRPr="00A94957">
        <w:rPr>
          <w:rFonts w:ascii="Arial" w:hAnsi="Arial" w:cs="Arial"/>
          <w:sz w:val="22"/>
          <w:szCs w:val="22"/>
        </w:rPr>
        <w:t xml:space="preserve">As a rapidly expanding, policy-driven innovation, virtual wards function as a live test of whether digital reform can strengthen NHS equity and relational </w:t>
      </w:r>
      <w:r w:rsidR="00093D59" w:rsidRPr="00A94957">
        <w:rPr>
          <w:rFonts w:ascii="Arial" w:hAnsi="Arial" w:cs="Arial"/>
          <w:sz w:val="22"/>
          <w:szCs w:val="22"/>
        </w:rPr>
        <w:t>care</w:t>
      </w:r>
      <w:r w:rsidR="00093D59">
        <w:rPr>
          <w:rFonts w:ascii="Arial" w:hAnsi="Arial" w:cs="Arial"/>
          <w:sz w:val="22"/>
          <w:szCs w:val="22"/>
        </w:rPr>
        <w:t xml:space="preserve"> or</w:t>
      </w:r>
      <w:r w:rsidR="00A94957" w:rsidRPr="00A94957">
        <w:rPr>
          <w:rFonts w:ascii="Arial" w:hAnsi="Arial" w:cs="Arial"/>
          <w:sz w:val="22"/>
          <w:szCs w:val="22"/>
        </w:rPr>
        <w:t xml:space="preserve"> inadvertently destabilise the very principles it seeks to modernise.</w:t>
      </w:r>
    </w:p>
    <w:p w14:paraId="50574D80" w14:textId="11884C3C" w:rsidR="00431B54" w:rsidRPr="000E17C5" w:rsidRDefault="00431B54" w:rsidP="000E17C5">
      <w:pPr>
        <w:spacing w:line="360" w:lineRule="auto"/>
        <w:rPr>
          <w:rFonts w:ascii="Arial" w:hAnsi="Arial" w:cs="Arial"/>
          <w:sz w:val="22"/>
          <w:szCs w:val="22"/>
        </w:rPr>
      </w:pPr>
    </w:p>
    <w:p w14:paraId="3E24EAB4" w14:textId="77777777" w:rsidR="005712F2" w:rsidRPr="000E17C5" w:rsidRDefault="005712F2" w:rsidP="000E17C5">
      <w:pPr>
        <w:spacing w:line="360" w:lineRule="auto"/>
        <w:rPr>
          <w:rFonts w:ascii="Arial" w:hAnsi="Arial" w:cs="Arial"/>
          <w:sz w:val="22"/>
          <w:szCs w:val="22"/>
        </w:rPr>
      </w:pPr>
    </w:p>
    <w:p w14:paraId="27810EC8" w14:textId="019C115F" w:rsidR="00C6706B" w:rsidRPr="00711DA4" w:rsidRDefault="00156235" w:rsidP="00711DA4">
      <w:pPr>
        <w:pStyle w:val="Heading1"/>
        <w:rPr>
          <w:rFonts w:ascii="Arial" w:hAnsi="Arial" w:cs="Arial"/>
          <w:b/>
          <w:bCs/>
          <w:sz w:val="22"/>
          <w:szCs w:val="22"/>
          <w:u w:val="single"/>
        </w:rPr>
      </w:pPr>
      <w:r w:rsidRPr="000E17C5">
        <w:br w:type="page"/>
      </w:r>
      <w:bookmarkStart w:id="19" w:name="_Toc222173724"/>
      <w:r w:rsidR="006558C6" w:rsidRPr="00711DA4">
        <w:rPr>
          <w:rFonts w:ascii="Arial" w:hAnsi="Arial" w:cs="Arial"/>
          <w:b/>
          <w:bCs/>
          <w:color w:val="auto"/>
          <w:sz w:val="22"/>
          <w:szCs w:val="22"/>
          <w:u w:val="single"/>
        </w:rPr>
        <w:lastRenderedPageBreak/>
        <w:t>References</w:t>
      </w:r>
      <w:bookmarkStart w:id="20" w:name="OLE_LINK23"/>
      <w:bookmarkEnd w:id="19"/>
    </w:p>
    <w:bookmarkEnd w:id="0"/>
    <w:bookmarkEnd w:id="20"/>
    <w:p w14:paraId="303EDD14" w14:textId="77777777" w:rsidR="007B607B" w:rsidRPr="00471C4B" w:rsidRDefault="007B607B" w:rsidP="00B17D2C">
      <w:pPr>
        <w:spacing w:line="360" w:lineRule="auto"/>
        <w:rPr>
          <w:rFonts w:ascii="Arial" w:hAnsi="Arial" w:cs="Arial"/>
          <w:sz w:val="22"/>
          <w:szCs w:val="22"/>
        </w:rPr>
      </w:pPr>
    </w:p>
    <w:bookmarkEnd w:id="1"/>
    <w:p w14:paraId="6E73F96C" w14:textId="77777777" w:rsidR="00CE7780" w:rsidRPr="00471C4B" w:rsidRDefault="00CE7780" w:rsidP="00B17D2C">
      <w:pPr>
        <w:spacing w:line="360" w:lineRule="auto"/>
        <w:rPr>
          <w:rFonts w:ascii="Arial" w:hAnsi="Arial" w:cs="Arial"/>
          <w:sz w:val="22"/>
          <w:szCs w:val="22"/>
        </w:rPr>
      </w:pPr>
      <w:r w:rsidRPr="00471C4B">
        <w:rPr>
          <w:rFonts w:ascii="Arial" w:hAnsi="Arial" w:cs="Arial"/>
          <w:sz w:val="22"/>
          <w:szCs w:val="22"/>
        </w:rPr>
        <w:t xml:space="preserve">Begum, M., Greenstock, J., </w:t>
      </w:r>
      <w:proofErr w:type="spellStart"/>
      <w:r w:rsidRPr="00471C4B">
        <w:rPr>
          <w:rFonts w:ascii="Arial" w:hAnsi="Arial" w:cs="Arial"/>
          <w:sz w:val="22"/>
          <w:szCs w:val="22"/>
        </w:rPr>
        <w:t>Hextell</w:t>
      </w:r>
      <w:proofErr w:type="spellEnd"/>
      <w:r w:rsidRPr="00471C4B">
        <w:rPr>
          <w:rFonts w:ascii="Arial" w:hAnsi="Arial" w:cs="Arial"/>
          <w:sz w:val="22"/>
          <w:szCs w:val="22"/>
        </w:rPr>
        <w:t xml:space="preserve">, L., Davies, K., Stephenson, N., Rogers, K., </w:t>
      </w:r>
      <w:proofErr w:type="spellStart"/>
      <w:r w:rsidRPr="00471C4B">
        <w:rPr>
          <w:rFonts w:ascii="Arial" w:hAnsi="Arial" w:cs="Arial"/>
          <w:sz w:val="22"/>
          <w:szCs w:val="22"/>
        </w:rPr>
        <w:t>Kapadi</w:t>
      </w:r>
      <w:proofErr w:type="spellEnd"/>
      <w:r w:rsidRPr="00471C4B">
        <w:rPr>
          <w:rFonts w:ascii="Arial" w:hAnsi="Arial" w:cs="Arial"/>
          <w:sz w:val="22"/>
          <w:szCs w:val="22"/>
        </w:rPr>
        <w:t>, R., Mobeen, M. and Ward, R</w:t>
      </w:r>
      <w:r>
        <w:rPr>
          <w:rFonts w:ascii="Arial" w:hAnsi="Arial" w:cs="Arial"/>
          <w:sz w:val="22"/>
          <w:szCs w:val="22"/>
        </w:rPr>
        <w:t>.</w:t>
      </w:r>
      <w:r w:rsidRPr="00471C4B">
        <w:rPr>
          <w:rFonts w:ascii="Arial" w:hAnsi="Arial" w:cs="Arial"/>
          <w:sz w:val="22"/>
          <w:szCs w:val="22"/>
        </w:rPr>
        <w:t xml:space="preserve"> (2025). </w:t>
      </w:r>
      <w:r w:rsidRPr="00471C4B">
        <w:rPr>
          <w:rFonts w:ascii="Arial" w:hAnsi="Arial" w:cs="Arial"/>
          <w:i/>
          <w:iCs/>
          <w:sz w:val="22"/>
          <w:szCs w:val="22"/>
        </w:rPr>
        <w:t>Virtual Wards Evaluation: Patients’ and Unpaid Carers’ Experiences Final report</w:t>
      </w:r>
      <w:r w:rsidRPr="00471C4B">
        <w:rPr>
          <w:rFonts w:ascii="Arial" w:hAnsi="Arial" w:cs="Arial"/>
          <w:sz w:val="22"/>
          <w:szCs w:val="22"/>
        </w:rPr>
        <w:t>. Available at: https://www.strategyunitwm.nhs.uk/sites/default/files/2025-06/1171_Virtual_wards_final_report_June2025.pdf?utm (Accessed</w:t>
      </w:r>
      <w:r>
        <w:rPr>
          <w:rFonts w:ascii="Arial" w:hAnsi="Arial" w:cs="Arial"/>
          <w:sz w:val="22"/>
          <w:szCs w:val="22"/>
        </w:rPr>
        <w:t>:</w:t>
      </w:r>
      <w:r w:rsidRPr="00471C4B">
        <w:rPr>
          <w:rFonts w:ascii="Arial" w:hAnsi="Arial" w:cs="Arial"/>
          <w:sz w:val="22"/>
          <w:szCs w:val="22"/>
        </w:rPr>
        <w:t xml:space="preserve"> 27 January 2026).</w:t>
      </w:r>
    </w:p>
    <w:p w14:paraId="7234A542"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Byrne, N</w:t>
      </w:r>
      <w:r>
        <w:rPr>
          <w:rFonts w:ascii="Arial" w:hAnsi="Arial" w:cs="Arial"/>
          <w:sz w:val="22"/>
          <w:szCs w:val="22"/>
        </w:rPr>
        <w:t>.</w:t>
      </w:r>
      <w:r w:rsidRPr="00471C4B">
        <w:rPr>
          <w:rFonts w:ascii="Arial" w:hAnsi="Arial" w:cs="Arial"/>
          <w:sz w:val="22"/>
          <w:szCs w:val="22"/>
        </w:rPr>
        <w:t xml:space="preserve"> (2024) </w:t>
      </w:r>
      <w:r w:rsidRPr="00471C4B">
        <w:rPr>
          <w:rFonts w:ascii="Arial" w:hAnsi="Arial" w:cs="Arial"/>
          <w:i/>
          <w:iCs/>
          <w:sz w:val="22"/>
          <w:szCs w:val="22"/>
        </w:rPr>
        <w:t>National Data Guardian for Health and Social Care: annual report 2023 to 2024</w:t>
      </w:r>
      <w:r w:rsidRPr="00471C4B">
        <w:rPr>
          <w:rFonts w:ascii="Arial" w:hAnsi="Arial" w:cs="Arial"/>
          <w:sz w:val="22"/>
          <w:szCs w:val="22"/>
        </w:rPr>
        <w:t>. Available at: </w:t>
      </w:r>
      <w:hyperlink r:id="rId10" w:tgtFrame="_blank" w:history="1">
        <w:r w:rsidRPr="00471C4B">
          <w:rPr>
            <w:rStyle w:val="Hyperlink"/>
            <w:rFonts w:ascii="Arial" w:hAnsi="Arial" w:cs="Arial"/>
            <w:sz w:val="22"/>
            <w:szCs w:val="22"/>
          </w:rPr>
          <w:t>https://www.gov.uk/government/publications/national-data-guardian-2023-2024-report/national-data-guardian-2023-2024-report</w:t>
        </w:r>
      </w:hyperlink>
      <w:r w:rsidRPr="00471C4B">
        <w:rPr>
          <w:rFonts w:ascii="Arial" w:hAnsi="Arial" w:cs="Arial"/>
          <w:sz w:val="22"/>
          <w:szCs w:val="22"/>
        </w:rPr>
        <w:t> (Accessed: 27 January 2026).</w:t>
      </w:r>
    </w:p>
    <w:p w14:paraId="68B4CD16"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Chappell, P., Co, M., Hardie, T., Lloyd, T., </w:t>
      </w:r>
      <w:proofErr w:type="spellStart"/>
      <w:r w:rsidRPr="00471C4B">
        <w:rPr>
          <w:rFonts w:ascii="Arial" w:hAnsi="Arial" w:cs="Arial"/>
          <w:sz w:val="22"/>
          <w:szCs w:val="22"/>
        </w:rPr>
        <w:t>Tallack</w:t>
      </w:r>
      <w:proofErr w:type="spellEnd"/>
      <w:r w:rsidRPr="00471C4B">
        <w:rPr>
          <w:rFonts w:ascii="Arial" w:hAnsi="Arial" w:cs="Arial"/>
          <w:sz w:val="22"/>
          <w:szCs w:val="22"/>
        </w:rPr>
        <w:t>, C., Gerhold, M. and Mayers, C. (2024) </w:t>
      </w:r>
      <w:r w:rsidRPr="00471C4B">
        <w:rPr>
          <w:rFonts w:ascii="Arial" w:hAnsi="Arial" w:cs="Arial"/>
          <w:i/>
          <w:iCs/>
          <w:sz w:val="22"/>
          <w:szCs w:val="22"/>
        </w:rPr>
        <w:t>What do virtual wards look like in England?</w:t>
      </w:r>
      <w:r w:rsidRPr="00471C4B">
        <w:rPr>
          <w:rFonts w:ascii="Arial" w:hAnsi="Arial" w:cs="Arial"/>
          <w:sz w:val="22"/>
          <w:szCs w:val="22"/>
        </w:rPr>
        <w:t> (Working Paper). London: Health Foundation. Available at: </w:t>
      </w:r>
      <w:hyperlink r:id="rId11" w:tgtFrame="_blank" w:history="1">
        <w:r w:rsidRPr="00471C4B">
          <w:rPr>
            <w:rStyle w:val="Hyperlink"/>
            <w:rFonts w:ascii="Arial" w:hAnsi="Arial" w:cs="Arial"/>
            <w:sz w:val="22"/>
            <w:szCs w:val="22"/>
          </w:rPr>
          <w:t>https://www.health.org.uk/reports-and-analysis/working-papers/what-do-virtual-wards-look-like-in-england</w:t>
        </w:r>
      </w:hyperlink>
      <w:r w:rsidRPr="00471C4B">
        <w:rPr>
          <w:rFonts w:ascii="Arial" w:hAnsi="Arial" w:cs="Arial"/>
          <w:sz w:val="22"/>
          <w:szCs w:val="22"/>
        </w:rPr>
        <w:t> </w:t>
      </w:r>
      <w:bookmarkStart w:id="21" w:name="OLE_LINK13"/>
      <w:r w:rsidRPr="00471C4B">
        <w:rPr>
          <w:rFonts w:ascii="Arial" w:hAnsi="Arial" w:cs="Arial"/>
          <w:sz w:val="22"/>
          <w:szCs w:val="22"/>
        </w:rPr>
        <w:t>(Accessed: 26 January 2026).</w:t>
      </w:r>
      <w:bookmarkEnd w:id="21"/>
    </w:p>
    <w:p w14:paraId="7B2CA56C"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Freeman, </w:t>
      </w:r>
      <w:r>
        <w:rPr>
          <w:rFonts w:ascii="Arial" w:hAnsi="Arial" w:cs="Arial"/>
          <w:sz w:val="22"/>
          <w:szCs w:val="22"/>
        </w:rPr>
        <w:t>D.</w:t>
      </w:r>
      <w:r w:rsidRPr="00471C4B">
        <w:rPr>
          <w:rFonts w:ascii="Arial" w:hAnsi="Arial" w:cs="Arial"/>
          <w:sz w:val="22"/>
          <w:szCs w:val="22"/>
        </w:rPr>
        <w:t xml:space="preserve"> (2022) </w:t>
      </w:r>
      <w:r w:rsidRPr="00471C4B">
        <w:rPr>
          <w:rFonts w:ascii="Arial" w:hAnsi="Arial" w:cs="Arial"/>
          <w:i/>
          <w:iCs/>
          <w:sz w:val="22"/>
          <w:szCs w:val="22"/>
        </w:rPr>
        <w:t>Virtual Wards - Supporting management of patients with respiratory conditions</w:t>
      </w:r>
      <w:r w:rsidRPr="00471C4B">
        <w:rPr>
          <w:rFonts w:ascii="Arial" w:hAnsi="Arial" w:cs="Arial"/>
          <w:sz w:val="22"/>
          <w:szCs w:val="22"/>
        </w:rPr>
        <w:t>. Available at: </w:t>
      </w:r>
      <w:hyperlink r:id="rId12" w:tgtFrame="_blank" w:history="1">
        <w:r w:rsidRPr="00471C4B">
          <w:rPr>
            <w:rStyle w:val="Hyperlink"/>
            <w:rFonts w:ascii="Arial" w:hAnsi="Arial" w:cs="Arial"/>
            <w:sz w:val="22"/>
            <w:szCs w:val="22"/>
          </w:rPr>
          <w:t>https://www.pcrs-uk.org/sites/default/files/2022-December-PCRU-virtual_wards.pdf</w:t>
        </w:r>
      </w:hyperlink>
      <w:r w:rsidRPr="00471C4B">
        <w:rPr>
          <w:rFonts w:ascii="Arial" w:hAnsi="Arial" w:cs="Arial"/>
          <w:sz w:val="22"/>
          <w:szCs w:val="22"/>
        </w:rPr>
        <w:t> (Accessed: 27 January 2026).</w:t>
      </w:r>
    </w:p>
    <w:p w14:paraId="7AD317AB"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Greenhalgh, T., Rosen, R., Shaw, S., Byng, R. and Faulkner, S. (2022) ‘A new look at remote care: balancing patient safety with the need for human touch’, </w:t>
      </w:r>
      <w:r w:rsidRPr="00471C4B">
        <w:rPr>
          <w:rFonts w:ascii="Arial" w:hAnsi="Arial" w:cs="Arial"/>
          <w:i/>
          <w:iCs/>
          <w:sz w:val="22"/>
          <w:szCs w:val="22"/>
        </w:rPr>
        <w:t>BMJ</w:t>
      </w:r>
      <w:r w:rsidRPr="00471C4B">
        <w:rPr>
          <w:rFonts w:ascii="Arial" w:hAnsi="Arial" w:cs="Arial"/>
          <w:sz w:val="22"/>
          <w:szCs w:val="22"/>
        </w:rPr>
        <w:t>, 378, o2109. Available at: </w:t>
      </w:r>
      <w:hyperlink r:id="rId13" w:tgtFrame="_blank" w:history="1">
        <w:r w:rsidRPr="00471C4B">
          <w:rPr>
            <w:rStyle w:val="Hyperlink"/>
            <w:rFonts w:ascii="Arial" w:hAnsi="Arial" w:cs="Arial"/>
            <w:sz w:val="22"/>
            <w:szCs w:val="22"/>
          </w:rPr>
          <w:t>https://doi.org/10.1136/bmj.o2109</w:t>
        </w:r>
      </w:hyperlink>
      <w:r w:rsidRPr="00471C4B">
        <w:rPr>
          <w:rFonts w:ascii="Arial" w:hAnsi="Arial" w:cs="Arial"/>
          <w:sz w:val="22"/>
          <w:szCs w:val="22"/>
        </w:rPr>
        <w:t> (Accessed: 26 January 2026).</w:t>
      </w:r>
    </w:p>
    <w:p w14:paraId="0F3FE9A5"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Greenhalgh, T., Rosen, R., Shaw, S.E., Byng, R., Faulkner, S., Finlay, T., Grundy, E., Husain, L., Hughes, G., Leone, C., Moore, L., Papoutsi, C., Pope, C., </w:t>
      </w:r>
      <w:proofErr w:type="spellStart"/>
      <w:r w:rsidRPr="00471C4B">
        <w:rPr>
          <w:rFonts w:ascii="Arial" w:hAnsi="Arial" w:cs="Arial"/>
          <w:sz w:val="22"/>
          <w:szCs w:val="22"/>
        </w:rPr>
        <w:t>Rybczynska</w:t>
      </w:r>
      <w:proofErr w:type="spellEnd"/>
      <w:r w:rsidRPr="00471C4B">
        <w:rPr>
          <w:rFonts w:ascii="Arial" w:hAnsi="Arial" w:cs="Arial"/>
          <w:sz w:val="22"/>
          <w:szCs w:val="22"/>
        </w:rPr>
        <w:t xml:space="preserve">-Bunt, S., Rushforth, A., </w:t>
      </w:r>
      <w:proofErr w:type="spellStart"/>
      <w:r w:rsidRPr="00471C4B">
        <w:rPr>
          <w:rFonts w:ascii="Arial" w:hAnsi="Arial" w:cs="Arial"/>
          <w:sz w:val="22"/>
          <w:szCs w:val="22"/>
        </w:rPr>
        <w:t>Wherton</w:t>
      </w:r>
      <w:proofErr w:type="spellEnd"/>
      <w:r w:rsidRPr="00471C4B">
        <w:rPr>
          <w:rFonts w:ascii="Arial" w:hAnsi="Arial" w:cs="Arial"/>
          <w:sz w:val="22"/>
          <w:szCs w:val="22"/>
        </w:rPr>
        <w:t>, J., Wieringa, S. and Wood, G.W. (2021) ‘Planning and Evaluating Remote Consultation Services: A New Conceptual Framework Incorporating Complexity and Practical Ethics’, </w:t>
      </w:r>
      <w:r w:rsidRPr="00471C4B">
        <w:rPr>
          <w:rFonts w:ascii="Arial" w:hAnsi="Arial" w:cs="Arial"/>
          <w:i/>
          <w:iCs/>
          <w:sz w:val="22"/>
          <w:szCs w:val="22"/>
        </w:rPr>
        <w:t>Frontiers in Digital Health</w:t>
      </w:r>
      <w:r w:rsidRPr="00471C4B">
        <w:rPr>
          <w:rFonts w:ascii="Arial" w:hAnsi="Arial" w:cs="Arial"/>
          <w:sz w:val="22"/>
          <w:szCs w:val="22"/>
        </w:rPr>
        <w:t>, 3, 726095. Available at: </w:t>
      </w:r>
      <w:hyperlink r:id="rId14" w:tgtFrame="_blank" w:history="1">
        <w:r w:rsidRPr="00471C4B">
          <w:rPr>
            <w:rStyle w:val="Hyperlink"/>
            <w:rFonts w:ascii="Arial" w:hAnsi="Arial" w:cs="Arial"/>
            <w:sz w:val="22"/>
            <w:szCs w:val="22"/>
          </w:rPr>
          <w:t>https://doi.org/10.3389/fdgth.2021.726095</w:t>
        </w:r>
      </w:hyperlink>
      <w:r w:rsidRPr="00471C4B">
        <w:rPr>
          <w:rFonts w:ascii="Arial" w:hAnsi="Arial" w:cs="Arial"/>
          <w:sz w:val="22"/>
          <w:szCs w:val="22"/>
        </w:rPr>
        <w:t> (Accessed: 26 January 2026).</w:t>
      </w:r>
    </w:p>
    <w:p w14:paraId="21F30F6C"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Greenhalgh, T., </w:t>
      </w:r>
      <w:proofErr w:type="spellStart"/>
      <w:r w:rsidRPr="00471C4B">
        <w:rPr>
          <w:rFonts w:ascii="Arial" w:hAnsi="Arial" w:cs="Arial"/>
          <w:sz w:val="22"/>
          <w:szCs w:val="22"/>
        </w:rPr>
        <w:t>Wherton</w:t>
      </w:r>
      <w:proofErr w:type="spellEnd"/>
      <w:r w:rsidRPr="00471C4B">
        <w:rPr>
          <w:rFonts w:ascii="Arial" w:hAnsi="Arial" w:cs="Arial"/>
          <w:sz w:val="22"/>
          <w:szCs w:val="22"/>
        </w:rPr>
        <w:t>, J., Shaw, S., Papoutsi, C., Vijayaraghavan, S. and Stones, R. (2023) 'Digital remote monitoring for COVID-19 and beyond: Badly designed systems increase workload and cause inadvertent harm', </w:t>
      </w:r>
      <w:r w:rsidRPr="00471C4B">
        <w:rPr>
          <w:rFonts w:ascii="Arial" w:hAnsi="Arial" w:cs="Arial"/>
          <w:i/>
          <w:iCs/>
          <w:sz w:val="22"/>
          <w:szCs w:val="22"/>
        </w:rPr>
        <w:t>Journal of Medical Internet Research</w:t>
      </w:r>
      <w:r w:rsidRPr="00471C4B">
        <w:rPr>
          <w:rFonts w:ascii="Arial" w:hAnsi="Arial" w:cs="Arial"/>
          <w:sz w:val="22"/>
          <w:szCs w:val="22"/>
        </w:rPr>
        <w:t>, 25, e46850. Available at: </w:t>
      </w:r>
      <w:hyperlink r:id="rId15" w:tgtFrame="_blank" w:history="1">
        <w:r w:rsidRPr="00471C4B">
          <w:rPr>
            <w:rStyle w:val="Hyperlink"/>
            <w:rFonts w:ascii="Arial" w:hAnsi="Arial" w:cs="Arial"/>
            <w:sz w:val="22"/>
            <w:szCs w:val="22"/>
          </w:rPr>
          <w:t>https://doi.org/10.2196/46850</w:t>
        </w:r>
      </w:hyperlink>
      <w:r w:rsidRPr="00471C4B">
        <w:rPr>
          <w:rFonts w:ascii="Arial" w:hAnsi="Arial" w:cs="Arial"/>
          <w:sz w:val="22"/>
          <w:szCs w:val="22"/>
        </w:rPr>
        <w:t> (Accessed: 26 January 2026).</w:t>
      </w:r>
    </w:p>
    <w:p w14:paraId="1494A795"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McGlen, S., Woolley, S., Currie, G. and </w:t>
      </w:r>
      <w:proofErr w:type="spellStart"/>
      <w:r w:rsidRPr="00471C4B">
        <w:rPr>
          <w:rFonts w:ascii="Arial" w:hAnsi="Arial" w:cs="Arial"/>
          <w:sz w:val="22"/>
          <w:szCs w:val="22"/>
        </w:rPr>
        <w:t>Lasserson</w:t>
      </w:r>
      <w:proofErr w:type="spellEnd"/>
      <w:r w:rsidRPr="00471C4B">
        <w:rPr>
          <w:rFonts w:ascii="Arial" w:hAnsi="Arial" w:cs="Arial"/>
          <w:sz w:val="22"/>
          <w:szCs w:val="22"/>
        </w:rPr>
        <w:t>, D. (2023) </w:t>
      </w:r>
      <w:r w:rsidRPr="00471C4B">
        <w:rPr>
          <w:rFonts w:ascii="Arial" w:hAnsi="Arial" w:cs="Arial"/>
          <w:i/>
          <w:iCs/>
          <w:sz w:val="22"/>
          <w:szCs w:val="22"/>
        </w:rPr>
        <w:t>Literature review on barriers and facilitators to implementation of virtual wards</w:t>
      </w:r>
      <w:r w:rsidRPr="00471C4B">
        <w:rPr>
          <w:rFonts w:ascii="Arial" w:hAnsi="Arial" w:cs="Arial"/>
          <w:sz w:val="22"/>
          <w:szCs w:val="22"/>
        </w:rPr>
        <w:t xml:space="preserve">. Warwick: National Institute for Health and Care Research (NIHR) Applied Research Collaboration West Midlands. Available </w:t>
      </w:r>
      <w:r w:rsidRPr="00471C4B">
        <w:rPr>
          <w:rFonts w:ascii="Arial" w:hAnsi="Arial" w:cs="Arial"/>
          <w:sz w:val="22"/>
          <w:szCs w:val="22"/>
        </w:rPr>
        <w:lastRenderedPageBreak/>
        <w:t>at: </w:t>
      </w:r>
      <w:hyperlink r:id="rId16" w:tgtFrame="_blank" w:history="1">
        <w:r w:rsidRPr="00471C4B">
          <w:rPr>
            <w:rStyle w:val="Hyperlink"/>
            <w:rFonts w:ascii="Arial" w:hAnsi="Arial" w:cs="Arial"/>
            <w:sz w:val="22"/>
            <w:szCs w:val="22"/>
          </w:rPr>
          <w:t>https://www.arc-wm.nihr.ac.uk/wp-content/uploads/2025/05/Virtual-Ward-Literature-Review.pdf</w:t>
        </w:r>
      </w:hyperlink>
      <w:r w:rsidRPr="00471C4B">
        <w:rPr>
          <w:rFonts w:ascii="Arial" w:hAnsi="Arial" w:cs="Arial"/>
          <w:sz w:val="22"/>
          <w:szCs w:val="22"/>
        </w:rPr>
        <w:t> (Accessed: 26 January 2026).</w:t>
      </w:r>
    </w:p>
    <w:p w14:paraId="25EDBE4C"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Mistry, P. and </w:t>
      </w:r>
      <w:proofErr w:type="spellStart"/>
      <w:r w:rsidRPr="00471C4B">
        <w:rPr>
          <w:rFonts w:ascii="Arial" w:hAnsi="Arial" w:cs="Arial"/>
          <w:sz w:val="22"/>
          <w:szCs w:val="22"/>
        </w:rPr>
        <w:t>Jabbal</w:t>
      </w:r>
      <w:proofErr w:type="spellEnd"/>
      <w:r w:rsidRPr="00471C4B">
        <w:rPr>
          <w:rFonts w:ascii="Arial" w:hAnsi="Arial" w:cs="Arial"/>
          <w:sz w:val="22"/>
          <w:szCs w:val="22"/>
        </w:rPr>
        <w:t xml:space="preserve">, J. (2023) </w:t>
      </w:r>
      <w:r w:rsidRPr="00471C4B">
        <w:rPr>
          <w:rFonts w:ascii="Arial" w:hAnsi="Arial" w:cs="Arial"/>
          <w:i/>
          <w:iCs/>
          <w:sz w:val="22"/>
          <w:szCs w:val="22"/>
        </w:rPr>
        <w:t xml:space="preserve">Moving </w:t>
      </w:r>
      <w:proofErr w:type="gramStart"/>
      <w:r w:rsidRPr="00471C4B">
        <w:rPr>
          <w:rFonts w:ascii="Arial" w:hAnsi="Arial" w:cs="Arial"/>
          <w:i/>
          <w:iCs/>
          <w:sz w:val="22"/>
          <w:szCs w:val="22"/>
        </w:rPr>
        <w:t>From</w:t>
      </w:r>
      <w:proofErr w:type="gramEnd"/>
      <w:r w:rsidRPr="00471C4B">
        <w:rPr>
          <w:rFonts w:ascii="Arial" w:hAnsi="Arial" w:cs="Arial"/>
          <w:i/>
          <w:iCs/>
          <w:sz w:val="22"/>
          <w:szCs w:val="22"/>
        </w:rPr>
        <w:t xml:space="preserve"> Exclusion </w:t>
      </w:r>
      <w:proofErr w:type="gramStart"/>
      <w:r w:rsidRPr="00471C4B">
        <w:rPr>
          <w:rFonts w:ascii="Arial" w:hAnsi="Arial" w:cs="Arial"/>
          <w:i/>
          <w:iCs/>
          <w:sz w:val="22"/>
          <w:szCs w:val="22"/>
        </w:rPr>
        <w:t>To</w:t>
      </w:r>
      <w:proofErr w:type="gramEnd"/>
      <w:r w:rsidRPr="00471C4B">
        <w:rPr>
          <w:rFonts w:ascii="Arial" w:hAnsi="Arial" w:cs="Arial"/>
          <w:i/>
          <w:iCs/>
          <w:sz w:val="22"/>
          <w:szCs w:val="22"/>
        </w:rPr>
        <w:t xml:space="preserve"> Inclusion </w:t>
      </w:r>
      <w:proofErr w:type="gramStart"/>
      <w:r w:rsidRPr="00471C4B">
        <w:rPr>
          <w:rFonts w:ascii="Arial" w:hAnsi="Arial" w:cs="Arial"/>
          <w:i/>
          <w:iCs/>
          <w:sz w:val="22"/>
          <w:szCs w:val="22"/>
        </w:rPr>
        <w:t>In</w:t>
      </w:r>
      <w:proofErr w:type="gramEnd"/>
      <w:r w:rsidRPr="00471C4B">
        <w:rPr>
          <w:rFonts w:ascii="Arial" w:hAnsi="Arial" w:cs="Arial"/>
          <w:i/>
          <w:iCs/>
          <w:sz w:val="22"/>
          <w:szCs w:val="22"/>
        </w:rPr>
        <w:t xml:space="preserve"> Digital Health </w:t>
      </w:r>
      <w:proofErr w:type="gramStart"/>
      <w:r w:rsidRPr="00471C4B">
        <w:rPr>
          <w:rFonts w:ascii="Arial" w:hAnsi="Arial" w:cs="Arial"/>
          <w:i/>
          <w:iCs/>
          <w:sz w:val="22"/>
          <w:szCs w:val="22"/>
        </w:rPr>
        <w:t>And</w:t>
      </w:r>
      <w:proofErr w:type="gramEnd"/>
      <w:r w:rsidRPr="00471C4B">
        <w:rPr>
          <w:rFonts w:ascii="Arial" w:hAnsi="Arial" w:cs="Arial"/>
          <w:i/>
          <w:iCs/>
          <w:sz w:val="22"/>
          <w:szCs w:val="22"/>
        </w:rPr>
        <w:t xml:space="preserve"> Care. </w:t>
      </w:r>
      <w:r w:rsidRPr="00471C4B">
        <w:rPr>
          <w:rFonts w:ascii="Arial" w:hAnsi="Arial" w:cs="Arial"/>
          <w:sz w:val="22"/>
          <w:szCs w:val="22"/>
        </w:rPr>
        <w:t xml:space="preserve">Available at: </w:t>
      </w:r>
      <w:hyperlink r:id="rId17" w:history="1">
        <w:r w:rsidRPr="00471C4B">
          <w:rPr>
            <w:rStyle w:val="Hyperlink"/>
            <w:rFonts w:ascii="Arial" w:hAnsi="Arial" w:cs="Arial"/>
            <w:sz w:val="22"/>
            <w:szCs w:val="22"/>
          </w:rPr>
          <w:t>https://www.kingsfund.org.uk/insight-and-analysis/long-reads/exclusion-inclusion-digital-health-care</w:t>
        </w:r>
      </w:hyperlink>
      <w:r w:rsidRPr="00471C4B">
        <w:rPr>
          <w:rFonts w:ascii="Arial" w:hAnsi="Arial" w:cs="Arial"/>
          <w:sz w:val="22"/>
          <w:szCs w:val="22"/>
        </w:rPr>
        <w:t xml:space="preserve"> (Accessed: 27 January 2026).</w:t>
      </w:r>
    </w:p>
    <w:p w14:paraId="2CAA21CF"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National Institute for Health and Care Excellence </w:t>
      </w:r>
      <w:r>
        <w:rPr>
          <w:rFonts w:ascii="Arial" w:hAnsi="Arial" w:cs="Arial"/>
          <w:sz w:val="22"/>
          <w:szCs w:val="22"/>
        </w:rPr>
        <w:t>(</w:t>
      </w:r>
      <w:r w:rsidRPr="00471C4B">
        <w:rPr>
          <w:rFonts w:ascii="Arial" w:hAnsi="Arial" w:cs="Arial"/>
          <w:sz w:val="22"/>
          <w:szCs w:val="22"/>
        </w:rPr>
        <w:t>2023</w:t>
      </w:r>
      <w:r>
        <w:rPr>
          <w:rFonts w:ascii="Arial" w:hAnsi="Arial" w:cs="Arial"/>
          <w:sz w:val="22"/>
          <w:szCs w:val="22"/>
        </w:rPr>
        <w:t xml:space="preserve">) </w:t>
      </w:r>
      <w:r w:rsidRPr="00471C4B">
        <w:rPr>
          <w:rFonts w:ascii="Arial" w:hAnsi="Arial" w:cs="Arial"/>
          <w:i/>
          <w:iCs/>
          <w:sz w:val="22"/>
          <w:szCs w:val="22"/>
        </w:rPr>
        <w:t>Supporting the health care system to implement virtual wards</w:t>
      </w:r>
      <w:r w:rsidRPr="00471C4B">
        <w:rPr>
          <w:rFonts w:ascii="Arial" w:hAnsi="Arial" w:cs="Arial"/>
          <w:sz w:val="22"/>
          <w:szCs w:val="22"/>
        </w:rPr>
        <w:t>. Available at: </w:t>
      </w:r>
      <w:hyperlink r:id="rId18" w:tgtFrame="_blank" w:history="1">
        <w:r w:rsidRPr="00471C4B">
          <w:rPr>
            <w:rStyle w:val="Hyperlink"/>
            <w:rFonts w:ascii="Arial" w:hAnsi="Arial" w:cs="Arial"/>
            <w:sz w:val="22"/>
            <w:szCs w:val="22"/>
          </w:rPr>
          <w:t>https://www.nice.org.uk/implementing-nice-guidance/cost-saving-resource-planning-and-audit/supporting-the-health-care-system-to-implement-virtual-wards</w:t>
        </w:r>
      </w:hyperlink>
      <w:r w:rsidRPr="00471C4B">
        <w:rPr>
          <w:rFonts w:ascii="Arial" w:hAnsi="Arial" w:cs="Arial"/>
          <w:sz w:val="22"/>
          <w:szCs w:val="22"/>
        </w:rPr>
        <w:t> (Accessed</w:t>
      </w:r>
      <w:r>
        <w:rPr>
          <w:rFonts w:ascii="Arial" w:hAnsi="Arial" w:cs="Arial"/>
          <w:sz w:val="22"/>
          <w:szCs w:val="22"/>
        </w:rPr>
        <w:t>:</w:t>
      </w:r>
      <w:r w:rsidRPr="00471C4B">
        <w:rPr>
          <w:rFonts w:ascii="Arial" w:hAnsi="Arial" w:cs="Arial"/>
          <w:sz w:val="22"/>
          <w:szCs w:val="22"/>
        </w:rPr>
        <w:t xml:space="preserve"> 28 January 2026).</w:t>
      </w:r>
    </w:p>
    <w:p w14:paraId="15DFBE85"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NHS Confederation (2025) </w:t>
      </w:r>
      <w:r w:rsidRPr="00471C4B">
        <w:rPr>
          <w:rFonts w:ascii="Arial" w:hAnsi="Arial" w:cs="Arial"/>
          <w:i/>
          <w:iCs/>
          <w:sz w:val="22"/>
          <w:szCs w:val="22"/>
        </w:rPr>
        <w:t>Digital transformation in the NHS: a reference guide</w:t>
      </w:r>
      <w:r w:rsidRPr="00471C4B">
        <w:rPr>
          <w:rFonts w:ascii="Arial" w:hAnsi="Arial" w:cs="Arial"/>
          <w:sz w:val="22"/>
          <w:szCs w:val="22"/>
        </w:rPr>
        <w:t>. Available at: </w:t>
      </w:r>
      <w:hyperlink r:id="rId19" w:tgtFrame="_blank" w:history="1">
        <w:r w:rsidRPr="00471C4B">
          <w:rPr>
            <w:rStyle w:val="Hyperlink"/>
            <w:rFonts w:ascii="Arial" w:hAnsi="Arial" w:cs="Arial"/>
            <w:sz w:val="22"/>
            <w:szCs w:val="22"/>
          </w:rPr>
          <w:t>https://www.nhsconfed.org/publications/digital-transformation-nhs-reference-guide</w:t>
        </w:r>
      </w:hyperlink>
      <w:r w:rsidRPr="00471C4B">
        <w:rPr>
          <w:rFonts w:ascii="Arial" w:hAnsi="Arial" w:cs="Arial"/>
          <w:sz w:val="22"/>
          <w:szCs w:val="22"/>
        </w:rPr>
        <w:t> (Accessed: 26 January 2026).</w:t>
      </w:r>
    </w:p>
    <w:p w14:paraId="439CB042" w14:textId="77777777" w:rsidR="00CE7780" w:rsidRPr="00471C4B" w:rsidRDefault="00CE7780" w:rsidP="007B607B">
      <w:pPr>
        <w:spacing w:line="360" w:lineRule="auto"/>
        <w:rPr>
          <w:rFonts w:ascii="Arial" w:hAnsi="Arial" w:cs="Arial"/>
          <w:sz w:val="22"/>
          <w:szCs w:val="22"/>
        </w:rPr>
      </w:pPr>
      <w:r w:rsidRPr="007B6DCD">
        <w:rPr>
          <w:rFonts w:ascii="Arial" w:hAnsi="Arial" w:cs="Arial"/>
          <w:sz w:val="22"/>
          <w:szCs w:val="22"/>
        </w:rPr>
        <w:t>NHS England (2021) </w:t>
      </w:r>
      <w:r w:rsidRPr="007B6DCD">
        <w:rPr>
          <w:rFonts w:ascii="Arial" w:hAnsi="Arial" w:cs="Arial"/>
          <w:i/>
          <w:iCs/>
          <w:sz w:val="22"/>
          <w:szCs w:val="22"/>
        </w:rPr>
        <w:t>What Good Looks Like framework</w:t>
      </w:r>
      <w:r w:rsidRPr="007B6DCD">
        <w:rPr>
          <w:rFonts w:ascii="Arial" w:hAnsi="Arial" w:cs="Arial"/>
          <w:sz w:val="22"/>
          <w:szCs w:val="22"/>
        </w:rPr>
        <w:t>. Available at: </w:t>
      </w:r>
      <w:hyperlink r:id="rId20" w:history="1">
        <w:r w:rsidRPr="007B6DCD">
          <w:rPr>
            <w:rStyle w:val="Hyperlink"/>
            <w:rFonts w:ascii="Arial" w:hAnsi="Arial" w:cs="Arial"/>
            <w:sz w:val="22"/>
            <w:szCs w:val="22"/>
          </w:rPr>
          <w:t>https://transform.england.nhs.uk/digitise-connect-transform/what-good-looks-like/what-good-looks-like-publication/</w:t>
        </w:r>
      </w:hyperlink>
      <w:r w:rsidRPr="007B6DCD">
        <w:rPr>
          <w:rFonts w:ascii="Arial" w:hAnsi="Arial" w:cs="Arial"/>
          <w:sz w:val="22"/>
          <w:szCs w:val="22"/>
        </w:rPr>
        <w:t> (Accessed: 15 February 2026).</w:t>
      </w:r>
    </w:p>
    <w:p w14:paraId="6D22B9CD"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NHS England (2022a) 2022/23 priorities and operational planning guidance. Available at: </w:t>
      </w:r>
      <w:hyperlink r:id="rId21" w:tgtFrame="_blank" w:history="1">
        <w:r w:rsidRPr="00471C4B">
          <w:rPr>
            <w:rStyle w:val="Hyperlink"/>
            <w:rFonts w:ascii="Arial" w:hAnsi="Arial" w:cs="Arial"/>
            <w:sz w:val="22"/>
            <w:szCs w:val="22"/>
          </w:rPr>
          <w:t>https://www.england.nhs.uk/wp-content/uploads/2022/02/20211223-B1160-2022-23-priorities-and-operational-planning-guidance-v3.2.pdf</w:t>
        </w:r>
      </w:hyperlink>
      <w:r w:rsidRPr="00471C4B">
        <w:rPr>
          <w:rFonts w:ascii="Arial" w:hAnsi="Arial" w:cs="Arial"/>
          <w:sz w:val="22"/>
          <w:szCs w:val="22"/>
        </w:rPr>
        <w:t> (Accessed: 26 January 2026).</w:t>
      </w:r>
    </w:p>
    <w:p w14:paraId="683EE7E7"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NHS England (2022b) </w:t>
      </w:r>
      <w:r w:rsidRPr="00471C4B">
        <w:rPr>
          <w:rFonts w:ascii="Arial" w:hAnsi="Arial" w:cs="Arial"/>
          <w:i/>
          <w:iCs/>
          <w:sz w:val="22"/>
          <w:szCs w:val="22"/>
        </w:rPr>
        <w:t>Personalised care: improving outcomes by putting people at the centre of their care</w:t>
      </w:r>
      <w:r w:rsidRPr="00471C4B">
        <w:rPr>
          <w:rFonts w:ascii="Arial" w:hAnsi="Arial" w:cs="Arial"/>
          <w:sz w:val="22"/>
          <w:szCs w:val="22"/>
        </w:rPr>
        <w:t xml:space="preserve">. Available at: </w:t>
      </w:r>
      <w:hyperlink r:id="rId22" w:tgtFrame="_new" w:history="1">
        <w:r w:rsidRPr="00471C4B">
          <w:rPr>
            <w:rStyle w:val="Hyperlink"/>
            <w:rFonts w:ascii="Arial" w:hAnsi="Arial" w:cs="Arial"/>
            <w:sz w:val="22"/>
            <w:szCs w:val="22"/>
          </w:rPr>
          <w:t>https://www.england.nhs.uk/personalisedcare/</w:t>
        </w:r>
      </w:hyperlink>
      <w:r w:rsidRPr="00471C4B">
        <w:rPr>
          <w:rFonts w:ascii="Arial" w:hAnsi="Arial" w:cs="Arial"/>
          <w:sz w:val="22"/>
          <w:szCs w:val="22"/>
        </w:rPr>
        <w:t xml:space="preserve"> (Accessed: 27 January 2026).</w:t>
      </w:r>
    </w:p>
    <w:p w14:paraId="505381A0"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NHS England (2023a) </w:t>
      </w:r>
      <w:r w:rsidRPr="00471C4B">
        <w:rPr>
          <w:rFonts w:ascii="Arial" w:hAnsi="Arial" w:cs="Arial"/>
          <w:i/>
          <w:iCs/>
          <w:sz w:val="22"/>
          <w:szCs w:val="22"/>
        </w:rPr>
        <w:t>Virtual wards enabled by technology: guidance on selecting and procuring a technology platform</w:t>
      </w:r>
      <w:r w:rsidRPr="00471C4B">
        <w:rPr>
          <w:rFonts w:ascii="Arial" w:hAnsi="Arial" w:cs="Arial"/>
          <w:sz w:val="22"/>
          <w:szCs w:val="22"/>
        </w:rPr>
        <w:t>. Available at: </w:t>
      </w:r>
      <w:hyperlink r:id="rId23" w:tgtFrame="_blank" w:history="1">
        <w:r w:rsidRPr="00471C4B">
          <w:rPr>
            <w:rStyle w:val="Hyperlink"/>
            <w:rFonts w:ascii="Arial" w:hAnsi="Arial" w:cs="Arial"/>
            <w:sz w:val="22"/>
            <w:szCs w:val="22"/>
          </w:rPr>
          <w:t>https://www.england.nhs.uk/long-read/virtual-wards-enabled-by-technology-guidance-on-selecting-and-procuring-a-technology-platform/</w:t>
        </w:r>
      </w:hyperlink>
      <w:r w:rsidRPr="00471C4B">
        <w:rPr>
          <w:rFonts w:ascii="Arial" w:hAnsi="Arial" w:cs="Arial"/>
          <w:sz w:val="22"/>
          <w:szCs w:val="22"/>
        </w:rPr>
        <w:t> (Accessed: 26 January 2026).</w:t>
      </w:r>
    </w:p>
    <w:p w14:paraId="2EA0C8DE"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NHS England (2023b) </w:t>
      </w:r>
      <w:r w:rsidRPr="00471C4B">
        <w:rPr>
          <w:rFonts w:ascii="Arial" w:hAnsi="Arial" w:cs="Arial"/>
          <w:i/>
          <w:iCs/>
          <w:sz w:val="22"/>
          <w:szCs w:val="22"/>
        </w:rPr>
        <w:t>Inclusive digital healthcare: a framework for NHS action on digital inclusion</w:t>
      </w:r>
      <w:r w:rsidRPr="00471C4B">
        <w:rPr>
          <w:rFonts w:ascii="Arial" w:hAnsi="Arial" w:cs="Arial"/>
          <w:sz w:val="22"/>
          <w:szCs w:val="22"/>
        </w:rPr>
        <w:t>. Available at: </w:t>
      </w:r>
      <w:hyperlink r:id="rId24" w:tgtFrame="_blank" w:history="1">
        <w:r w:rsidRPr="00471C4B">
          <w:rPr>
            <w:rStyle w:val="Hyperlink"/>
            <w:rFonts w:ascii="Arial" w:hAnsi="Arial" w:cs="Arial"/>
            <w:sz w:val="22"/>
            <w:szCs w:val="22"/>
          </w:rPr>
          <w:t>https://www.england.nhs.uk/long-read/inclusive-digital-healthcare-a-framework-for-nhs-action-on-digital-inclusion/</w:t>
        </w:r>
      </w:hyperlink>
      <w:r w:rsidRPr="00471C4B">
        <w:rPr>
          <w:rFonts w:ascii="Arial" w:hAnsi="Arial" w:cs="Arial"/>
          <w:sz w:val="22"/>
          <w:szCs w:val="22"/>
        </w:rPr>
        <w:t> (Accessed: 27 January 2026).</w:t>
      </w:r>
    </w:p>
    <w:p w14:paraId="6946BC25"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NHS England (2023c) </w:t>
      </w:r>
      <w:r w:rsidRPr="00471C4B">
        <w:rPr>
          <w:rFonts w:ascii="Arial" w:hAnsi="Arial" w:cs="Arial"/>
          <w:i/>
          <w:iCs/>
          <w:sz w:val="22"/>
          <w:szCs w:val="22"/>
        </w:rPr>
        <w:t>Supporting clinical leadership in virtual wards – A guide for integrated care system clinical leaders</w:t>
      </w:r>
      <w:r w:rsidRPr="00471C4B">
        <w:rPr>
          <w:rFonts w:ascii="Arial" w:hAnsi="Arial" w:cs="Arial"/>
          <w:sz w:val="22"/>
          <w:szCs w:val="22"/>
        </w:rPr>
        <w:t>. Available at: </w:t>
      </w:r>
      <w:hyperlink r:id="rId25" w:tgtFrame="_blank" w:history="1">
        <w:r w:rsidRPr="00471C4B">
          <w:rPr>
            <w:rStyle w:val="Hyperlink"/>
            <w:rFonts w:ascii="Arial" w:hAnsi="Arial" w:cs="Arial"/>
            <w:sz w:val="22"/>
            <w:szCs w:val="22"/>
          </w:rPr>
          <w:t>https://www.england.nhs.uk/long-read/supporting-clinical-leadership-in-virtual-wards-a-guide-for-integrated-care-system-clinical-leaders/</w:t>
        </w:r>
      </w:hyperlink>
      <w:r w:rsidRPr="00471C4B">
        <w:rPr>
          <w:rFonts w:ascii="Arial" w:hAnsi="Arial" w:cs="Arial"/>
          <w:sz w:val="22"/>
          <w:szCs w:val="22"/>
        </w:rPr>
        <w:t> (Accessed: 28 January 2026).</w:t>
      </w:r>
    </w:p>
    <w:p w14:paraId="59ACCCED" w14:textId="77777777" w:rsidR="00CE7780" w:rsidRDefault="00CE7780" w:rsidP="007B607B">
      <w:pPr>
        <w:spacing w:line="360" w:lineRule="auto"/>
        <w:rPr>
          <w:rFonts w:ascii="Arial" w:hAnsi="Arial" w:cs="Arial"/>
          <w:sz w:val="22"/>
          <w:szCs w:val="22"/>
        </w:rPr>
      </w:pPr>
      <w:r w:rsidRPr="00471C4B">
        <w:rPr>
          <w:rFonts w:ascii="Arial" w:hAnsi="Arial" w:cs="Arial"/>
          <w:sz w:val="22"/>
          <w:szCs w:val="22"/>
        </w:rPr>
        <w:lastRenderedPageBreak/>
        <w:t>NHS England (2024</w:t>
      </w:r>
      <w:r>
        <w:rPr>
          <w:rFonts w:ascii="Arial" w:hAnsi="Arial" w:cs="Arial"/>
          <w:sz w:val="22"/>
          <w:szCs w:val="22"/>
        </w:rPr>
        <w:t>a</w:t>
      </w:r>
      <w:r w:rsidRPr="00471C4B">
        <w:rPr>
          <w:rFonts w:ascii="Arial" w:hAnsi="Arial" w:cs="Arial"/>
          <w:sz w:val="22"/>
          <w:szCs w:val="22"/>
        </w:rPr>
        <w:t>) </w:t>
      </w:r>
      <w:r w:rsidRPr="00471C4B">
        <w:rPr>
          <w:rFonts w:ascii="Arial" w:hAnsi="Arial" w:cs="Arial"/>
          <w:i/>
          <w:iCs/>
          <w:sz w:val="22"/>
          <w:szCs w:val="22"/>
        </w:rPr>
        <w:t>Virtual wards operational framework</w:t>
      </w:r>
      <w:r w:rsidRPr="00471C4B">
        <w:rPr>
          <w:rFonts w:ascii="Arial" w:hAnsi="Arial" w:cs="Arial"/>
          <w:sz w:val="22"/>
          <w:szCs w:val="22"/>
        </w:rPr>
        <w:t>. Available at: </w:t>
      </w:r>
      <w:hyperlink r:id="rId26" w:tgtFrame="_blank" w:history="1">
        <w:r w:rsidRPr="00471C4B">
          <w:rPr>
            <w:rStyle w:val="Hyperlink"/>
            <w:rFonts w:ascii="Arial" w:hAnsi="Arial" w:cs="Arial"/>
            <w:sz w:val="22"/>
            <w:szCs w:val="22"/>
          </w:rPr>
          <w:t>https://www.england.nhs.uk/long-read/virtual-wards-operational-framework/</w:t>
        </w:r>
      </w:hyperlink>
      <w:r w:rsidRPr="00471C4B">
        <w:rPr>
          <w:rFonts w:ascii="Arial" w:hAnsi="Arial" w:cs="Arial"/>
          <w:sz w:val="22"/>
          <w:szCs w:val="22"/>
        </w:rPr>
        <w:t> (Accessed: 28 January 2026).</w:t>
      </w:r>
    </w:p>
    <w:p w14:paraId="553E991B"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NHS England (2024</w:t>
      </w:r>
      <w:r>
        <w:rPr>
          <w:rFonts w:ascii="Arial" w:hAnsi="Arial" w:cs="Arial"/>
          <w:sz w:val="22"/>
          <w:szCs w:val="22"/>
        </w:rPr>
        <w:t>b</w:t>
      </w:r>
      <w:r w:rsidRPr="00471C4B">
        <w:rPr>
          <w:rFonts w:ascii="Arial" w:hAnsi="Arial" w:cs="Arial"/>
          <w:sz w:val="22"/>
          <w:szCs w:val="22"/>
        </w:rPr>
        <w:t>) Virtual Ward Daily Situation Reports 2024-25: April 2024 to March 2025. Available at: </w:t>
      </w:r>
      <w:hyperlink r:id="rId27" w:tgtFrame="_blank" w:history="1">
        <w:r w:rsidRPr="00471C4B">
          <w:rPr>
            <w:rStyle w:val="Hyperlink"/>
            <w:rFonts w:ascii="Arial" w:hAnsi="Arial" w:cs="Arial"/>
            <w:sz w:val="22"/>
            <w:szCs w:val="22"/>
          </w:rPr>
          <w:t>https://www.england.nhs.uk/statistics/statistical-work-areas/virtual-ward/</w:t>
        </w:r>
      </w:hyperlink>
      <w:r w:rsidRPr="00471C4B">
        <w:rPr>
          <w:rFonts w:ascii="Arial" w:hAnsi="Arial" w:cs="Arial"/>
          <w:sz w:val="22"/>
          <w:szCs w:val="22"/>
        </w:rPr>
        <w:t> (Accessed: 9 February 2026).</w:t>
      </w:r>
    </w:p>
    <w:p w14:paraId="5D84880F"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Nursing and Midwifery Council (2018) </w:t>
      </w:r>
      <w:r w:rsidRPr="00471C4B">
        <w:rPr>
          <w:rFonts w:ascii="Arial" w:hAnsi="Arial" w:cs="Arial"/>
          <w:i/>
          <w:iCs/>
          <w:sz w:val="22"/>
          <w:szCs w:val="22"/>
        </w:rPr>
        <w:t>Future Nurse: Standards of Proficiency for Registered Nurses</w:t>
      </w:r>
      <w:r w:rsidRPr="00471C4B">
        <w:rPr>
          <w:rFonts w:ascii="Arial" w:hAnsi="Arial" w:cs="Arial"/>
          <w:sz w:val="22"/>
          <w:szCs w:val="22"/>
        </w:rPr>
        <w:t>, Available at:</w:t>
      </w:r>
      <w:r w:rsidRPr="00471C4B">
        <w:rPr>
          <w:rFonts w:ascii="Arial" w:hAnsi="Arial" w:cs="Arial"/>
          <w:sz w:val="22"/>
          <w:szCs w:val="22"/>
        </w:rPr>
        <w:tab/>
      </w:r>
      <w:hyperlink r:id="rId28" w:history="1">
        <w:r w:rsidRPr="00471C4B">
          <w:rPr>
            <w:rStyle w:val="Hyperlink"/>
            <w:rFonts w:ascii="Arial" w:hAnsi="Arial" w:cs="Arial"/>
            <w:sz w:val="22"/>
            <w:szCs w:val="22"/>
          </w:rPr>
          <w:t>https://www.nmc.org.uk/globalassets/sitedocuments/education-standards/future-nurse-proficiencies.pdf</w:t>
        </w:r>
      </w:hyperlink>
      <w:r w:rsidRPr="00471C4B">
        <w:rPr>
          <w:rFonts w:ascii="Arial" w:hAnsi="Arial" w:cs="Arial"/>
          <w:sz w:val="22"/>
          <w:szCs w:val="22"/>
        </w:rPr>
        <w:t xml:space="preserve"> (Accessed: 26 January 2026).</w:t>
      </w:r>
    </w:p>
    <w:p w14:paraId="40648CD4" w14:textId="77777777" w:rsidR="00CE7780" w:rsidRPr="00471C4B" w:rsidRDefault="00CE7780" w:rsidP="007B607B">
      <w:pPr>
        <w:spacing w:line="360" w:lineRule="auto"/>
        <w:rPr>
          <w:rFonts w:ascii="Arial" w:hAnsi="Arial" w:cs="Arial"/>
          <w:sz w:val="22"/>
          <w:szCs w:val="22"/>
        </w:rPr>
      </w:pPr>
      <w:proofErr w:type="spellStart"/>
      <w:r w:rsidRPr="00471C4B">
        <w:rPr>
          <w:rFonts w:ascii="Arial" w:hAnsi="Arial" w:cs="Arial"/>
          <w:sz w:val="22"/>
          <w:szCs w:val="22"/>
        </w:rPr>
        <w:t>Pahirden</w:t>
      </w:r>
      <w:proofErr w:type="spellEnd"/>
      <w:r w:rsidRPr="00471C4B">
        <w:rPr>
          <w:rFonts w:ascii="Arial" w:hAnsi="Arial" w:cs="Arial"/>
          <w:sz w:val="22"/>
          <w:szCs w:val="22"/>
        </w:rPr>
        <w:t xml:space="preserve">, G.R., Stefler, D. and </w:t>
      </w:r>
      <w:proofErr w:type="spellStart"/>
      <w:r w:rsidRPr="00471C4B">
        <w:rPr>
          <w:rFonts w:ascii="Arial" w:hAnsi="Arial" w:cs="Arial"/>
          <w:sz w:val="22"/>
          <w:szCs w:val="22"/>
        </w:rPr>
        <w:t>Jayatunga</w:t>
      </w:r>
      <w:proofErr w:type="spellEnd"/>
      <w:r w:rsidRPr="00471C4B">
        <w:rPr>
          <w:rFonts w:ascii="Arial" w:hAnsi="Arial" w:cs="Arial"/>
          <w:sz w:val="22"/>
          <w:szCs w:val="22"/>
        </w:rPr>
        <w:t>, W. (2025) 'The equity of virtual ward models of care across sociodemographic groups in the United Kingdom – a systematic review', </w:t>
      </w:r>
      <w:r w:rsidRPr="00471C4B">
        <w:rPr>
          <w:rFonts w:ascii="Arial" w:hAnsi="Arial" w:cs="Arial"/>
          <w:i/>
          <w:iCs/>
          <w:sz w:val="22"/>
          <w:szCs w:val="22"/>
        </w:rPr>
        <w:t>Journal of Integrated Care</w:t>
      </w:r>
      <w:r w:rsidRPr="00471C4B">
        <w:rPr>
          <w:rFonts w:ascii="Arial" w:hAnsi="Arial" w:cs="Arial"/>
          <w:b/>
          <w:bCs/>
          <w:sz w:val="22"/>
          <w:szCs w:val="22"/>
        </w:rPr>
        <w:t>.</w:t>
      </w:r>
      <w:r w:rsidRPr="00471C4B">
        <w:rPr>
          <w:rFonts w:ascii="Arial" w:hAnsi="Arial" w:cs="Arial"/>
          <w:sz w:val="22"/>
          <w:szCs w:val="22"/>
        </w:rPr>
        <w:t> Available at: </w:t>
      </w:r>
      <w:hyperlink r:id="rId29" w:tgtFrame="_blank" w:history="1">
        <w:r w:rsidRPr="00471C4B">
          <w:rPr>
            <w:rStyle w:val="Hyperlink"/>
            <w:rFonts w:ascii="Arial" w:hAnsi="Arial" w:cs="Arial"/>
            <w:sz w:val="22"/>
            <w:szCs w:val="22"/>
          </w:rPr>
          <w:t>https://doi.org/10.1108/JICA-03-2025-0018</w:t>
        </w:r>
      </w:hyperlink>
      <w:r w:rsidRPr="00471C4B">
        <w:rPr>
          <w:rFonts w:ascii="Arial" w:hAnsi="Arial" w:cs="Arial"/>
          <w:sz w:val="22"/>
          <w:szCs w:val="22"/>
        </w:rPr>
        <w:t> (Accessed: 27 January 2026).</w:t>
      </w:r>
    </w:p>
    <w:p w14:paraId="6C7B71A3"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Powell, R.E., </w:t>
      </w:r>
      <w:proofErr w:type="spellStart"/>
      <w:r w:rsidRPr="00471C4B">
        <w:rPr>
          <w:rFonts w:ascii="Arial" w:hAnsi="Arial" w:cs="Arial"/>
          <w:sz w:val="22"/>
          <w:szCs w:val="22"/>
        </w:rPr>
        <w:t>Henstenburg</w:t>
      </w:r>
      <w:proofErr w:type="spellEnd"/>
      <w:r w:rsidRPr="00471C4B">
        <w:rPr>
          <w:rFonts w:ascii="Arial" w:hAnsi="Arial" w:cs="Arial"/>
          <w:sz w:val="22"/>
          <w:szCs w:val="22"/>
        </w:rPr>
        <w:t>, J.M., Cooper, G., Hollander, J.E. and Rising, K.L. (2021) 'Patient perceptions of telehealth primary care video visits', </w:t>
      </w:r>
      <w:r w:rsidRPr="00471C4B">
        <w:rPr>
          <w:rFonts w:ascii="Arial" w:hAnsi="Arial" w:cs="Arial"/>
          <w:i/>
          <w:iCs/>
          <w:sz w:val="22"/>
          <w:szCs w:val="22"/>
        </w:rPr>
        <w:t>Annals of Family Medicine</w:t>
      </w:r>
      <w:r w:rsidRPr="00471C4B">
        <w:rPr>
          <w:rFonts w:ascii="Arial" w:hAnsi="Arial" w:cs="Arial"/>
          <w:sz w:val="22"/>
          <w:szCs w:val="22"/>
        </w:rPr>
        <w:t>, 19(3), pp. 288–289. Available at: </w:t>
      </w:r>
      <w:hyperlink r:id="rId30" w:tgtFrame="_blank" w:history="1">
        <w:r w:rsidRPr="00471C4B">
          <w:rPr>
            <w:rStyle w:val="Hyperlink"/>
            <w:rFonts w:ascii="Arial" w:hAnsi="Arial" w:cs="Arial"/>
            <w:sz w:val="22"/>
            <w:szCs w:val="22"/>
          </w:rPr>
          <w:t>https://doi.org/10.1370/afm.2656</w:t>
        </w:r>
      </w:hyperlink>
      <w:r w:rsidRPr="00471C4B">
        <w:rPr>
          <w:rFonts w:ascii="Arial" w:hAnsi="Arial" w:cs="Arial"/>
          <w:sz w:val="22"/>
          <w:szCs w:val="22"/>
        </w:rPr>
        <w:t> (Accessed: 26 January 2026).</w:t>
      </w:r>
    </w:p>
    <w:p w14:paraId="210BD159"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Sealey, J. (2025) 'The role of digital nurses in transforming healthcare', </w:t>
      </w:r>
      <w:r w:rsidRPr="00471C4B">
        <w:rPr>
          <w:rFonts w:ascii="Arial" w:hAnsi="Arial" w:cs="Arial"/>
          <w:i/>
          <w:iCs/>
          <w:sz w:val="22"/>
          <w:szCs w:val="22"/>
        </w:rPr>
        <w:t>Integrated Care Journal</w:t>
      </w:r>
      <w:r w:rsidRPr="00471C4B">
        <w:rPr>
          <w:rFonts w:ascii="Arial" w:hAnsi="Arial" w:cs="Arial"/>
          <w:sz w:val="22"/>
          <w:szCs w:val="22"/>
        </w:rPr>
        <w:t>, 14 March. Available at: </w:t>
      </w:r>
      <w:hyperlink r:id="rId31" w:tgtFrame="_blank" w:history="1">
        <w:r w:rsidRPr="00471C4B">
          <w:rPr>
            <w:rStyle w:val="Hyperlink"/>
            <w:rFonts w:ascii="Arial" w:hAnsi="Arial" w:cs="Arial"/>
            <w:sz w:val="22"/>
            <w:szCs w:val="22"/>
          </w:rPr>
          <w:t>https://integratedcarejournal.com/the-role-of-digital-nurses-in-transforming-healthcare/</w:t>
        </w:r>
      </w:hyperlink>
      <w:r w:rsidRPr="00471C4B">
        <w:rPr>
          <w:rFonts w:ascii="Arial" w:hAnsi="Arial" w:cs="Arial"/>
          <w:sz w:val="22"/>
          <w:szCs w:val="22"/>
        </w:rPr>
        <w:t> </w:t>
      </w:r>
      <w:bookmarkStart w:id="22" w:name="OLE_LINK6"/>
      <w:r w:rsidRPr="00471C4B">
        <w:rPr>
          <w:rFonts w:ascii="Arial" w:hAnsi="Arial" w:cs="Arial"/>
          <w:sz w:val="22"/>
          <w:szCs w:val="22"/>
        </w:rPr>
        <w:t>(Accessed: 26 January 2026).</w:t>
      </w:r>
      <w:bookmarkEnd w:id="22"/>
    </w:p>
    <w:p w14:paraId="5D6B10CE"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Shaw, S.E., </w:t>
      </w:r>
      <w:proofErr w:type="spellStart"/>
      <w:r w:rsidRPr="00471C4B">
        <w:rPr>
          <w:rFonts w:ascii="Arial" w:hAnsi="Arial" w:cs="Arial"/>
          <w:sz w:val="22"/>
          <w:szCs w:val="22"/>
        </w:rPr>
        <w:t>Wherton</w:t>
      </w:r>
      <w:proofErr w:type="spellEnd"/>
      <w:r w:rsidRPr="00471C4B">
        <w:rPr>
          <w:rFonts w:ascii="Arial" w:hAnsi="Arial" w:cs="Arial"/>
          <w:sz w:val="22"/>
          <w:szCs w:val="22"/>
        </w:rPr>
        <w:t>, J., Vijayaraghavan, S., Morris, J., Bhattacharya, S., Hanson, P., Campbell-Richards, D., Ramoutar, S., Colligan, L., Hodson, J. and Greenhalgh, T. (2021) ‘Implementation and delivery of remote consultations in primary care: a mixed-method case study of a pilot programme’, </w:t>
      </w:r>
      <w:r w:rsidRPr="00471C4B">
        <w:rPr>
          <w:rFonts w:ascii="Arial" w:hAnsi="Arial" w:cs="Arial"/>
          <w:i/>
          <w:iCs/>
          <w:sz w:val="22"/>
          <w:szCs w:val="22"/>
        </w:rPr>
        <w:t>BMJ Open</w:t>
      </w:r>
      <w:r w:rsidRPr="00471C4B">
        <w:rPr>
          <w:rFonts w:ascii="Arial" w:hAnsi="Arial" w:cs="Arial"/>
          <w:sz w:val="22"/>
          <w:szCs w:val="22"/>
        </w:rPr>
        <w:t>, 11(12), e053442. Available at: </w:t>
      </w:r>
      <w:hyperlink r:id="rId32" w:tgtFrame="_blank" w:history="1">
        <w:r w:rsidRPr="00471C4B">
          <w:rPr>
            <w:rStyle w:val="Hyperlink"/>
            <w:rFonts w:ascii="Arial" w:hAnsi="Arial" w:cs="Arial"/>
            <w:sz w:val="22"/>
            <w:szCs w:val="22"/>
          </w:rPr>
          <w:t>https://doi.org/10.1136/bmjopen-2021-053442</w:t>
        </w:r>
      </w:hyperlink>
      <w:r w:rsidRPr="00471C4B">
        <w:rPr>
          <w:rFonts w:ascii="Arial" w:hAnsi="Arial" w:cs="Arial"/>
          <w:sz w:val="22"/>
          <w:szCs w:val="22"/>
        </w:rPr>
        <w:t> (Accessed: 26 January 2026).</w:t>
      </w:r>
    </w:p>
    <w:p w14:paraId="6F70A7FE"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Shepperd, S., Butler, C., Cradduck-Bamford, A., Ellis, G., Godfrey, M., Hemsley, A., Khanna, P., Langhorne, P., Mort, S., Ramsay, S., Schiff, R., Stott, D.J., Wilkinson, A., Yu, L.-M. and Young, J. (2021) 'Admission avoidance hospital at home', </w:t>
      </w:r>
      <w:r w:rsidRPr="00471C4B">
        <w:rPr>
          <w:rFonts w:ascii="Arial" w:hAnsi="Arial" w:cs="Arial"/>
          <w:i/>
          <w:iCs/>
          <w:sz w:val="22"/>
          <w:szCs w:val="22"/>
        </w:rPr>
        <w:t>Cochrane Database of Systematic Reviews</w:t>
      </w:r>
      <w:r w:rsidRPr="00471C4B">
        <w:rPr>
          <w:rFonts w:ascii="Arial" w:hAnsi="Arial" w:cs="Arial"/>
          <w:sz w:val="22"/>
          <w:szCs w:val="22"/>
        </w:rPr>
        <w:t>, (9). Available at: </w:t>
      </w:r>
      <w:hyperlink r:id="rId33" w:tgtFrame="_blank" w:history="1">
        <w:r w:rsidRPr="00471C4B">
          <w:rPr>
            <w:rStyle w:val="Hyperlink"/>
            <w:rFonts w:ascii="Arial" w:hAnsi="Arial" w:cs="Arial"/>
            <w:sz w:val="22"/>
            <w:szCs w:val="22"/>
          </w:rPr>
          <w:t>https://doi.org/10.1002/14651858.CD007491.pub3</w:t>
        </w:r>
      </w:hyperlink>
      <w:r w:rsidRPr="00471C4B">
        <w:rPr>
          <w:rFonts w:ascii="Arial" w:hAnsi="Arial" w:cs="Arial"/>
          <w:sz w:val="22"/>
          <w:szCs w:val="22"/>
        </w:rPr>
        <w:t xml:space="preserve"> (Accessed: 27 January 2026).</w:t>
      </w:r>
    </w:p>
    <w:p w14:paraId="4FE9B076"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Tack, C., Holdsworth, L., Wilson, A., McComiskie, E., McCabe, P., Wilkinson, W. and King, M. (2022). Digital competency: a survey of UK allied health professionals. </w:t>
      </w:r>
      <w:r w:rsidRPr="00471C4B">
        <w:rPr>
          <w:rFonts w:ascii="Arial" w:hAnsi="Arial" w:cs="Arial"/>
          <w:i/>
          <w:iCs/>
          <w:sz w:val="22"/>
          <w:szCs w:val="22"/>
        </w:rPr>
        <w:t>British Journal of Healthcare Management</w:t>
      </w:r>
      <w:r w:rsidRPr="00471C4B">
        <w:rPr>
          <w:rFonts w:ascii="Arial" w:hAnsi="Arial" w:cs="Arial"/>
          <w:sz w:val="22"/>
          <w:szCs w:val="22"/>
        </w:rPr>
        <w:t xml:space="preserve">, 28(8), pp.1–15. </w:t>
      </w:r>
      <w:proofErr w:type="spellStart"/>
      <w:proofErr w:type="gramStart"/>
      <w:r w:rsidRPr="00471C4B">
        <w:rPr>
          <w:rFonts w:ascii="Arial" w:hAnsi="Arial" w:cs="Arial"/>
          <w:sz w:val="22"/>
          <w:szCs w:val="22"/>
        </w:rPr>
        <w:t>doi:https</w:t>
      </w:r>
      <w:proofErr w:type="spellEnd"/>
      <w:r w:rsidRPr="00471C4B">
        <w:rPr>
          <w:rFonts w:ascii="Arial" w:hAnsi="Arial" w:cs="Arial"/>
          <w:sz w:val="22"/>
          <w:szCs w:val="22"/>
        </w:rPr>
        <w:t>://doi.org/10.12968/bjhc.2021.0123</w:t>
      </w:r>
      <w:proofErr w:type="gramEnd"/>
      <w:r w:rsidRPr="00471C4B">
        <w:rPr>
          <w:rFonts w:ascii="Arial" w:hAnsi="Arial" w:cs="Arial"/>
          <w:sz w:val="22"/>
          <w:szCs w:val="22"/>
        </w:rPr>
        <w:t>.</w:t>
      </w:r>
    </w:p>
    <w:p w14:paraId="53237C01"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lastRenderedPageBreak/>
        <w:t xml:space="preserve">Tahsin, F., Bahr, T., Shaw, J., </w:t>
      </w:r>
      <w:proofErr w:type="spellStart"/>
      <w:r w:rsidRPr="00471C4B">
        <w:rPr>
          <w:rFonts w:ascii="Arial" w:hAnsi="Arial" w:cs="Arial"/>
          <w:sz w:val="22"/>
          <w:szCs w:val="22"/>
        </w:rPr>
        <w:t>Shachak</w:t>
      </w:r>
      <w:proofErr w:type="spellEnd"/>
      <w:r w:rsidRPr="00471C4B">
        <w:rPr>
          <w:rFonts w:ascii="Arial" w:hAnsi="Arial" w:cs="Arial"/>
          <w:sz w:val="22"/>
          <w:szCs w:val="22"/>
        </w:rPr>
        <w:t>, A. and Gray, C.S. (2024). The relationship between treatment burden and the use of telehealth technologies among patients with chronic conditions: A scoping review. </w:t>
      </w:r>
      <w:r w:rsidRPr="00471C4B">
        <w:rPr>
          <w:rFonts w:ascii="Arial" w:hAnsi="Arial" w:cs="Arial"/>
          <w:i/>
          <w:iCs/>
          <w:sz w:val="22"/>
          <w:szCs w:val="22"/>
        </w:rPr>
        <w:t>Health Policy and Technology</w:t>
      </w:r>
      <w:r w:rsidRPr="00471C4B">
        <w:rPr>
          <w:rFonts w:ascii="Arial" w:hAnsi="Arial" w:cs="Arial"/>
          <w:sz w:val="22"/>
          <w:szCs w:val="22"/>
        </w:rPr>
        <w:t xml:space="preserve">, 13(2), pp.100855–100855. </w:t>
      </w:r>
      <w:proofErr w:type="spellStart"/>
      <w:proofErr w:type="gramStart"/>
      <w:r w:rsidRPr="00471C4B">
        <w:rPr>
          <w:rFonts w:ascii="Arial" w:hAnsi="Arial" w:cs="Arial"/>
          <w:sz w:val="22"/>
          <w:szCs w:val="22"/>
        </w:rPr>
        <w:t>doi:https</w:t>
      </w:r>
      <w:proofErr w:type="spellEnd"/>
      <w:r w:rsidRPr="00471C4B">
        <w:rPr>
          <w:rFonts w:ascii="Arial" w:hAnsi="Arial" w:cs="Arial"/>
          <w:sz w:val="22"/>
          <w:szCs w:val="22"/>
        </w:rPr>
        <w:t>://doi.org/10.1016/j.hlpt.2024.100855</w:t>
      </w:r>
      <w:proofErr w:type="gramEnd"/>
      <w:r w:rsidRPr="00471C4B">
        <w:rPr>
          <w:rFonts w:ascii="Arial" w:hAnsi="Arial" w:cs="Arial"/>
          <w:sz w:val="22"/>
          <w:szCs w:val="22"/>
        </w:rPr>
        <w:t>.</w:t>
      </w:r>
    </w:p>
    <w:p w14:paraId="135903BD"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 xml:space="preserve">The Health Foundation (2022) </w:t>
      </w:r>
      <w:r w:rsidRPr="00471C4B">
        <w:rPr>
          <w:rFonts w:ascii="Arial" w:hAnsi="Arial" w:cs="Arial"/>
          <w:i/>
          <w:iCs/>
          <w:sz w:val="22"/>
          <w:szCs w:val="22"/>
        </w:rPr>
        <w:t>NHS workforce projections 2022</w:t>
      </w:r>
      <w:r w:rsidRPr="00471C4B">
        <w:rPr>
          <w:rFonts w:ascii="Arial" w:hAnsi="Arial" w:cs="Arial"/>
          <w:sz w:val="22"/>
          <w:szCs w:val="22"/>
        </w:rPr>
        <w:t xml:space="preserve">. London: The Health Foundation. Available at: </w:t>
      </w:r>
      <w:hyperlink r:id="rId34" w:tgtFrame="_new" w:history="1">
        <w:r w:rsidRPr="00471C4B">
          <w:rPr>
            <w:rStyle w:val="Hyperlink"/>
            <w:rFonts w:ascii="Arial" w:hAnsi="Arial" w:cs="Arial"/>
            <w:sz w:val="22"/>
            <w:szCs w:val="22"/>
          </w:rPr>
          <w:t>https://www.health.org.uk/reports-and-analysis/reports/nhs-workforce-projections-2022</w:t>
        </w:r>
      </w:hyperlink>
      <w:r w:rsidRPr="00471C4B">
        <w:rPr>
          <w:rFonts w:ascii="Arial" w:hAnsi="Arial" w:cs="Arial"/>
          <w:sz w:val="22"/>
          <w:szCs w:val="22"/>
        </w:rPr>
        <w:t xml:space="preserve"> (Accessed: 26 January 2026).</w:t>
      </w:r>
    </w:p>
    <w:p w14:paraId="58F1272D" w14:textId="77777777" w:rsidR="00CE7780" w:rsidRPr="00471C4B" w:rsidRDefault="00CE7780" w:rsidP="007B607B">
      <w:pPr>
        <w:spacing w:line="360" w:lineRule="auto"/>
        <w:rPr>
          <w:rFonts w:ascii="Arial" w:hAnsi="Arial" w:cs="Arial"/>
          <w:sz w:val="22"/>
          <w:szCs w:val="22"/>
        </w:rPr>
      </w:pPr>
      <w:r w:rsidRPr="00471C4B">
        <w:rPr>
          <w:rFonts w:ascii="Arial" w:hAnsi="Arial" w:cs="Arial"/>
          <w:sz w:val="22"/>
          <w:szCs w:val="22"/>
        </w:rPr>
        <w:t>The Health Foundation (2024) </w:t>
      </w:r>
      <w:r w:rsidRPr="00471C4B">
        <w:rPr>
          <w:rFonts w:ascii="Arial" w:hAnsi="Arial" w:cs="Arial"/>
          <w:i/>
          <w:iCs/>
          <w:sz w:val="22"/>
          <w:szCs w:val="22"/>
        </w:rPr>
        <w:t>What do virtual wards look like in England?</w:t>
      </w:r>
      <w:r w:rsidRPr="00471C4B">
        <w:rPr>
          <w:rFonts w:ascii="Arial" w:hAnsi="Arial" w:cs="Arial"/>
          <w:sz w:val="22"/>
          <w:szCs w:val="22"/>
        </w:rPr>
        <w:t> Available at: </w:t>
      </w:r>
      <w:hyperlink r:id="rId35" w:tgtFrame="_blank" w:history="1">
        <w:r w:rsidRPr="00471C4B">
          <w:rPr>
            <w:rStyle w:val="Hyperlink"/>
            <w:rFonts w:ascii="Arial" w:hAnsi="Arial" w:cs="Arial"/>
            <w:sz w:val="22"/>
            <w:szCs w:val="22"/>
          </w:rPr>
          <w:t>https://www.health.org.uk/sites/default/files/upload/publications/2024/What%20do%20virtual%20wards%20look%20like%20in%20England_0.pdf</w:t>
        </w:r>
      </w:hyperlink>
      <w:r w:rsidRPr="00471C4B">
        <w:rPr>
          <w:rFonts w:ascii="Arial" w:hAnsi="Arial" w:cs="Arial"/>
          <w:sz w:val="22"/>
          <w:szCs w:val="22"/>
        </w:rPr>
        <w:t> (Accessed: 26 January 2026).</w:t>
      </w:r>
    </w:p>
    <w:p w14:paraId="3678C80F" w14:textId="7BE43A56" w:rsidR="00CE7780" w:rsidRDefault="00CE7780" w:rsidP="007B607B">
      <w:pPr>
        <w:spacing w:line="360" w:lineRule="auto"/>
        <w:rPr>
          <w:rFonts w:ascii="Arial" w:hAnsi="Arial" w:cs="Arial"/>
          <w:sz w:val="22"/>
          <w:szCs w:val="22"/>
        </w:rPr>
      </w:pPr>
      <w:r w:rsidRPr="00471C4B">
        <w:rPr>
          <w:rFonts w:ascii="Arial" w:hAnsi="Arial" w:cs="Arial"/>
          <w:sz w:val="22"/>
          <w:szCs w:val="22"/>
        </w:rPr>
        <w:t>The King's Fund (2024) </w:t>
      </w:r>
      <w:r w:rsidRPr="00471C4B">
        <w:rPr>
          <w:rFonts w:ascii="Arial" w:hAnsi="Arial" w:cs="Arial"/>
          <w:i/>
          <w:iCs/>
          <w:sz w:val="22"/>
          <w:szCs w:val="22"/>
        </w:rPr>
        <w:t>Realising the potential of integrated care systems</w:t>
      </w:r>
      <w:r w:rsidRPr="00471C4B">
        <w:rPr>
          <w:rFonts w:ascii="Arial" w:hAnsi="Arial" w:cs="Arial"/>
          <w:sz w:val="22"/>
          <w:szCs w:val="22"/>
        </w:rPr>
        <w:t>. Available at: </w:t>
      </w:r>
      <w:hyperlink r:id="rId36" w:tgtFrame="_blank" w:history="1">
        <w:r w:rsidRPr="00471C4B">
          <w:rPr>
            <w:rStyle w:val="Hyperlink"/>
            <w:rFonts w:ascii="Arial" w:hAnsi="Arial" w:cs="Arial"/>
            <w:sz w:val="22"/>
            <w:szCs w:val="22"/>
          </w:rPr>
          <w:t>https://www.kingsfund.org.uk/insight-and-analysis/reports/integrated-care-systems-workforce</w:t>
        </w:r>
      </w:hyperlink>
      <w:r w:rsidRPr="00471C4B">
        <w:rPr>
          <w:rFonts w:ascii="Arial" w:hAnsi="Arial" w:cs="Arial"/>
          <w:sz w:val="22"/>
          <w:szCs w:val="22"/>
        </w:rPr>
        <w:t> (Accessed: 28 January 2026).</w:t>
      </w:r>
    </w:p>
    <w:p w14:paraId="529FB1B4" w14:textId="77777777" w:rsidR="00CE7780" w:rsidRPr="00471C4B" w:rsidRDefault="00CE7780" w:rsidP="007B607B">
      <w:pPr>
        <w:spacing w:line="360" w:lineRule="auto"/>
        <w:rPr>
          <w:rFonts w:ascii="Arial" w:hAnsi="Arial" w:cs="Arial"/>
          <w:sz w:val="22"/>
          <w:szCs w:val="22"/>
        </w:rPr>
      </w:pPr>
      <w:r w:rsidRPr="005B4E71">
        <w:rPr>
          <w:rFonts w:ascii="Arial" w:hAnsi="Arial" w:cs="Arial"/>
          <w:sz w:val="22"/>
          <w:szCs w:val="22"/>
        </w:rPr>
        <w:t xml:space="preserve">UK Government (2018) </w:t>
      </w:r>
      <w:r w:rsidRPr="005B4E71">
        <w:rPr>
          <w:rFonts w:ascii="Arial" w:hAnsi="Arial" w:cs="Arial"/>
          <w:i/>
          <w:iCs/>
          <w:sz w:val="22"/>
          <w:szCs w:val="22"/>
        </w:rPr>
        <w:t>Data Protection Act 2018</w:t>
      </w:r>
      <w:r w:rsidRPr="005B4E71">
        <w:rPr>
          <w:rFonts w:ascii="Arial" w:hAnsi="Arial" w:cs="Arial"/>
          <w:sz w:val="22"/>
          <w:szCs w:val="22"/>
        </w:rPr>
        <w:t xml:space="preserve">. London: HMSO. Available at: </w:t>
      </w:r>
      <w:hyperlink r:id="rId37" w:tgtFrame="_new" w:history="1">
        <w:r w:rsidRPr="005B4E71">
          <w:rPr>
            <w:rStyle w:val="Hyperlink"/>
            <w:rFonts w:ascii="Arial" w:hAnsi="Arial" w:cs="Arial"/>
            <w:sz w:val="22"/>
            <w:szCs w:val="22"/>
          </w:rPr>
          <w:t>https://www.legislation.gov.uk/ukpga/2018/12/contents</w:t>
        </w:r>
      </w:hyperlink>
      <w:r w:rsidRPr="005B4E71">
        <w:rPr>
          <w:rFonts w:ascii="Arial" w:hAnsi="Arial" w:cs="Arial"/>
          <w:sz w:val="22"/>
          <w:szCs w:val="22"/>
        </w:rPr>
        <w:t xml:space="preserve"> (Accessed: 15 February 2026).</w:t>
      </w:r>
    </w:p>
    <w:p w14:paraId="53712074" w14:textId="77777777" w:rsidR="00CE7780" w:rsidRDefault="00CE7780" w:rsidP="007B607B">
      <w:pPr>
        <w:spacing w:line="360" w:lineRule="auto"/>
        <w:rPr>
          <w:rFonts w:ascii="Arial" w:hAnsi="Arial" w:cs="Arial"/>
          <w:sz w:val="22"/>
          <w:szCs w:val="22"/>
        </w:rPr>
      </w:pPr>
      <w:proofErr w:type="spellStart"/>
      <w:r w:rsidRPr="00471C4B">
        <w:rPr>
          <w:rFonts w:ascii="Arial" w:hAnsi="Arial" w:cs="Arial"/>
          <w:sz w:val="22"/>
          <w:szCs w:val="22"/>
        </w:rPr>
        <w:t>Vindrola-Padros</w:t>
      </w:r>
      <w:proofErr w:type="spellEnd"/>
      <w:r w:rsidRPr="00471C4B">
        <w:rPr>
          <w:rFonts w:ascii="Arial" w:hAnsi="Arial" w:cs="Arial"/>
          <w:sz w:val="22"/>
          <w:szCs w:val="22"/>
        </w:rPr>
        <w:t xml:space="preserve">, C., Singh, K.E., Sidhu, M.S., Georghiou, T., </w:t>
      </w:r>
      <w:proofErr w:type="spellStart"/>
      <w:r w:rsidRPr="00471C4B">
        <w:rPr>
          <w:rFonts w:ascii="Arial" w:hAnsi="Arial" w:cs="Arial"/>
          <w:sz w:val="22"/>
          <w:szCs w:val="22"/>
        </w:rPr>
        <w:t>Sherlaw</w:t>
      </w:r>
      <w:proofErr w:type="spellEnd"/>
      <w:r w:rsidRPr="00471C4B">
        <w:rPr>
          <w:rFonts w:ascii="Arial" w:hAnsi="Arial" w:cs="Arial"/>
          <w:sz w:val="22"/>
          <w:szCs w:val="22"/>
        </w:rPr>
        <w:t>-Johnson, C., Tomini, S.M. and Fulop, N.J. (2020) ‘The implementation of remote home monitoring models during the COVID-19 pandemic in England’, </w:t>
      </w:r>
      <w:proofErr w:type="spellStart"/>
      <w:r w:rsidRPr="00471C4B">
        <w:rPr>
          <w:rFonts w:ascii="Arial" w:hAnsi="Arial" w:cs="Arial"/>
          <w:i/>
          <w:iCs/>
          <w:sz w:val="22"/>
          <w:szCs w:val="22"/>
        </w:rPr>
        <w:t>EClinicalMedicine</w:t>
      </w:r>
      <w:proofErr w:type="spellEnd"/>
      <w:r w:rsidRPr="00471C4B">
        <w:rPr>
          <w:rFonts w:ascii="Arial" w:hAnsi="Arial" w:cs="Arial"/>
          <w:sz w:val="22"/>
          <w:szCs w:val="22"/>
        </w:rPr>
        <w:t>, 34, p. 100799. Available at: </w:t>
      </w:r>
      <w:hyperlink r:id="rId38" w:tgtFrame="_blank" w:history="1">
        <w:r w:rsidRPr="00471C4B">
          <w:rPr>
            <w:rStyle w:val="Hyperlink"/>
            <w:rFonts w:ascii="Arial" w:hAnsi="Arial" w:cs="Arial"/>
            <w:sz w:val="22"/>
            <w:szCs w:val="22"/>
          </w:rPr>
          <w:t>https://doi.org/10.1016/j.eclinm.2021.100799</w:t>
        </w:r>
      </w:hyperlink>
      <w:r w:rsidRPr="00471C4B">
        <w:rPr>
          <w:rFonts w:ascii="Arial" w:hAnsi="Arial" w:cs="Arial"/>
          <w:sz w:val="22"/>
          <w:szCs w:val="22"/>
        </w:rPr>
        <w:t xml:space="preserve"> (Accessed: </w:t>
      </w:r>
      <w:bookmarkStart w:id="23" w:name="OLE_LINK10"/>
      <w:r w:rsidRPr="00471C4B">
        <w:rPr>
          <w:rFonts w:ascii="Arial" w:hAnsi="Arial" w:cs="Arial"/>
          <w:sz w:val="22"/>
          <w:szCs w:val="22"/>
        </w:rPr>
        <w:t>26 January 2026</w:t>
      </w:r>
      <w:bookmarkEnd w:id="23"/>
      <w:r w:rsidRPr="00471C4B">
        <w:rPr>
          <w:rFonts w:ascii="Arial" w:hAnsi="Arial" w:cs="Arial"/>
          <w:sz w:val="22"/>
          <w:szCs w:val="22"/>
        </w:rPr>
        <w:t>).</w:t>
      </w:r>
      <w:bookmarkEnd w:id="2"/>
    </w:p>
    <w:p w14:paraId="0C99DA80" w14:textId="3D007290" w:rsidR="009928CB" w:rsidRPr="00471C4B" w:rsidRDefault="009928CB" w:rsidP="007B607B">
      <w:pPr>
        <w:spacing w:line="360" w:lineRule="auto"/>
        <w:rPr>
          <w:rFonts w:ascii="Arial" w:hAnsi="Arial" w:cs="Arial"/>
          <w:sz w:val="22"/>
          <w:szCs w:val="22"/>
        </w:rPr>
      </w:pPr>
      <w:r w:rsidRPr="00455045">
        <w:rPr>
          <w:rFonts w:ascii="Arial" w:hAnsi="Arial" w:cs="Arial"/>
          <w:sz w:val="22"/>
          <w:szCs w:val="22"/>
        </w:rPr>
        <w:t xml:space="preserve">Walton, H., </w:t>
      </w:r>
      <w:proofErr w:type="spellStart"/>
      <w:r w:rsidRPr="00455045">
        <w:rPr>
          <w:rFonts w:ascii="Arial" w:hAnsi="Arial" w:cs="Arial"/>
          <w:sz w:val="22"/>
          <w:szCs w:val="22"/>
        </w:rPr>
        <w:t>Vindrola-Padros</w:t>
      </w:r>
      <w:proofErr w:type="spellEnd"/>
      <w:r w:rsidRPr="00455045">
        <w:rPr>
          <w:rFonts w:ascii="Arial" w:hAnsi="Arial" w:cs="Arial"/>
          <w:sz w:val="22"/>
          <w:szCs w:val="22"/>
        </w:rPr>
        <w:t>, C., Crellin, N.E., et al. (2022)</w:t>
      </w:r>
      <w:r w:rsidRPr="009928CB">
        <w:rPr>
          <w:rFonts w:ascii="Arial" w:hAnsi="Arial" w:cs="Arial"/>
          <w:sz w:val="22"/>
          <w:szCs w:val="22"/>
        </w:rPr>
        <w:t xml:space="preserve"> </w:t>
      </w:r>
      <w:r w:rsidRPr="009928CB">
        <w:rPr>
          <w:rFonts w:ascii="Arial" w:hAnsi="Arial" w:cs="Arial"/>
          <w:i/>
          <w:iCs/>
          <w:sz w:val="22"/>
          <w:szCs w:val="22"/>
        </w:rPr>
        <w:t>Patients’ experiences of, and engagement with, remote home monitoring services for COVID-19 patients: a rapid mixed-methods study</w:t>
      </w:r>
      <w:r w:rsidRPr="009928CB">
        <w:rPr>
          <w:rFonts w:ascii="Arial" w:hAnsi="Arial" w:cs="Arial"/>
          <w:sz w:val="22"/>
          <w:szCs w:val="22"/>
        </w:rPr>
        <w:t xml:space="preserve">, </w:t>
      </w:r>
      <w:r w:rsidRPr="009928CB">
        <w:rPr>
          <w:rFonts w:ascii="Arial" w:hAnsi="Arial" w:cs="Arial"/>
          <w:i/>
          <w:iCs/>
          <w:sz w:val="22"/>
          <w:szCs w:val="22"/>
        </w:rPr>
        <w:t>Health Expectations</w:t>
      </w:r>
      <w:r w:rsidRPr="009928CB">
        <w:rPr>
          <w:rFonts w:ascii="Arial" w:hAnsi="Arial" w:cs="Arial"/>
          <w:sz w:val="22"/>
          <w:szCs w:val="22"/>
        </w:rPr>
        <w:t>, 25(9), pp. 2386–2404. Available at: https://pubmed.ncbi.nlm.nih.gov/35980537/ (Accessed:</w:t>
      </w:r>
      <w:r w:rsidRPr="00471C4B">
        <w:rPr>
          <w:rFonts w:ascii="Arial" w:hAnsi="Arial" w:cs="Arial"/>
          <w:sz w:val="22"/>
          <w:szCs w:val="22"/>
        </w:rPr>
        <w:t>26 January 2026</w:t>
      </w:r>
      <w:r w:rsidRPr="009928CB">
        <w:rPr>
          <w:rFonts w:ascii="Arial" w:hAnsi="Arial" w:cs="Arial"/>
          <w:sz w:val="22"/>
          <w:szCs w:val="22"/>
        </w:rPr>
        <w:t>)</w:t>
      </w:r>
      <w:r>
        <w:rPr>
          <w:rFonts w:ascii="Arial" w:hAnsi="Arial" w:cs="Arial"/>
          <w:sz w:val="22"/>
          <w:szCs w:val="22"/>
        </w:rPr>
        <w:t>.</w:t>
      </w:r>
    </w:p>
    <w:sectPr w:rsidR="009928CB" w:rsidRPr="00471C4B">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84FC9" w14:textId="77777777" w:rsidR="00B15ECD" w:rsidRDefault="00B15ECD" w:rsidP="002B2EDE">
      <w:pPr>
        <w:spacing w:after="0" w:line="240" w:lineRule="auto"/>
      </w:pPr>
      <w:r>
        <w:separator/>
      </w:r>
    </w:p>
  </w:endnote>
  <w:endnote w:type="continuationSeparator" w:id="0">
    <w:p w14:paraId="4ED15440" w14:textId="77777777" w:rsidR="00B15ECD" w:rsidRDefault="00B15ECD" w:rsidP="002B2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258589"/>
      <w:docPartObj>
        <w:docPartGallery w:val="Page Numbers (Bottom of Page)"/>
        <w:docPartUnique/>
      </w:docPartObj>
    </w:sdtPr>
    <w:sdtContent>
      <w:p w14:paraId="12AE8C46" w14:textId="4931CC97" w:rsidR="002B2EDE" w:rsidRDefault="002B2EDE">
        <w:pPr>
          <w:pStyle w:val="Footer"/>
          <w:jc w:val="right"/>
        </w:pPr>
        <w:r>
          <w:fldChar w:fldCharType="begin"/>
        </w:r>
        <w:r>
          <w:instrText>PAGE   \* MERGEFORMAT</w:instrText>
        </w:r>
        <w:r>
          <w:fldChar w:fldCharType="separate"/>
        </w:r>
        <w:r>
          <w:t>2</w:t>
        </w:r>
        <w:r>
          <w:fldChar w:fldCharType="end"/>
        </w:r>
      </w:p>
    </w:sdtContent>
  </w:sdt>
  <w:p w14:paraId="21C96B89" w14:textId="77777777" w:rsidR="002B2EDE" w:rsidRDefault="002B2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572E6" w14:textId="77777777" w:rsidR="00B15ECD" w:rsidRDefault="00B15ECD" w:rsidP="002B2EDE">
      <w:pPr>
        <w:spacing w:after="0" w:line="240" w:lineRule="auto"/>
      </w:pPr>
      <w:r>
        <w:separator/>
      </w:r>
    </w:p>
  </w:footnote>
  <w:footnote w:type="continuationSeparator" w:id="0">
    <w:p w14:paraId="785E5E97" w14:textId="77777777" w:rsidR="00B15ECD" w:rsidRDefault="00B15ECD" w:rsidP="002B2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82A7C"/>
    <w:multiLevelType w:val="hybridMultilevel"/>
    <w:tmpl w:val="4552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83C2F"/>
    <w:multiLevelType w:val="multilevel"/>
    <w:tmpl w:val="0BE82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FD0219"/>
    <w:multiLevelType w:val="hybridMultilevel"/>
    <w:tmpl w:val="5F628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721BB2"/>
    <w:multiLevelType w:val="hybridMultilevel"/>
    <w:tmpl w:val="52FAC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954852">
    <w:abstractNumId w:val="1"/>
  </w:num>
  <w:num w:numId="2" w16cid:durableId="1667248380">
    <w:abstractNumId w:val="3"/>
  </w:num>
  <w:num w:numId="3" w16cid:durableId="818502899">
    <w:abstractNumId w:val="0"/>
  </w:num>
  <w:num w:numId="4" w16cid:durableId="1677338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6B"/>
    <w:rsid w:val="000006D4"/>
    <w:rsid w:val="00005D08"/>
    <w:rsid w:val="00006A88"/>
    <w:rsid w:val="00007E1A"/>
    <w:rsid w:val="000166C8"/>
    <w:rsid w:val="000177A6"/>
    <w:rsid w:val="00017E69"/>
    <w:rsid w:val="00023488"/>
    <w:rsid w:val="000337C7"/>
    <w:rsid w:val="0003443A"/>
    <w:rsid w:val="00051511"/>
    <w:rsid w:val="00052EE7"/>
    <w:rsid w:val="000574C1"/>
    <w:rsid w:val="00057F0B"/>
    <w:rsid w:val="000607E1"/>
    <w:rsid w:val="00063B5E"/>
    <w:rsid w:val="000767D9"/>
    <w:rsid w:val="00081168"/>
    <w:rsid w:val="00087EE6"/>
    <w:rsid w:val="00091C7E"/>
    <w:rsid w:val="000939D2"/>
    <w:rsid w:val="00093D59"/>
    <w:rsid w:val="0009456B"/>
    <w:rsid w:val="00094771"/>
    <w:rsid w:val="000A101B"/>
    <w:rsid w:val="000A17FF"/>
    <w:rsid w:val="000B20FE"/>
    <w:rsid w:val="000B2B49"/>
    <w:rsid w:val="000B393D"/>
    <w:rsid w:val="000B57CD"/>
    <w:rsid w:val="000C3886"/>
    <w:rsid w:val="000C3D3E"/>
    <w:rsid w:val="000C4146"/>
    <w:rsid w:val="000C41E8"/>
    <w:rsid w:val="000C6BB0"/>
    <w:rsid w:val="000D0C9A"/>
    <w:rsid w:val="000D6369"/>
    <w:rsid w:val="000E005E"/>
    <w:rsid w:val="000E0BC3"/>
    <w:rsid w:val="000E0BD9"/>
    <w:rsid w:val="000E17C5"/>
    <w:rsid w:val="000E2573"/>
    <w:rsid w:val="000E729D"/>
    <w:rsid w:val="000F3D78"/>
    <w:rsid w:val="000F4F5B"/>
    <w:rsid w:val="00100C11"/>
    <w:rsid w:val="00100D1D"/>
    <w:rsid w:val="00102A6B"/>
    <w:rsid w:val="001074A8"/>
    <w:rsid w:val="00111970"/>
    <w:rsid w:val="00115B0B"/>
    <w:rsid w:val="00120522"/>
    <w:rsid w:val="001238CB"/>
    <w:rsid w:val="0012697D"/>
    <w:rsid w:val="00127D52"/>
    <w:rsid w:val="00137379"/>
    <w:rsid w:val="0014361E"/>
    <w:rsid w:val="00145EAD"/>
    <w:rsid w:val="001509AA"/>
    <w:rsid w:val="00154589"/>
    <w:rsid w:val="00156235"/>
    <w:rsid w:val="00162565"/>
    <w:rsid w:val="00162859"/>
    <w:rsid w:val="0017792A"/>
    <w:rsid w:val="00180B5E"/>
    <w:rsid w:val="00192512"/>
    <w:rsid w:val="00192D1E"/>
    <w:rsid w:val="001950AF"/>
    <w:rsid w:val="00197038"/>
    <w:rsid w:val="001B198B"/>
    <w:rsid w:val="001C4E9D"/>
    <w:rsid w:val="001C53C7"/>
    <w:rsid w:val="001D048B"/>
    <w:rsid w:val="001D25D6"/>
    <w:rsid w:val="001E1BF6"/>
    <w:rsid w:val="001E2370"/>
    <w:rsid w:val="001E297D"/>
    <w:rsid w:val="001E66E4"/>
    <w:rsid w:val="001F64BF"/>
    <w:rsid w:val="001F6D57"/>
    <w:rsid w:val="00201435"/>
    <w:rsid w:val="00212910"/>
    <w:rsid w:val="00213786"/>
    <w:rsid w:val="00214F49"/>
    <w:rsid w:val="00216B7A"/>
    <w:rsid w:val="0024038C"/>
    <w:rsid w:val="00244C90"/>
    <w:rsid w:val="0024747E"/>
    <w:rsid w:val="00250974"/>
    <w:rsid w:val="00256F4C"/>
    <w:rsid w:val="00257867"/>
    <w:rsid w:val="00260D26"/>
    <w:rsid w:val="00264C95"/>
    <w:rsid w:val="0027557E"/>
    <w:rsid w:val="00280DFF"/>
    <w:rsid w:val="00281818"/>
    <w:rsid w:val="00285276"/>
    <w:rsid w:val="002909A1"/>
    <w:rsid w:val="00292CF7"/>
    <w:rsid w:val="002976DE"/>
    <w:rsid w:val="002A083F"/>
    <w:rsid w:val="002A18DD"/>
    <w:rsid w:val="002B2A46"/>
    <w:rsid w:val="002B2EDE"/>
    <w:rsid w:val="002B65CD"/>
    <w:rsid w:val="002C2982"/>
    <w:rsid w:val="002C2F19"/>
    <w:rsid w:val="002C5D6D"/>
    <w:rsid w:val="002D0CB7"/>
    <w:rsid w:val="002D62B9"/>
    <w:rsid w:val="002E5738"/>
    <w:rsid w:val="002F1801"/>
    <w:rsid w:val="002F4226"/>
    <w:rsid w:val="00300E24"/>
    <w:rsid w:val="00307D9C"/>
    <w:rsid w:val="003336F0"/>
    <w:rsid w:val="00336A3C"/>
    <w:rsid w:val="003418E0"/>
    <w:rsid w:val="00344DE3"/>
    <w:rsid w:val="00351BA6"/>
    <w:rsid w:val="00354042"/>
    <w:rsid w:val="00356FAA"/>
    <w:rsid w:val="00376685"/>
    <w:rsid w:val="0037697D"/>
    <w:rsid w:val="003772D0"/>
    <w:rsid w:val="0037797A"/>
    <w:rsid w:val="0038404C"/>
    <w:rsid w:val="003848CA"/>
    <w:rsid w:val="0038775D"/>
    <w:rsid w:val="0038788E"/>
    <w:rsid w:val="00387E94"/>
    <w:rsid w:val="003B2204"/>
    <w:rsid w:val="003B2D4B"/>
    <w:rsid w:val="003B3398"/>
    <w:rsid w:val="003B3887"/>
    <w:rsid w:val="003B58DC"/>
    <w:rsid w:val="003B799E"/>
    <w:rsid w:val="003C1D96"/>
    <w:rsid w:val="003C584F"/>
    <w:rsid w:val="003C5F00"/>
    <w:rsid w:val="003D4413"/>
    <w:rsid w:val="003D62BC"/>
    <w:rsid w:val="003E104A"/>
    <w:rsid w:val="003E67ED"/>
    <w:rsid w:val="003F08B2"/>
    <w:rsid w:val="003F12A5"/>
    <w:rsid w:val="003F3EDC"/>
    <w:rsid w:val="003F4CB0"/>
    <w:rsid w:val="00400306"/>
    <w:rsid w:val="00404FAE"/>
    <w:rsid w:val="0040529F"/>
    <w:rsid w:val="00405DDD"/>
    <w:rsid w:val="004070B8"/>
    <w:rsid w:val="00410371"/>
    <w:rsid w:val="00421261"/>
    <w:rsid w:val="0042517E"/>
    <w:rsid w:val="0042563F"/>
    <w:rsid w:val="0043173A"/>
    <w:rsid w:val="00431B54"/>
    <w:rsid w:val="004321FE"/>
    <w:rsid w:val="0043383C"/>
    <w:rsid w:val="004347AC"/>
    <w:rsid w:val="004462E5"/>
    <w:rsid w:val="00450CCC"/>
    <w:rsid w:val="004545BE"/>
    <w:rsid w:val="00454ED3"/>
    <w:rsid w:val="00455045"/>
    <w:rsid w:val="00460A9C"/>
    <w:rsid w:val="00466BBB"/>
    <w:rsid w:val="004671E9"/>
    <w:rsid w:val="00471C4B"/>
    <w:rsid w:val="0047223D"/>
    <w:rsid w:val="004744F8"/>
    <w:rsid w:val="00477E7C"/>
    <w:rsid w:val="004800FC"/>
    <w:rsid w:val="00485D31"/>
    <w:rsid w:val="00491021"/>
    <w:rsid w:val="00491319"/>
    <w:rsid w:val="00492A6A"/>
    <w:rsid w:val="004959D6"/>
    <w:rsid w:val="004B0587"/>
    <w:rsid w:val="004C1B3F"/>
    <w:rsid w:val="004C4407"/>
    <w:rsid w:val="004C4EDD"/>
    <w:rsid w:val="004D0C7F"/>
    <w:rsid w:val="004D1A69"/>
    <w:rsid w:val="004E2AC0"/>
    <w:rsid w:val="004E4DD1"/>
    <w:rsid w:val="004E7F29"/>
    <w:rsid w:val="004F235F"/>
    <w:rsid w:val="004F46EE"/>
    <w:rsid w:val="005003EE"/>
    <w:rsid w:val="00503BDB"/>
    <w:rsid w:val="00511DAD"/>
    <w:rsid w:val="00513ABF"/>
    <w:rsid w:val="00515863"/>
    <w:rsid w:val="0052027F"/>
    <w:rsid w:val="00521A99"/>
    <w:rsid w:val="00524DEF"/>
    <w:rsid w:val="00524E6B"/>
    <w:rsid w:val="00525872"/>
    <w:rsid w:val="0052590F"/>
    <w:rsid w:val="00527F9A"/>
    <w:rsid w:val="0053101F"/>
    <w:rsid w:val="00531567"/>
    <w:rsid w:val="00531CB6"/>
    <w:rsid w:val="0053759C"/>
    <w:rsid w:val="00542E28"/>
    <w:rsid w:val="005445DA"/>
    <w:rsid w:val="005461D1"/>
    <w:rsid w:val="005519EE"/>
    <w:rsid w:val="00552E37"/>
    <w:rsid w:val="00552E8B"/>
    <w:rsid w:val="00560BE8"/>
    <w:rsid w:val="0056354F"/>
    <w:rsid w:val="00563E6B"/>
    <w:rsid w:val="00565D05"/>
    <w:rsid w:val="005712F2"/>
    <w:rsid w:val="005734BD"/>
    <w:rsid w:val="005759A5"/>
    <w:rsid w:val="00582F28"/>
    <w:rsid w:val="005903EA"/>
    <w:rsid w:val="00594140"/>
    <w:rsid w:val="0059520B"/>
    <w:rsid w:val="005A28A3"/>
    <w:rsid w:val="005A56A3"/>
    <w:rsid w:val="005B041D"/>
    <w:rsid w:val="005B0F96"/>
    <w:rsid w:val="005B2F3C"/>
    <w:rsid w:val="005B4E71"/>
    <w:rsid w:val="005B5155"/>
    <w:rsid w:val="005B768A"/>
    <w:rsid w:val="005C26C2"/>
    <w:rsid w:val="005C6F3C"/>
    <w:rsid w:val="005D43C8"/>
    <w:rsid w:val="005D4D8B"/>
    <w:rsid w:val="005E1D97"/>
    <w:rsid w:val="005E3226"/>
    <w:rsid w:val="005E7505"/>
    <w:rsid w:val="005F252D"/>
    <w:rsid w:val="005F53DF"/>
    <w:rsid w:val="00600916"/>
    <w:rsid w:val="00602D66"/>
    <w:rsid w:val="00606548"/>
    <w:rsid w:val="006077AC"/>
    <w:rsid w:val="00607B37"/>
    <w:rsid w:val="00616F9B"/>
    <w:rsid w:val="00623F6A"/>
    <w:rsid w:val="00624F85"/>
    <w:rsid w:val="00641BE3"/>
    <w:rsid w:val="00642BC8"/>
    <w:rsid w:val="0064531D"/>
    <w:rsid w:val="00646687"/>
    <w:rsid w:val="00655279"/>
    <w:rsid w:val="006558C6"/>
    <w:rsid w:val="006601C0"/>
    <w:rsid w:val="00661347"/>
    <w:rsid w:val="00661C78"/>
    <w:rsid w:val="00663816"/>
    <w:rsid w:val="00663B79"/>
    <w:rsid w:val="00664907"/>
    <w:rsid w:val="00672636"/>
    <w:rsid w:val="00673001"/>
    <w:rsid w:val="006758E7"/>
    <w:rsid w:val="00685600"/>
    <w:rsid w:val="00685BF4"/>
    <w:rsid w:val="006A1137"/>
    <w:rsid w:val="006B5C79"/>
    <w:rsid w:val="006D1519"/>
    <w:rsid w:val="006D2662"/>
    <w:rsid w:val="006E1FAA"/>
    <w:rsid w:val="006E3EF1"/>
    <w:rsid w:val="006E55F1"/>
    <w:rsid w:val="006E723A"/>
    <w:rsid w:val="006E7E56"/>
    <w:rsid w:val="006F038A"/>
    <w:rsid w:val="006F0911"/>
    <w:rsid w:val="006F4200"/>
    <w:rsid w:val="006F62B2"/>
    <w:rsid w:val="00701EEA"/>
    <w:rsid w:val="00711DA4"/>
    <w:rsid w:val="00714B96"/>
    <w:rsid w:val="00727003"/>
    <w:rsid w:val="00745719"/>
    <w:rsid w:val="00750091"/>
    <w:rsid w:val="00751F44"/>
    <w:rsid w:val="00761AE1"/>
    <w:rsid w:val="00763211"/>
    <w:rsid w:val="00777C46"/>
    <w:rsid w:val="007801B9"/>
    <w:rsid w:val="00785DC6"/>
    <w:rsid w:val="00790820"/>
    <w:rsid w:val="00790950"/>
    <w:rsid w:val="007923F9"/>
    <w:rsid w:val="00797275"/>
    <w:rsid w:val="007B607B"/>
    <w:rsid w:val="007B6DCD"/>
    <w:rsid w:val="007B728D"/>
    <w:rsid w:val="007C1080"/>
    <w:rsid w:val="007C1A56"/>
    <w:rsid w:val="007C54C7"/>
    <w:rsid w:val="007C6837"/>
    <w:rsid w:val="007C6908"/>
    <w:rsid w:val="007E1166"/>
    <w:rsid w:val="007E4E83"/>
    <w:rsid w:val="007E52E0"/>
    <w:rsid w:val="007F4B87"/>
    <w:rsid w:val="007F5EB0"/>
    <w:rsid w:val="00801F72"/>
    <w:rsid w:val="008026A7"/>
    <w:rsid w:val="00812434"/>
    <w:rsid w:val="00825898"/>
    <w:rsid w:val="00826A6E"/>
    <w:rsid w:val="0083387D"/>
    <w:rsid w:val="008520A1"/>
    <w:rsid w:val="0085407F"/>
    <w:rsid w:val="0085559D"/>
    <w:rsid w:val="00866593"/>
    <w:rsid w:val="008711F1"/>
    <w:rsid w:val="00871883"/>
    <w:rsid w:val="00873880"/>
    <w:rsid w:val="00877747"/>
    <w:rsid w:val="00881BFA"/>
    <w:rsid w:val="0089044E"/>
    <w:rsid w:val="00892667"/>
    <w:rsid w:val="008B3626"/>
    <w:rsid w:val="008B3898"/>
    <w:rsid w:val="008B7697"/>
    <w:rsid w:val="008C1211"/>
    <w:rsid w:val="008C68CA"/>
    <w:rsid w:val="008C77A8"/>
    <w:rsid w:val="008D7003"/>
    <w:rsid w:val="008E365B"/>
    <w:rsid w:val="008E795E"/>
    <w:rsid w:val="008F1B97"/>
    <w:rsid w:val="008F2E9F"/>
    <w:rsid w:val="00902388"/>
    <w:rsid w:val="00905098"/>
    <w:rsid w:val="00906C74"/>
    <w:rsid w:val="0090782C"/>
    <w:rsid w:val="00913780"/>
    <w:rsid w:val="00933933"/>
    <w:rsid w:val="009505FD"/>
    <w:rsid w:val="0095131B"/>
    <w:rsid w:val="00951464"/>
    <w:rsid w:val="00953B00"/>
    <w:rsid w:val="00967664"/>
    <w:rsid w:val="00967722"/>
    <w:rsid w:val="009764A3"/>
    <w:rsid w:val="00977DAD"/>
    <w:rsid w:val="00987E89"/>
    <w:rsid w:val="009923CF"/>
    <w:rsid w:val="0099249C"/>
    <w:rsid w:val="009928CB"/>
    <w:rsid w:val="009A4762"/>
    <w:rsid w:val="009A5428"/>
    <w:rsid w:val="009B23A6"/>
    <w:rsid w:val="009B4012"/>
    <w:rsid w:val="009B577B"/>
    <w:rsid w:val="009C1993"/>
    <w:rsid w:val="009C3EA8"/>
    <w:rsid w:val="009C4B47"/>
    <w:rsid w:val="009D1013"/>
    <w:rsid w:val="009D11FB"/>
    <w:rsid w:val="009F42B5"/>
    <w:rsid w:val="00A03130"/>
    <w:rsid w:val="00A13ED5"/>
    <w:rsid w:val="00A147F0"/>
    <w:rsid w:val="00A155D5"/>
    <w:rsid w:val="00A226DD"/>
    <w:rsid w:val="00A31E00"/>
    <w:rsid w:val="00A3574B"/>
    <w:rsid w:val="00A47C8F"/>
    <w:rsid w:val="00A5264F"/>
    <w:rsid w:val="00A55E92"/>
    <w:rsid w:val="00A607DB"/>
    <w:rsid w:val="00A67909"/>
    <w:rsid w:val="00A708B0"/>
    <w:rsid w:val="00A76496"/>
    <w:rsid w:val="00A94957"/>
    <w:rsid w:val="00AA6685"/>
    <w:rsid w:val="00AB3DB4"/>
    <w:rsid w:val="00AB456B"/>
    <w:rsid w:val="00AB76CF"/>
    <w:rsid w:val="00AC0DA0"/>
    <w:rsid w:val="00AD296F"/>
    <w:rsid w:val="00AE38DC"/>
    <w:rsid w:val="00AE7B84"/>
    <w:rsid w:val="00AF0956"/>
    <w:rsid w:val="00AF3F2E"/>
    <w:rsid w:val="00AF6F26"/>
    <w:rsid w:val="00B02F85"/>
    <w:rsid w:val="00B03EE2"/>
    <w:rsid w:val="00B12DD5"/>
    <w:rsid w:val="00B13DCE"/>
    <w:rsid w:val="00B15ECD"/>
    <w:rsid w:val="00B17D2C"/>
    <w:rsid w:val="00B216D2"/>
    <w:rsid w:val="00B21FD9"/>
    <w:rsid w:val="00B30CEC"/>
    <w:rsid w:val="00B43742"/>
    <w:rsid w:val="00B440A0"/>
    <w:rsid w:val="00B51FC9"/>
    <w:rsid w:val="00B52297"/>
    <w:rsid w:val="00B53B45"/>
    <w:rsid w:val="00B546AB"/>
    <w:rsid w:val="00B553AB"/>
    <w:rsid w:val="00B66AA0"/>
    <w:rsid w:val="00B67196"/>
    <w:rsid w:val="00B67835"/>
    <w:rsid w:val="00B73EB4"/>
    <w:rsid w:val="00B800D1"/>
    <w:rsid w:val="00B82879"/>
    <w:rsid w:val="00B85526"/>
    <w:rsid w:val="00B94297"/>
    <w:rsid w:val="00BA1E9B"/>
    <w:rsid w:val="00BB14DB"/>
    <w:rsid w:val="00BC16D0"/>
    <w:rsid w:val="00BC3D0D"/>
    <w:rsid w:val="00BD60C1"/>
    <w:rsid w:val="00BE3C65"/>
    <w:rsid w:val="00BF4A7D"/>
    <w:rsid w:val="00BF5614"/>
    <w:rsid w:val="00C0068B"/>
    <w:rsid w:val="00C02E18"/>
    <w:rsid w:val="00C14259"/>
    <w:rsid w:val="00C225A1"/>
    <w:rsid w:val="00C23742"/>
    <w:rsid w:val="00C26411"/>
    <w:rsid w:val="00C34876"/>
    <w:rsid w:val="00C41771"/>
    <w:rsid w:val="00C50CB7"/>
    <w:rsid w:val="00C57486"/>
    <w:rsid w:val="00C60B2A"/>
    <w:rsid w:val="00C62AB6"/>
    <w:rsid w:val="00C62FC8"/>
    <w:rsid w:val="00C661BE"/>
    <w:rsid w:val="00C66A00"/>
    <w:rsid w:val="00C6706B"/>
    <w:rsid w:val="00C7372C"/>
    <w:rsid w:val="00C74D57"/>
    <w:rsid w:val="00C81EDB"/>
    <w:rsid w:val="00C86357"/>
    <w:rsid w:val="00C95491"/>
    <w:rsid w:val="00C9655B"/>
    <w:rsid w:val="00CA0B8A"/>
    <w:rsid w:val="00CA39DA"/>
    <w:rsid w:val="00CA75B8"/>
    <w:rsid w:val="00CB0E55"/>
    <w:rsid w:val="00CB3DBB"/>
    <w:rsid w:val="00CC4AD9"/>
    <w:rsid w:val="00CC4B76"/>
    <w:rsid w:val="00CC5BB8"/>
    <w:rsid w:val="00CC60CB"/>
    <w:rsid w:val="00CD3D4C"/>
    <w:rsid w:val="00CE2673"/>
    <w:rsid w:val="00CE54C1"/>
    <w:rsid w:val="00CE5D3F"/>
    <w:rsid w:val="00CE69BF"/>
    <w:rsid w:val="00CE7780"/>
    <w:rsid w:val="00CF2B2B"/>
    <w:rsid w:val="00D02174"/>
    <w:rsid w:val="00D0746C"/>
    <w:rsid w:val="00D23842"/>
    <w:rsid w:val="00D24966"/>
    <w:rsid w:val="00D24E8F"/>
    <w:rsid w:val="00D300D0"/>
    <w:rsid w:val="00D326FF"/>
    <w:rsid w:val="00D3416B"/>
    <w:rsid w:val="00D356FB"/>
    <w:rsid w:val="00D40D08"/>
    <w:rsid w:val="00D4423C"/>
    <w:rsid w:val="00D539EC"/>
    <w:rsid w:val="00D54FED"/>
    <w:rsid w:val="00D56477"/>
    <w:rsid w:val="00D65B38"/>
    <w:rsid w:val="00D70778"/>
    <w:rsid w:val="00D71424"/>
    <w:rsid w:val="00D74C26"/>
    <w:rsid w:val="00D956A8"/>
    <w:rsid w:val="00DA40FB"/>
    <w:rsid w:val="00DA4460"/>
    <w:rsid w:val="00DB6146"/>
    <w:rsid w:val="00DD1D7E"/>
    <w:rsid w:val="00DE4960"/>
    <w:rsid w:val="00DF26BB"/>
    <w:rsid w:val="00DF3958"/>
    <w:rsid w:val="00E001A5"/>
    <w:rsid w:val="00E02E22"/>
    <w:rsid w:val="00E05FD0"/>
    <w:rsid w:val="00E14D68"/>
    <w:rsid w:val="00E14E60"/>
    <w:rsid w:val="00E17CF6"/>
    <w:rsid w:val="00E238D1"/>
    <w:rsid w:val="00E239F5"/>
    <w:rsid w:val="00E253AB"/>
    <w:rsid w:val="00E52D7F"/>
    <w:rsid w:val="00E538BD"/>
    <w:rsid w:val="00E61136"/>
    <w:rsid w:val="00E6197B"/>
    <w:rsid w:val="00E62277"/>
    <w:rsid w:val="00E73051"/>
    <w:rsid w:val="00E8029E"/>
    <w:rsid w:val="00E85DBD"/>
    <w:rsid w:val="00E85FC9"/>
    <w:rsid w:val="00EA0540"/>
    <w:rsid w:val="00EA2580"/>
    <w:rsid w:val="00EA62F2"/>
    <w:rsid w:val="00EA67AE"/>
    <w:rsid w:val="00EB32AF"/>
    <w:rsid w:val="00EB76FF"/>
    <w:rsid w:val="00EC2963"/>
    <w:rsid w:val="00EC33D7"/>
    <w:rsid w:val="00ED2A5A"/>
    <w:rsid w:val="00ED7A00"/>
    <w:rsid w:val="00EE3300"/>
    <w:rsid w:val="00EE4722"/>
    <w:rsid w:val="00EF13EC"/>
    <w:rsid w:val="00EF36E0"/>
    <w:rsid w:val="00F123D9"/>
    <w:rsid w:val="00F23770"/>
    <w:rsid w:val="00F265E0"/>
    <w:rsid w:val="00F3305F"/>
    <w:rsid w:val="00F441C1"/>
    <w:rsid w:val="00F47CE3"/>
    <w:rsid w:val="00F577A3"/>
    <w:rsid w:val="00F6158C"/>
    <w:rsid w:val="00F62D18"/>
    <w:rsid w:val="00F641BF"/>
    <w:rsid w:val="00F65387"/>
    <w:rsid w:val="00F66ED6"/>
    <w:rsid w:val="00F73764"/>
    <w:rsid w:val="00F7511D"/>
    <w:rsid w:val="00F80363"/>
    <w:rsid w:val="00F82B0E"/>
    <w:rsid w:val="00F84A1D"/>
    <w:rsid w:val="00F94452"/>
    <w:rsid w:val="00F96F28"/>
    <w:rsid w:val="00FA0EE3"/>
    <w:rsid w:val="00FA2A74"/>
    <w:rsid w:val="00FA392A"/>
    <w:rsid w:val="00FA4774"/>
    <w:rsid w:val="00FA5360"/>
    <w:rsid w:val="00FA58D1"/>
    <w:rsid w:val="00FA7ABF"/>
    <w:rsid w:val="00FB5C47"/>
    <w:rsid w:val="00FB5D35"/>
    <w:rsid w:val="00FB62C0"/>
    <w:rsid w:val="00FC6059"/>
    <w:rsid w:val="00FC7534"/>
    <w:rsid w:val="00FD092A"/>
    <w:rsid w:val="00FD27AA"/>
    <w:rsid w:val="00FE39C8"/>
    <w:rsid w:val="00FE4590"/>
    <w:rsid w:val="00FE4D5A"/>
    <w:rsid w:val="00FE68D6"/>
    <w:rsid w:val="00FE7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F9550"/>
  <w15:chartTrackingRefBased/>
  <w15:docId w15:val="{5770B14F-776D-4F26-9693-3341E7CF3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7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7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06B"/>
    <w:rPr>
      <w:rFonts w:eastAsiaTheme="majorEastAsia" w:cstheme="majorBidi"/>
      <w:color w:val="272727" w:themeColor="text1" w:themeTint="D8"/>
    </w:rPr>
  </w:style>
  <w:style w:type="paragraph" w:styleId="Title">
    <w:name w:val="Title"/>
    <w:basedOn w:val="Normal"/>
    <w:next w:val="Normal"/>
    <w:link w:val="TitleChar"/>
    <w:uiPriority w:val="10"/>
    <w:qFormat/>
    <w:rsid w:val="00C67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06B"/>
    <w:pPr>
      <w:spacing w:before="160"/>
      <w:jc w:val="center"/>
    </w:pPr>
    <w:rPr>
      <w:i/>
      <w:iCs/>
      <w:color w:val="404040" w:themeColor="text1" w:themeTint="BF"/>
    </w:rPr>
  </w:style>
  <w:style w:type="character" w:customStyle="1" w:styleId="QuoteChar">
    <w:name w:val="Quote Char"/>
    <w:basedOn w:val="DefaultParagraphFont"/>
    <w:link w:val="Quote"/>
    <w:uiPriority w:val="29"/>
    <w:rsid w:val="00C6706B"/>
    <w:rPr>
      <w:i/>
      <w:iCs/>
      <w:color w:val="404040" w:themeColor="text1" w:themeTint="BF"/>
    </w:rPr>
  </w:style>
  <w:style w:type="paragraph" w:styleId="ListParagraph">
    <w:name w:val="List Paragraph"/>
    <w:basedOn w:val="Normal"/>
    <w:uiPriority w:val="34"/>
    <w:qFormat/>
    <w:rsid w:val="00C6706B"/>
    <w:pPr>
      <w:ind w:left="720"/>
      <w:contextualSpacing/>
    </w:pPr>
  </w:style>
  <w:style w:type="character" w:styleId="IntenseEmphasis">
    <w:name w:val="Intense Emphasis"/>
    <w:basedOn w:val="DefaultParagraphFont"/>
    <w:uiPriority w:val="21"/>
    <w:qFormat/>
    <w:rsid w:val="00C6706B"/>
    <w:rPr>
      <w:i/>
      <w:iCs/>
      <w:color w:val="0F4761" w:themeColor="accent1" w:themeShade="BF"/>
    </w:rPr>
  </w:style>
  <w:style w:type="paragraph" w:styleId="IntenseQuote">
    <w:name w:val="Intense Quote"/>
    <w:basedOn w:val="Normal"/>
    <w:next w:val="Normal"/>
    <w:link w:val="IntenseQuoteChar"/>
    <w:uiPriority w:val="30"/>
    <w:qFormat/>
    <w:rsid w:val="00C67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06B"/>
    <w:rPr>
      <w:i/>
      <w:iCs/>
      <w:color w:val="0F4761" w:themeColor="accent1" w:themeShade="BF"/>
    </w:rPr>
  </w:style>
  <w:style w:type="character" w:styleId="IntenseReference">
    <w:name w:val="Intense Reference"/>
    <w:basedOn w:val="DefaultParagraphFont"/>
    <w:uiPriority w:val="32"/>
    <w:qFormat/>
    <w:rsid w:val="00C6706B"/>
    <w:rPr>
      <w:b/>
      <w:bCs/>
      <w:smallCaps/>
      <w:color w:val="0F4761" w:themeColor="accent1" w:themeShade="BF"/>
      <w:spacing w:val="5"/>
    </w:rPr>
  </w:style>
  <w:style w:type="character" w:styleId="Hyperlink">
    <w:name w:val="Hyperlink"/>
    <w:basedOn w:val="DefaultParagraphFont"/>
    <w:uiPriority w:val="99"/>
    <w:unhideWhenUsed/>
    <w:rsid w:val="006558C6"/>
    <w:rPr>
      <w:color w:val="467886" w:themeColor="hyperlink"/>
      <w:u w:val="single"/>
    </w:rPr>
  </w:style>
  <w:style w:type="character" w:styleId="UnresolvedMention">
    <w:name w:val="Unresolved Mention"/>
    <w:basedOn w:val="DefaultParagraphFont"/>
    <w:uiPriority w:val="99"/>
    <w:semiHidden/>
    <w:unhideWhenUsed/>
    <w:rsid w:val="006558C6"/>
    <w:rPr>
      <w:color w:val="605E5C"/>
      <w:shd w:val="clear" w:color="auto" w:fill="E1DFDD"/>
    </w:rPr>
  </w:style>
  <w:style w:type="paragraph" w:styleId="TOCHeading">
    <w:name w:val="TOC Heading"/>
    <w:basedOn w:val="Heading1"/>
    <w:next w:val="Normal"/>
    <w:uiPriority w:val="39"/>
    <w:unhideWhenUsed/>
    <w:qFormat/>
    <w:rsid w:val="00BF4A7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F4A7D"/>
    <w:pPr>
      <w:spacing w:after="100"/>
    </w:pPr>
  </w:style>
  <w:style w:type="paragraph" w:styleId="TOC2">
    <w:name w:val="toc 2"/>
    <w:basedOn w:val="Normal"/>
    <w:next w:val="Normal"/>
    <w:autoRedefine/>
    <w:uiPriority w:val="39"/>
    <w:unhideWhenUsed/>
    <w:rsid w:val="00BF4A7D"/>
    <w:pPr>
      <w:spacing w:after="100"/>
      <w:ind w:left="240"/>
    </w:pPr>
  </w:style>
  <w:style w:type="paragraph" w:styleId="Header">
    <w:name w:val="header"/>
    <w:basedOn w:val="Normal"/>
    <w:link w:val="HeaderChar"/>
    <w:uiPriority w:val="99"/>
    <w:unhideWhenUsed/>
    <w:rsid w:val="002B2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EDE"/>
  </w:style>
  <w:style w:type="paragraph" w:styleId="Footer">
    <w:name w:val="footer"/>
    <w:basedOn w:val="Normal"/>
    <w:link w:val="FooterChar"/>
    <w:uiPriority w:val="99"/>
    <w:unhideWhenUsed/>
    <w:rsid w:val="002B2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o2109" TargetMode="External"/><Relationship Id="rId18" Type="http://schemas.openxmlformats.org/officeDocument/2006/relationships/hyperlink" Target="https://www.nice.org.uk/implementing-nice-guidance/cost-saving-resource-planning-and-audit/supporting-the-health-care-system-to-implement-virtual-wards" TargetMode="External"/><Relationship Id="rId26" Type="http://schemas.openxmlformats.org/officeDocument/2006/relationships/hyperlink" Target="https://www.england.nhs.uk/long-read/virtual-wards-operational-framework/" TargetMode="External"/><Relationship Id="rId39" Type="http://schemas.openxmlformats.org/officeDocument/2006/relationships/footer" Target="footer1.xml"/><Relationship Id="rId21" Type="http://schemas.openxmlformats.org/officeDocument/2006/relationships/hyperlink" Target="https://www.england.nhs.uk/wp-content/uploads/2022/02/20211223-B1160-2022-23-priorities-and-operational-planning-guidance-v3.2.pdf" TargetMode="External"/><Relationship Id="rId34" Type="http://schemas.openxmlformats.org/officeDocument/2006/relationships/hyperlink" Target="https://www.health.org.uk/reports-and-analysis/reports/nhs-workforce-projections-2022?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rc-wm.nihr.ac.uk/wp-content/uploads/2025/05/Virtual-Ward-Literature-Review.pdf" TargetMode="External"/><Relationship Id="rId20" Type="http://schemas.openxmlformats.org/officeDocument/2006/relationships/hyperlink" Target="https://transform.england.nhs.uk/digitise-connect-transform/what-good-looks-like/what-good-looks-like-publication/" TargetMode="External"/><Relationship Id="rId29" Type="http://schemas.openxmlformats.org/officeDocument/2006/relationships/hyperlink" Target="https://doi.org/10.1108/JICA-03-2025-001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reports-and-analysis/working-papers/what-do-virtual-wards-look-like-in-england" TargetMode="External"/><Relationship Id="rId24" Type="http://schemas.openxmlformats.org/officeDocument/2006/relationships/hyperlink" Target="https://www.england.nhs.uk/long-read/inclusive-digital-healthcare-a-framework-for-nhs-action-on-digital-inclusion/" TargetMode="External"/><Relationship Id="rId32" Type="http://schemas.openxmlformats.org/officeDocument/2006/relationships/hyperlink" Target="https://doi.org/10.1136/bmjopen-2021-053442" TargetMode="External"/><Relationship Id="rId37" Type="http://schemas.openxmlformats.org/officeDocument/2006/relationships/hyperlink" Target="https://www.legislation.gov.uk/ukpga/2018/12/content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196/46850" TargetMode="External"/><Relationship Id="rId23" Type="http://schemas.openxmlformats.org/officeDocument/2006/relationships/hyperlink" Target="https://www.england.nhs.uk/long-read/virtual-wards-enabled-by-technology-guidance-on-selecting-and-procuring-a-technology-platform/" TargetMode="External"/><Relationship Id="rId28" Type="http://schemas.openxmlformats.org/officeDocument/2006/relationships/hyperlink" Target="https://www.nmc.org.uk/globalassets/sitedocuments/education-standards/future-nurse-proficiencies.pdf" TargetMode="External"/><Relationship Id="rId36" Type="http://schemas.openxmlformats.org/officeDocument/2006/relationships/hyperlink" Target="https://www.kingsfund.org.uk/insight-and-analysis/reports/integrated-care-systems-workforce" TargetMode="External"/><Relationship Id="rId10" Type="http://schemas.openxmlformats.org/officeDocument/2006/relationships/hyperlink" Target="https://www.gov.uk/government/publications/national-data-guardian-2023-2024-report/national-data-guardian-2023-2024-report" TargetMode="External"/><Relationship Id="rId19" Type="http://schemas.openxmlformats.org/officeDocument/2006/relationships/hyperlink" Target="https://www.nhsconfed.org/publications/digital-transformation-nhs-reference-guide" TargetMode="External"/><Relationship Id="rId31" Type="http://schemas.openxmlformats.org/officeDocument/2006/relationships/hyperlink" Target="https://integratedcarejournal.com/the-role-of-digital-nurses-in-transforming-health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89/fdgth.2021.726095" TargetMode="External"/><Relationship Id="rId22" Type="http://schemas.openxmlformats.org/officeDocument/2006/relationships/hyperlink" Target="https://www.england.nhs.uk/personalisedcare/" TargetMode="External"/><Relationship Id="rId27" Type="http://schemas.openxmlformats.org/officeDocument/2006/relationships/hyperlink" Target="https://www.england.nhs.uk/statistics/statistical-work-areas/virtual-ward/" TargetMode="External"/><Relationship Id="rId30" Type="http://schemas.openxmlformats.org/officeDocument/2006/relationships/hyperlink" Target="https://doi.org/10.1370/afm.2656" TargetMode="External"/><Relationship Id="rId35" Type="http://schemas.openxmlformats.org/officeDocument/2006/relationships/hyperlink" Target="https://www.health.org.uk/sites/default/files/upload/publications/2024/What%2520do%2520virtual%2520wards%2520look%2520like%2520in%2520England_0.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pcrs-uk.org/sites/default/files/2022-December-PCRU-virtual_wards.pdf" TargetMode="External"/><Relationship Id="rId17" Type="http://schemas.openxmlformats.org/officeDocument/2006/relationships/hyperlink" Target="https://www.kingsfund.org.uk/insight-and-analysis/long-reads/exclusion-inclusion-digital-health-care" TargetMode="External"/><Relationship Id="rId25" Type="http://schemas.openxmlformats.org/officeDocument/2006/relationships/hyperlink" Target="https://www.england.nhs.uk/long-read/supporting-clinical-leadership-in-virtual-wards-a-guide-for-integrated-care-system-clinical-leaders/" TargetMode="External"/><Relationship Id="rId33" Type="http://schemas.openxmlformats.org/officeDocument/2006/relationships/hyperlink" Target="https://doi.org/10.1002/14651858.CD007491.pub3" TargetMode="External"/><Relationship Id="rId38" Type="http://schemas.openxmlformats.org/officeDocument/2006/relationships/hyperlink" Target="https://doi.org/10.1016/j.eclinm.2021.1007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7FEEF-C146-44AA-A080-C36A45BF6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TotalTime>
  <Pages>14</Pages>
  <Words>4924</Words>
  <Characters>28070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72</cp:revision>
  <dcterms:created xsi:type="dcterms:W3CDTF">2026-02-14T09:05:00Z</dcterms:created>
  <dcterms:modified xsi:type="dcterms:W3CDTF">2026-02-17T00:41:00Z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e370dcbe-c55e-4df0-9c2c-ef3babf895dc</vt:lpwstr>
  </property>
</Properties>
</file>