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65E147E9" w14:textId="77777777" w:rsidR="009714EB" w:rsidRDefault="009714EB" w:rsidP="5B843AF0">
      <w:pPr>
        <w:ind w:right="237"/>
        <w:jc w:val="both"/>
        <w:rPr>
          <w:rFonts w:eastAsia="Arial"/>
          <w:b/>
          <w:bCs/>
          <w:color w:val="000000" w:themeColor="text1"/>
          <w:sz w:val="24"/>
          <w:szCs w:val="24"/>
        </w:rPr>
      </w:pPr>
    </w:p>
    <w:p w14:paraId="5BC62F3E" w14:textId="07B5905A" w:rsidR="009714EB" w:rsidRDefault="009714EB" w:rsidP="5B843AF0">
      <w:pPr>
        <w:ind w:right="237"/>
        <w:jc w:val="both"/>
        <w:rPr>
          <w:rFonts w:eastAsia="Arial"/>
          <w:color w:val="000000" w:themeColor="text1"/>
          <w:sz w:val="24"/>
          <w:szCs w:val="24"/>
        </w:rPr>
      </w:pPr>
      <w:r>
        <w:rPr>
          <w:rFonts w:eastAsia="Arial"/>
          <w:color w:val="000000" w:themeColor="text1"/>
          <w:sz w:val="24"/>
          <w:szCs w:val="24"/>
        </w:rPr>
        <w:t xml:space="preserve">This essay will look at an investigation in relation to the offence of affray which took place in a domestic context, the offence essentially constitutes a person who through their words and actions cause a person of reasonable firmness to fear for their personal safety (Public Order Act 1986). The offence itself was alleged to be that the partner of the victim had during an argument made a threat to kill, picked up a knife and continued to threaten the victim at which point she left the property going </w:t>
      </w:r>
      <w:r w:rsidR="00AC2A6A">
        <w:rPr>
          <w:rFonts w:eastAsia="Arial"/>
          <w:color w:val="000000" w:themeColor="text1"/>
          <w:sz w:val="24"/>
          <w:szCs w:val="24"/>
        </w:rPr>
        <w:t>into</w:t>
      </w:r>
      <w:r>
        <w:rPr>
          <w:rFonts w:eastAsia="Arial"/>
          <w:color w:val="000000" w:themeColor="text1"/>
          <w:sz w:val="24"/>
          <w:szCs w:val="24"/>
        </w:rPr>
        <w:t xml:space="preserve"> the back garden and a male lodger</w:t>
      </w:r>
      <w:r w:rsidR="00AC2A6A">
        <w:rPr>
          <w:rFonts w:eastAsia="Arial"/>
          <w:color w:val="000000" w:themeColor="text1"/>
          <w:sz w:val="24"/>
          <w:szCs w:val="24"/>
        </w:rPr>
        <w:t xml:space="preserve"> witnessed this part of the incident. The police were called and arrived at which point the victim was still in the garden, the suspect and lodger were still in the property neither had possession of a knife. There was a child present in the property at the time which prompted social services involvement this will be discussed in terms of their and police reduction of risk. In addition to this,</w:t>
      </w:r>
      <w:r w:rsidR="001A21A9">
        <w:rPr>
          <w:rFonts w:eastAsia="Arial"/>
          <w:color w:val="000000" w:themeColor="text1"/>
          <w:sz w:val="24"/>
          <w:szCs w:val="24"/>
        </w:rPr>
        <w:t xml:space="preserve"> the people in this incident spoke limited English and this will be explored. </w:t>
      </w:r>
      <w:r w:rsidR="00AC2A6A">
        <w:rPr>
          <w:rFonts w:eastAsia="Arial"/>
          <w:color w:val="000000" w:themeColor="text1"/>
          <w:sz w:val="24"/>
          <w:szCs w:val="24"/>
        </w:rPr>
        <w:t xml:space="preserve">The essay will then look at repeat victimisation and repeat offending considering evidence-based policing while doing so. </w:t>
      </w:r>
      <w:r w:rsidR="00CC434C">
        <w:rPr>
          <w:rFonts w:eastAsia="Arial"/>
          <w:color w:val="000000" w:themeColor="text1"/>
          <w:sz w:val="24"/>
          <w:szCs w:val="24"/>
        </w:rPr>
        <w:t>This essay will consider this though the use of Gibbs reflective Cycle, this cycle consists of description as done above, feelings, evaluation, analysis, conclusion and actions plan</w:t>
      </w:r>
      <w:sdt>
        <w:sdtPr>
          <w:rPr>
            <w:rFonts w:eastAsia="Arial"/>
            <w:color w:val="000000" w:themeColor="text1"/>
            <w:sz w:val="24"/>
            <w:szCs w:val="24"/>
          </w:rPr>
          <w:id w:val="-775567254"/>
          <w:citation/>
        </w:sdtPr>
        <w:sdtContent>
          <w:r w:rsidR="00CC434C">
            <w:rPr>
              <w:rFonts w:eastAsia="Arial"/>
              <w:color w:val="000000" w:themeColor="text1"/>
              <w:sz w:val="24"/>
              <w:szCs w:val="24"/>
            </w:rPr>
            <w:fldChar w:fldCharType="begin"/>
          </w:r>
          <w:r w:rsidR="00CC434C">
            <w:rPr>
              <w:rFonts w:eastAsia="Arial"/>
              <w:color w:val="000000" w:themeColor="text1"/>
              <w:sz w:val="24"/>
              <w:szCs w:val="24"/>
            </w:rPr>
            <w:instrText xml:space="preserve"> CITATION Gra88 \l 2057 </w:instrText>
          </w:r>
          <w:r w:rsidR="00CC434C">
            <w:rPr>
              <w:rFonts w:eastAsia="Arial"/>
              <w:color w:val="000000" w:themeColor="text1"/>
              <w:sz w:val="24"/>
              <w:szCs w:val="24"/>
            </w:rPr>
            <w:fldChar w:fldCharType="separate"/>
          </w:r>
          <w:r w:rsidR="00CC434C">
            <w:rPr>
              <w:rFonts w:eastAsia="Arial"/>
              <w:noProof/>
              <w:color w:val="000000" w:themeColor="text1"/>
              <w:sz w:val="24"/>
              <w:szCs w:val="24"/>
            </w:rPr>
            <w:t xml:space="preserve"> </w:t>
          </w:r>
          <w:r w:rsidR="00CC434C" w:rsidRPr="00CC434C">
            <w:rPr>
              <w:rFonts w:eastAsia="Arial"/>
              <w:noProof/>
              <w:color w:val="000000" w:themeColor="text1"/>
              <w:sz w:val="24"/>
              <w:szCs w:val="24"/>
            </w:rPr>
            <w:t>(Gibbs, 1988)</w:t>
          </w:r>
          <w:r w:rsidR="00CC434C">
            <w:rPr>
              <w:rFonts w:eastAsia="Arial"/>
              <w:color w:val="000000" w:themeColor="text1"/>
              <w:sz w:val="24"/>
              <w:szCs w:val="24"/>
            </w:rPr>
            <w:fldChar w:fldCharType="end"/>
          </w:r>
        </w:sdtContent>
      </w:sdt>
    </w:p>
    <w:p w14:paraId="22E89E73" w14:textId="77777777" w:rsidR="00231A3A" w:rsidRDefault="00231A3A" w:rsidP="5B843AF0">
      <w:pPr>
        <w:ind w:right="237"/>
        <w:jc w:val="both"/>
        <w:rPr>
          <w:rFonts w:eastAsia="Arial"/>
          <w:color w:val="000000" w:themeColor="text1"/>
          <w:sz w:val="24"/>
          <w:szCs w:val="24"/>
        </w:rPr>
      </w:pPr>
    </w:p>
    <w:p w14:paraId="70835036" w14:textId="13DE0C6D" w:rsidR="00231A3A" w:rsidRDefault="00231A3A" w:rsidP="5B843AF0">
      <w:pPr>
        <w:ind w:right="237"/>
        <w:jc w:val="both"/>
        <w:rPr>
          <w:rFonts w:eastAsia="Arial"/>
          <w:color w:val="000000" w:themeColor="text1"/>
          <w:sz w:val="24"/>
          <w:szCs w:val="24"/>
        </w:rPr>
      </w:pPr>
      <w:r>
        <w:rPr>
          <w:rFonts w:eastAsia="Arial"/>
          <w:color w:val="000000" w:themeColor="text1"/>
          <w:sz w:val="24"/>
          <w:szCs w:val="24"/>
        </w:rPr>
        <w:t xml:space="preserve">In relation to other professionals’ reduction of risk which in this case relates to social services they undertook a “section 47” initially which is essentially a statutory investigation where a specific concern is looked at which aims to ascertain whether a child is likely to suffer or is suffering significant harm (Children Act 1989). </w:t>
      </w:r>
      <w:r w:rsidR="006531AC">
        <w:rPr>
          <w:rFonts w:eastAsia="Arial"/>
          <w:color w:val="000000" w:themeColor="text1"/>
          <w:sz w:val="24"/>
          <w:szCs w:val="24"/>
        </w:rPr>
        <w:t xml:space="preserve">Significant harm has no statutory definition but is defined as a threshold for compulsory intervention in the lives of children who had suffered from parental or carer maltreatment or severe neglect </w:t>
      </w:r>
      <w:sdt>
        <w:sdtPr>
          <w:rPr>
            <w:rFonts w:eastAsia="Arial"/>
            <w:color w:val="000000" w:themeColor="text1"/>
            <w:sz w:val="24"/>
            <w:szCs w:val="24"/>
          </w:rPr>
          <w:id w:val="1450284210"/>
          <w:citation/>
        </w:sdtPr>
        <w:sdtContent>
          <w:r w:rsidR="006531AC">
            <w:rPr>
              <w:rFonts w:eastAsia="Arial"/>
              <w:color w:val="000000" w:themeColor="text1"/>
              <w:sz w:val="24"/>
              <w:szCs w:val="24"/>
            </w:rPr>
            <w:fldChar w:fldCharType="begin"/>
          </w:r>
          <w:r w:rsidR="00385BB8">
            <w:rPr>
              <w:rFonts w:eastAsia="Arial"/>
              <w:color w:val="000000" w:themeColor="text1"/>
              <w:sz w:val="24"/>
              <w:szCs w:val="24"/>
            </w:rPr>
            <w:instrText xml:space="preserve">CITATION Bra \l 2057 </w:instrText>
          </w:r>
          <w:r w:rsidR="006531AC">
            <w:rPr>
              <w:rFonts w:eastAsia="Arial"/>
              <w:color w:val="000000" w:themeColor="text1"/>
              <w:sz w:val="24"/>
              <w:szCs w:val="24"/>
            </w:rPr>
            <w:fldChar w:fldCharType="separate"/>
          </w:r>
          <w:r w:rsidR="00385BB8" w:rsidRPr="00385BB8">
            <w:rPr>
              <w:rFonts w:eastAsia="Arial"/>
              <w:noProof/>
              <w:color w:val="000000" w:themeColor="text1"/>
              <w:sz w:val="24"/>
              <w:szCs w:val="24"/>
            </w:rPr>
            <w:t>(Brandon &amp; Thorburn , 2008)</w:t>
          </w:r>
          <w:r w:rsidR="006531AC">
            <w:rPr>
              <w:rFonts w:eastAsia="Arial"/>
              <w:color w:val="000000" w:themeColor="text1"/>
              <w:sz w:val="24"/>
              <w:szCs w:val="24"/>
            </w:rPr>
            <w:fldChar w:fldCharType="end"/>
          </w:r>
        </w:sdtContent>
      </w:sdt>
      <w:r w:rsidR="006531AC">
        <w:rPr>
          <w:rFonts w:eastAsia="Arial"/>
          <w:color w:val="000000" w:themeColor="text1"/>
          <w:sz w:val="24"/>
          <w:szCs w:val="24"/>
        </w:rPr>
        <w:t>.</w:t>
      </w:r>
      <w:r w:rsidR="00385BB8">
        <w:rPr>
          <w:rFonts w:eastAsia="Arial"/>
          <w:color w:val="000000" w:themeColor="text1"/>
          <w:sz w:val="24"/>
          <w:szCs w:val="24"/>
        </w:rPr>
        <w:t xml:space="preserve"> This threshold is used often and is the threshold for whether a child is placed on the child protection </w:t>
      </w:r>
      <w:r w:rsidR="00385BB8">
        <w:rPr>
          <w:rFonts w:eastAsia="Arial"/>
          <w:color w:val="000000" w:themeColor="text1"/>
          <w:sz w:val="24"/>
          <w:szCs w:val="24"/>
        </w:rPr>
        <w:lastRenderedPageBreak/>
        <w:t xml:space="preserve">register which comes with increased statutory visits and means that social services are taking the view that the child is at significant risk of harm and intervention is required to reduce this risk and prevent the child from suffering further significant harm. </w:t>
      </w:r>
      <w:r w:rsidR="00AB326F">
        <w:rPr>
          <w:rFonts w:eastAsia="Arial"/>
          <w:color w:val="000000" w:themeColor="text1"/>
          <w:sz w:val="24"/>
          <w:szCs w:val="24"/>
        </w:rPr>
        <w:t xml:space="preserve">As with Gibbs 1988, reflecting on this I feel that this is a sensible approach to safeguarding, to look at a specific concern and assess the risk in relation to this risk. </w:t>
      </w:r>
    </w:p>
    <w:p w14:paraId="5EB87A84" w14:textId="77777777" w:rsidR="00843CCA" w:rsidRDefault="00843CCA" w:rsidP="5B843AF0">
      <w:pPr>
        <w:ind w:right="237"/>
        <w:jc w:val="both"/>
        <w:rPr>
          <w:rFonts w:eastAsia="Arial"/>
          <w:color w:val="000000" w:themeColor="text1"/>
          <w:sz w:val="24"/>
          <w:szCs w:val="24"/>
        </w:rPr>
      </w:pPr>
    </w:p>
    <w:p w14:paraId="79A66598" w14:textId="0D67203D" w:rsidR="00356335" w:rsidRDefault="00843CCA" w:rsidP="5B843AF0">
      <w:pPr>
        <w:ind w:right="237"/>
        <w:jc w:val="both"/>
        <w:rPr>
          <w:rFonts w:eastAsia="Arial"/>
          <w:color w:val="000000" w:themeColor="text1"/>
          <w:sz w:val="24"/>
          <w:szCs w:val="24"/>
        </w:rPr>
      </w:pPr>
      <w:r>
        <w:rPr>
          <w:rFonts w:eastAsia="Arial"/>
          <w:color w:val="000000" w:themeColor="text1"/>
          <w:sz w:val="24"/>
          <w:szCs w:val="24"/>
        </w:rPr>
        <w:t xml:space="preserve">The prevailing theory used in relation to </w:t>
      </w:r>
      <w:r w:rsidR="008C7C04">
        <w:rPr>
          <w:rFonts w:eastAsia="Arial"/>
          <w:color w:val="000000" w:themeColor="text1"/>
          <w:sz w:val="24"/>
          <w:szCs w:val="24"/>
        </w:rPr>
        <w:t>safeguarding</w:t>
      </w:r>
      <w:r>
        <w:rPr>
          <w:rFonts w:eastAsia="Arial"/>
          <w:color w:val="000000" w:themeColor="text1"/>
          <w:sz w:val="24"/>
          <w:szCs w:val="24"/>
        </w:rPr>
        <w:t xml:space="preserve"> children in the UK is Signs of Safety (SoS). This theory is used in more than 200 jurisdictions worldwide </w:t>
      </w:r>
      <w:sdt>
        <w:sdtPr>
          <w:rPr>
            <w:rFonts w:eastAsia="Arial"/>
            <w:color w:val="000000" w:themeColor="text1"/>
            <w:sz w:val="24"/>
            <w:szCs w:val="24"/>
          </w:rPr>
          <w:id w:val="113952528"/>
          <w:citation/>
        </w:sdtPr>
        <w:sdtContent>
          <w:r>
            <w:rPr>
              <w:rFonts w:eastAsia="Arial"/>
              <w:color w:val="000000" w:themeColor="text1"/>
              <w:sz w:val="24"/>
              <w:szCs w:val="24"/>
            </w:rPr>
            <w:fldChar w:fldCharType="begin"/>
          </w:r>
          <w:r>
            <w:rPr>
              <w:rFonts w:eastAsia="Arial"/>
              <w:color w:val="000000" w:themeColor="text1"/>
              <w:sz w:val="24"/>
              <w:szCs w:val="24"/>
            </w:rPr>
            <w:instrText xml:space="preserve"> CITATION Und \l 2057 </w:instrText>
          </w:r>
          <w:r>
            <w:rPr>
              <w:rFonts w:eastAsia="Arial"/>
              <w:color w:val="000000" w:themeColor="text1"/>
              <w:sz w:val="24"/>
              <w:szCs w:val="24"/>
            </w:rPr>
            <w:fldChar w:fldCharType="separate"/>
          </w:r>
          <w:r w:rsidRPr="00843CCA">
            <w:rPr>
              <w:rFonts w:eastAsia="Arial"/>
              <w:noProof/>
              <w:color w:val="000000" w:themeColor="text1"/>
              <w:sz w:val="24"/>
              <w:szCs w:val="24"/>
            </w:rPr>
            <w:t>(Caffrey &amp; Browne, 2022)</w:t>
          </w:r>
          <w:r>
            <w:rPr>
              <w:rFonts w:eastAsia="Arial"/>
              <w:color w:val="000000" w:themeColor="text1"/>
              <w:sz w:val="24"/>
              <w:szCs w:val="24"/>
            </w:rPr>
            <w:fldChar w:fldCharType="end"/>
          </w:r>
        </w:sdtContent>
      </w:sdt>
      <w:r>
        <w:rPr>
          <w:rFonts w:eastAsia="Arial"/>
          <w:color w:val="000000" w:themeColor="text1"/>
          <w:sz w:val="24"/>
          <w:szCs w:val="24"/>
        </w:rPr>
        <w:t xml:space="preserve"> and more than half the jurisdictions in England </w:t>
      </w:r>
      <w:sdt>
        <w:sdtPr>
          <w:rPr>
            <w:rFonts w:eastAsia="Arial"/>
            <w:color w:val="000000" w:themeColor="text1"/>
            <w:sz w:val="24"/>
            <w:szCs w:val="24"/>
          </w:rPr>
          <w:id w:val="-367461868"/>
          <w:citation/>
        </w:sdtPr>
        <w:sdtContent>
          <w:r w:rsidR="00A07483">
            <w:rPr>
              <w:rFonts w:eastAsia="Arial"/>
              <w:color w:val="000000" w:themeColor="text1"/>
              <w:sz w:val="24"/>
              <w:szCs w:val="24"/>
            </w:rPr>
            <w:fldChar w:fldCharType="begin"/>
          </w:r>
          <w:r w:rsidR="00A07483">
            <w:rPr>
              <w:rFonts w:eastAsia="Arial"/>
              <w:color w:val="000000" w:themeColor="text1"/>
              <w:sz w:val="24"/>
              <w:szCs w:val="24"/>
            </w:rPr>
            <w:instrText xml:space="preserve"> CITATION Pra \l 2057 </w:instrText>
          </w:r>
          <w:r w:rsidR="00A07483">
            <w:rPr>
              <w:rFonts w:eastAsia="Arial"/>
              <w:color w:val="000000" w:themeColor="text1"/>
              <w:sz w:val="24"/>
              <w:szCs w:val="24"/>
            </w:rPr>
            <w:fldChar w:fldCharType="separate"/>
          </w:r>
          <w:r w:rsidR="00A07483" w:rsidRPr="00A07483">
            <w:rPr>
              <w:rFonts w:eastAsia="Arial"/>
              <w:noProof/>
              <w:color w:val="000000" w:themeColor="text1"/>
              <w:sz w:val="24"/>
              <w:szCs w:val="24"/>
            </w:rPr>
            <w:t>(Mary, Ixer, &amp; Manthorpe, 2020)</w:t>
          </w:r>
          <w:r w:rsidR="00A07483">
            <w:rPr>
              <w:rFonts w:eastAsia="Arial"/>
              <w:color w:val="000000" w:themeColor="text1"/>
              <w:sz w:val="24"/>
              <w:szCs w:val="24"/>
            </w:rPr>
            <w:fldChar w:fldCharType="end"/>
          </w:r>
        </w:sdtContent>
      </w:sdt>
      <w:r w:rsidR="008C7C04">
        <w:rPr>
          <w:rFonts w:eastAsia="Arial"/>
          <w:color w:val="000000" w:themeColor="text1"/>
          <w:sz w:val="24"/>
          <w:szCs w:val="24"/>
        </w:rPr>
        <w:t>. The theory outlines an approach which involves giving families a genuine opportunity to demonstrate they can protect their children, building on solution focused and strengths-based practice</w:t>
      </w:r>
      <w:sdt>
        <w:sdtPr>
          <w:rPr>
            <w:rFonts w:eastAsia="Arial"/>
            <w:color w:val="000000" w:themeColor="text1"/>
            <w:sz w:val="24"/>
            <w:szCs w:val="24"/>
          </w:rPr>
          <w:id w:val="-903756150"/>
          <w:citation/>
        </w:sdtPr>
        <w:sdtContent>
          <w:r w:rsidR="008C7C04">
            <w:rPr>
              <w:rFonts w:eastAsia="Arial"/>
              <w:color w:val="000000" w:themeColor="text1"/>
              <w:sz w:val="24"/>
              <w:szCs w:val="24"/>
            </w:rPr>
            <w:fldChar w:fldCharType="begin"/>
          </w:r>
          <w:r w:rsidR="008C7C04">
            <w:rPr>
              <w:rFonts w:eastAsia="Arial"/>
              <w:color w:val="000000" w:themeColor="text1"/>
              <w:sz w:val="24"/>
              <w:szCs w:val="24"/>
            </w:rPr>
            <w:instrText xml:space="preserve"> CITATION Und \l 2057 </w:instrText>
          </w:r>
          <w:r w:rsidR="008C7C04">
            <w:rPr>
              <w:rFonts w:eastAsia="Arial"/>
              <w:color w:val="000000" w:themeColor="text1"/>
              <w:sz w:val="24"/>
              <w:szCs w:val="24"/>
            </w:rPr>
            <w:fldChar w:fldCharType="separate"/>
          </w:r>
          <w:r w:rsidR="008C7C04">
            <w:rPr>
              <w:rFonts w:eastAsia="Arial"/>
              <w:noProof/>
              <w:color w:val="000000" w:themeColor="text1"/>
              <w:sz w:val="24"/>
              <w:szCs w:val="24"/>
            </w:rPr>
            <w:t xml:space="preserve"> </w:t>
          </w:r>
          <w:r w:rsidR="008C7C04" w:rsidRPr="008C7C04">
            <w:rPr>
              <w:rFonts w:eastAsia="Arial"/>
              <w:noProof/>
              <w:color w:val="000000" w:themeColor="text1"/>
              <w:sz w:val="24"/>
              <w:szCs w:val="24"/>
            </w:rPr>
            <w:t>(Caffrey &amp; Browne, 2022)</w:t>
          </w:r>
          <w:r w:rsidR="008C7C04">
            <w:rPr>
              <w:rFonts w:eastAsia="Arial"/>
              <w:color w:val="000000" w:themeColor="text1"/>
              <w:sz w:val="24"/>
              <w:szCs w:val="24"/>
            </w:rPr>
            <w:fldChar w:fldCharType="end"/>
          </w:r>
        </w:sdtContent>
      </w:sdt>
      <w:r w:rsidR="008C7C04">
        <w:rPr>
          <w:rFonts w:eastAsia="Arial"/>
          <w:color w:val="000000" w:themeColor="text1"/>
          <w:sz w:val="24"/>
          <w:szCs w:val="24"/>
        </w:rPr>
        <w:t xml:space="preserve">. </w:t>
      </w:r>
      <w:r w:rsidR="00356335">
        <w:rPr>
          <w:rFonts w:eastAsia="Arial"/>
          <w:color w:val="000000" w:themeColor="text1"/>
          <w:sz w:val="24"/>
          <w:szCs w:val="24"/>
        </w:rPr>
        <w:t xml:space="preserve">This consists of working with families to identify areas of strength, what risks there are and how significant they are. It also involves looking at what the risks are and looking at mitigating factors which can reduce the level of risk and likelihood of harm which in this instance would be things such as other family members, school support and willingness to abide by safety plan’s/engage with services.   </w:t>
      </w:r>
    </w:p>
    <w:p w14:paraId="7A41E291" w14:textId="77777777" w:rsidR="00356335" w:rsidRDefault="00356335" w:rsidP="5B843AF0">
      <w:pPr>
        <w:ind w:right="237"/>
        <w:jc w:val="both"/>
        <w:rPr>
          <w:rFonts w:eastAsia="Arial"/>
          <w:color w:val="000000" w:themeColor="text1"/>
          <w:sz w:val="24"/>
          <w:szCs w:val="24"/>
        </w:rPr>
      </w:pPr>
    </w:p>
    <w:p w14:paraId="395FB0D6" w14:textId="73A98C14" w:rsidR="00356335" w:rsidRDefault="008C7C04" w:rsidP="5B843AF0">
      <w:pPr>
        <w:ind w:right="237"/>
        <w:jc w:val="both"/>
        <w:rPr>
          <w:rFonts w:eastAsia="Arial"/>
          <w:color w:val="000000" w:themeColor="text1"/>
          <w:sz w:val="24"/>
          <w:szCs w:val="24"/>
        </w:rPr>
      </w:pPr>
      <w:r>
        <w:rPr>
          <w:rFonts w:eastAsia="Arial"/>
          <w:color w:val="000000" w:themeColor="text1"/>
          <w:sz w:val="24"/>
          <w:szCs w:val="24"/>
        </w:rPr>
        <w:t xml:space="preserve">The theory outlines methods for which this work is undertaken by social services which consists of direct work to be undertaken namely, three columns which consist of, “What are we worried about?”, “What is working well?” and “What needs to happen?” </w:t>
      </w:r>
      <w:sdt>
        <w:sdtPr>
          <w:rPr>
            <w:rFonts w:eastAsia="Arial"/>
            <w:color w:val="000000" w:themeColor="text1"/>
            <w:sz w:val="24"/>
            <w:szCs w:val="24"/>
          </w:rPr>
          <w:id w:val="-1349171373"/>
          <w:citation/>
        </w:sdtPr>
        <w:sdtContent>
          <w:r w:rsidR="00FE565E">
            <w:rPr>
              <w:rFonts w:eastAsia="Arial"/>
              <w:color w:val="000000" w:themeColor="text1"/>
              <w:sz w:val="24"/>
              <w:szCs w:val="24"/>
            </w:rPr>
            <w:fldChar w:fldCharType="begin"/>
          </w:r>
          <w:r w:rsidR="00FE565E">
            <w:rPr>
              <w:rFonts w:eastAsia="Arial"/>
              <w:color w:val="000000" w:themeColor="text1"/>
              <w:sz w:val="24"/>
              <w:szCs w:val="24"/>
            </w:rPr>
            <w:instrText xml:space="preserve"> CITATION Bag21 \l 2057 </w:instrText>
          </w:r>
          <w:r w:rsidR="00FE565E">
            <w:rPr>
              <w:rFonts w:eastAsia="Arial"/>
              <w:color w:val="000000" w:themeColor="text1"/>
              <w:sz w:val="24"/>
              <w:szCs w:val="24"/>
            </w:rPr>
            <w:fldChar w:fldCharType="separate"/>
          </w:r>
          <w:r w:rsidR="00FE565E" w:rsidRPr="00FE565E">
            <w:rPr>
              <w:rFonts w:eastAsia="Arial"/>
              <w:noProof/>
              <w:color w:val="000000" w:themeColor="text1"/>
              <w:sz w:val="24"/>
              <w:szCs w:val="24"/>
            </w:rPr>
            <w:t>(Baginsky, Manthorpe, &amp; Moriarty, 2021)</w:t>
          </w:r>
          <w:r w:rsidR="00FE565E">
            <w:rPr>
              <w:rFonts w:eastAsia="Arial"/>
              <w:color w:val="000000" w:themeColor="text1"/>
              <w:sz w:val="24"/>
              <w:szCs w:val="24"/>
            </w:rPr>
            <w:fldChar w:fldCharType="end"/>
          </w:r>
        </w:sdtContent>
      </w:sdt>
      <w:r w:rsidR="00356335">
        <w:rPr>
          <w:rFonts w:eastAsia="Arial"/>
          <w:color w:val="000000" w:themeColor="text1"/>
          <w:sz w:val="24"/>
          <w:szCs w:val="24"/>
        </w:rPr>
        <w:t>This involves undertaking direct work with the children and parents/guardians around what they feel is currently worrying them, in this instance this could be professionals being concerned about the use of knife in relation to the incident and the risk this</w:t>
      </w:r>
      <w:r w:rsidR="00FE565E">
        <w:rPr>
          <w:rFonts w:eastAsia="Arial"/>
          <w:color w:val="000000" w:themeColor="text1"/>
          <w:sz w:val="24"/>
          <w:szCs w:val="24"/>
        </w:rPr>
        <w:t xml:space="preserve"> creates</w:t>
      </w:r>
      <w:r w:rsidR="00356335">
        <w:rPr>
          <w:rFonts w:eastAsia="Arial"/>
          <w:color w:val="000000" w:themeColor="text1"/>
          <w:sz w:val="24"/>
          <w:szCs w:val="24"/>
        </w:rPr>
        <w:t xml:space="preserve"> in relation to the domestic situation as well as the risk to the child when considering the risk of serious harm. You would also consider what is working well</w:t>
      </w:r>
      <w:r w:rsidR="00FB4F0C">
        <w:rPr>
          <w:rFonts w:eastAsia="Arial"/>
          <w:color w:val="000000" w:themeColor="text1"/>
          <w:sz w:val="24"/>
          <w:szCs w:val="24"/>
        </w:rPr>
        <w:t xml:space="preserve"> </w:t>
      </w:r>
      <w:sdt>
        <w:sdtPr>
          <w:rPr>
            <w:rFonts w:eastAsia="Arial"/>
            <w:color w:val="000000" w:themeColor="text1"/>
            <w:sz w:val="24"/>
            <w:szCs w:val="24"/>
          </w:rPr>
          <w:id w:val="759499969"/>
          <w:citation/>
        </w:sdtPr>
        <w:sdtContent>
          <w:r w:rsidR="00FB4F0C">
            <w:rPr>
              <w:rFonts w:eastAsia="Arial"/>
              <w:color w:val="000000" w:themeColor="text1"/>
              <w:sz w:val="24"/>
              <w:szCs w:val="24"/>
            </w:rPr>
            <w:fldChar w:fldCharType="begin"/>
          </w:r>
          <w:r w:rsidR="00FB4F0C">
            <w:rPr>
              <w:rFonts w:eastAsia="Arial"/>
              <w:color w:val="000000" w:themeColor="text1"/>
              <w:sz w:val="24"/>
              <w:szCs w:val="24"/>
            </w:rPr>
            <w:instrText xml:space="preserve"> CITATION Mil14 \l 2057 </w:instrText>
          </w:r>
          <w:r w:rsidR="00FB4F0C">
            <w:rPr>
              <w:rFonts w:eastAsia="Arial"/>
              <w:color w:val="000000" w:themeColor="text1"/>
              <w:sz w:val="24"/>
              <w:szCs w:val="24"/>
            </w:rPr>
            <w:fldChar w:fldCharType="separate"/>
          </w:r>
          <w:r w:rsidR="00FB4F0C" w:rsidRPr="00FB4F0C">
            <w:rPr>
              <w:rFonts w:eastAsia="Arial"/>
              <w:noProof/>
              <w:color w:val="000000" w:themeColor="text1"/>
              <w:sz w:val="24"/>
              <w:szCs w:val="24"/>
            </w:rPr>
            <w:t>(Mills &amp; Stanley , 2014)</w:t>
          </w:r>
          <w:r w:rsidR="00FB4F0C">
            <w:rPr>
              <w:rFonts w:eastAsia="Arial"/>
              <w:color w:val="000000" w:themeColor="text1"/>
              <w:sz w:val="24"/>
              <w:szCs w:val="24"/>
            </w:rPr>
            <w:fldChar w:fldCharType="end"/>
          </w:r>
        </w:sdtContent>
      </w:sdt>
      <w:r w:rsidR="00356335">
        <w:rPr>
          <w:rFonts w:eastAsia="Arial"/>
          <w:color w:val="000000" w:themeColor="text1"/>
          <w:sz w:val="24"/>
          <w:szCs w:val="24"/>
        </w:rPr>
        <w:t xml:space="preserve"> which could be things like the children are attending school regularly and therefore are seen by professionals on a regularly basis which in turn reduces the risk. </w:t>
      </w:r>
      <w:r w:rsidR="00FE565E">
        <w:rPr>
          <w:rFonts w:eastAsia="Arial"/>
          <w:color w:val="000000" w:themeColor="text1"/>
          <w:sz w:val="24"/>
          <w:szCs w:val="24"/>
        </w:rPr>
        <w:t>The final of the three questions looks at what needs to change, in this instance this could be the removal of the suspect from the house as the risk to the victim</w:t>
      </w:r>
      <w:r w:rsidR="000A118B">
        <w:rPr>
          <w:rFonts w:eastAsia="Arial"/>
          <w:color w:val="000000" w:themeColor="text1"/>
          <w:sz w:val="24"/>
          <w:szCs w:val="24"/>
        </w:rPr>
        <w:t xml:space="preserve"> is so high. </w:t>
      </w:r>
      <w:r w:rsidR="00FE565E">
        <w:rPr>
          <w:rFonts w:eastAsia="Arial"/>
          <w:color w:val="000000" w:themeColor="text1"/>
          <w:sz w:val="24"/>
          <w:szCs w:val="24"/>
        </w:rPr>
        <w:t xml:space="preserve"> </w:t>
      </w:r>
    </w:p>
    <w:p w14:paraId="2359D7FB" w14:textId="77777777" w:rsidR="00356335" w:rsidRDefault="00356335" w:rsidP="5B843AF0">
      <w:pPr>
        <w:ind w:right="237"/>
        <w:jc w:val="both"/>
        <w:rPr>
          <w:rFonts w:eastAsia="Arial"/>
          <w:color w:val="000000" w:themeColor="text1"/>
          <w:sz w:val="24"/>
          <w:szCs w:val="24"/>
        </w:rPr>
      </w:pPr>
    </w:p>
    <w:p w14:paraId="358F8280" w14:textId="77777777" w:rsidR="00CC6AB7" w:rsidRDefault="00CC6AB7" w:rsidP="5B843AF0">
      <w:pPr>
        <w:ind w:right="237"/>
        <w:jc w:val="both"/>
        <w:rPr>
          <w:rFonts w:eastAsia="Arial"/>
          <w:color w:val="000000" w:themeColor="text1"/>
          <w:sz w:val="24"/>
          <w:szCs w:val="24"/>
        </w:rPr>
      </w:pPr>
    </w:p>
    <w:p w14:paraId="23303FF2" w14:textId="4BB02971" w:rsidR="00CC6AB7" w:rsidRDefault="00CC6AB7" w:rsidP="5B843AF0">
      <w:pPr>
        <w:ind w:right="237"/>
        <w:jc w:val="both"/>
        <w:rPr>
          <w:rFonts w:eastAsia="Arial"/>
          <w:color w:val="000000" w:themeColor="text1"/>
          <w:sz w:val="24"/>
          <w:szCs w:val="24"/>
        </w:rPr>
      </w:pPr>
      <w:r>
        <w:rPr>
          <w:rFonts w:eastAsia="Arial"/>
          <w:color w:val="000000" w:themeColor="text1"/>
          <w:sz w:val="24"/>
          <w:szCs w:val="24"/>
        </w:rPr>
        <w:t>Critically evaluating</w:t>
      </w:r>
      <w:r w:rsidR="00AB326F">
        <w:rPr>
          <w:rFonts w:eastAsia="Arial"/>
          <w:color w:val="000000" w:themeColor="text1"/>
          <w:sz w:val="24"/>
          <w:szCs w:val="24"/>
        </w:rPr>
        <w:t xml:space="preserve"> and reflecting </w:t>
      </w:r>
      <w:sdt>
        <w:sdtPr>
          <w:rPr>
            <w:rFonts w:eastAsia="Arial"/>
            <w:color w:val="000000" w:themeColor="text1"/>
            <w:sz w:val="24"/>
            <w:szCs w:val="24"/>
          </w:rPr>
          <w:id w:val="-89327200"/>
          <w:citation/>
        </w:sdtPr>
        <w:sdtContent>
          <w:r w:rsidR="00AB326F">
            <w:rPr>
              <w:rFonts w:eastAsia="Arial"/>
              <w:color w:val="000000" w:themeColor="text1"/>
              <w:sz w:val="24"/>
              <w:szCs w:val="24"/>
            </w:rPr>
            <w:fldChar w:fldCharType="begin"/>
          </w:r>
          <w:r w:rsidR="00AB326F">
            <w:rPr>
              <w:rFonts w:eastAsia="Arial"/>
              <w:color w:val="000000" w:themeColor="text1"/>
              <w:sz w:val="24"/>
              <w:szCs w:val="24"/>
            </w:rPr>
            <w:instrText xml:space="preserve"> CITATION Gra88 \l 2057 </w:instrText>
          </w:r>
          <w:r w:rsidR="00AB326F">
            <w:rPr>
              <w:rFonts w:eastAsia="Arial"/>
              <w:color w:val="000000" w:themeColor="text1"/>
              <w:sz w:val="24"/>
              <w:szCs w:val="24"/>
            </w:rPr>
            <w:fldChar w:fldCharType="separate"/>
          </w:r>
          <w:r w:rsidR="00AB326F" w:rsidRPr="00AB326F">
            <w:rPr>
              <w:rFonts w:eastAsia="Arial"/>
              <w:noProof/>
              <w:color w:val="000000" w:themeColor="text1"/>
              <w:sz w:val="24"/>
              <w:szCs w:val="24"/>
            </w:rPr>
            <w:t>(Gibbs, 1988)</w:t>
          </w:r>
          <w:r w:rsidR="00AB326F">
            <w:rPr>
              <w:rFonts w:eastAsia="Arial"/>
              <w:color w:val="000000" w:themeColor="text1"/>
              <w:sz w:val="24"/>
              <w:szCs w:val="24"/>
            </w:rPr>
            <w:fldChar w:fldCharType="end"/>
          </w:r>
        </w:sdtContent>
      </w:sdt>
      <w:r>
        <w:rPr>
          <w:rFonts w:eastAsia="Arial"/>
          <w:color w:val="000000" w:themeColor="text1"/>
          <w:sz w:val="24"/>
          <w:szCs w:val="24"/>
        </w:rPr>
        <w:t xml:space="preserve"> this approach to the management of risk while the investigation is underway, the method of safeguarding is backed by the SOS method which has extensive research most of which suggest this to be an effective method</w:t>
      </w:r>
      <w:r w:rsidR="00FB4F0C">
        <w:rPr>
          <w:rFonts w:eastAsia="Arial"/>
          <w:color w:val="000000" w:themeColor="text1"/>
          <w:sz w:val="24"/>
          <w:szCs w:val="24"/>
        </w:rPr>
        <w:t xml:space="preserve"> </w:t>
      </w:r>
      <w:sdt>
        <w:sdtPr>
          <w:rPr>
            <w:rFonts w:eastAsia="Arial"/>
            <w:color w:val="000000" w:themeColor="text1"/>
            <w:sz w:val="24"/>
            <w:szCs w:val="24"/>
          </w:rPr>
          <w:id w:val="1135302539"/>
          <w:citation/>
        </w:sdtPr>
        <w:sdtContent>
          <w:r w:rsidR="00FB4F0C">
            <w:rPr>
              <w:rFonts w:eastAsia="Arial"/>
              <w:color w:val="000000" w:themeColor="text1"/>
              <w:sz w:val="24"/>
              <w:szCs w:val="24"/>
            </w:rPr>
            <w:fldChar w:fldCharType="begin"/>
          </w:r>
          <w:r w:rsidR="00FB4F0C">
            <w:rPr>
              <w:rFonts w:eastAsia="Arial"/>
              <w:color w:val="000000" w:themeColor="text1"/>
              <w:sz w:val="24"/>
              <w:szCs w:val="24"/>
            </w:rPr>
            <w:instrText xml:space="preserve"> CITATION Jes22 \l 2057 </w:instrText>
          </w:r>
          <w:r w:rsidR="00FB4F0C">
            <w:rPr>
              <w:rFonts w:eastAsia="Arial"/>
              <w:color w:val="000000" w:themeColor="text1"/>
              <w:sz w:val="24"/>
              <w:szCs w:val="24"/>
            </w:rPr>
            <w:fldChar w:fldCharType="separate"/>
          </w:r>
          <w:r w:rsidR="00FB4F0C" w:rsidRPr="00FB4F0C">
            <w:rPr>
              <w:rFonts w:eastAsia="Arial"/>
              <w:noProof/>
              <w:color w:val="000000" w:themeColor="text1"/>
              <w:sz w:val="24"/>
              <w:szCs w:val="24"/>
            </w:rPr>
            <w:t>(Roy, 2022)</w:t>
          </w:r>
          <w:r w:rsidR="00FB4F0C">
            <w:rPr>
              <w:rFonts w:eastAsia="Arial"/>
              <w:color w:val="000000" w:themeColor="text1"/>
              <w:sz w:val="24"/>
              <w:szCs w:val="24"/>
            </w:rPr>
            <w:fldChar w:fldCharType="end"/>
          </w:r>
        </w:sdtContent>
      </w:sdt>
      <w:r>
        <w:rPr>
          <w:rFonts w:eastAsia="Arial"/>
          <w:color w:val="000000" w:themeColor="text1"/>
          <w:sz w:val="24"/>
          <w:szCs w:val="24"/>
        </w:rPr>
        <w:t xml:space="preserve">. It seems to be the case that this method is based on cooperation from the people which it seeks to protect and if someone was to decline to engage with the method it would be far less effective although, if the risk is high enough social services can go down a public law outline route and look to remove children if a lack of engagement increases the risk to a level making this approach necessary. However, with engagement it seems apparent that an ongoing adaptive approach regularly reviewed during the course of an investigation based on understanding the needs of the victim and risk would be an effective method to reduce risk to the victim. </w:t>
      </w:r>
    </w:p>
    <w:p w14:paraId="1B8E4B92" w14:textId="77777777" w:rsidR="00CC6AB7" w:rsidRDefault="00CC6AB7" w:rsidP="5B843AF0">
      <w:pPr>
        <w:ind w:right="237"/>
        <w:jc w:val="both"/>
        <w:rPr>
          <w:rFonts w:eastAsia="Arial"/>
          <w:color w:val="000000" w:themeColor="text1"/>
          <w:sz w:val="24"/>
          <w:szCs w:val="24"/>
        </w:rPr>
      </w:pPr>
    </w:p>
    <w:p w14:paraId="3F21D0B8" w14:textId="6C59B44F" w:rsidR="00CC6AB7" w:rsidRDefault="00CC6AB7" w:rsidP="5B843AF0">
      <w:pPr>
        <w:ind w:right="237"/>
        <w:jc w:val="both"/>
        <w:rPr>
          <w:rFonts w:eastAsia="Arial"/>
          <w:color w:val="000000" w:themeColor="text1"/>
          <w:sz w:val="24"/>
          <w:szCs w:val="24"/>
        </w:rPr>
      </w:pPr>
      <w:r>
        <w:rPr>
          <w:rFonts w:eastAsia="Arial"/>
          <w:color w:val="000000" w:themeColor="text1"/>
          <w:sz w:val="24"/>
          <w:szCs w:val="24"/>
        </w:rPr>
        <w:t xml:space="preserve">The police </w:t>
      </w:r>
      <w:r w:rsidR="006F0A10">
        <w:rPr>
          <w:rFonts w:eastAsia="Arial"/>
          <w:color w:val="000000" w:themeColor="text1"/>
          <w:sz w:val="24"/>
          <w:szCs w:val="24"/>
        </w:rPr>
        <w:t xml:space="preserve">will obviously look at ways of protecting vulnerable people and people </w:t>
      </w:r>
      <w:r w:rsidR="00142C70">
        <w:rPr>
          <w:rFonts w:eastAsia="Arial"/>
          <w:color w:val="000000" w:themeColor="text1"/>
          <w:sz w:val="24"/>
          <w:szCs w:val="24"/>
        </w:rPr>
        <w:t xml:space="preserve">at risk during the course of the investigation. The method which the police use to assess this is threat, harm, risk, investigation, vulnerability and engagement (THRIVE) </w:t>
      </w:r>
      <w:sdt>
        <w:sdtPr>
          <w:rPr>
            <w:rFonts w:eastAsia="Arial"/>
            <w:color w:val="000000" w:themeColor="text1"/>
            <w:sz w:val="24"/>
            <w:szCs w:val="24"/>
          </w:rPr>
          <w:id w:val="606318617"/>
          <w:citation/>
        </w:sdtPr>
        <w:sdtContent>
          <w:r w:rsidR="00142C70">
            <w:rPr>
              <w:rFonts w:eastAsia="Arial"/>
              <w:color w:val="000000" w:themeColor="text1"/>
              <w:sz w:val="24"/>
              <w:szCs w:val="24"/>
            </w:rPr>
            <w:fldChar w:fldCharType="begin"/>
          </w:r>
          <w:r w:rsidR="00142C70">
            <w:rPr>
              <w:rFonts w:eastAsia="Arial"/>
              <w:color w:val="000000" w:themeColor="text1"/>
              <w:sz w:val="24"/>
              <w:szCs w:val="24"/>
            </w:rPr>
            <w:instrText xml:space="preserve"> CITATION Wil23 \l 2057 </w:instrText>
          </w:r>
          <w:r w:rsidR="00142C70">
            <w:rPr>
              <w:rFonts w:eastAsia="Arial"/>
              <w:color w:val="000000" w:themeColor="text1"/>
              <w:sz w:val="24"/>
              <w:szCs w:val="24"/>
            </w:rPr>
            <w:fldChar w:fldCharType="separate"/>
          </w:r>
          <w:r w:rsidR="00142C70" w:rsidRPr="00142C70">
            <w:rPr>
              <w:rFonts w:eastAsia="Arial"/>
              <w:noProof/>
              <w:color w:val="000000" w:themeColor="text1"/>
              <w:sz w:val="24"/>
              <w:szCs w:val="24"/>
            </w:rPr>
            <w:t>(Williams, 2023)</w:t>
          </w:r>
          <w:r w:rsidR="00142C70">
            <w:rPr>
              <w:rFonts w:eastAsia="Arial"/>
              <w:color w:val="000000" w:themeColor="text1"/>
              <w:sz w:val="24"/>
              <w:szCs w:val="24"/>
            </w:rPr>
            <w:fldChar w:fldCharType="end"/>
          </w:r>
        </w:sdtContent>
      </w:sdt>
      <w:r w:rsidR="00142C70">
        <w:rPr>
          <w:rFonts w:eastAsia="Arial"/>
          <w:color w:val="000000" w:themeColor="text1"/>
          <w:sz w:val="24"/>
          <w:szCs w:val="24"/>
        </w:rPr>
        <w:t xml:space="preserve">. This is the method by which the police look to assess </w:t>
      </w:r>
      <w:r w:rsidR="00142C70">
        <w:rPr>
          <w:rFonts w:eastAsia="Arial"/>
          <w:color w:val="000000" w:themeColor="text1"/>
          <w:sz w:val="24"/>
          <w:szCs w:val="24"/>
        </w:rPr>
        <w:lastRenderedPageBreak/>
        <w:t xml:space="preserve">the level of risk during the course of the investigation. </w:t>
      </w:r>
      <w:r w:rsidR="00E83342">
        <w:rPr>
          <w:rFonts w:eastAsia="Arial"/>
          <w:color w:val="000000" w:themeColor="text1"/>
          <w:sz w:val="24"/>
          <w:szCs w:val="24"/>
        </w:rPr>
        <w:t xml:space="preserve">This means looking at the significance of the threat which in this instance was the use of a knife and increases the risk significantly, the risk which in this instance was high being increased by the incident being domestic in nature, the investigation in terms of how long it will take and what it will entail, vulnerability which in this instance was increased by the limited English and lack of family support and engagement which in this instance was limited as the victim withdrew her complaint almost immediately after giving it. </w:t>
      </w:r>
    </w:p>
    <w:p w14:paraId="38ECFCE1" w14:textId="77777777" w:rsidR="00E83342" w:rsidRDefault="00E83342" w:rsidP="5B843AF0">
      <w:pPr>
        <w:ind w:right="237"/>
        <w:jc w:val="both"/>
        <w:rPr>
          <w:rFonts w:eastAsia="Arial"/>
          <w:color w:val="000000" w:themeColor="text1"/>
          <w:sz w:val="24"/>
          <w:szCs w:val="24"/>
        </w:rPr>
      </w:pPr>
    </w:p>
    <w:p w14:paraId="0EB4BF55" w14:textId="30710E20" w:rsidR="00E83342" w:rsidRDefault="00E83342" w:rsidP="5B843AF0">
      <w:pPr>
        <w:ind w:right="237"/>
        <w:jc w:val="both"/>
        <w:rPr>
          <w:rFonts w:eastAsia="Arial"/>
          <w:color w:val="000000" w:themeColor="text1"/>
          <w:sz w:val="24"/>
          <w:szCs w:val="24"/>
        </w:rPr>
      </w:pPr>
      <w:r>
        <w:rPr>
          <w:rFonts w:eastAsia="Arial"/>
          <w:color w:val="000000" w:themeColor="text1"/>
          <w:sz w:val="24"/>
          <w:szCs w:val="24"/>
        </w:rPr>
        <w:t>The police often use bail as a method of safeguarding victims and preventing interference with an investigation. Bail in this instance was used as a method of safeguarding the victim</w:t>
      </w:r>
      <w:r w:rsidR="007B7D58">
        <w:rPr>
          <w:rFonts w:eastAsia="Arial"/>
          <w:color w:val="000000" w:themeColor="text1"/>
          <w:sz w:val="24"/>
          <w:szCs w:val="24"/>
        </w:rPr>
        <w:t xml:space="preserve">, it was used to prevent the suspect from contacting the victim by any means whatsoever which in this instance prevent the risk of further harm to the victim and to the child which was present in the property. The suspect would be liable to arrest should he be found to be breaching this at any point. </w:t>
      </w:r>
    </w:p>
    <w:p w14:paraId="7C850AEC" w14:textId="77777777" w:rsidR="007B7D58" w:rsidRDefault="007B7D58" w:rsidP="5B843AF0">
      <w:pPr>
        <w:ind w:right="237"/>
        <w:jc w:val="both"/>
        <w:rPr>
          <w:rFonts w:eastAsia="Arial"/>
          <w:color w:val="000000" w:themeColor="text1"/>
          <w:sz w:val="24"/>
          <w:szCs w:val="24"/>
        </w:rPr>
      </w:pPr>
    </w:p>
    <w:p w14:paraId="1C9569DE" w14:textId="04F8DA62" w:rsidR="007B7D58" w:rsidRDefault="00AB326F" w:rsidP="5B843AF0">
      <w:pPr>
        <w:ind w:right="237"/>
        <w:jc w:val="both"/>
        <w:rPr>
          <w:rFonts w:eastAsia="Arial"/>
          <w:color w:val="000000" w:themeColor="text1"/>
          <w:sz w:val="24"/>
          <w:szCs w:val="24"/>
        </w:rPr>
      </w:pPr>
      <w:r>
        <w:rPr>
          <w:rFonts w:eastAsia="Arial"/>
          <w:color w:val="000000" w:themeColor="text1"/>
          <w:sz w:val="24"/>
          <w:szCs w:val="24"/>
        </w:rPr>
        <w:t>Reflecting and analysis</w:t>
      </w:r>
      <w:r w:rsidR="007B7D58">
        <w:rPr>
          <w:rFonts w:eastAsia="Arial"/>
          <w:color w:val="000000" w:themeColor="text1"/>
          <w:sz w:val="24"/>
          <w:szCs w:val="24"/>
        </w:rPr>
        <w:t xml:space="preserve"> </w:t>
      </w:r>
      <w:sdt>
        <w:sdtPr>
          <w:rPr>
            <w:rFonts w:eastAsia="Arial"/>
            <w:color w:val="000000" w:themeColor="text1"/>
            <w:sz w:val="24"/>
            <w:szCs w:val="24"/>
          </w:rPr>
          <w:id w:val="288103264"/>
          <w:citation/>
        </w:sdtPr>
        <w:sdtContent>
          <w:r>
            <w:rPr>
              <w:rFonts w:eastAsia="Arial"/>
              <w:color w:val="000000" w:themeColor="text1"/>
              <w:sz w:val="24"/>
              <w:szCs w:val="24"/>
            </w:rPr>
            <w:fldChar w:fldCharType="begin"/>
          </w:r>
          <w:r>
            <w:rPr>
              <w:rFonts w:eastAsia="Arial"/>
              <w:color w:val="000000" w:themeColor="text1"/>
              <w:sz w:val="24"/>
              <w:szCs w:val="24"/>
            </w:rPr>
            <w:instrText xml:space="preserve"> CITATION Gra88 \l 2057 </w:instrText>
          </w:r>
          <w:r>
            <w:rPr>
              <w:rFonts w:eastAsia="Arial"/>
              <w:color w:val="000000" w:themeColor="text1"/>
              <w:sz w:val="24"/>
              <w:szCs w:val="24"/>
            </w:rPr>
            <w:fldChar w:fldCharType="separate"/>
          </w:r>
          <w:r w:rsidRPr="00AB326F">
            <w:rPr>
              <w:rFonts w:eastAsia="Arial"/>
              <w:noProof/>
              <w:color w:val="000000" w:themeColor="text1"/>
              <w:sz w:val="24"/>
              <w:szCs w:val="24"/>
            </w:rPr>
            <w:t>(Gibbs, 1988)</w:t>
          </w:r>
          <w:r>
            <w:rPr>
              <w:rFonts w:eastAsia="Arial"/>
              <w:color w:val="000000" w:themeColor="text1"/>
              <w:sz w:val="24"/>
              <w:szCs w:val="24"/>
            </w:rPr>
            <w:fldChar w:fldCharType="end"/>
          </w:r>
        </w:sdtContent>
      </w:sdt>
      <w:r>
        <w:rPr>
          <w:rFonts w:eastAsia="Arial"/>
          <w:color w:val="000000" w:themeColor="text1"/>
          <w:sz w:val="24"/>
          <w:szCs w:val="24"/>
        </w:rPr>
        <w:t xml:space="preserve"> </w:t>
      </w:r>
      <w:r w:rsidR="007B7D58">
        <w:rPr>
          <w:rFonts w:eastAsia="Arial"/>
          <w:color w:val="000000" w:themeColor="text1"/>
          <w:sz w:val="24"/>
          <w:szCs w:val="24"/>
        </w:rPr>
        <w:t>o</w:t>
      </w:r>
      <w:r>
        <w:rPr>
          <w:rFonts w:eastAsia="Arial"/>
          <w:color w:val="000000" w:themeColor="text1"/>
          <w:sz w:val="24"/>
          <w:szCs w:val="24"/>
        </w:rPr>
        <w:t>n</w:t>
      </w:r>
      <w:r w:rsidR="007B7D58">
        <w:rPr>
          <w:rFonts w:eastAsia="Arial"/>
          <w:color w:val="000000" w:themeColor="text1"/>
          <w:sz w:val="24"/>
          <w:szCs w:val="24"/>
        </w:rPr>
        <w:t xml:space="preserve"> the risk assessment method, it seems effective in relation to assessing risk as it does take a wholistic approach and considers all relevant factors in relation to the risk. This gives a more accurate understanding of the level of risk </w:t>
      </w:r>
      <w:r w:rsidR="00F22D14">
        <w:rPr>
          <w:rFonts w:eastAsia="Arial"/>
          <w:color w:val="000000" w:themeColor="text1"/>
          <w:sz w:val="24"/>
          <w:szCs w:val="24"/>
        </w:rPr>
        <w:t xml:space="preserve">and can influence what conditions needs to be put in place to safeguard the victim. Bail conditions can be effective when they are followed although, it is not an offence which you can be convicted off when you breach it. As such, it leads to arrest and could potentially lead to a remand however, if the investigation is not complete officers are in a way limited in options. They can remand to safeguard the </w:t>
      </w:r>
      <w:r>
        <w:rPr>
          <w:rFonts w:eastAsia="Arial"/>
          <w:color w:val="000000" w:themeColor="text1"/>
          <w:sz w:val="24"/>
          <w:szCs w:val="24"/>
        </w:rPr>
        <w:t>victim,</w:t>
      </w:r>
      <w:r w:rsidR="00F22D14">
        <w:rPr>
          <w:rFonts w:eastAsia="Arial"/>
          <w:color w:val="000000" w:themeColor="text1"/>
          <w:sz w:val="24"/>
          <w:szCs w:val="24"/>
        </w:rPr>
        <w:t xml:space="preserve"> and the suspect goes to the next available court where it may be a case of bailing from court which then does carry an offence in relation to the breach of court bail. However, it is not always the case that a breach of bail conditions necessarily means the conditions for remand are met in the view of the custody officer. In this instance officer’s options are very limited. </w:t>
      </w:r>
    </w:p>
    <w:p w14:paraId="274460C7" w14:textId="77777777" w:rsidR="00A760DE" w:rsidRDefault="00A760DE" w:rsidP="5B843AF0">
      <w:pPr>
        <w:ind w:right="237"/>
        <w:jc w:val="both"/>
        <w:rPr>
          <w:rFonts w:eastAsia="Arial"/>
          <w:color w:val="000000" w:themeColor="text1"/>
          <w:sz w:val="24"/>
          <w:szCs w:val="24"/>
        </w:rPr>
      </w:pPr>
    </w:p>
    <w:p w14:paraId="3E0E8D02" w14:textId="0CA19556" w:rsidR="00A760DE" w:rsidRDefault="00A760DE" w:rsidP="5B843AF0">
      <w:pPr>
        <w:ind w:right="237"/>
        <w:jc w:val="both"/>
        <w:rPr>
          <w:rFonts w:eastAsia="Arial"/>
          <w:color w:val="000000" w:themeColor="text1"/>
          <w:sz w:val="24"/>
          <w:szCs w:val="24"/>
        </w:rPr>
      </w:pPr>
      <w:r>
        <w:rPr>
          <w:rFonts w:eastAsia="Arial"/>
          <w:color w:val="000000" w:themeColor="text1"/>
          <w:sz w:val="24"/>
          <w:szCs w:val="24"/>
        </w:rPr>
        <w:t xml:space="preserve">Moving to look at reoffending, repeat victimisation and how to prevent this during the course of this investigation. According to the ministry of justice in the most recently published statistics in the UK in every measured category reoffending has increased in every measured category </w:t>
      </w:r>
      <w:sdt>
        <w:sdtPr>
          <w:rPr>
            <w:rFonts w:eastAsia="Arial"/>
            <w:color w:val="000000" w:themeColor="text1"/>
            <w:sz w:val="24"/>
            <w:szCs w:val="24"/>
          </w:rPr>
          <w:id w:val="1204447771"/>
          <w:citation/>
        </w:sdtPr>
        <w:sdtContent>
          <w:r>
            <w:rPr>
              <w:rFonts w:eastAsia="Arial"/>
              <w:color w:val="000000" w:themeColor="text1"/>
              <w:sz w:val="24"/>
              <w:szCs w:val="24"/>
            </w:rPr>
            <w:fldChar w:fldCharType="begin"/>
          </w:r>
          <w:r>
            <w:rPr>
              <w:rFonts w:eastAsia="Arial"/>
              <w:color w:val="000000" w:themeColor="text1"/>
              <w:sz w:val="24"/>
              <w:szCs w:val="24"/>
            </w:rPr>
            <w:instrText xml:space="preserve"> CITATION Min24 \l 2057 </w:instrText>
          </w:r>
          <w:r>
            <w:rPr>
              <w:rFonts w:eastAsia="Arial"/>
              <w:color w:val="000000" w:themeColor="text1"/>
              <w:sz w:val="24"/>
              <w:szCs w:val="24"/>
            </w:rPr>
            <w:fldChar w:fldCharType="separate"/>
          </w:r>
          <w:r w:rsidRPr="00A760DE">
            <w:rPr>
              <w:rFonts w:eastAsia="Arial"/>
              <w:noProof/>
              <w:color w:val="000000" w:themeColor="text1"/>
              <w:sz w:val="24"/>
              <w:szCs w:val="24"/>
            </w:rPr>
            <w:t>(Ministry of Jutsice, 2024)</w:t>
          </w:r>
          <w:r>
            <w:rPr>
              <w:rFonts w:eastAsia="Arial"/>
              <w:color w:val="000000" w:themeColor="text1"/>
              <w:sz w:val="24"/>
              <w:szCs w:val="24"/>
            </w:rPr>
            <w:fldChar w:fldCharType="end"/>
          </w:r>
        </w:sdtContent>
      </w:sdt>
      <w:r>
        <w:rPr>
          <w:rFonts w:eastAsia="Arial"/>
          <w:color w:val="000000" w:themeColor="text1"/>
          <w:sz w:val="24"/>
          <w:szCs w:val="24"/>
        </w:rPr>
        <w:t xml:space="preserve">. In this instance that includes, children, adults, adults specifically released from custody or starting court orders and adults released from custodial sentences of less than 12 months. The overall rate of reoffending including all categories from July to September 2022 was 26.5% increasing 1.3% from the same period in 2021 </w:t>
      </w:r>
      <w:sdt>
        <w:sdtPr>
          <w:rPr>
            <w:rFonts w:eastAsia="Arial"/>
            <w:color w:val="000000" w:themeColor="text1"/>
            <w:sz w:val="24"/>
            <w:szCs w:val="24"/>
          </w:rPr>
          <w:id w:val="-1593318110"/>
          <w:citation/>
        </w:sdtPr>
        <w:sdtContent>
          <w:r>
            <w:rPr>
              <w:rFonts w:eastAsia="Arial"/>
              <w:color w:val="000000" w:themeColor="text1"/>
              <w:sz w:val="24"/>
              <w:szCs w:val="24"/>
            </w:rPr>
            <w:fldChar w:fldCharType="begin"/>
          </w:r>
          <w:r>
            <w:rPr>
              <w:rFonts w:eastAsia="Arial"/>
              <w:color w:val="000000" w:themeColor="text1"/>
              <w:sz w:val="24"/>
              <w:szCs w:val="24"/>
            </w:rPr>
            <w:instrText xml:space="preserve"> CITATION Min24 \l 2057 </w:instrText>
          </w:r>
          <w:r>
            <w:rPr>
              <w:rFonts w:eastAsia="Arial"/>
              <w:color w:val="000000" w:themeColor="text1"/>
              <w:sz w:val="24"/>
              <w:szCs w:val="24"/>
            </w:rPr>
            <w:fldChar w:fldCharType="separate"/>
          </w:r>
          <w:r w:rsidRPr="00A760DE">
            <w:rPr>
              <w:rFonts w:eastAsia="Arial"/>
              <w:noProof/>
              <w:color w:val="000000" w:themeColor="text1"/>
              <w:sz w:val="24"/>
              <w:szCs w:val="24"/>
            </w:rPr>
            <w:t>(Ministry of Jutsice, 2024)</w:t>
          </w:r>
          <w:r>
            <w:rPr>
              <w:rFonts w:eastAsia="Arial"/>
              <w:color w:val="000000" w:themeColor="text1"/>
              <w:sz w:val="24"/>
              <w:szCs w:val="24"/>
            </w:rPr>
            <w:fldChar w:fldCharType="end"/>
          </w:r>
        </w:sdtContent>
      </w:sdt>
      <w:r>
        <w:rPr>
          <w:rFonts w:eastAsia="Arial"/>
          <w:color w:val="000000" w:themeColor="text1"/>
          <w:sz w:val="24"/>
          <w:szCs w:val="24"/>
        </w:rPr>
        <w:t xml:space="preserve">. </w:t>
      </w:r>
      <w:r w:rsidR="007C0546">
        <w:rPr>
          <w:rFonts w:eastAsia="Arial"/>
          <w:color w:val="000000" w:themeColor="text1"/>
          <w:sz w:val="24"/>
          <w:szCs w:val="24"/>
        </w:rPr>
        <w:t xml:space="preserve">Repeat victimisation is broadly defined as someone who is the victim of the same crime more than once </w:t>
      </w:r>
      <w:sdt>
        <w:sdtPr>
          <w:rPr>
            <w:rFonts w:eastAsia="Arial"/>
            <w:color w:val="000000" w:themeColor="text1"/>
            <w:sz w:val="24"/>
            <w:szCs w:val="24"/>
          </w:rPr>
          <w:id w:val="71554729"/>
          <w:citation/>
        </w:sdtPr>
        <w:sdtContent>
          <w:r w:rsidR="007C0546">
            <w:rPr>
              <w:rFonts w:eastAsia="Arial"/>
              <w:color w:val="000000" w:themeColor="text1"/>
              <w:sz w:val="24"/>
              <w:szCs w:val="24"/>
            </w:rPr>
            <w:fldChar w:fldCharType="begin"/>
          </w:r>
          <w:r w:rsidR="007C0546">
            <w:rPr>
              <w:rFonts w:eastAsia="Arial"/>
              <w:color w:val="000000" w:themeColor="text1"/>
              <w:sz w:val="24"/>
              <w:szCs w:val="24"/>
            </w:rPr>
            <w:instrText xml:space="preserve">CITATION Aid19 \l 2057 </w:instrText>
          </w:r>
          <w:r w:rsidR="007C0546">
            <w:rPr>
              <w:rFonts w:eastAsia="Arial"/>
              <w:color w:val="000000" w:themeColor="text1"/>
              <w:sz w:val="24"/>
              <w:szCs w:val="24"/>
            </w:rPr>
            <w:fldChar w:fldCharType="separate"/>
          </w:r>
          <w:r w:rsidR="007C0546" w:rsidRPr="007C0546">
            <w:rPr>
              <w:rFonts w:eastAsia="Arial"/>
              <w:noProof/>
              <w:color w:val="000000" w:themeColor="text1"/>
              <w:sz w:val="24"/>
              <w:szCs w:val="24"/>
            </w:rPr>
            <w:t>(Sammons &amp; Putwain, 2019)</w:t>
          </w:r>
          <w:r w:rsidR="007C0546">
            <w:rPr>
              <w:rFonts w:eastAsia="Arial"/>
              <w:color w:val="000000" w:themeColor="text1"/>
              <w:sz w:val="24"/>
              <w:szCs w:val="24"/>
            </w:rPr>
            <w:fldChar w:fldCharType="end"/>
          </w:r>
        </w:sdtContent>
      </w:sdt>
      <w:r w:rsidR="00AC7EB1">
        <w:rPr>
          <w:rFonts w:eastAsia="Arial"/>
          <w:color w:val="000000" w:themeColor="text1"/>
          <w:sz w:val="24"/>
          <w:szCs w:val="24"/>
        </w:rPr>
        <w:t xml:space="preserve">. This case relates to domestic abuse and in relation to this the number of domestic abuse related incidents reported to police in England and Wales in the year ending March 2022 </w:t>
      </w:r>
      <w:r w:rsidR="001D51C0">
        <w:rPr>
          <w:rFonts w:eastAsia="Arial"/>
          <w:color w:val="000000" w:themeColor="text1"/>
          <w:sz w:val="24"/>
          <w:szCs w:val="24"/>
        </w:rPr>
        <w:t xml:space="preserve">was 1.5 million according to the Office for National Statistics (ONS) </w:t>
      </w:r>
      <w:sdt>
        <w:sdtPr>
          <w:rPr>
            <w:rFonts w:eastAsia="Arial"/>
            <w:color w:val="000000" w:themeColor="text1"/>
            <w:sz w:val="24"/>
            <w:szCs w:val="24"/>
          </w:rPr>
          <w:id w:val="1040402263"/>
          <w:citation/>
        </w:sdtPr>
        <w:sdtContent>
          <w:r w:rsidR="001D51C0">
            <w:rPr>
              <w:rFonts w:eastAsia="Arial"/>
              <w:color w:val="000000" w:themeColor="text1"/>
              <w:sz w:val="24"/>
              <w:szCs w:val="24"/>
            </w:rPr>
            <w:fldChar w:fldCharType="begin"/>
          </w:r>
          <w:r w:rsidR="001D51C0">
            <w:rPr>
              <w:rFonts w:eastAsia="Arial"/>
              <w:color w:val="000000" w:themeColor="text1"/>
              <w:sz w:val="24"/>
              <w:szCs w:val="24"/>
            </w:rPr>
            <w:instrText xml:space="preserve"> CITATION ONS22 \l 2057 </w:instrText>
          </w:r>
          <w:r w:rsidR="001D51C0">
            <w:rPr>
              <w:rFonts w:eastAsia="Arial"/>
              <w:color w:val="000000" w:themeColor="text1"/>
              <w:sz w:val="24"/>
              <w:szCs w:val="24"/>
            </w:rPr>
            <w:fldChar w:fldCharType="separate"/>
          </w:r>
          <w:r w:rsidR="001D51C0" w:rsidRPr="001D51C0">
            <w:rPr>
              <w:rFonts w:eastAsia="Arial"/>
              <w:noProof/>
              <w:color w:val="000000" w:themeColor="text1"/>
              <w:sz w:val="24"/>
              <w:szCs w:val="24"/>
            </w:rPr>
            <w:t>(ONS, 2022)</w:t>
          </w:r>
          <w:r w:rsidR="001D51C0">
            <w:rPr>
              <w:rFonts w:eastAsia="Arial"/>
              <w:color w:val="000000" w:themeColor="text1"/>
              <w:sz w:val="24"/>
              <w:szCs w:val="24"/>
            </w:rPr>
            <w:fldChar w:fldCharType="end"/>
          </w:r>
        </w:sdtContent>
      </w:sdt>
      <w:r w:rsidR="001D51C0">
        <w:rPr>
          <w:rFonts w:eastAsia="Arial"/>
          <w:color w:val="000000" w:themeColor="text1"/>
          <w:sz w:val="24"/>
          <w:szCs w:val="24"/>
        </w:rPr>
        <w:t>.</w:t>
      </w:r>
    </w:p>
    <w:p w14:paraId="4E859789" w14:textId="77777777" w:rsidR="00D94BA9" w:rsidRDefault="00D94BA9" w:rsidP="5B843AF0">
      <w:pPr>
        <w:ind w:right="237"/>
        <w:jc w:val="both"/>
        <w:rPr>
          <w:rFonts w:eastAsia="Arial"/>
          <w:color w:val="000000" w:themeColor="text1"/>
          <w:sz w:val="24"/>
          <w:szCs w:val="24"/>
        </w:rPr>
      </w:pPr>
    </w:p>
    <w:p w14:paraId="5E8CB5DD" w14:textId="60833D50" w:rsidR="00D94BA9" w:rsidRDefault="00D94BA9" w:rsidP="5B843AF0">
      <w:pPr>
        <w:ind w:right="237"/>
        <w:jc w:val="both"/>
        <w:rPr>
          <w:rFonts w:eastAsia="Arial"/>
          <w:color w:val="000000" w:themeColor="text1"/>
          <w:sz w:val="24"/>
          <w:szCs w:val="24"/>
        </w:rPr>
      </w:pPr>
      <w:r>
        <w:rPr>
          <w:rFonts w:eastAsia="Arial"/>
          <w:color w:val="000000" w:themeColor="text1"/>
          <w:sz w:val="24"/>
          <w:szCs w:val="24"/>
        </w:rPr>
        <w:t xml:space="preserve">There are multiple difference approaches which are used to reduce risk of repeat offending in domestic abuse incidents like this one and </w:t>
      </w:r>
      <w:r w:rsidR="00495C08">
        <w:rPr>
          <w:rFonts w:eastAsia="Arial"/>
          <w:color w:val="000000" w:themeColor="text1"/>
          <w:sz w:val="24"/>
          <w:szCs w:val="24"/>
        </w:rPr>
        <w:t xml:space="preserve">one of such incidents which is commonly used is mandatory arrest for both repeat offending and domestic violence. The general principle is simple, if officers attend and incident where an offence is committed, and the incident relates to domestic violence or repeat offending officers must arrest however an arrest necessity under code G of the Police and Criminal Evidence Act (PACE) (PACE, 1984). </w:t>
      </w:r>
      <w:r w:rsidR="00823570">
        <w:rPr>
          <w:rFonts w:eastAsia="Arial"/>
          <w:color w:val="000000" w:themeColor="text1"/>
          <w:sz w:val="24"/>
          <w:szCs w:val="24"/>
        </w:rPr>
        <w:t>Generally,</w:t>
      </w:r>
      <w:r w:rsidR="00495C08">
        <w:rPr>
          <w:rFonts w:eastAsia="Arial"/>
          <w:color w:val="000000" w:themeColor="text1"/>
          <w:sz w:val="24"/>
          <w:szCs w:val="24"/>
        </w:rPr>
        <w:t xml:space="preserve"> in the </w:t>
      </w:r>
      <w:r w:rsidR="00495C08">
        <w:rPr>
          <w:rFonts w:eastAsia="Arial"/>
          <w:color w:val="000000" w:themeColor="text1"/>
          <w:sz w:val="24"/>
          <w:szCs w:val="24"/>
        </w:rPr>
        <w:lastRenderedPageBreak/>
        <w:t xml:space="preserve">circumstances of domestic abuse, protect a vulnerable adult will apply due to the inherit vulnerability of domestic violence victims, and in the case of repeat offenders a prompt and effective investigation will often apply due to the recidivism of the offences being committed </w:t>
      </w:r>
      <w:r w:rsidR="00823570">
        <w:rPr>
          <w:rFonts w:eastAsia="Arial"/>
          <w:color w:val="000000" w:themeColor="text1"/>
          <w:sz w:val="24"/>
          <w:szCs w:val="24"/>
        </w:rPr>
        <w:t xml:space="preserve">although, </w:t>
      </w:r>
      <w:r w:rsidR="00495C08">
        <w:rPr>
          <w:rFonts w:eastAsia="Arial"/>
          <w:color w:val="000000" w:themeColor="text1"/>
          <w:sz w:val="24"/>
          <w:szCs w:val="24"/>
        </w:rPr>
        <w:t>neither would be absolute</w:t>
      </w:r>
      <w:r w:rsidR="00823570">
        <w:rPr>
          <w:rFonts w:eastAsia="Arial"/>
          <w:color w:val="000000" w:themeColor="text1"/>
          <w:sz w:val="24"/>
          <w:szCs w:val="24"/>
        </w:rPr>
        <w:t xml:space="preserve">. The general idea being this reduces risk to victims and reduces repeat offending however, </w:t>
      </w:r>
      <w:r w:rsidR="00C77203">
        <w:rPr>
          <w:rFonts w:eastAsia="Arial"/>
          <w:color w:val="000000" w:themeColor="text1"/>
          <w:sz w:val="24"/>
          <w:szCs w:val="24"/>
        </w:rPr>
        <w:t xml:space="preserve">a meta-analysis of the research suggests that reconsideration of mandatory arrest polices is suggested as arrest is not likely to serve as a deterrent for perpetrators of domestic </w:t>
      </w:r>
      <w:r w:rsidR="004418D2">
        <w:rPr>
          <w:rFonts w:eastAsia="Arial"/>
          <w:color w:val="000000" w:themeColor="text1"/>
          <w:sz w:val="24"/>
          <w:szCs w:val="24"/>
        </w:rPr>
        <w:t xml:space="preserve">violence </w:t>
      </w:r>
      <w:sdt>
        <w:sdtPr>
          <w:rPr>
            <w:rFonts w:eastAsia="Arial"/>
            <w:color w:val="000000" w:themeColor="text1"/>
            <w:sz w:val="24"/>
            <w:szCs w:val="24"/>
          </w:rPr>
          <w:id w:val="901873507"/>
          <w:citation/>
        </w:sdtPr>
        <w:sdtContent>
          <w:r w:rsidR="004418D2">
            <w:rPr>
              <w:rFonts w:eastAsia="Arial"/>
              <w:color w:val="000000" w:themeColor="text1"/>
              <w:sz w:val="24"/>
              <w:szCs w:val="24"/>
            </w:rPr>
            <w:fldChar w:fldCharType="begin"/>
          </w:r>
          <w:r w:rsidR="004418D2">
            <w:rPr>
              <w:rFonts w:eastAsia="Arial"/>
              <w:color w:val="000000" w:themeColor="text1"/>
              <w:sz w:val="24"/>
              <w:szCs w:val="24"/>
            </w:rPr>
            <w:instrText xml:space="preserve"> CITATION Hop20 \l 2057 </w:instrText>
          </w:r>
          <w:r w:rsidR="004418D2">
            <w:rPr>
              <w:rFonts w:eastAsia="Arial"/>
              <w:color w:val="000000" w:themeColor="text1"/>
              <w:sz w:val="24"/>
              <w:szCs w:val="24"/>
            </w:rPr>
            <w:fldChar w:fldCharType="separate"/>
          </w:r>
          <w:r w:rsidR="004418D2" w:rsidRPr="004418D2">
            <w:rPr>
              <w:rFonts w:eastAsia="Arial"/>
              <w:noProof/>
              <w:color w:val="000000" w:themeColor="text1"/>
              <w:sz w:val="24"/>
              <w:szCs w:val="24"/>
            </w:rPr>
            <w:t>(Hoppe, Yan, Hayes , &amp; Bills, 2020)</w:t>
          </w:r>
          <w:r w:rsidR="004418D2">
            <w:rPr>
              <w:rFonts w:eastAsia="Arial"/>
              <w:color w:val="000000" w:themeColor="text1"/>
              <w:sz w:val="24"/>
              <w:szCs w:val="24"/>
            </w:rPr>
            <w:fldChar w:fldCharType="end"/>
          </w:r>
        </w:sdtContent>
      </w:sdt>
      <w:r w:rsidR="004418D2">
        <w:rPr>
          <w:rFonts w:eastAsia="Arial"/>
          <w:color w:val="000000" w:themeColor="text1"/>
          <w:sz w:val="24"/>
          <w:szCs w:val="24"/>
        </w:rPr>
        <w:t>.</w:t>
      </w:r>
      <w:r w:rsidR="00C23EA8">
        <w:rPr>
          <w:rFonts w:eastAsia="Arial"/>
          <w:color w:val="000000" w:themeColor="text1"/>
          <w:sz w:val="24"/>
          <w:szCs w:val="24"/>
        </w:rPr>
        <w:t xml:space="preserve"> However, there were conflicting results in some cases and this research is from the United States of America (USA) as opposed to the UK.</w:t>
      </w:r>
      <w:r w:rsidR="00550103">
        <w:rPr>
          <w:rFonts w:eastAsia="Arial"/>
          <w:color w:val="000000" w:themeColor="text1"/>
          <w:sz w:val="24"/>
          <w:szCs w:val="24"/>
        </w:rPr>
        <w:t xml:space="preserve"> </w:t>
      </w:r>
    </w:p>
    <w:p w14:paraId="7B67A95F" w14:textId="77777777" w:rsidR="008E39A5" w:rsidRDefault="008E39A5" w:rsidP="5B843AF0">
      <w:pPr>
        <w:ind w:right="237"/>
        <w:jc w:val="both"/>
        <w:rPr>
          <w:rFonts w:eastAsia="Arial"/>
          <w:color w:val="000000" w:themeColor="text1"/>
          <w:sz w:val="24"/>
          <w:szCs w:val="24"/>
        </w:rPr>
      </w:pPr>
    </w:p>
    <w:p w14:paraId="02B6144D" w14:textId="27C1F960" w:rsidR="008E39A5" w:rsidRDefault="008E39A5" w:rsidP="5B843AF0">
      <w:pPr>
        <w:ind w:right="237"/>
        <w:jc w:val="both"/>
        <w:rPr>
          <w:rFonts w:eastAsia="Arial"/>
          <w:color w:val="000000" w:themeColor="text1"/>
          <w:sz w:val="24"/>
          <w:szCs w:val="24"/>
        </w:rPr>
      </w:pPr>
      <w:r>
        <w:rPr>
          <w:rFonts w:eastAsia="Arial"/>
          <w:color w:val="000000" w:themeColor="text1"/>
          <w:sz w:val="24"/>
          <w:szCs w:val="24"/>
        </w:rPr>
        <w:t xml:space="preserve">When discussing the reduction of reoffending in the UK it would be remiss to not consider the probation service. </w:t>
      </w:r>
      <w:r w:rsidR="002D3950">
        <w:rPr>
          <w:rFonts w:eastAsia="Arial"/>
          <w:color w:val="000000" w:themeColor="text1"/>
          <w:sz w:val="24"/>
          <w:szCs w:val="24"/>
        </w:rPr>
        <w:t xml:space="preserve">The probation service manages offenders in an effort to prevent re-offending following release from custody. It has been shown that broadly this is an effective method in reducing recidivism however, this is based on a number of factors, “type and frequency of supervision, supervisor skills workload and offender characteristics” </w:t>
      </w:r>
      <w:sdt>
        <w:sdtPr>
          <w:rPr>
            <w:rFonts w:eastAsia="Arial"/>
            <w:color w:val="000000" w:themeColor="text1"/>
            <w:sz w:val="24"/>
            <w:szCs w:val="24"/>
          </w:rPr>
          <w:id w:val="451138076"/>
          <w:citation/>
        </w:sdtPr>
        <w:sdtContent>
          <w:r w:rsidR="002D3950">
            <w:rPr>
              <w:rFonts w:eastAsia="Arial"/>
              <w:color w:val="000000" w:themeColor="text1"/>
              <w:sz w:val="24"/>
              <w:szCs w:val="24"/>
            </w:rPr>
            <w:fldChar w:fldCharType="begin"/>
          </w:r>
          <w:r w:rsidR="002D3950">
            <w:rPr>
              <w:rFonts w:eastAsia="Arial"/>
              <w:color w:val="000000" w:themeColor="text1"/>
              <w:sz w:val="24"/>
              <w:szCs w:val="24"/>
            </w:rPr>
            <w:instrText xml:space="preserve"> CITATION Smi18 \l 2057 </w:instrText>
          </w:r>
          <w:r w:rsidR="002D3950">
            <w:rPr>
              <w:rFonts w:eastAsia="Arial"/>
              <w:color w:val="000000" w:themeColor="text1"/>
              <w:sz w:val="24"/>
              <w:szCs w:val="24"/>
            </w:rPr>
            <w:fldChar w:fldCharType="separate"/>
          </w:r>
          <w:r w:rsidR="002D3950" w:rsidRPr="002D3950">
            <w:rPr>
              <w:rFonts w:eastAsia="Arial"/>
              <w:noProof/>
              <w:color w:val="000000" w:themeColor="text1"/>
              <w:sz w:val="24"/>
              <w:szCs w:val="24"/>
            </w:rPr>
            <w:t>(Smith , et al., 2018)</w:t>
          </w:r>
          <w:r w:rsidR="002D3950">
            <w:rPr>
              <w:rFonts w:eastAsia="Arial"/>
              <w:color w:val="000000" w:themeColor="text1"/>
              <w:sz w:val="24"/>
              <w:szCs w:val="24"/>
            </w:rPr>
            <w:fldChar w:fldCharType="end"/>
          </w:r>
        </w:sdtContent>
      </w:sdt>
      <w:r w:rsidR="003621CC">
        <w:rPr>
          <w:rFonts w:eastAsia="Arial"/>
          <w:color w:val="000000" w:themeColor="text1"/>
          <w:sz w:val="24"/>
          <w:szCs w:val="24"/>
        </w:rPr>
        <w:t xml:space="preserve"> Over quite some time as with police, social services, health and virtually all services </w:t>
      </w:r>
      <w:r w:rsidR="00115E45">
        <w:rPr>
          <w:rFonts w:eastAsia="Arial"/>
          <w:color w:val="000000" w:themeColor="text1"/>
          <w:sz w:val="24"/>
          <w:szCs w:val="24"/>
        </w:rPr>
        <w:t>including the</w:t>
      </w:r>
      <w:r w:rsidR="003621CC">
        <w:rPr>
          <w:rFonts w:eastAsia="Arial"/>
          <w:color w:val="000000" w:themeColor="text1"/>
          <w:sz w:val="24"/>
          <w:szCs w:val="24"/>
        </w:rPr>
        <w:t xml:space="preserve"> probation service have adopted a muti-agency approach </w:t>
      </w:r>
      <w:r w:rsidR="00115E45">
        <w:rPr>
          <w:rFonts w:eastAsia="Arial"/>
          <w:color w:val="000000" w:themeColor="text1"/>
          <w:sz w:val="24"/>
          <w:szCs w:val="24"/>
        </w:rPr>
        <w:t xml:space="preserve">to their </w:t>
      </w:r>
      <w:r w:rsidR="003F1C5C">
        <w:rPr>
          <w:rFonts w:eastAsia="Arial"/>
          <w:color w:val="000000" w:themeColor="text1"/>
          <w:sz w:val="24"/>
          <w:szCs w:val="24"/>
        </w:rPr>
        <w:t xml:space="preserve">practice to improve the effectiveness of their work which in the case of the probation service was adopted as the integrated offender management (IOM). The general principle as with all multi-disciplinary approaches is the multiple areas of expertise to support people leads to better outcomes. It has been demonstrated through research this was effective in reducing risk and re-offending comparing the quantitively the number of arrests and risk assessment scores of offending reduces in the 18months post IOM introduction as opposed to pre-IOM introduction </w:t>
      </w:r>
      <w:sdt>
        <w:sdtPr>
          <w:rPr>
            <w:rFonts w:eastAsia="Arial"/>
            <w:color w:val="000000" w:themeColor="text1"/>
            <w:sz w:val="24"/>
            <w:szCs w:val="24"/>
          </w:rPr>
          <w:id w:val="-1572797003"/>
          <w:citation/>
        </w:sdtPr>
        <w:sdtContent>
          <w:r w:rsidR="003F1C5C">
            <w:rPr>
              <w:rFonts w:eastAsia="Arial"/>
              <w:color w:val="000000" w:themeColor="text1"/>
              <w:sz w:val="24"/>
              <w:szCs w:val="24"/>
            </w:rPr>
            <w:fldChar w:fldCharType="begin"/>
          </w:r>
          <w:r w:rsidR="003F1C5C">
            <w:rPr>
              <w:rFonts w:eastAsia="Arial"/>
              <w:color w:val="000000" w:themeColor="text1"/>
              <w:sz w:val="24"/>
              <w:szCs w:val="24"/>
            </w:rPr>
            <w:instrText xml:space="preserve"> CITATION Sle17 \l 2057 </w:instrText>
          </w:r>
          <w:r w:rsidR="003F1C5C">
            <w:rPr>
              <w:rFonts w:eastAsia="Arial"/>
              <w:color w:val="000000" w:themeColor="text1"/>
              <w:sz w:val="24"/>
              <w:szCs w:val="24"/>
            </w:rPr>
            <w:fldChar w:fldCharType="separate"/>
          </w:r>
          <w:r w:rsidR="003F1C5C" w:rsidRPr="003F1C5C">
            <w:rPr>
              <w:rFonts w:eastAsia="Arial"/>
              <w:noProof/>
              <w:color w:val="000000" w:themeColor="text1"/>
              <w:sz w:val="24"/>
              <w:szCs w:val="24"/>
            </w:rPr>
            <w:t>(Sleath &amp; Brown , 2017)</w:t>
          </w:r>
          <w:r w:rsidR="003F1C5C">
            <w:rPr>
              <w:rFonts w:eastAsia="Arial"/>
              <w:color w:val="000000" w:themeColor="text1"/>
              <w:sz w:val="24"/>
              <w:szCs w:val="24"/>
            </w:rPr>
            <w:fldChar w:fldCharType="end"/>
          </w:r>
        </w:sdtContent>
      </w:sdt>
      <w:r w:rsidR="003F1C5C">
        <w:rPr>
          <w:rFonts w:eastAsia="Arial"/>
          <w:color w:val="000000" w:themeColor="text1"/>
          <w:sz w:val="24"/>
          <w:szCs w:val="24"/>
        </w:rPr>
        <w:t xml:space="preserve">. </w:t>
      </w:r>
    </w:p>
    <w:p w14:paraId="48D0CB8B" w14:textId="77777777" w:rsidR="00AB326F" w:rsidRDefault="00AB326F" w:rsidP="5B843AF0">
      <w:pPr>
        <w:ind w:right="237"/>
        <w:jc w:val="both"/>
        <w:rPr>
          <w:rFonts w:eastAsia="Arial"/>
          <w:color w:val="000000" w:themeColor="text1"/>
          <w:sz w:val="24"/>
          <w:szCs w:val="24"/>
        </w:rPr>
      </w:pPr>
    </w:p>
    <w:p w14:paraId="3E73BCD8" w14:textId="26F32D64" w:rsidR="00AB326F" w:rsidRDefault="00AB326F" w:rsidP="5B843AF0">
      <w:pPr>
        <w:ind w:right="237"/>
        <w:jc w:val="both"/>
        <w:rPr>
          <w:rFonts w:eastAsia="Arial"/>
          <w:color w:val="000000" w:themeColor="text1"/>
          <w:sz w:val="24"/>
          <w:szCs w:val="24"/>
        </w:rPr>
      </w:pPr>
      <w:r>
        <w:rPr>
          <w:rFonts w:eastAsia="Arial"/>
          <w:color w:val="000000" w:themeColor="text1"/>
          <w:sz w:val="24"/>
          <w:szCs w:val="24"/>
        </w:rPr>
        <w:t>Looking at the action plan stage of Gibbs 1998, I think what I would do differently is engage further with the other professional’s approach as shown above the multiciliary approach seems to be more effective. As such I think my being more involved in this process would lead to a reduction in repeat victimisation in addition to a better understanding of any cultural issues that could arise. It seems police should engage more with this profile although, it seems practically this is easier said than done as police do work shift patterns which make work with 9-5 workers more difficult in addition to the consistent need to respond to emergencies.</w:t>
      </w:r>
    </w:p>
    <w:p w14:paraId="3CEAE8D1" w14:textId="77777777" w:rsidR="00AB326F" w:rsidRDefault="00AB326F" w:rsidP="5B843AF0">
      <w:pPr>
        <w:ind w:right="237"/>
        <w:jc w:val="both"/>
        <w:rPr>
          <w:rFonts w:eastAsia="Arial"/>
          <w:color w:val="000000" w:themeColor="text1"/>
          <w:sz w:val="24"/>
          <w:szCs w:val="24"/>
        </w:rPr>
      </w:pPr>
    </w:p>
    <w:p w14:paraId="5ECC405A" w14:textId="77777777" w:rsidR="00AB326F" w:rsidRDefault="00AB326F" w:rsidP="5B843AF0">
      <w:pPr>
        <w:ind w:right="237"/>
        <w:jc w:val="both"/>
        <w:rPr>
          <w:rFonts w:eastAsia="Arial"/>
          <w:color w:val="000000" w:themeColor="text1"/>
          <w:sz w:val="24"/>
          <w:szCs w:val="24"/>
        </w:rPr>
      </w:pPr>
    </w:p>
    <w:p w14:paraId="16FCB5BA" w14:textId="67C7FB0E" w:rsidR="004110AF" w:rsidRDefault="00AB326F" w:rsidP="5B843AF0">
      <w:pPr>
        <w:ind w:right="237"/>
        <w:jc w:val="both"/>
        <w:rPr>
          <w:rFonts w:eastAsia="Arial"/>
          <w:color w:val="000000" w:themeColor="text1"/>
          <w:sz w:val="24"/>
          <w:szCs w:val="24"/>
        </w:rPr>
      </w:pPr>
      <w:r>
        <w:rPr>
          <w:rFonts w:eastAsia="Arial"/>
          <w:color w:val="000000" w:themeColor="text1"/>
          <w:sz w:val="24"/>
          <w:szCs w:val="24"/>
        </w:rPr>
        <w:t>Reflecting on this using (Gibbs, 1998) and</w:t>
      </w:r>
      <w:r w:rsidR="004110AF">
        <w:rPr>
          <w:rFonts w:eastAsia="Arial"/>
          <w:color w:val="000000" w:themeColor="text1"/>
          <w:sz w:val="24"/>
          <w:szCs w:val="24"/>
        </w:rPr>
        <w:t xml:space="preserve"> conclu</w:t>
      </w:r>
      <w:r>
        <w:rPr>
          <w:rFonts w:eastAsia="Arial"/>
          <w:color w:val="000000" w:themeColor="text1"/>
          <w:sz w:val="24"/>
          <w:szCs w:val="24"/>
        </w:rPr>
        <w:t>ding</w:t>
      </w:r>
      <w:r w:rsidR="004110AF">
        <w:rPr>
          <w:rFonts w:eastAsia="Arial"/>
          <w:color w:val="000000" w:themeColor="text1"/>
          <w:sz w:val="24"/>
          <w:szCs w:val="24"/>
        </w:rPr>
        <w:t>, different approaches are taken by different professionals and police to support vulnerable people and people at risk of harm during an investigation.</w:t>
      </w:r>
      <w:r w:rsidR="001C1716">
        <w:rPr>
          <w:rFonts w:eastAsia="Arial"/>
          <w:color w:val="000000" w:themeColor="text1"/>
          <w:sz w:val="24"/>
          <w:szCs w:val="24"/>
        </w:rPr>
        <w:t xml:space="preserve"> It seems evident that each approach has its merits in their various attempts to safeguard victims and reduce risk although, they do differ quite significantly service to service.</w:t>
      </w:r>
      <w:r w:rsidR="004110AF">
        <w:rPr>
          <w:rFonts w:eastAsia="Arial"/>
          <w:color w:val="000000" w:themeColor="text1"/>
          <w:sz w:val="24"/>
          <w:szCs w:val="24"/>
        </w:rPr>
        <w:t xml:space="preserve"> This essay has outlined how three professions approach this and given a </w:t>
      </w:r>
      <w:r w:rsidR="001C1716">
        <w:rPr>
          <w:rFonts w:eastAsia="Arial"/>
          <w:color w:val="000000" w:themeColor="text1"/>
          <w:sz w:val="24"/>
          <w:szCs w:val="24"/>
        </w:rPr>
        <w:t xml:space="preserve">limited </w:t>
      </w:r>
      <w:r w:rsidR="004110AF">
        <w:rPr>
          <w:rFonts w:eastAsia="Arial"/>
          <w:color w:val="000000" w:themeColor="text1"/>
          <w:sz w:val="24"/>
          <w:szCs w:val="24"/>
        </w:rPr>
        <w:t xml:space="preserve">evaluation to the appropriateness of this. Including the effectiveness of this in relation to this investigation touching on how this has been effective nationally and briefly abroad. The degree to which police and professionals are successful is obviously questionable based on the most current statistics on reoffending, although a multiagency approach seems broadly as outlined to be more affective than a single agency approach to keeping </w:t>
      </w:r>
      <w:r w:rsidR="001C1716">
        <w:rPr>
          <w:rFonts w:eastAsia="Arial"/>
          <w:color w:val="000000" w:themeColor="text1"/>
          <w:sz w:val="24"/>
          <w:szCs w:val="24"/>
        </w:rPr>
        <w:t>offenders at a lower level of risk of recidivism and likely by association victims</w:t>
      </w:r>
      <w:r w:rsidR="004110AF">
        <w:rPr>
          <w:rFonts w:eastAsia="Arial"/>
          <w:color w:val="000000" w:themeColor="text1"/>
          <w:sz w:val="24"/>
          <w:szCs w:val="24"/>
        </w:rPr>
        <w:t xml:space="preserve"> safe</w:t>
      </w:r>
      <w:r w:rsidR="001C1716">
        <w:rPr>
          <w:rFonts w:eastAsia="Arial"/>
          <w:color w:val="000000" w:themeColor="text1"/>
          <w:sz w:val="24"/>
          <w:szCs w:val="24"/>
        </w:rPr>
        <w:t xml:space="preserve">r. </w:t>
      </w:r>
      <w:r w:rsidR="004110AF">
        <w:rPr>
          <w:rFonts w:eastAsia="Arial"/>
          <w:color w:val="000000" w:themeColor="text1"/>
          <w:sz w:val="24"/>
          <w:szCs w:val="24"/>
        </w:rPr>
        <w:t>However, in terms of reoffending it is evident that this is increasing not decreas</w:t>
      </w:r>
      <w:r w:rsidR="001C1716">
        <w:rPr>
          <w:rFonts w:eastAsia="Arial"/>
          <w:color w:val="000000" w:themeColor="text1"/>
          <w:sz w:val="24"/>
          <w:szCs w:val="24"/>
        </w:rPr>
        <w:t xml:space="preserve">ing. </w:t>
      </w:r>
      <w:r w:rsidR="00914ACA">
        <w:rPr>
          <w:rFonts w:eastAsia="Arial"/>
          <w:color w:val="000000" w:themeColor="text1"/>
          <w:sz w:val="24"/>
          <w:szCs w:val="24"/>
        </w:rPr>
        <w:t>Although</w:t>
      </w:r>
      <w:r w:rsidR="004110AF">
        <w:rPr>
          <w:rFonts w:eastAsia="Arial"/>
          <w:color w:val="000000" w:themeColor="text1"/>
          <w:sz w:val="24"/>
          <w:szCs w:val="24"/>
        </w:rPr>
        <w:t xml:space="preserve">, </w:t>
      </w:r>
      <w:r w:rsidR="004110AF">
        <w:rPr>
          <w:rFonts w:eastAsia="Arial"/>
          <w:color w:val="000000" w:themeColor="text1"/>
          <w:sz w:val="24"/>
          <w:szCs w:val="24"/>
        </w:rPr>
        <w:lastRenderedPageBreak/>
        <w:t>there could be a myriad of reasons for this which would be outside the scope of</w:t>
      </w:r>
      <w:r w:rsidR="001C1716">
        <w:rPr>
          <w:rFonts w:eastAsia="Arial"/>
          <w:color w:val="000000" w:themeColor="text1"/>
          <w:sz w:val="24"/>
          <w:szCs w:val="24"/>
        </w:rPr>
        <w:t xml:space="preserve"> this essay although, being a second language English speaker does seem to be a factor which increases risk as outlined. </w:t>
      </w:r>
    </w:p>
    <w:p w14:paraId="4C3A898E" w14:textId="77777777" w:rsidR="001C1716" w:rsidRDefault="001C1716" w:rsidP="5B843AF0">
      <w:pPr>
        <w:ind w:right="237"/>
        <w:jc w:val="both"/>
        <w:rPr>
          <w:rFonts w:eastAsia="Arial"/>
          <w:color w:val="000000" w:themeColor="text1"/>
          <w:sz w:val="24"/>
          <w:szCs w:val="24"/>
        </w:rPr>
      </w:pPr>
    </w:p>
    <w:p w14:paraId="51977D58" w14:textId="0290D619" w:rsidR="001C1716" w:rsidRDefault="001C1716" w:rsidP="5B843AF0">
      <w:pPr>
        <w:ind w:right="237"/>
        <w:jc w:val="both"/>
        <w:rPr>
          <w:rFonts w:eastAsia="Arial"/>
          <w:color w:val="000000" w:themeColor="text1"/>
          <w:sz w:val="24"/>
          <w:szCs w:val="24"/>
        </w:rPr>
      </w:pPr>
      <w:r>
        <w:rPr>
          <w:rFonts w:eastAsia="Arial"/>
          <w:color w:val="000000" w:themeColor="text1"/>
          <w:sz w:val="24"/>
          <w:szCs w:val="24"/>
        </w:rPr>
        <w:t>Word Count: 2200</w:t>
      </w:r>
    </w:p>
    <w:p w14:paraId="049AE756" w14:textId="77777777" w:rsidR="004110AF" w:rsidRPr="00E676F7" w:rsidRDefault="004110AF" w:rsidP="004110AF">
      <w:pPr>
        <w:rPr>
          <w:rFonts w:eastAsia="Arial"/>
          <w:color w:val="000000" w:themeColor="text1"/>
          <w:sz w:val="24"/>
          <w:szCs w:val="24"/>
        </w:rPr>
      </w:pPr>
    </w:p>
    <w:p w14:paraId="3DEE1491" w14:textId="77777777" w:rsidR="009714EB" w:rsidRDefault="009714EB" w:rsidP="5B843AF0">
      <w:pPr>
        <w:ind w:right="237"/>
        <w:jc w:val="both"/>
        <w:rPr>
          <w:rFonts w:eastAsia="Arial"/>
          <w:color w:val="000000" w:themeColor="text1"/>
          <w:sz w:val="24"/>
          <w:szCs w:val="24"/>
        </w:rPr>
      </w:pPr>
    </w:p>
    <w:p w14:paraId="270D8F4C" w14:textId="77777777" w:rsidR="008C7C04" w:rsidRPr="00E676F7" w:rsidRDefault="008C7C04"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6491356" w14:textId="3815DDF0" w:rsidR="00A221AB" w:rsidRDefault="00A221AB" w:rsidP="00211695">
      <w:pPr>
        <w:overflowPunct/>
        <w:autoSpaceDE/>
        <w:autoSpaceDN/>
        <w:adjustRightInd/>
        <w:textAlignment w:val="auto"/>
        <w:rPr>
          <w:b/>
          <w:bCs/>
          <w:sz w:val="24"/>
          <w:szCs w:val="24"/>
        </w:rPr>
      </w:pP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DA24DC9" w14:textId="77777777" w:rsidR="00190207" w:rsidRDefault="00190207" w:rsidP="009370AE">
      <w:pPr>
        <w:ind w:right="237"/>
        <w:jc w:val="both"/>
        <w:rPr>
          <w:b/>
          <w:bCs/>
          <w:color w:val="000000" w:themeColor="text1"/>
          <w:sz w:val="28"/>
          <w:szCs w:val="28"/>
        </w:rPr>
      </w:pPr>
    </w:p>
    <w:p w14:paraId="402BFE8E" w14:textId="72C09801" w:rsidR="00190207" w:rsidRDefault="00190207" w:rsidP="009370AE">
      <w:pPr>
        <w:ind w:right="237"/>
        <w:jc w:val="both"/>
        <w:rPr>
          <w:color w:val="000000" w:themeColor="text1"/>
          <w:sz w:val="24"/>
          <w:szCs w:val="24"/>
        </w:rPr>
      </w:pPr>
      <w:r>
        <w:rPr>
          <w:color w:val="000000" w:themeColor="text1"/>
          <w:sz w:val="24"/>
          <w:szCs w:val="24"/>
        </w:rPr>
        <w:t xml:space="preserve">This essay will focus on a complex investigation which consisted of 15 offences committed in a single day. The reason for the complex nature of the investigation is the sheer number of offences which were investigated and the variation of evidence used was extremely large. </w:t>
      </w:r>
      <w:r w:rsidR="007D3B99">
        <w:rPr>
          <w:color w:val="000000" w:themeColor="text1"/>
          <w:sz w:val="24"/>
          <w:szCs w:val="24"/>
        </w:rPr>
        <w:t>I</w:t>
      </w:r>
      <w:r w:rsidR="00835F87">
        <w:rPr>
          <w:color w:val="000000" w:themeColor="text1"/>
          <w:sz w:val="24"/>
          <w:szCs w:val="24"/>
        </w:rPr>
        <w:t xml:space="preserve"> will not list all 14 offences however, in essence this related to a domestic incident involving a knife and assault, a number of traffic offences and a number of offences against police, assault, criminal damage and racially aggravated public order</w:t>
      </w:r>
      <w:r w:rsidR="00976A15">
        <w:rPr>
          <w:color w:val="000000" w:themeColor="text1"/>
          <w:sz w:val="24"/>
          <w:szCs w:val="24"/>
        </w:rPr>
        <w:t xml:space="preserve"> which was combined </w:t>
      </w:r>
      <w:r w:rsidR="00907AEB">
        <w:rPr>
          <w:color w:val="000000" w:themeColor="text1"/>
          <w:sz w:val="24"/>
          <w:szCs w:val="24"/>
        </w:rPr>
        <w:t>two counts of</w:t>
      </w:r>
      <w:r w:rsidR="00976A15">
        <w:rPr>
          <w:color w:val="000000" w:themeColor="text1"/>
          <w:sz w:val="24"/>
          <w:szCs w:val="24"/>
        </w:rPr>
        <w:t xml:space="preserve"> racially aggravated</w:t>
      </w:r>
      <w:r w:rsidR="00907AEB">
        <w:rPr>
          <w:color w:val="000000" w:themeColor="text1"/>
          <w:sz w:val="24"/>
          <w:szCs w:val="24"/>
        </w:rPr>
        <w:t xml:space="preserve"> harassment</w:t>
      </w:r>
      <w:r w:rsidR="00C505EF">
        <w:rPr>
          <w:color w:val="000000" w:themeColor="text1"/>
          <w:sz w:val="24"/>
          <w:szCs w:val="24"/>
        </w:rPr>
        <w:t xml:space="preserve">. This essay will explore this investigation looking at some of the more complex methods of investigation used and move on to look at the support that was provided to the victims and offender. The methods of investigation that will be focused on are forensics, the support provided will focus on the victim and support provided in relation to domestic abuse as this instance was in part domestic in nature. </w:t>
      </w:r>
      <w:r w:rsidR="00AD2726">
        <w:rPr>
          <w:color w:val="000000" w:themeColor="text1"/>
          <w:sz w:val="24"/>
          <w:szCs w:val="24"/>
        </w:rPr>
        <w:t xml:space="preserve">This essay will use the Driscoll model of reflection which is simple, “what?”, “So what?” and “Now what?” </w:t>
      </w:r>
      <w:sdt>
        <w:sdtPr>
          <w:rPr>
            <w:color w:val="000000" w:themeColor="text1"/>
            <w:sz w:val="24"/>
            <w:szCs w:val="24"/>
          </w:rPr>
          <w:id w:val="-1177724717"/>
          <w:citation/>
        </w:sdtPr>
        <w:sdtContent>
          <w:r w:rsidR="00AD2726">
            <w:rPr>
              <w:color w:val="000000" w:themeColor="text1"/>
              <w:sz w:val="24"/>
              <w:szCs w:val="24"/>
            </w:rPr>
            <w:fldChar w:fldCharType="begin"/>
          </w:r>
          <w:r w:rsidR="00AD2726">
            <w:rPr>
              <w:color w:val="000000" w:themeColor="text1"/>
              <w:sz w:val="24"/>
              <w:szCs w:val="24"/>
            </w:rPr>
            <w:instrText xml:space="preserve"> CITATION Dri06 \l 2057 </w:instrText>
          </w:r>
          <w:r w:rsidR="00AD2726">
            <w:rPr>
              <w:color w:val="000000" w:themeColor="text1"/>
              <w:sz w:val="24"/>
              <w:szCs w:val="24"/>
            </w:rPr>
            <w:fldChar w:fldCharType="separate"/>
          </w:r>
          <w:r w:rsidR="00AD2726" w:rsidRPr="007D3B99">
            <w:rPr>
              <w:noProof/>
              <w:color w:val="000000" w:themeColor="text1"/>
              <w:sz w:val="24"/>
              <w:szCs w:val="24"/>
            </w:rPr>
            <w:t>(Driscoll, 2006)</w:t>
          </w:r>
          <w:r w:rsidR="00AD2726">
            <w:rPr>
              <w:color w:val="000000" w:themeColor="text1"/>
              <w:sz w:val="24"/>
              <w:szCs w:val="24"/>
            </w:rPr>
            <w:fldChar w:fldCharType="end"/>
          </w:r>
        </w:sdtContent>
      </w:sdt>
      <w:r w:rsidR="00AD2726">
        <w:rPr>
          <w:color w:val="000000" w:themeColor="text1"/>
          <w:sz w:val="24"/>
          <w:szCs w:val="24"/>
        </w:rPr>
        <w:t xml:space="preserve"> very basically this means description, analysis, proposed actions to improve. In the later half of this essay this essay will use Kolb’s experiential learning cycle to reflect </w:t>
      </w:r>
      <w:sdt>
        <w:sdtPr>
          <w:rPr>
            <w:color w:val="000000" w:themeColor="text1"/>
            <w:sz w:val="24"/>
            <w:szCs w:val="24"/>
          </w:rPr>
          <w:id w:val="-1050993423"/>
          <w:citation/>
        </w:sdtPr>
        <w:sdtContent>
          <w:r w:rsidR="00AD2726">
            <w:rPr>
              <w:color w:val="000000" w:themeColor="text1"/>
              <w:sz w:val="24"/>
              <w:szCs w:val="24"/>
            </w:rPr>
            <w:fldChar w:fldCharType="begin"/>
          </w:r>
          <w:r w:rsidR="00AD2726">
            <w:rPr>
              <w:color w:val="000000" w:themeColor="text1"/>
              <w:sz w:val="24"/>
              <w:szCs w:val="24"/>
            </w:rPr>
            <w:instrText xml:space="preserve"> CITATION Bar24 \l 2057 </w:instrText>
          </w:r>
          <w:r w:rsidR="00AD2726">
            <w:rPr>
              <w:color w:val="000000" w:themeColor="text1"/>
              <w:sz w:val="24"/>
              <w:szCs w:val="24"/>
            </w:rPr>
            <w:fldChar w:fldCharType="separate"/>
          </w:r>
          <w:r w:rsidR="00AD2726" w:rsidRPr="00953CF1">
            <w:rPr>
              <w:noProof/>
              <w:color w:val="000000" w:themeColor="text1"/>
              <w:sz w:val="24"/>
              <w:szCs w:val="24"/>
            </w:rPr>
            <w:t>(Bassot, 2024)</w:t>
          </w:r>
          <w:r w:rsidR="00AD2726">
            <w:rPr>
              <w:color w:val="000000" w:themeColor="text1"/>
              <w:sz w:val="24"/>
              <w:szCs w:val="24"/>
            </w:rPr>
            <w:fldChar w:fldCharType="end"/>
          </w:r>
        </w:sdtContent>
      </w:sdt>
      <w:r w:rsidR="00AD2726">
        <w:rPr>
          <w:color w:val="000000" w:themeColor="text1"/>
          <w:sz w:val="24"/>
          <w:szCs w:val="24"/>
        </w:rPr>
        <w:t xml:space="preserve">  </w:t>
      </w:r>
    </w:p>
    <w:p w14:paraId="70BE29B0" w14:textId="77777777" w:rsidR="00C505EF" w:rsidRDefault="00C505EF" w:rsidP="009370AE">
      <w:pPr>
        <w:ind w:right="237"/>
        <w:jc w:val="both"/>
        <w:rPr>
          <w:color w:val="000000" w:themeColor="text1"/>
          <w:sz w:val="24"/>
          <w:szCs w:val="24"/>
        </w:rPr>
      </w:pPr>
    </w:p>
    <w:p w14:paraId="608CE866" w14:textId="65FC23C0" w:rsidR="00914ACA" w:rsidRDefault="00C505EF" w:rsidP="00914ACA">
      <w:pPr>
        <w:ind w:right="237"/>
        <w:jc w:val="both"/>
        <w:rPr>
          <w:color w:val="000000" w:themeColor="text1"/>
          <w:sz w:val="24"/>
          <w:szCs w:val="24"/>
        </w:rPr>
      </w:pPr>
      <w:r>
        <w:rPr>
          <w:color w:val="000000" w:themeColor="text1"/>
          <w:sz w:val="24"/>
          <w:szCs w:val="24"/>
        </w:rPr>
        <w:t>Starting to look at the investigative element</w:t>
      </w:r>
      <w:r w:rsidR="00914ACA">
        <w:rPr>
          <w:color w:val="000000" w:themeColor="text1"/>
          <w:sz w:val="24"/>
          <w:szCs w:val="24"/>
        </w:rPr>
        <w:t xml:space="preserve">, the beginning of this domestic incident took place in a house in which the defendant allegedly assaulted his partner the victim, cutting her with a kitchen knife and chased their teenage son out of the house and a friend with said knife. The injuries were not life altering or threatening and amounted to actual bodily harm (ABH) </w:t>
      </w:r>
      <w:r w:rsidR="00914ACA" w:rsidRPr="00914ACA">
        <w:rPr>
          <w:color w:val="000000" w:themeColor="text1"/>
          <w:sz w:val="24"/>
          <w:szCs w:val="24"/>
        </w:rPr>
        <w:t>Offences Against the Person Act 1861</w:t>
      </w:r>
      <w:r w:rsidR="00914ACA">
        <w:rPr>
          <w:color w:val="000000" w:themeColor="text1"/>
          <w:sz w:val="24"/>
          <w:szCs w:val="24"/>
        </w:rPr>
        <w:t xml:space="preserve">. This offence consists of injuries which are generally lower-level bruises or small cuts and scrapes. Forensics were undertaken to the scene, there was what turned out to be the </w:t>
      </w:r>
      <w:r w:rsidR="004A51EC">
        <w:rPr>
          <w:color w:val="000000" w:themeColor="text1"/>
          <w:sz w:val="24"/>
          <w:szCs w:val="24"/>
        </w:rPr>
        <w:t>small amounts of the victim’s</w:t>
      </w:r>
      <w:r w:rsidR="00914ACA">
        <w:rPr>
          <w:color w:val="000000" w:themeColor="text1"/>
          <w:sz w:val="24"/>
          <w:szCs w:val="24"/>
        </w:rPr>
        <w:t xml:space="preserve"> blood on the knife, doorhandle and floor where the assault took place</w:t>
      </w:r>
      <w:r w:rsidR="004A51EC">
        <w:rPr>
          <w:color w:val="000000" w:themeColor="text1"/>
          <w:sz w:val="24"/>
          <w:szCs w:val="24"/>
        </w:rPr>
        <w:t xml:space="preserve">. The knife and swabs from the scene could be sent for forensic analysis which confirm that this is in fact the </w:t>
      </w:r>
      <w:r w:rsidR="004849F9">
        <w:rPr>
          <w:color w:val="000000" w:themeColor="text1"/>
          <w:sz w:val="24"/>
          <w:szCs w:val="24"/>
        </w:rPr>
        <w:t>victim’s</w:t>
      </w:r>
      <w:r w:rsidR="004A51EC">
        <w:rPr>
          <w:color w:val="000000" w:themeColor="text1"/>
          <w:sz w:val="24"/>
          <w:szCs w:val="24"/>
        </w:rPr>
        <w:t xml:space="preserve"> blood potentially using </w:t>
      </w:r>
      <w:r w:rsidR="004A51EC" w:rsidRPr="004A51EC">
        <w:rPr>
          <w:color w:val="000000" w:themeColor="text1"/>
          <w:sz w:val="24"/>
          <w:szCs w:val="24"/>
        </w:rPr>
        <w:t>Loop mediated isothermal amplification (LAMP)</w:t>
      </w:r>
      <w:r w:rsidR="004A51EC">
        <w:rPr>
          <w:color w:val="000000" w:themeColor="text1"/>
          <w:sz w:val="24"/>
          <w:szCs w:val="24"/>
        </w:rPr>
        <w:t xml:space="preserve"> </w:t>
      </w:r>
      <w:sdt>
        <w:sdtPr>
          <w:rPr>
            <w:color w:val="000000" w:themeColor="text1"/>
            <w:sz w:val="24"/>
            <w:szCs w:val="24"/>
          </w:rPr>
          <w:id w:val="727344754"/>
          <w:citation/>
        </w:sdtPr>
        <w:sdtContent>
          <w:r w:rsidR="004A51EC">
            <w:rPr>
              <w:color w:val="000000" w:themeColor="text1"/>
              <w:sz w:val="24"/>
              <w:szCs w:val="24"/>
            </w:rPr>
            <w:fldChar w:fldCharType="begin"/>
          </w:r>
          <w:r w:rsidR="004A51EC">
            <w:rPr>
              <w:color w:val="000000" w:themeColor="text1"/>
              <w:sz w:val="24"/>
              <w:szCs w:val="24"/>
            </w:rPr>
            <w:instrText xml:space="preserve"> CITATION Har21 \l 2057 </w:instrText>
          </w:r>
          <w:r w:rsidR="004A51EC">
            <w:rPr>
              <w:color w:val="000000" w:themeColor="text1"/>
              <w:sz w:val="24"/>
              <w:szCs w:val="24"/>
            </w:rPr>
            <w:fldChar w:fldCharType="separate"/>
          </w:r>
          <w:r w:rsidR="004A51EC" w:rsidRPr="004A51EC">
            <w:rPr>
              <w:noProof/>
              <w:color w:val="000000" w:themeColor="text1"/>
              <w:sz w:val="24"/>
              <w:szCs w:val="24"/>
            </w:rPr>
            <w:t>(Harbison &amp; Sijen, 2021)</w:t>
          </w:r>
          <w:r w:rsidR="004A51EC">
            <w:rPr>
              <w:color w:val="000000" w:themeColor="text1"/>
              <w:sz w:val="24"/>
              <w:szCs w:val="24"/>
            </w:rPr>
            <w:fldChar w:fldCharType="end"/>
          </w:r>
        </w:sdtContent>
      </w:sdt>
      <w:r w:rsidR="004849F9">
        <w:rPr>
          <w:color w:val="000000" w:themeColor="text1"/>
          <w:sz w:val="24"/>
          <w:szCs w:val="24"/>
        </w:rPr>
        <w:t xml:space="preserve">. This method can provide higher accuracy in relation identifying people based on bodily fluid by utilising multiple primers and higher temperatures </w:t>
      </w:r>
      <w:sdt>
        <w:sdtPr>
          <w:rPr>
            <w:color w:val="000000" w:themeColor="text1"/>
            <w:sz w:val="24"/>
            <w:szCs w:val="24"/>
          </w:rPr>
          <w:id w:val="-323752974"/>
          <w:citation/>
        </w:sdtPr>
        <w:sdtContent>
          <w:r w:rsidR="004849F9">
            <w:rPr>
              <w:color w:val="000000" w:themeColor="text1"/>
              <w:sz w:val="24"/>
              <w:szCs w:val="24"/>
            </w:rPr>
            <w:fldChar w:fldCharType="begin"/>
          </w:r>
          <w:r w:rsidR="004849F9">
            <w:rPr>
              <w:color w:val="000000" w:themeColor="text1"/>
              <w:sz w:val="24"/>
              <w:szCs w:val="24"/>
            </w:rPr>
            <w:instrText xml:space="preserve"> CITATION Har21 \l 2057 </w:instrText>
          </w:r>
          <w:r w:rsidR="004849F9">
            <w:rPr>
              <w:color w:val="000000" w:themeColor="text1"/>
              <w:sz w:val="24"/>
              <w:szCs w:val="24"/>
            </w:rPr>
            <w:fldChar w:fldCharType="separate"/>
          </w:r>
          <w:r w:rsidR="004849F9" w:rsidRPr="004849F9">
            <w:rPr>
              <w:noProof/>
              <w:color w:val="000000" w:themeColor="text1"/>
              <w:sz w:val="24"/>
              <w:szCs w:val="24"/>
            </w:rPr>
            <w:t>(Harbison &amp; Sijen, 2021)</w:t>
          </w:r>
          <w:r w:rsidR="004849F9">
            <w:rPr>
              <w:color w:val="000000" w:themeColor="text1"/>
              <w:sz w:val="24"/>
              <w:szCs w:val="24"/>
            </w:rPr>
            <w:fldChar w:fldCharType="end"/>
          </w:r>
        </w:sdtContent>
      </w:sdt>
      <w:r w:rsidR="004849F9">
        <w:rPr>
          <w:color w:val="000000" w:themeColor="text1"/>
          <w:sz w:val="24"/>
          <w:szCs w:val="24"/>
        </w:rPr>
        <w:t xml:space="preserve">. The process for this is exceptionally complex and generally slow, it involves a significant amount of paperwork to request, approval from an inspector and it takes a significant amount of time. In this instance the forensic became necessary at a later time when </w:t>
      </w:r>
      <w:r w:rsidR="004849F9">
        <w:rPr>
          <w:color w:val="000000" w:themeColor="text1"/>
          <w:sz w:val="24"/>
          <w:szCs w:val="24"/>
        </w:rPr>
        <w:lastRenderedPageBreak/>
        <w:t xml:space="preserve">in court as completing them within the custody clock is not realistic, excluding extremely serious investigations which this was not. </w:t>
      </w:r>
    </w:p>
    <w:p w14:paraId="275BF3C3" w14:textId="77777777" w:rsidR="00E4570B" w:rsidRDefault="00E4570B" w:rsidP="00914ACA">
      <w:pPr>
        <w:ind w:right="237"/>
        <w:jc w:val="both"/>
        <w:rPr>
          <w:color w:val="000000" w:themeColor="text1"/>
          <w:sz w:val="24"/>
          <w:szCs w:val="24"/>
        </w:rPr>
      </w:pPr>
    </w:p>
    <w:p w14:paraId="4C641486" w14:textId="4AFA8AC7" w:rsidR="00E4570B" w:rsidRDefault="00E4570B" w:rsidP="00914ACA">
      <w:pPr>
        <w:ind w:right="237"/>
        <w:jc w:val="both"/>
        <w:rPr>
          <w:color w:val="000000" w:themeColor="text1"/>
          <w:sz w:val="24"/>
          <w:szCs w:val="24"/>
        </w:rPr>
      </w:pPr>
      <w:r>
        <w:rPr>
          <w:color w:val="000000" w:themeColor="text1"/>
          <w:sz w:val="24"/>
          <w:szCs w:val="24"/>
        </w:rPr>
        <w:t xml:space="preserve">Looking at this reflectively using the Driscoll model </w:t>
      </w:r>
      <w:sdt>
        <w:sdtPr>
          <w:rPr>
            <w:color w:val="000000" w:themeColor="text1"/>
            <w:sz w:val="24"/>
            <w:szCs w:val="24"/>
          </w:rPr>
          <w:id w:val="-454940879"/>
          <w:citation/>
        </w:sdtPr>
        <w:sdtContent>
          <w:r>
            <w:rPr>
              <w:color w:val="000000" w:themeColor="text1"/>
              <w:sz w:val="24"/>
              <w:szCs w:val="24"/>
            </w:rPr>
            <w:fldChar w:fldCharType="begin"/>
          </w:r>
          <w:r>
            <w:rPr>
              <w:color w:val="000000" w:themeColor="text1"/>
              <w:sz w:val="24"/>
              <w:szCs w:val="24"/>
            </w:rPr>
            <w:instrText xml:space="preserve"> CITATION Dri06 \l 2057 </w:instrText>
          </w:r>
          <w:r>
            <w:rPr>
              <w:color w:val="000000" w:themeColor="text1"/>
              <w:sz w:val="24"/>
              <w:szCs w:val="24"/>
            </w:rPr>
            <w:fldChar w:fldCharType="separate"/>
          </w:r>
          <w:r w:rsidRPr="00E4570B">
            <w:rPr>
              <w:noProof/>
              <w:color w:val="000000" w:themeColor="text1"/>
              <w:sz w:val="24"/>
              <w:szCs w:val="24"/>
            </w:rPr>
            <w:t>(Driscoll, 2006)</w:t>
          </w:r>
          <w:r>
            <w:rPr>
              <w:color w:val="000000" w:themeColor="text1"/>
              <w:sz w:val="24"/>
              <w:szCs w:val="24"/>
            </w:rPr>
            <w:fldChar w:fldCharType="end"/>
          </w:r>
        </w:sdtContent>
      </w:sdt>
      <w:r>
        <w:rPr>
          <w:color w:val="000000" w:themeColor="text1"/>
          <w:sz w:val="24"/>
          <w:szCs w:val="24"/>
        </w:rPr>
        <w:t xml:space="preserve">, what happened was forensic evidence was gathered due to the seriousness of the incident. This was looked at in relation to who’s blood it was and where it was which although it does speak to the nature of the offence it would not prove anything. Blood on the knife which was found on the knife in the property and the defendant DNA being on the handle does support the victim’s account. However, when reflecting on this more in depth thinking of the investigation you would expect to find his DNA all over the house including the knife as he lives there, and the knife was recovered from the bed in which he would normally sleep. In terms of now what, this would mean looking what other lines of enquire I could look at which would either support or undermine the victims account, is there other forensic work that could be done to give an indication of how the blood came to be where it was? </w:t>
      </w:r>
    </w:p>
    <w:p w14:paraId="72E4E253" w14:textId="77777777" w:rsidR="004849F9" w:rsidRDefault="004849F9" w:rsidP="00914ACA">
      <w:pPr>
        <w:ind w:right="237"/>
        <w:jc w:val="both"/>
        <w:rPr>
          <w:color w:val="000000" w:themeColor="text1"/>
          <w:sz w:val="24"/>
          <w:szCs w:val="24"/>
        </w:rPr>
      </w:pPr>
    </w:p>
    <w:p w14:paraId="04EA0074" w14:textId="2B4D3982" w:rsidR="004849F9" w:rsidRDefault="00E4570B" w:rsidP="00914ACA">
      <w:pPr>
        <w:ind w:right="237"/>
        <w:jc w:val="both"/>
        <w:rPr>
          <w:color w:val="000000" w:themeColor="text1"/>
          <w:sz w:val="24"/>
          <w:szCs w:val="24"/>
        </w:rPr>
      </w:pPr>
      <w:r>
        <w:rPr>
          <w:color w:val="000000" w:themeColor="text1"/>
          <w:sz w:val="24"/>
          <w:szCs w:val="24"/>
        </w:rPr>
        <w:t xml:space="preserve">Further to the previous question an avenue which could </w:t>
      </w:r>
      <w:r w:rsidR="004849F9">
        <w:rPr>
          <w:color w:val="000000" w:themeColor="text1"/>
          <w:sz w:val="24"/>
          <w:szCs w:val="24"/>
        </w:rPr>
        <w:t xml:space="preserve">have been employed would be blood splatter analysis. This essentially relates to attempting to </w:t>
      </w:r>
      <w:r w:rsidR="00EF137C">
        <w:rPr>
          <w:color w:val="000000" w:themeColor="text1"/>
          <w:sz w:val="24"/>
          <w:szCs w:val="24"/>
        </w:rPr>
        <w:t xml:space="preserve">extrapolate the circumstances of blood being present by the way form which it takes when discovered. However, the body of research around this seems to suggest that it is not a very well tested method of forensic science as well as prone toa significant amount of error </w:t>
      </w:r>
      <w:sdt>
        <w:sdtPr>
          <w:rPr>
            <w:color w:val="000000" w:themeColor="text1"/>
            <w:sz w:val="24"/>
            <w:szCs w:val="24"/>
          </w:rPr>
          <w:id w:val="-880244319"/>
          <w:citation/>
        </w:sdtPr>
        <w:sdtContent>
          <w:r w:rsidR="00EF137C">
            <w:rPr>
              <w:color w:val="000000" w:themeColor="text1"/>
              <w:sz w:val="24"/>
              <w:szCs w:val="24"/>
            </w:rPr>
            <w:fldChar w:fldCharType="begin"/>
          </w:r>
          <w:r w:rsidR="00EF137C">
            <w:rPr>
              <w:color w:val="000000" w:themeColor="text1"/>
              <w:sz w:val="24"/>
              <w:szCs w:val="24"/>
            </w:rPr>
            <w:instrText xml:space="preserve"> CITATION Wil \l 2057 </w:instrText>
          </w:r>
          <w:r w:rsidR="00EF137C">
            <w:rPr>
              <w:color w:val="000000" w:themeColor="text1"/>
              <w:sz w:val="24"/>
              <w:szCs w:val="24"/>
            </w:rPr>
            <w:fldChar w:fldCharType="separate"/>
          </w:r>
          <w:r w:rsidR="00EF137C" w:rsidRPr="00EF137C">
            <w:rPr>
              <w:noProof/>
              <w:color w:val="000000" w:themeColor="text1"/>
              <w:sz w:val="24"/>
              <w:szCs w:val="24"/>
            </w:rPr>
            <w:t>(Williams , Norman , &amp; Home , 2021)</w:t>
          </w:r>
          <w:r w:rsidR="00EF137C">
            <w:rPr>
              <w:color w:val="000000" w:themeColor="text1"/>
              <w:sz w:val="24"/>
              <w:szCs w:val="24"/>
            </w:rPr>
            <w:fldChar w:fldCharType="end"/>
          </w:r>
        </w:sdtContent>
      </w:sdt>
      <w:r w:rsidR="00EF137C">
        <w:rPr>
          <w:color w:val="000000" w:themeColor="text1"/>
          <w:sz w:val="24"/>
          <w:szCs w:val="24"/>
        </w:rPr>
        <w:t xml:space="preserve">. This research suggests that with the “Z” axis being height/distance from the floor, the “Y” axis being orientation being along the wall and the “X” axis being </w:t>
      </w:r>
      <w:r w:rsidR="00080CFE">
        <w:rPr>
          <w:color w:val="000000" w:themeColor="text1"/>
          <w:sz w:val="24"/>
          <w:szCs w:val="24"/>
        </w:rPr>
        <w:t xml:space="preserve">distance from the main wall the Z axis possibly has an error rate as high as </w:t>
      </w:r>
      <w:r w:rsidR="00080CFE" w:rsidRPr="00080CFE">
        <w:rPr>
          <w:color w:val="000000" w:themeColor="text1"/>
          <w:sz w:val="24"/>
          <w:szCs w:val="24"/>
        </w:rPr>
        <w:t>63.67%</w:t>
      </w:r>
      <w:r w:rsidR="00080CFE">
        <w:rPr>
          <w:color w:val="000000" w:themeColor="text1"/>
          <w:sz w:val="24"/>
          <w:szCs w:val="24"/>
        </w:rPr>
        <w:t xml:space="preserve"> </w:t>
      </w:r>
      <w:sdt>
        <w:sdtPr>
          <w:rPr>
            <w:color w:val="000000" w:themeColor="text1"/>
            <w:sz w:val="24"/>
            <w:szCs w:val="24"/>
          </w:rPr>
          <w:id w:val="244306173"/>
          <w:citation/>
        </w:sdtPr>
        <w:sdtContent>
          <w:r w:rsidR="00080CFE">
            <w:rPr>
              <w:color w:val="000000" w:themeColor="text1"/>
              <w:sz w:val="24"/>
              <w:szCs w:val="24"/>
            </w:rPr>
            <w:fldChar w:fldCharType="begin"/>
          </w:r>
          <w:r w:rsidR="00080CFE">
            <w:rPr>
              <w:color w:val="000000" w:themeColor="text1"/>
              <w:sz w:val="24"/>
              <w:szCs w:val="24"/>
            </w:rPr>
            <w:instrText xml:space="preserve"> CITATION Wil \l 2057 </w:instrText>
          </w:r>
          <w:r w:rsidR="00080CFE">
            <w:rPr>
              <w:color w:val="000000" w:themeColor="text1"/>
              <w:sz w:val="24"/>
              <w:szCs w:val="24"/>
            </w:rPr>
            <w:fldChar w:fldCharType="separate"/>
          </w:r>
          <w:r w:rsidR="00080CFE" w:rsidRPr="00080CFE">
            <w:rPr>
              <w:noProof/>
              <w:color w:val="000000" w:themeColor="text1"/>
              <w:sz w:val="24"/>
              <w:szCs w:val="24"/>
            </w:rPr>
            <w:t>(Williams , Norman , &amp; Home , 2021)</w:t>
          </w:r>
          <w:r w:rsidR="00080CFE">
            <w:rPr>
              <w:color w:val="000000" w:themeColor="text1"/>
              <w:sz w:val="24"/>
              <w:szCs w:val="24"/>
            </w:rPr>
            <w:fldChar w:fldCharType="end"/>
          </w:r>
        </w:sdtContent>
      </w:sdt>
      <w:r w:rsidR="00080CFE">
        <w:rPr>
          <w:color w:val="000000" w:themeColor="text1"/>
          <w:sz w:val="24"/>
          <w:szCs w:val="24"/>
        </w:rPr>
        <w:t xml:space="preserve">. This is for police forensic work a margin for error that practically for a court is going to being next to </w:t>
      </w:r>
      <w:r w:rsidR="00222BC4">
        <w:rPr>
          <w:color w:val="000000" w:themeColor="text1"/>
          <w:sz w:val="24"/>
          <w:szCs w:val="24"/>
        </w:rPr>
        <w:t>redundant alone</w:t>
      </w:r>
      <w:r w:rsidR="00080CFE">
        <w:rPr>
          <w:color w:val="000000" w:themeColor="text1"/>
          <w:sz w:val="24"/>
          <w:szCs w:val="24"/>
        </w:rPr>
        <w:t xml:space="preserve"> as it is so often wrong. </w:t>
      </w:r>
      <w:r w:rsidR="00222BC4">
        <w:rPr>
          <w:color w:val="000000" w:themeColor="text1"/>
          <w:sz w:val="24"/>
          <w:szCs w:val="24"/>
        </w:rPr>
        <w:t xml:space="preserve">This is due to the standard of </w:t>
      </w:r>
      <w:r w:rsidR="00BD1A8D">
        <w:rPr>
          <w:color w:val="000000" w:themeColor="text1"/>
          <w:sz w:val="24"/>
          <w:szCs w:val="24"/>
        </w:rPr>
        <w:t>proof,</w:t>
      </w:r>
      <w:r w:rsidR="00222BC4">
        <w:rPr>
          <w:color w:val="000000" w:themeColor="text1"/>
          <w:sz w:val="24"/>
          <w:szCs w:val="24"/>
        </w:rPr>
        <w:t xml:space="preserve"> which is required at the level of </w:t>
      </w:r>
      <w:r w:rsidR="00BD1A8D">
        <w:rPr>
          <w:color w:val="000000" w:themeColor="text1"/>
          <w:sz w:val="24"/>
          <w:szCs w:val="24"/>
        </w:rPr>
        <w:t xml:space="preserve">criminal conviction, beyond all reasonable doubt. This essentially means a jury should only convict if sure </w:t>
      </w:r>
      <w:sdt>
        <w:sdtPr>
          <w:rPr>
            <w:color w:val="000000" w:themeColor="text1"/>
            <w:sz w:val="24"/>
            <w:szCs w:val="24"/>
          </w:rPr>
          <w:id w:val="-488865900"/>
          <w:citation/>
        </w:sdtPr>
        <w:sdtContent>
          <w:r w:rsidR="00BD1A8D">
            <w:rPr>
              <w:color w:val="000000" w:themeColor="text1"/>
              <w:sz w:val="24"/>
              <w:szCs w:val="24"/>
            </w:rPr>
            <w:fldChar w:fldCharType="begin"/>
          </w:r>
          <w:r w:rsidR="00BD1A8D">
            <w:rPr>
              <w:color w:val="000000" w:themeColor="text1"/>
              <w:sz w:val="24"/>
              <w:szCs w:val="24"/>
            </w:rPr>
            <w:instrText xml:space="preserve"> CITATION Gre14 \l 2057 </w:instrText>
          </w:r>
          <w:r w:rsidR="00BD1A8D">
            <w:rPr>
              <w:color w:val="000000" w:themeColor="text1"/>
              <w:sz w:val="24"/>
              <w:szCs w:val="24"/>
            </w:rPr>
            <w:fldChar w:fldCharType="separate"/>
          </w:r>
          <w:r w:rsidR="00BD1A8D" w:rsidRPr="00BD1A8D">
            <w:rPr>
              <w:noProof/>
              <w:color w:val="000000" w:themeColor="text1"/>
              <w:sz w:val="24"/>
              <w:szCs w:val="24"/>
            </w:rPr>
            <w:t>(Green, 2014)</w:t>
          </w:r>
          <w:r w:rsidR="00BD1A8D">
            <w:rPr>
              <w:color w:val="000000" w:themeColor="text1"/>
              <w:sz w:val="24"/>
              <w:szCs w:val="24"/>
            </w:rPr>
            <w:fldChar w:fldCharType="end"/>
          </w:r>
        </w:sdtContent>
      </w:sdt>
      <w:r w:rsidR="00BD1A8D">
        <w:rPr>
          <w:color w:val="000000" w:themeColor="text1"/>
          <w:sz w:val="24"/>
          <w:szCs w:val="24"/>
        </w:rPr>
        <w:t xml:space="preserve">. It would be erroneous to suggest something with this error rate would ever be </w:t>
      </w:r>
      <w:r w:rsidR="00907AEB">
        <w:rPr>
          <w:color w:val="000000" w:themeColor="text1"/>
          <w:sz w:val="24"/>
          <w:szCs w:val="24"/>
        </w:rPr>
        <w:t>alone</w:t>
      </w:r>
      <w:r w:rsidR="00BD1A8D">
        <w:rPr>
          <w:color w:val="000000" w:themeColor="text1"/>
          <w:sz w:val="24"/>
          <w:szCs w:val="24"/>
        </w:rPr>
        <w:t xml:space="preserve"> enough to convict although it could be useful in forming an overall picture in relation to an investigation.</w:t>
      </w:r>
    </w:p>
    <w:p w14:paraId="40542682" w14:textId="77777777" w:rsidR="00676247" w:rsidRDefault="00676247" w:rsidP="00914ACA">
      <w:pPr>
        <w:ind w:right="237"/>
        <w:jc w:val="both"/>
        <w:rPr>
          <w:color w:val="000000" w:themeColor="text1"/>
          <w:sz w:val="24"/>
          <w:szCs w:val="24"/>
        </w:rPr>
      </w:pPr>
    </w:p>
    <w:p w14:paraId="3D52C2F2" w14:textId="0AB39966" w:rsidR="00676247" w:rsidRDefault="00676247" w:rsidP="00914ACA">
      <w:pPr>
        <w:ind w:right="237"/>
        <w:jc w:val="both"/>
        <w:rPr>
          <w:color w:val="000000" w:themeColor="text1"/>
          <w:sz w:val="24"/>
          <w:szCs w:val="24"/>
        </w:rPr>
      </w:pPr>
      <w:r>
        <w:rPr>
          <w:color w:val="000000" w:themeColor="text1"/>
          <w:sz w:val="24"/>
          <w:szCs w:val="24"/>
        </w:rPr>
        <w:t xml:space="preserve">Reflecting on this part of the investigation using Driscoll’s model </w:t>
      </w:r>
      <w:sdt>
        <w:sdtPr>
          <w:rPr>
            <w:color w:val="000000" w:themeColor="text1"/>
            <w:sz w:val="24"/>
            <w:szCs w:val="24"/>
          </w:rPr>
          <w:id w:val="-2005113749"/>
          <w:citation/>
        </w:sdtPr>
        <w:sdtContent>
          <w:r>
            <w:rPr>
              <w:color w:val="000000" w:themeColor="text1"/>
              <w:sz w:val="24"/>
              <w:szCs w:val="24"/>
            </w:rPr>
            <w:fldChar w:fldCharType="begin"/>
          </w:r>
          <w:r>
            <w:rPr>
              <w:color w:val="000000" w:themeColor="text1"/>
              <w:sz w:val="24"/>
              <w:szCs w:val="24"/>
            </w:rPr>
            <w:instrText xml:space="preserve"> CITATION Dri06 \l 2057 </w:instrText>
          </w:r>
          <w:r>
            <w:rPr>
              <w:color w:val="000000" w:themeColor="text1"/>
              <w:sz w:val="24"/>
              <w:szCs w:val="24"/>
            </w:rPr>
            <w:fldChar w:fldCharType="separate"/>
          </w:r>
          <w:r w:rsidRPr="00676247">
            <w:rPr>
              <w:noProof/>
              <w:color w:val="000000" w:themeColor="text1"/>
              <w:sz w:val="24"/>
              <w:szCs w:val="24"/>
            </w:rPr>
            <w:t>(Driscoll, 2006)</w:t>
          </w:r>
          <w:r>
            <w:rPr>
              <w:color w:val="000000" w:themeColor="text1"/>
              <w:sz w:val="24"/>
              <w:szCs w:val="24"/>
            </w:rPr>
            <w:fldChar w:fldCharType="end"/>
          </w:r>
        </w:sdtContent>
      </w:sdt>
      <w:r>
        <w:rPr>
          <w:color w:val="000000" w:themeColor="text1"/>
          <w:sz w:val="24"/>
          <w:szCs w:val="24"/>
        </w:rPr>
        <w:t xml:space="preserve"> what we could have done is had forensic analysis of the scene to attempt to ascertain a reasonable idea of how the blood came to be where it was. Looking at “So what?”, this could be useful as an indication as the circumstances which lead to the scene being as it was found, although this is not the most reliable method of investigation as stated above. However, looking at it as an indication to be combined and supported with other evidence such as the victim or defendant account of events could make it a useful piece of the investigation so in terms of what “what now?”. It is looking for further evidence which may support is discredit an account given by this method. </w:t>
      </w:r>
    </w:p>
    <w:p w14:paraId="7FDDD4B9" w14:textId="77777777" w:rsidR="00132F43" w:rsidRDefault="00132F43" w:rsidP="00914ACA">
      <w:pPr>
        <w:ind w:right="237"/>
        <w:jc w:val="both"/>
        <w:rPr>
          <w:color w:val="000000" w:themeColor="text1"/>
          <w:sz w:val="24"/>
          <w:szCs w:val="24"/>
        </w:rPr>
      </w:pPr>
    </w:p>
    <w:p w14:paraId="58551CE0" w14:textId="77777777" w:rsidR="00CC4ECA" w:rsidRDefault="00132F43" w:rsidP="00914ACA">
      <w:pPr>
        <w:ind w:right="237"/>
        <w:jc w:val="both"/>
        <w:rPr>
          <w:color w:val="000000" w:themeColor="text1"/>
          <w:sz w:val="24"/>
          <w:szCs w:val="24"/>
        </w:rPr>
      </w:pPr>
      <w:r>
        <w:rPr>
          <w:color w:val="000000" w:themeColor="text1"/>
          <w:sz w:val="24"/>
          <w:szCs w:val="24"/>
        </w:rPr>
        <w:t>Looking first at the support which was provided to the victim</w:t>
      </w:r>
      <w:r w:rsidR="00131E81">
        <w:rPr>
          <w:color w:val="000000" w:themeColor="text1"/>
          <w:sz w:val="24"/>
          <w:szCs w:val="24"/>
        </w:rPr>
        <w:t xml:space="preserve">’s, the first step in relation </w:t>
      </w:r>
      <w:r w:rsidR="00953CF1">
        <w:rPr>
          <w:color w:val="000000" w:themeColor="text1"/>
          <w:sz w:val="24"/>
          <w:szCs w:val="24"/>
        </w:rPr>
        <w:t xml:space="preserve">to proving support to victims which is completed before the end of the officer’s tour of duty is a public protection notification (PPN), this relates to both crime and non-crime related incidents. According to the college of policing non-crime incidents such as safeguarding, vulnerability and public protection account for 84% of calls to the police in the UK </w:t>
      </w:r>
      <w:sdt>
        <w:sdtPr>
          <w:rPr>
            <w:color w:val="000000" w:themeColor="text1"/>
            <w:sz w:val="24"/>
            <w:szCs w:val="24"/>
          </w:rPr>
          <w:id w:val="2033300314"/>
          <w:citation/>
        </w:sdtPr>
        <w:sdtContent>
          <w:r w:rsidR="00953CF1">
            <w:rPr>
              <w:color w:val="000000" w:themeColor="text1"/>
              <w:sz w:val="24"/>
              <w:szCs w:val="24"/>
            </w:rPr>
            <w:fldChar w:fldCharType="begin"/>
          </w:r>
          <w:r w:rsidR="00953CF1">
            <w:rPr>
              <w:color w:val="000000" w:themeColor="text1"/>
              <w:sz w:val="24"/>
              <w:szCs w:val="24"/>
            </w:rPr>
            <w:instrText xml:space="preserve"> CITATION Col15 \l 2057 </w:instrText>
          </w:r>
          <w:r w:rsidR="00953CF1">
            <w:rPr>
              <w:color w:val="000000" w:themeColor="text1"/>
              <w:sz w:val="24"/>
              <w:szCs w:val="24"/>
            </w:rPr>
            <w:fldChar w:fldCharType="separate"/>
          </w:r>
          <w:r w:rsidR="00953CF1" w:rsidRPr="00953CF1">
            <w:rPr>
              <w:noProof/>
              <w:color w:val="000000" w:themeColor="text1"/>
              <w:sz w:val="24"/>
              <w:szCs w:val="24"/>
            </w:rPr>
            <w:t>(College of Policing , 2015)</w:t>
          </w:r>
          <w:r w:rsidR="00953CF1">
            <w:rPr>
              <w:color w:val="000000" w:themeColor="text1"/>
              <w:sz w:val="24"/>
              <w:szCs w:val="24"/>
            </w:rPr>
            <w:fldChar w:fldCharType="end"/>
          </w:r>
        </w:sdtContent>
      </w:sdt>
      <w:r w:rsidR="00953CF1">
        <w:rPr>
          <w:color w:val="000000" w:themeColor="text1"/>
          <w:sz w:val="24"/>
          <w:szCs w:val="24"/>
        </w:rPr>
        <w:t xml:space="preserve">. This is interesting </w:t>
      </w:r>
      <w:r w:rsidR="00953CF1">
        <w:rPr>
          <w:color w:val="000000" w:themeColor="text1"/>
          <w:sz w:val="24"/>
          <w:szCs w:val="24"/>
        </w:rPr>
        <w:lastRenderedPageBreak/>
        <w:t xml:space="preserve">as it seems apparent that the police’s primary focus is enforcing and upholding the law although, it seems based on these numbers to be more broad public protection. </w:t>
      </w:r>
      <w:r w:rsidR="00B47B81">
        <w:rPr>
          <w:color w:val="000000" w:themeColor="text1"/>
          <w:sz w:val="24"/>
          <w:szCs w:val="24"/>
        </w:rPr>
        <w:t xml:space="preserve">When a PPN is submitted the primary agency, these are shared with are social services as they provide support in relation to a broad number of domains </w:t>
      </w:r>
      <w:sdt>
        <w:sdtPr>
          <w:rPr>
            <w:color w:val="000000" w:themeColor="text1"/>
            <w:sz w:val="24"/>
            <w:szCs w:val="24"/>
          </w:rPr>
          <w:id w:val="1327016636"/>
          <w:citation/>
        </w:sdtPr>
        <w:sdtContent>
          <w:r w:rsidR="00B47B81">
            <w:rPr>
              <w:color w:val="000000" w:themeColor="text1"/>
              <w:sz w:val="24"/>
              <w:szCs w:val="24"/>
            </w:rPr>
            <w:fldChar w:fldCharType="begin"/>
          </w:r>
          <w:r w:rsidR="00B47B81">
            <w:rPr>
              <w:color w:val="000000" w:themeColor="text1"/>
              <w:sz w:val="24"/>
              <w:szCs w:val="24"/>
            </w:rPr>
            <w:instrText xml:space="preserve"> CITATION Cou06 \l 2057 </w:instrText>
          </w:r>
          <w:r w:rsidR="00B47B81">
            <w:rPr>
              <w:color w:val="000000" w:themeColor="text1"/>
              <w:sz w:val="24"/>
              <w:szCs w:val="24"/>
            </w:rPr>
            <w:fldChar w:fldCharType="separate"/>
          </w:r>
          <w:r w:rsidR="00B47B81" w:rsidRPr="00B47B81">
            <w:rPr>
              <w:noProof/>
              <w:color w:val="000000" w:themeColor="text1"/>
              <w:sz w:val="24"/>
              <w:szCs w:val="24"/>
            </w:rPr>
            <w:t>(Coulshed &amp; Orme, 2006)</w:t>
          </w:r>
          <w:r w:rsidR="00B47B81">
            <w:rPr>
              <w:color w:val="000000" w:themeColor="text1"/>
              <w:sz w:val="24"/>
              <w:szCs w:val="24"/>
            </w:rPr>
            <w:fldChar w:fldCharType="end"/>
          </w:r>
        </w:sdtContent>
      </w:sdt>
      <w:r w:rsidR="00B47B81">
        <w:rPr>
          <w:color w:val="000000" w:themeColor="text1"/>
          <w:sz w:val="24"/>
          <w:szCs w:val="24"/>
        </w:rPr>
        <w:t xml:space="preserve">. Social services provide support in relation to adults, children, mental health, substance misuse, alcohol and various disabilities, essentially everything which is not strictly clinical </w:t>
      </w:r>
      <w:sdt>
        <w:sdtPr>
          <w:rPr>
            <w:color w:val="000000" w:themeColor="text1"/>
            <w:sz w:val="24"/>
            <w:szCs w:val="24"/>
          </w:rPr>
          <w:id w:val="1199129383"/>
          <w:citation/>
        </w:sdtPr>
        <w:sdtContent>
          <w:r w:rsidR="00B47B81">
            <w:rPr>
              <w:color w:val="000000" w:themeColor="text1"/>
              <w:sz w:val="24"/>
              <w:szCs w:val="24"/>
            </w:rPr>
            <w:fldChar w:fldCharType="begin"/>
          </w:r>
          <w:r w:rsidR="00B47B81">
            <w:rPr>
              <w:color w:val="000000" w:themeColor="text1"/>
              <w:sz w:val="24"/>
              <w:szCs w:val="24"/>
            </w:rPr>
            <w:instrText xml:space="preserve"> CITATION Cou06 \l 2057 </w:instrText>
          </w:r>
          <w:r w:rsidR="00B47B81">
            <w:rPr>
              <w:color w:val="000000" w:themeColor="text1"/>
              <w:sz w:val="24"/>
              <w:szCs w:val="24"/>
            </w:rPr>
            <w:fldChar w:fldCharType="separate"/>
          </w:r>
          <w:r w:rsidR="00B47B81" w:rsidRPr="00B47B81">
            <w:rPr>
              <w:noProof/>
              <w:color w:val="000000" w:themeColor="text1"/>
              <w:sz w:val="24"/>
              <w:szCs w:val="24"/>
            </w:rPr>
            <w:t>(Coulshed &amp; Orme, 2006)</w:t>
          </w:r>
          <w:r w:rsidR="00B47B81">
            <w:rPr>
              <w:color w:val="000000" w:themeColor="text1"/>
              <w:sz w:val="24"/>
              <w:szCs w:val="24"/>
            </w:rPr>
            <w:fldChar w:fldCharType="end"/>
          </w:r>
        </w:sdtContent>
      </w:sdt>
      <w:r w:rsidR="00B47B81">
        <w:rPr>
          <w:color w:val="000000" w:themeColor="text1"/>
          <w:sz w:val="24"/>
          <w:szCs w:val="24"/>
        </w:rPr>
        <w:t>. This is why a number of referrals made by police are going to go to social services w</w:t>
      </w:r>
      <w:r w:rsidR="00E078EE">
        <w:rPr>
          <w:color w:val="000000" w:themeColor="text1"/>
          <w:sz w:val="24"/>
          <w:szCs w:val="24"/>
        </w:rPr>
        <w:t xml:space="preserve">ith 3466 referrals made just to social services in one local authority in Wales in one year </w:t>
      </w:r>
      <w:sdt>
        <w:sdtPr>
          <w:rPr>
            <w:color w:val="000000" w:themeColor="text1"/>
            <w:sz w:val="24"/>
            <w:szCs w:val="24"/>
          </w:rPr>
          <w:id w:val="-2011203481"/>
          <w:citation/>
        </w:sdtPr>
        <w:sdtContent>
          <w:r w:rsidR="00E078EE">
            <w:rPr>
              <w:color w:val="000000" w:themeColor="text1"/>
              <w:sz w:val="24"/>
              <w:szCs w:val="24"/>
            </w:rPr>
            <w:fldChar w:fldCharType="begin"/>
          </w:r>
          <w:r w:rsidR="00E078EE">
            <w:rPr>
              <w:color w:val="000000" w:themeColor="text1"/>
              <w:sz w:val="24"/>
              <w:szCs w:val="24"/>
            </w:rPr>
            <w:instrText xml:space="preserve"> CITATION For20 \l 2057 </w:instrText>
          </w:r>
          <w:r w:rsidR="00E078EE">
            <w:rPr>
              <w:color w:val="000000" w:themeColor="text1"/>
              <w:sz w:val="24"/>
              <w:szCs w:val="24"/>
            </w:rPr>
            <w:fldChar w:fldCharType="separate"/>
          </w:r>
          <w:r w:rsidR="00E078EE" w:rsidRPr="00E078EE">
            <w:rPr>
              <w:noProof/>
              <w:color w:val="000000" w:themeColor="text1"/>
              <w:sz w:val="24"/>
              <w:szCs w:val="24"/>
            </w:rPr>
            <w:t>(Ford, et al., 2020)</w:t>
          </w:r>
          <w:r w:rsidR="00E078EE">
            <w:rPr>
              <w:color w:val="000000" w:themeColor="text1"/>
              <w:sz w:val="24"/>
              <w:szCs w:val="24"/>
            </w:rPr>
            <w:fldChar w:fldCharType="end"/>
          </w:r>
        </w:sdtContent>
      </w:sdt>
      <w:r w:rsidR="00E078EE">
        <w:rPr>
          <w:color w:val="000000" w:themeColor="text1"/>
          <w:sz w:val="24"/>
          <w:szCs w:val="24"/>
        </w:rPr>
        <w:t xml:space="preserve">. This seems an extremely high amount for one local authority as it would mean on average between nine and ten PPN’s are shared with social services every day. </w:t>
      </w:r>
      <w:r w:rsidR="00CD556C">
        <w:rPr>
          <w:color w:val="000000" w:themeColor="text1"/>
          <w:sz w:val="24"/>
          <w:szCs w:val="24"/>
        </w:rPr>
        <w:t xml:space="preserve">According to this source of the only 4.8 percent resulted in social services intervention </w:t>
      </w:r>
      <w:sdt>
        <w:sdtPr>
          <w:rPr>
            <w:color w:val="000000" w:themeColor="text1"/>
            <w:sz w:val="24"/>
            <w:szCs w:val="24"/>
          </w:rPr>
          <w:id w:val="-552696772"/>
          <w:citation/>
        </w:sdtPr>
        <w:sdtContent>
          <w:r w:rsidR="00CD556C">
            <w:rPr>
              <w:color w:val="000000" w:themeColor="text1"/>
              <w:sz w:val="24"/>
              <w:szCs w:val="24"/>
            </w:rPr>
            <w:fldChar w:fldCharType="begin"/>
          </w:r>
          <w:r w:rsidR="00CD556C">
            <w:rPr>
              <w:color w:val="000000" w:themeColor="text1"/>
              <w:sz w:val="24"/>
              <w:szCs w:val="24"/>
            </w:rPr>
            <w:instrText xml:space="preserve"> CITATION For20 \l 2057 </w:instrText>
          </w:r>
          <w:r w:rsidR="00CD556C">
            <w:rPr>
              <w:color w:val="000000" w:themeColor="text1"/>
              <w:sz w:val="24"/>
              <w:szCs w:val="24"/>
            </w:rPr>
            <w:fldChar w:fldCharType="separate"/>
          </w:r>
          <w:r w:rsidR="00CD556C" w:rsidRPr="00CD556C">
            <w:rPr>
              <w:noProof/>
              <w:color w:val="000000" w:themeColor="text1"/>
              <w:sz w:val="24"/>
              <w:szCs w:val="24"/>
            </w:rPr>
            <w:t>(Ford, et al., 2020)</w:t>
          </w:r>
          <w:r w:rsidR="00CD556C">
            <w:rPr>
              <w:color w:val="000000" w:themeColor="text1"/>
              <w:sz w:val="24"/>
              <w:szCs w:val="24"/>
            </w:rPr>
            <w:fldChar w:fldCharType="end"/>
          </w:r>
        </w:sdtContent>
      </w:sdt>
      <w:r w:rsidR="00CD556C">
        <w:rPr>
          <w:color w:val="000000" w:themeColor="text1"/>
          <w:sz w:val="24"/>
          <w:szCs w:val="24"/>
        </w:rPr>
        <w:t>, this seems to be an extremely low number suggesting that of 3466 PPN’s which were submitted only 166 resulted in actual support which equates to the 4.8% which seems woefully low.</w:t>
      </w:r>
    </w:p>
    <w:p w14:paraId="7386A852" w14:textId="77777777" w:rsidR="00CC4ECA" w:rsidRDefault="00CC4ECA" w:rsidP="00914ACA">
      <w:pPr>
        <w:ind w:right="237"/>
        <w:jc w:val="both"/>
        <w:rPr>
          <w:color w:val="000000" w:themeColor="text1"/>
          <w:sz w:val="24"/>
          <w:szCs w:val="24"/>
        </w:rPr>
      </w:pPr>
    </w:p>
    <w:p w14:paraId="79FC13CD" w14:textId="05F146D5" w:rsidR="00C94420" w:rsidRDefault="00CC4ECA" w:rsidP="00914ACA">
      <w:pPr>
        <w:ind w:right="237"/>
        <w:jc w:val="both"/>
        <w:rPr>
          <w:color w:val="000000" w:themeColor="text1"/>
          <w:sz w:val="24"/>
          <w:szCs w:val="24"/>
        </w:rPr>
      </w:pPr>
      <w:r>
        <w:rPr>
          <w:color w:val="000000" w:themeColor="text1"/>
          <w:sz w:val="24"/>
          <w:szCs w:val="24"/>
        </w:rPr>
        <w:t xml:space="preserve">Looking at this through Kolb’s experimental learning cycle </w:t>
      </w:r>
      <w:sdt>
        <w:sdtPr>
          <w:rPr>
            <w:color w:val="000000" w:themeColor="text1"/>
            <w:sz w:val="24"/>
            <w:szCs w:val="24"/>
          </w:rPr>
          <w:id w:val="471876632"/>
          <w:citation/>
        </w:sdtPr>
        <w:sdtContent>
          <w:r w:rsidR="00BC370C">
            <w:rPr>
              <w:color w:val="000000" w:themeColor="text1"/>
              <w:sz w:val="24"/>
              <w:szCs w:val="24"/>
            </w:rPr>
            <w:fldChar w:fldCharType="begin"/>
          </w:r>
          <w:r w:rsidR="00BC370C">
            <w:rPr>
              <w:color w:val="000000" w:themeColor="text1"/>
              <w:sz w:val="24"/>
              <w:szCs w:val="24"/>
            </w:rPr>
            <w:instrText xml:space="preserve"> CITATION Bar24 \l 2057 </w:instrText>
          </w:r>
          <w:r w:rsidR="00BC370C">
            <w:rPr>
              <w:color w:val="000000" w:themeColor="text1"/>
              <w:sz w:val="24"/>
              <w:szCs w:val="24"/>
            </w:rPr>
            <w:fldChar w:fldCharType="separate"/>
          </w:r>
          <w:r w:rsidR="00BC370C" w:rsidRPr="00BC370C">
            <w:rPr>
              <w:noProof/>
              <w:color w:val="000000" w:themeColor="text1"/>
              <w:sz w:val="24"/>
              <w:szCs w:val="24"/>
            </w:rPr>
            <w:t>(Bassot, 2024)</w:t>
          </w:r>
          <w:r w:rsidR="00BC370C">
            <w:rPr>
              <w:color w:val="000000" w:themeColor="text1"/>
              <w:sz w:val="24"/>
              <w:szCs w:val="24"/>
            </w:rPr>
            <w:fldChar w:fldCharType="end"/>
          </w:r>
        </w:sdtContent>
      </w:sdt>
      <w:r w:rsidR="00BC370C">
        <w:rPr>
          <w:color w:val="000000" w:themeColor="text1"/>
          <w:sz w:val="24"/>
          <w:szCs w:val="24"/>
        </w:rPr>
        <w:t xml:space="preserve"> which looks at concrete experience, reflective observation, abstract conceptualisation and active experimentation. In this instance the concrete experience</w:t>
      </w:r>
      <w:r w:rsidR="00066B98">
        <w:rPr>
          <w:color w:val="000000" w:themeColor="text1"/>
          <w:sz w:val="24"/>
          <w:szCs w:val="24"/>
        </w:rPr>
        <w:t xml:space="preserve"> </w:t>
      </w:r>
      <w:sdt>
        <w:sdtPr>
          <w:rPr>
            <w:color w:val="000000" w:themeColor="text1"/>
            <w:sz w:val="24"/>
            <w:szCs w:val="24"/>
          </w:rPr>
          <w:id w:val="-102653591"/>
          <w:citation/>
        </w:sdtPr>
        <w:sdtContent>
          <w:r w:rsidR="00066B98">
            <w:rPr>
              <w:color w:val="000000" w:themeColor="text1"/>
              <w:sz w:val="24"/>
              <w:szCs w:val="24"/>
            </w:rPr>
            <w:fldChar w:fldCharType="begin"/>
          </w:r>
          <w:r w:rsidR="00066B98">
            <w:rPr>
              <w:color w:val="000000" w:themeColor="text1"/>
              <w:sz w:val="24"/>
              <w:szCs w:val="24"/>
            </w:rPr>
            <w:instrText xml:space="preserve"> CITATION Bar24 \l 2057 </w:instrText>
          </w:r>
          <w:r w:rsidR="00066B98">
            <w:rPr>
              <w:color w:val="000000" w:themeColor="text1"/>
              <w:sz w:val="24"/>
              <w:szCs w:val="24"/>
            </w:rPr>
            <w:fldChar w:fldCharType="separate"/>
          </w:r>
          <w:r w:rsidR="00066B98" w:rsidRPr="00066B98">
            <w:rPr>
              <w:noProof/>
              <w:color w:val="000000" w:themeColor="text1"/>
              <w:sz w:val="24"/>
              <w:szCs w:val="24"/>
            </w:rPr>
            <w:t>(Bassot, 2024)</w:t>
          </w:r>
          <w:r w:rsidR="00066B98">
            <w:rPr>
              <w:color w:val="000000" w:themeColor="text1"/>
              <w:sz w:val="24"/>
              <w:szCs w:val="24"/>
            </w:rPr>
            <w:fldChar w:fldCharType="end"/>
          </w:r>
        </w:sdtContent>
      </w:sdt>
      <w:r w:rsidR="00BC370C">
        <w:rPr>
          <w:color w:val="000000" w:themeColor="text1"/>
          <w:sz w:val="24"/>
          <w:szCs w:val="24"/>
        </w:rPr>
        <w:t xml:space="preserve"> relates to the submission of the PPN which in this instance did result in support. Reviewing this based on the information which I have discussed above, it appears that based on the above information the person reviving support from social services would not actually be the normal from submitting a PPN. Although,</w:t>
      </w:r>
      <w:r w:rsidR="00066B98">
        <w:rPr>
          <w:color w:val="000000" w:themeColor="text1"/>
          <w:sz w:val="24"/>
          <w:szCs w:val="24"/>
        </w:rPr>
        <w:t xml:space="preserve"> my observation and reflection </w:t>
      </w:r>
      <w:sdt>
        <w:sdtPr>
          <w:rPr>
            <w:color w:val="000000" w:themeColor="text1"/>
            <w:sz w:val="24"/>
            <w:szCs w:val="24"/>
          </w:rPr>
          <w:id w:val="-2004730373"/>
          <w:citation/>
        </w:sdtPr>
        <w:sdtContent>
          <w:r w:rsidR="00066B98">
            <w:rPr>
              <w:color w:val="000000" w:themeColor="text1"/>
              <w:sz w:val="24"/>
              <w:szCs w:val="24"/>
            </w:rPr>
            <w:fldChar w:fldCharType="begin"/>
          </w:r>
          <w:r w:rsidR="00066B98">
            <w:rPr>
              <w:color w:val="000000" w:themeColor="text1"/>
              <w:sz w:val="24"/>
              <w:szCs w:val="24"/>
            </w:rPr>
            <w:instrText xml:space="preserve"> CITATION Bar24 \l 2057 </w:instrText>
          </w:r>
          <w:r w:rsidR="00066B98">
            <w:rPr>
              <w:color w:val="000000" w:themeColor="text1"/>
              <w:sz w:val="24"/>
              <w:szCs w:val="24"/>
            </w:rPr>
            <w:fldChar w:fldCharType="separate"/>
          </w:r>
          <w:r w:rsidR="00066B98" w:rsidRPr="00066B98">
            <w:rPr>
              <w:noProof/>
              <w:color w:val="000000" w:themeColor="text1"/>
              <w:sz w:val="24"/>
              <w:szCs w:val="24"/>
            </w:rPr>
            <w:t>(Bassot, 2024)</w:t>
          </w:r>
          <w:r w:rsidR="00066B98">
            <w:rPr>
              <w:color w:val="000000" w:themeColor="text1"/>
              <w:sz w:val="24"/>
              <w:szCs w:val="24"/>
            </w:rPr>
            <w:fldChar w:fldCharType="end"/>
          </w:r>
        </w:sdtContent>
      </w:sdt>
      <w:r w:rsidR="00BC370C">
        <w:rPr>
          <w:color w:val="000000" w:themeColor="text1"/>
          <w:sz w:val="24"/>
          <w:szCs w:val="24"/>
        </w:rPr>
        <w:t xml:space="preserve"> in this case the children and parent received support, the child from children services and the victim receiving support in relation to domestic violence. Although, if this had not been the case I could have provided information and advice in relation to services which she could contact herself to receive support. Essentially there are other options outside of a PPN which are available to provide support. </w:t>
      </w:r>
      <w:r w:rsidR="00066B98">
        <w:rPr>
          <w:color w:val="000000" w:themeColor="text1"/>
          <w:sz w:val="24"/>
          <w:szCs w:val="24"/>
        </w:rPr>
        <w:t xml:space="preserve">In terms of abstract conceptualisation </w:t>
      </w:r>
      <w:sdt>
        <w:sdtPr>
          <w:rPr>
            <w:color w:val="000000" w:themeColor="text1"/>
            <w:sz w:val="24"/>
            <w:szCs w:val="24"/>
          </w:rPr>
          <w:id w:val="775214039"/>
          <w:citation/>
        </w:sdtPr>
        <w:sdtContent>
          <w:r w:rsidR="00066B98">
            <w:rPr>
              <w:color w:val="000000" w:themeColor="text1"/>
              <w:sz w:val="24"/>
              <w:szCs w:val="24"/>
            </w:rPr>
            <w:fldChar w:fldCharType="begin"/>
          </w:r>
          <w:r w:rsidR="00066B98">
            <w:rPr>
              <w:color w:val="000000" w:themeColor="text1"/>
              <w:sz w:val="24"/>
              <w:szCs w:val="24"/>
            </w:rPr>
            <w:instrText xml:space="preserve"> CITATION Bar24 \l 2057 </w:instrText>
          </w:r>
          <w:r w:rsidR="00066B98">
            <w:rPr>
              <w:color w:val="000000" w:themeColor="text1"/>
              <w:sz w:val="24"/>
              <w:szCs w:val="24"/>
            </w:rPr>
            <w:fldChar w:fldCharType="separate"/>
          </w:r>
          <w:r w:rsidR="00066B98" w:rsidRPr="00066B98">
            <w:rPr>
              <w:noProof/>
              <w:color w:val="000000" w:themeColor="text1"/>
              <w:sz w:val="24"/>
              <w:szCs w:val="24"/>
            </w:rPr>
            <w:t>(Bassot, 2024)</w:t>
          </w:r>
          <w:r w:rsidR="00066B98">
            <w:rPr>
              <w:color w:val="000000" w:themeColor="text1"/>
              <w:sz w:val="24"/>
              <w:szCs w:val="24"/>
            </w:rPr>
            <w:fldChar w:fldCharType="end"/>
          </w:r>
        </w:sdtContent>
      </w:sdt>
      <w:r w:rsidR="00066B98">
        <w:rPr>
          <w:color w:val="000000" w:themeColor="text1"/>
          <w:sz w:val="24"/>
          <w:szCs w:val="24"/>
        </w:rPr>
        <w:t xml:space="preserve"> it appears that a PPN may not be sufficient in relation to providing support to victims which would be what I have learnt from this. In terms of active experimentation </w:t>
      </w:r>
      <w:sdt>
        <w:sdtPr>
          <w:rPr>
            <w:color w:val="000000" w:themeColor="text1"/>
            <w:sz w:val="24"/>
            <w:szCs w:val="24"/>
          </w:rPr>
          <w:id w:val="-1473595189"/>
          <w:citation/>
        </w:sdtPr>
        <w:sdtContent>
          <w:r w:rsidR="00066B98">
            <w:rPr>
              <w:color w:val="000000" w:themeColor="text1"/>
              <w:sz w:val="24"/>
              <w:szCs w:val="24"/>
            </w:rPr>
            <w:fldChar w:fldCharType="begin"/>
          </w:r>
          <w:r w:rsidR="00066B98">
            <w:rPr>
              <w:color w:val="000000" w:themeColor="text1"/>
              <w:sz w:val="24"/>
              <w:szCs w:val="24"/>
            </w:rPr>
            <w:instrText xml:space="preserve"> CITATION Bar24 \l 2057 </w:instrText>
          </w:r>
          <w:r w:rsidR="00066B98">
            <w:rPr>
              <w:color w:val="000000" w:themeColor="text1"/>
              <w:sz w:val="24"/>
              <w:szCs w:val="24"/>
            </w:rPr>
            <w:fldChar w:fldCharType="separate"/>
          </w:r>
          <w:r w:rsidR="00066B98" w:rsidRPr="00066B98">
            <w:rPr>
              <w:noProof/>
              <w:color w:val="000000" w:themeColor="text1"/>
              <w:sz w:val="24"/>
              <w:szCs w:val="24"/>
            </w:rPr>
            <w:t>(Bassot, 2024)</w:t>
          </w:r>
          <w:r w:rsidR="00066B98">
            <w:rPr>
              <w:color w:val="000000" w:themeColor="text1"/>
              <w:sz w:val="24"/>
              <w:szCs w:val="24"/>
            </w:rPr>
            <w:fldChar w:fldCharType="end"/>
          </w:r>
        </w:sdtContent>
      </w:sdt>
      <w:r w:rsidR="00066B98">
        <w:rPr>
          <w:color w:val="000000" w:themeColor="text1"/>
          <w:sz w:val="24"/>
          <w:szCs w:val="24"/>
        </w:rPr>
        <w:t xml:space="preserve"> it may be a case that officers should take a more proactive role in providing support to improve levels of support offered to victim. Although, this research would not show that advice and assistance given would </w:t>
      </w:r>
      <w:r w:rsidR="00C94420">
        <w:rPr>
          <w:color w:val="000000" w:themeColor="text1"/>
          <w:sz w:val="24"/>
          <w:szCs w:val="24"/>
        </w:rPr>
        <w:t>improve</w:t>
      </w:r>
      <w:r w:rsidR="00066B98">
        <w:rPr>
          <w:color w:val="000000" w:themeColor="text1"/>
          <w:sz w:val="24"/>
          <w:szCs w:val="24"/>
        </w:rPr>
        <w:t xml:space="preserve"> this, this would need to be put in to practice, possibly further research in relation to victims’ engagement with advice given.</w:t>
      </w:r>
    </w:p>
    <w:p w14:paraId="1D207450" w14:textId="77777777" w:rsidR="00C94420" w:rsidRDefault="00C94420" w:rsidP="00914ACA">
      <w:pPr>
        <w:ind w:right="237"/>
        <w:jc w:val="both"/>
        <w:rPr>
          <w:color w:val="000000" w:themeColor="text1"/>
          <w:sz w:val="24"/>
          <w:szCs w:val="24"/>
        </w:rPr>
      </w:pPr>
    </w:p>
    <w:p w14:paraId="0417AA70" w14:textId="77777777" w:rsidR="00DA230C" w:rsidRDefault="00C94420" w:rsidP="00914ACA">
      <w:pPr>
        <w:ind w:right="237"/>
        <w:jc w:val="both"/>
        <w:rPr>
          <w:color w:val="000000" w:themeColor="text1"/>
          <w:sz w:val="24"/>
          <w:szCs w:val="24"/>
        </w:rPr>
      </w:pPr>
      <w:r>
        <w:rPr>
          <w:color w:val="000000" w:themeColor="text1"/>
          <w:sz w:val="24"/>
          <w:szCs w:val="24"/>
        </w:rPr>
        <w:t xml:space="preserve">Looking specifically at domestic abuse now, the estimated domestic abuse victims in England and Wales in the year ending March 2023 was approximately 2.1 million with approximately nine hundred thousand </w:t>
      </w:r>
      <w:r w:rsidR="00C64805">
        <w:rPr>
          <w:color w:val="000000" w:themeColor="text1"/>
          <w:sz w:val="24"/>
          <w:szCs w:val="24"/>
        </w:rPr>
        <w:t xml:space="preserve">recorded </w:t>
      </w:r>
      <w:r>
        <w:rPr>
          <w:color w:val="000000" w:themeColor="text1"/>
          <w:sz w:val="24"/>
          <w:szCs w:val="24"/>
        </w:rPr>
        <w:t>by</w:t>
      </w:r>
      <w:r w:rsidR="00C64805">
        <w:rPr>
          <w:color w:val="000000" w:themeColor="text1"/>
          <w:sz w:val="24"/>
          <w:szCs w:val="24"/>
        </w:rPr>
        <w:t xml:space="preserve"> police</w:t>
      </w:r>
      <w:r>
        <w:rPr>
          <w:color w:val="000000" w:themeColor="text1"/>
          <w:sz w:val="24"/>
          <w:szCs w:val="24"/>
        </w:rPr>
        <w:t xml:space="preserve"> and approximately </w:t>
      </w:r>
      <w:r w:rsidR="00C64805">
        <w:rPr>
          <w:color w:val="000000" w:themeColor="text1"/>
          <w:sz w:val="24"/>
          <w:szCs w:val="24"/>
        </w:rPr>
        <w:t>forty thousand</w:t>
      </w:r>
      <w:r>
        <w:rPr>
          <w:color w:val="000000" w:themeColor="text1"/>
          <w:sz w:val="24"/>
          <w:szCs w:val="24"/>
        </w:rPr>
        <w:t xml:space="preserve"> charged </w:t>
      </w:r>
      <w:sdt>
        <w:sdtPr>
          <w:rPr>
            <w:color w:val="000000" w:themeColor="text1"/>
            <w:sz w:val="24"/>
            <w:szCs w:val="24"/>
          </w:rPr>
          <w:id w:val="-19775879"/>
          <w:citation/>
        </w:sdtPr>
        <w:sdtContent>
          <w:r>
            <w:rPr>
              <w:color w:val="000000" w:themeColor="text1"/>
              <w:sz w:val="24"/>
              <w:szCs w:val="24"/>
            </w:rPr>
            <w:fldChar w:fldCharType="begin"/>
          </w:r>
          <w:r>
            <w:rPr>
              <w:color w:val="000000" w:themeColor="text1"/>
              <w:sz w:val="24"/>
              <w:szCs w:val="24"/>
            </w:rPr>
            <w:instrText xml:space="preserve"> CITATION Off23 \l 2057 </w:instrText>
          </w:r>
          <w:r>
            <w:rPr>
              <w:color w:val="000000" w:themeColor="text1"/>
              <w:sz w:val="24"/>
              <w:szCs w:val="24"/>
            </w:rPr>
            <w:fldChar w:fldCharType="separate"/>
          </w:r>
          <w:r w:rsidRPr="00C94420">
            <w:rPr>
              <w:noProof/>
              <w:color w:val="000000" w:themeColor="text1"/>
              <w:sz w:val="24"/>
              <w:szCs w:val="24"/>
            </w:rPr>
            <w:t>(Office for National Satistics , 2023)</w:t>
          </w:r>
          <w:r>
            <w:rPr>
              <w:color w:val="000000" w:themeColor="text1"/>
              <w:sz w:val="24"/>
              <w:szCs w:val="24"/>
            </w:rPr>
            <w:fldChar w:fldCharType="end"/>
          </w:r>
        </w:sdtContent>
      </w:sdt>
      <w:r w:rsidR="00C64805">
        <w:rPr>
          <w:color w:val="000000" w:themeColor="text1"/>
          <w:sz w:val="24"/>
          <w:szCs w:val="24"/>
        </w:rPr>
        <w:t>. This works out to a conviction rate of 4.4%</w:t>
      </w:r>
      <w:r w:rsidR="00AE228B">
        <w:rPr>
          <w:color w:val="000000" w:themeColor="text1"/>
          <w:sz w:val="24"/>
          <w:szCs w:val="24"/>
        </w:rPr>
        <w:t xml:space="preserve"> from reported incidents to conviction although this seems very poor the percentage charged which are convicted is 82.76 </w:t>
      </w:r>
      <w:sdt>
        <w:sdtPr>
          <w:rPr>
            <w:color w:val="000000" w:themeColor="text1"/>
            <w:sz w:val="24"/>
            <w:szCs w:val="24"/>
          </w:rPr>
          <w:id w:val="1607918051"/>
          <w:citation/>
        </w:sdtPr>
        <w:sdtContent>
          <w:r w:rsidR="00AE228B">
            <w:rPr>
              <w:color w:val="000000" w:themeColor="text1"/>
              <w:sz w:val="24"/>
              <w:szCs w:val="24"/>
            </w:rPr>
            <w:fldChar w:fldCharType="begin"/>
          </w:r>
          <w:r w:rsidR="00AE228B">
            <w:rPr>
              <w:color w:val="000000" w:themeColor="text1"/>
              <w:sz w:val="24"/>
              <w:szCs w:val="24"/>
            </w:rPr>
            <w:instrText xml:space="preserve"> CITATION Off23 \l 2057 </w:instrText>
          </w:r>
          <w:r w:rsidR="00AE228B">
            <w:rPr>
              <w:color w:val="000000" w:themeColor="text1"/>
              <w:sz w:val="24"/>
              <w:szCs w:val="24"/>
            </w:rPr>
            <w:fldChar w:fldCharType="separate"/>
          </w:r>
          <w:r w:rsidR="00AE228B" w:rsidRPr="00AE228B">
            <w:rPr>
              <w:noProof/>
              <w:color w:val="000000" w:themeColor="text1"/>
              <w:sz w:val="24"/>
              <w:szCs w:val="24"/>
            </w:rPr>
            <w:t>(Office for National Satistics , 2023)</w:t>
          </w:r>
          <w:r w:rsidR="00AE228B">
            <w:rPr>
              <w:color w:val="000000" w:themeColor="text1"/>
              <w:sz w:val="24"/>
              <w:szCs w:val="24"/>
            </w:rPr>
            <w:fldChar w:fldCharType="end"/>
          </w:r>
        </w:sdtContent>
      </w:sdt>
      <w:r w:rsidR="00AE228B">
        <w:rPr>
          <w:color w:val="000000" w:themeColor="text1"/>
          <w:sz w:val="24"/>
          <w:szCs w:val="24"/>
        </w:rPr>
        <w:t xml:space="preserve"> based on the figures given by the ONS. This is positive considering that the overall rate of conviction post charge is </w:t>
      </w:r>
      <w:r w:rsidR="00AE228B" w:rsidRPr="00AE228B">
        <w:rPr>
          <w:color w:val="000000" w:themeColor="text1"/>
          <w:sz w:val="24"/>
          <w:szCs w:val="24"/>
        </w:rPr>
        <w:t>75.8%</w:t>
      </w:r>
      <w:r w:rsidR="00AE228B">
        <w:rPr>
          <w:color w:val="000000" w:themeColor="text1"/>
          <w:sz w:val="24"/>
          <w:szCs w:val="24"/>
        </w:rPr>
        <w:t xml:space="preserve"> according to the crown prosecution service </w:t>
      </w:r>
      <w:sdt>
        <w:sdtPr>
          <w:rPr>
            <w:color w:val="000000" w:themeColor="text1"/>
            <w:sz w:val="24"/>
            <w:szCs w:val="24"/>
          </w:rPr>
          <w:id w:val="542717854"/>
          <w:citation/>
        </w:sdtPr>
        <w:sdtContent>
          <w:r w:rsidR="00AE228B">
            <w:rPr>
              <w:color w:val="000000" w:themeColor="text1"/>
              <w:sz w:val="24"/>
              <w:szCs w:val="24"/>
            </w:rPr>
            <w:fldChar w:fldCharType="begin"/>
          </w:r>
          <w:r w:rsidR="00AE228B">
            <w:rPr>
              <w:color w:val="000000" w:themeColor="text1"/>
              <w:sz w:val="24"/>
              <w:szCs w:val="24"/>
            </w:rPr>
            <w:instrText xml:space="preserve"> CITATION Cro24 \l 2057 </w:instrText>
          </w:r>
          <w:r w:rsidR="00AE228B">
            <w:rPr>
              <w:color w:val="000000" w:themeColor="text1"/>
              <w:sz w:val="24"/>
              <w:szCs w:val="24"/>
            </w:rPr>
            <w:fldChar w:fldCharType="separate"/>
          </w:r>
          <w:r w:rsidR="00AE228B" w:rsidRPr="00AE228B">
            <w:rPr>
              <w:noProof/>
              <w:color w:val="000000" w:themeColor="text1"/>
              <w:sz w:val="24"/>
              <w:szCs w:val="24"/>
            </w:rPr>
            <w:t>(Crown Prosecution Service , 2024)</w:t>
          </w:r>
          <w:r w:rsidR="00AE228B">
            <w:rPr>
              <w:color w:val="000000" w:themeColor="text1"/>
              <w:sz w:val="24"/>
              <w:szCs w:val="24"/>
            </w:rPr>
            <w:fldChar w:fldCharType="end"/>
          </w:r>
        </w:sdtContent>
      </w:sdt>
      <w:r w:rsidR="00AE228B">
        <w:rPr>
          <w:color w:val="000000" w:themeColor="text1"/>
          <w:sz w:val="24"/>
          <w:szCs w:val="24"/>
        </w:rPr>
        <w:t xml:space="preserve">. So, based on these figures it is fair to say that the police are supporting victims by getting prosecution as a result of charges for which the percentage seems very good. Although, considering the number reported and going unreported compared with actual overall conviction the opposite could be said. It seems to be a case of what figures you choose to </w:t>
      </w:r>
      <w:r w:rsidR="00AE228B">
        <w:rPr>
          <w:color w:val="000000" w:themeColor="text1"/>
          <w:sz w:val="24"/>
          <w:szCs w:val="24"/>
        </w:rPr>
        <w:lastRenderedPageBreak/>
        <w:t xml:space="preserve">consider to be </w:t>
      </w:r>
      <w:r w:rsidR="00B80F16">
        <w:rPr>
          <w:color w:val="000000" w:themeColor="text1"/>
          <w:sz w:val="24"/>
          <w:szCs w:val="24"/>
        </w:rPr>
        <w:t>pertinent</w:t>
      </w:r>
      <w:r w:rsidR="00AE228B">
        <w:rPr>
          <w:color w:val="000000" w:themeColor="text1"/>
          <w:sz w:val="24"/>
          <w:szCs w:val="24"/>
        </w:rPr>
        <w:t xml:space="preserve"> </w:t>
      </w:r>
      <w:r w:rsidR="00B80F16">
        <w:rPr>
          <w:color w:val="000000" w:themeColor="text1"/>
          <w:sz w:val="24"/>
          <w:szCs w:val="24"/>
        </w:rPr>
        <w:t>and as such you could use the data to present either view neither of which is inaccurate.</w:t>
      </w:r>
    </w:p>
    <w:p w14:paraId="57FA5D71" w14:textId="77777777" w:rsidR="00DA230C" w:rsidRDefault="00DA230C" w:rsidP="00914ACA">
      <w:pPr>
        <w:ind w:right="237"/>
        <w:jc w:val="both"/>
        <w:rPr>
          <w:color w:val="000000" w:themeColor="text1"/>
          <w:sz w:val="24"/>
          <w:szCs w:val="24"/>
        </w:rPr>
      </w:pPr>
    </w:p>
    <w:p w14:paraId="003582D5" w14:textId="2B2880F1" w:rsidR="00C94420" w:rsidRDefault="00DA230C" w:rsidP="00914ACA">
      <w:pPr>
        <w:ind w:right="237"/>
        <w:jc w:val="both"/>
        <w:rPr>
          <w:color w:val="000000" w:themeColor="text1"/>
          <w:sz w:val="24"/>
          <w:szCs w:val="24"/>
        </w:rPr>
      </w:pPr>
      <w:r>
        <w:rPr>
          <w:color w:val="000000" w:themeColor="text1"/>
          <w:sz w:val="24"/>
          <w:szCs w:val="24"/>
        </w:rPr>
        <w:t xml:space="preserve">So, with the above considered it would be pertinent to ask whatever your stance on the above statistics whether does conviction prevent re-offending and as such as it seems almost tautological that if re-offending is prevented this would be of great support to victims. Unfortunately, according to the college of policing this does not appear to be largely effective. They claim that the domestic abuse reoffending rate is 38% overall and a staggering 98% for “high harm high risk offenders selected for drive case management” </w:t>
      </w:r>
      <w:sdt>
        <w:sdtPr>
          <w:rPr>
            <w:color w:val="000000" w:themeColor="text1"/>
            <w:sz w:val="24"/>
            <w:szCs w:val="24"/>
          </w:rPr>
          <w:id w:val="-699852925"/>
          <w:citation/>
        </w:sdtPr>
        <w:sdtContent>
          <w:r>
            <w:rPr>
              <w:color w:val="000000" w:themeColor="text1"/>
              <w:sz w:val="24"/>
              <w:szCs w:val="24"/>
            </w:rPr>
            <w:fldChar w:fldCharType="begin"/>
          </w:r>
          <w:r>
            <w:rPr>
              <w:color w:val="000000" w:themeColor="text1"/>
              <w:sz w:val="24"/>
              <w:szCs w:val="24"/>
            </w:rPr>
            <w:instrText xml:space="preserve"> CITATION Col24 \l 2057 </w:instrText>
          </w:r>
          <w:r>
            <w:rPr>
              <w:color w:val="000000" w:themeColor="text1"/>
              <w:sz w:val="24"/>
              <w:szCs w:val="24"/>
            </w:rPr>
            <w:fldChar w:fldCharType="separate"/>
          </w:r>
          <w:r w:rsidRPr="00DA230C">
            <w:rPr>
              <w:noProof/>
              <w:color w:val="000000" w:themeColor="text1"/>
              <w:sz w:val="24"/>
              <w:szCs w:val="24"/>
            </w:rPr>
            <w:t>(College of Policing, 2024)</w:t>
          </w:r>
          <w:r>
            <w:rPr>
              <w:color w:val="000000" w:themeColor="text1"/>
              <w:sz w:val="24"/>
              <w:szCs w:val="24"/>
            </w:rPr>
            <w:fldChar w:fldCharType="end"/>
          </w:r>
        </w:sdtContent>
      </w:sdt>
      <w:r>
        <w:rPr>
          <w:color w:val="000000" w:themeColor="text1"/>
          <w:sz w:val="24"/>
          <w:szCs w:val="24"/>
        </w:rPr>
        <w:t xml:space="preserve">. </w:t>
      </w:r>
    </w:p>
    <w:p w14:paraId="04F3E185" w14:textId="77777777" w:rsidR="00DA230C" w:rsidRDefault="00DA230C" w:rsidP="00914ACA">
      <w:pPr>
        <w:ind w:right="237"/>
        <w:jc w:val="both"/>
        <w:rPr>
          <w:color w:val="000000" w:themeColor="text1"/>
          <w:sz w:val="24"/>
          <w:szCs w:val="24"/>
        </w:rPr>
      </w:pPr>
    </w:p>
    <w:p w14:paraId="1D1FC7F2" w14:textId="4D3CBDD9" w:rsidR="00DA230C" w:rsidRDefault="00DA230C" w:rsidP="00914ACA">
      <w:pPr>
        <w:ind w:right="237"/>
        <w:jc w:val="both"/>
        <w:rPr>
          <w:color w:val="000000" w:themeColor="text1"/>
          <w:sz w:val="24"/>
          <w:szCs w:val="24"/>
        </w:rPr>
      </w:pPr>
      <w:r>
        <w:rPr>
          <w:color w:val="000000" w:themeColor="text1"/>
          <w:sz w:val="24"/>
          <w:szCs w:val="24"/>
        </w:rPr>
        <w:t xml:space="preserve">In this instance, the defendant was convicted of a number of offences, reflecting on this considering the above using Kolb’s experiential learning cycle </w:t>
      </w:r>
      <w:sdt>
        <w:sdtPr>
          <w:rPr>
            <w:color w:val="000000" w:themeColor="text1"/>
            <w:sz w:val="24"/>
            <w:szCs w:val="24"/>
          </w:rPr>
          <w:id w:val="-850414977"/>
          <w:citation/>
        </w:sdtPr>
        <w:sdtContent>
          <w:r w:rsidR="00EB2257">
            <w:rPr>
              <w:color w:val="000000" w:themeColor="text1"/>
              <w:sz w:val="24"/>
              <w:szCs w:val="24"/>
            </w:rPr>
            <w:fldChar w:fldCharType="begin"/>
          </w:r>
          <w:r w:rsidR="00EB2257">
            <w:rPr>
              <w:color w:val="000000" w:themeColor="text1"/>
              <w:sz w:val="24"/>
              <w:szCs w:val="24"/>
            </w:rPr>
            <w:instrText xml:space="preserve"> CITATION Bar24 \l 2057 </w:instrText>
          </w:r>
          <w:r w:rsidR="00EB2257">
            <w:rPr>
              <w:color w:val="000000" w:themeColor="text1"/>
              <w:sz w:val="24"/>
              <w:szCs w:val="24"/>
            </w:rPr>
            <w:fldChar w:fldCharType="separate"/>
          </w:r>
          <w:r w:rsidR="00EB2257" w:rsidRPr="00EB2257">
            <w:rPr>
              <w:noProof/>
              <w:color w:val="000000" w:themeColor="text1"/>
              <w:sz w:val="24"/>
              <w:szCs w:val="24"/>
            </w:rPr>
            <w:t>(Bassot, 2024)</w:t>
          </w:r>
          <w:r w:rsidR="00EB2257">
            <w:rPr>
              <w:color w:val="000000" w:themeColor="text1"/>
              <w:sz w:val="24"/>
              <w:szCs w:val="24"/>
            </w:rPr>
            <w:fldChar w:fldCharType="end"/>
          </w:r>
        </w:sdtContent>
      </w:sdt>
      <w:r w:rsidR="00EB2257">
        <w:rPr>
          <w:color w:val="000000" w:themeColor="text1"/>
          <w:sz w:val="24"/>
          <w:szCs w:val="24"/>
        </w:rPr>
        <w:t xml:space="preserve">. The experience is attaining multiple convictions which I would have thought would impact re-offending in a positive way. However, reflecting on the observation made above, it seems evident that for quite a large percentage this is not the case and for the more high-risk victims this appears to much less effective which is evidentially quite worrying. Looking at abstract conceptualisation </w:t>
      </w:r>
      <w:sdt>
        <w:sdtPr>
          <w:rPr>
            <w:color w:val="000000" w:themeColor="text1"/>
            <w:sz w:val="24"/>
            <w:szCs w:val="24"/>
          </w:rPr>
          <w:id w:val="34408230"/>
          <w:citation/>
        </w:sdtPr>
        <w:sdtContent>
          <w:r w:rsidR="00EB2257">
            <w:rPr>
              <w:color w:val="000000" w:themeColor="text1"/>
              <w:sz w:val="24"/>
              <w:szCs w:val="24"/>
            </w:rPr>
            <w:fldChar w:fldCharType="begin"/>
          </w:r>
          <w:r w:rsidR="00EB2257">
            <w:rPr>
              <w:color w:val="000000" w:themeColor="text1"/>
              <w:sz w:val="24"/>
              <w:szCs w:val="24"/>
            </w:rPr>
            <w:instrText xml:space="preserve"> CITATION Bar24 \l 2057 </w:instrText>
          </w:r>
          <w:r w:rsidR="00EB2257">
            <w:rPr>
              <w:color w:val="000000" w:themeColor="text1"/>
              <w:sz w:val="24"/>
              <w:szCs w:val="24"/>
            </w:rPr>
            <w:fldChar w:fldCharType="separate"/>
          </w:r>
          <w:r w:rsidR="00EB2257" w:rsidRPr="00EB2257">
            <w:rPr>
              <w:noProof/>
              <w:color w:val="000000" w:themeColor="text1"/>
              <w:sz w:val="24"/>
              <w:szCs w:val="24"/>
            </w:rPr>
            <w:t>(Bassot, 2024)</w:t>
          </w:r>
          <w:r w:rsidR="00EB2257">
            <w:rPr>
              <w:color w:val="000000" w:themeColor="text1"/>
              <w:sz w:val="24"/>
              <w:szCs w:val="24"/>
            </w:rPr>
            <w:fldChar w:fldCharType="end"/>
          </w:r>
        </w:sdtContent>
      </w:sdt>
      <w:r w:rsidR="00EB2257">
        <w:rPr>
          <w:color w:val="000000" w:themeColor="text1"/>
          <w:sz w:val="24"/>
          <w:szCs w:val="24"/>
        </w:rPr>
        <w:t xml:space="preserve"> it appears that the lesson learnt is that conviction alone is not often going to be enough, it would indicate that outside support is required. However, from earlier in this essay it seems that the standard police process of PPN’s certainly has limitations to say the least. In terms of active experimentation </w:t>
      </w:r>
      <w:sdt>
        <w:sdtPr>
          <w:rPr>
            <w:color w:val="000000" w:themeColor="text1"/>
            <w:sz w:val="24"/>
            <w:szCs w:val="24"/>
          </w:rPr>
          <w:id w:val="-584612533"/>
          <w:citation/>
        </w:sdtPr>
        <w:sdtContent>
          <w:r w:rsidR="00EB2257">
            <w:rPr>
              <w:color w:val="000000" w:themeColor="text1"/>
              <w:sz w:val="24"/>
              <w:szCs w:val="24"/>
            </w:rPr>
            <w:fldChar w:fldCharType="begin"/>
          </w:r>
          <w:r w:rsidR="00EB2257">
            <w:rPr>
              <w:color w:val="000000" w:themeColor="text1"/>
              <w:sz w:val="24"/>
              <w:szCs w:val="24"/>
            </w:rPr>
            <w:instrText xml:space="preserve"> CITATION Bar24 \l 2057 </w:instrText>
          </w:r>
          <w:r w:rsidR="00EB2257">
            <w:rPr>
              <w:color w:val="000000" w:themeColor="text1"/>
              <w:sz w:val="24"/>
              <w:szCs w:val="24"/>
            </w:rPr>
            <w:fldChar w:fldCharType="separate"/>
          </w:r>
          <w:r w:rsidR="00EB2257" w:rsidRPr="00EB2257">
            <w:rPr>
              <w:noProof/>
              <w:color w:val="000000" w:themeColor="text1"/>
              <w:sz w:val="24"/>
              <w:szCs w:val="24"/>
            </w:rPr>
            <w:t>(Bassot, 2024)</w:t>
          </w:r>
          <w:r w:rsidR="00EB2257">
            <w:rPr>
              <w:color w:val="000000" w:themeColor="text1"/>
              <w:sz w:val="24"/>
              <w:szCs w:val="24"/>
            </w:rPr>
            <w:fldChar w:fldCharType="end"/>
          </w:r>
        </w:sdtContent>
      </w:sdt>
      <w:r w:rsidR="00EB2257">
        <w:rPr>
          <w:color w:val="000000" w:themeColor="text1"/>
          <w:sz w:val="24"/>
          <w:szCs w:val="24"/>
        </w:rPr>
        <w:t xml:space="preserve"> it seems </w:t>
      </w:r>
      <w:r w:rsidR="00080477">
        <w:rPr>
          <w:color w:val="000000" w:themeColor="text1"/>
          <w:sz w:val="24"/>
          <w:szCs w:val="24"/>
        </w:rPr>
        <w:t>unfortunate,</w:t>
      </w:r>
      <w:r w:rsidR="00EB2257">
        <w:rPr>
          <w:color w:val="000000" w:themeColor="text1"/>
          <w:sz w:val="24"/>
          <w:szCs w:val="24"/>
        </w:rPr>
        <w:t xml:space="preserve"> but the overall outlook does appear to be rather bleak in terms of a success rate for protecting victims of domestic abuse, </w:t>
      </w:r>
      <w:r w:rsidR="00080477">
        <w:rPr>
          <w:color w:val="000000" w:themeColor="text1"/>
          <w:sz w:val="24"/>
          <w:szCs w:val="24"/>
        </w:rPr>
        <w:t xml:space="preserve">it seems evident that more needs to be done in relation to this. That being said, if police referrals go largely unanswered and conviction are less effective at preventing re-offending, I’m unsure what police should be doing to support victims more. </w:t>
      </w:r>
    </w:p>
    <w:p w14:paraId="3744D258" w14:textId="77777777" w:rsidR="00080477" w:rsidRDefault="00080477" w:rsidP="00914ACA">
      <w:pPr>
        <w:ind w:right="237"/>
        <w:jc w:val="both"/>
        <w:rPr>
          <w:color w:val="000000" w:themeColor="text1"/>
          <w:sz w:val="24"/>
          <w:szCs w:val="24"/>
        </w:rPr>
      </w:pPr>
    </w:p>
    <w:p w14:paraId="332C7C52" w14:textId="6CCC5D30" w:rsidR="00080477" w:rsidRDefault="00080477" w:rsidP="00914ACA">
      <w:pPr>
        <w:ind w:right="237"/>
        <w:jc w:val="both"/>
        <w:rPr>
          <w:color w:val="000000" w:themeColor="text1"/>
          <w:sz w:val="24"/>
          <w:szCs w:val="24"/>
        </w:rPr>
      </w:pPr>
      <w:r>
        <w:rPr>
          <w:color w:val="000000" w:themeColor="text1"/>
          <w:sz w:val="24"/>
          <w:szCs w:val="24"/>
        </w:rPr>
        <w:t xml:space="preserve">Concluding this essay, the methods of investigation used are largely effective as shown above. The police clearly have access to a range of tools such as forensics which can be extremely effective in relation to proving or disproving offences although, not all of these methods are equal in their reliability. Reflecting on the effectiveness of domestic abuse support for victims, it seems an unfortunate conclusion but as evidenced above there is not positive conclusion in relation to the effectiveness of support which is provided to victims of domestic abuse. </w:t>
      </w:r>
    </w:p>
    <w:p w14:paraId="04AC68A3" w14:textId="77777777" w:rsidR="00C94420" w:rsidRDefault="00C94420" w:rsidP="00914ACA">
      <w:pPr>
        <w:ind w:right="237"/>
        <w:jc w:val="both"/>
        <w:rPr>
          <w:color w:val="000000" w:themeColor="text1"/>
          <w:sz w:val="24"/>
          <w:szCs w:val="24"/>
        </w:rPr>
      </w:pPr>
    </w:p>
    <w:p w14:paraId="5A04C2CA" w14:textId="56909B8E" w:rsidR="00132F43" w:rsidRDefault="00066B98" w:rsidP="00914ACA">
      <w:pPr>
        <w:ind w:right="237"/>
        <w:jc w:val="both"/>
        <w:rPr>
          <w:color w:val="000000" w:themeColor="text1"/>
          <w:sz w:val="24"/>
          <w:szCs w:val="24"/>
        </w:rPr>
      </w:pPr>
      <w:r>
        <w:rPr>
          <w:color w:val="000000" w:themeColor="text1"/>
          <w:sz w:val="24"/>
          <w:szCs w:val="24"/>
        </w:rPr>
        <w:t xml:space="preserve"> </w:t>
      </w:r>
    </w:p>
    <w:p w14:paraId="046DAD03" w14:textId="77777777" w:rsidR="00914ACA" w:rsidRDefault="00914ACA" w:rsidP="009370AE">
      <w:pPr>
        <w:ind w:right="237"/>
        <w:jc w:val="both"/>
        <w:rPr>
          <w:color w:val="000000" w:themeColor="text1"/>
          <w:sz w:val="24"/>
          <w:szCs w:val="24"/>
        </w:rPr>
      </w:pPr>
    </w:p>
    <w:p w14:paraId="3C48A54D" w14:textId="476291FC" w:rsidR="00907AEB" w:rsidRDefault="00080477" w:rsidP="009370AE">
      <w:pPr>
        <w:ind w:right="237"/>
        <w:jc w:val="both"/>
        <w:rPr>
          <w:color w:val="000000" w:themeColor="text1"/>
          <w:sz w:val="24"/>
          <w:szCs w:val="24"/>
        </w:rPr>
      </w:pPr>
      <w:r>
        <w:rPr>
          <w:color w:val="000000" w:themeColor="text1"/>
          <w:sz w:val="24"/>
          <w:szCs w:val="24"/>
        </w:rPr>
        <w:t>Word Count 2098</w:t>
      </w:r>
    </w:p>
    <w:p w14:paraId="38B0FE69" w14:textId="77777777" w:rsidR="00443CBD" w:rsidRDefault="00443CBD" w:rsidP="00443CBD">
      <w:pPr>
        <w:rPr>
          <w:b/>
          <w:bCs/>
          <w:color w:val="000000" w:themeColor="text1"/>
          <w:sz w:val="28"/>
          <w:szCs w:val="28"/>
        </w:rPr>
      </w:pPr>
    </w:p>
    <w:p w14:paraId="64247939" w14:textId="77777777" w:rsidR="00443CBD" w:rsidRDefault="00443CBD" w:rsidP="00443CBD">
      <w:pPr>
        <w:rPr>
          <w:b/>
          <w:bCs/>
          <w:color w:val="000000" w:themeColor="text1"/>
          <w:sz w:val="28"/>
          <w:szCs w:val="28"/>
        </w:rPr>
      </w:pPr>
    </w:p>
    <w:p w14:paraId="78A7E8A0" w14:textId="77777777" w:rsidR="00443CBD" w:rsidRDefault="00443CBD" w:rsidP="00443CBD">
      <w:pPr>
        <w:rPr>
          <w:b/>
          <w:bCs/>
          <w:color w:val="000000" w:themeColor="text1"/>
          <w:sz w:val="28"/>
          <w:szCs w:val="28"/>
        </w:rPr>
      </w:pPr>
    </w:p>
    <w:p w14:paraId="3D2934A1" w14:textId="77777777" w:rsidR="00443CBD" w:rsidRDefault="00443CBD" w:rsidP="00443CBD">
      <w:pPr>
        <w:rPr>
          <w:b/>
          <w:bCs/>
          <w:color w:val="000000" w:themeColor="text1"/>
          <w:sz w:val="28"/>
          <w:szCs w:val="28"/>
        </w:rPr>
      </w:pPr>
    </w:p>
    <w:p w14:paraId="2E121457" w14:textId="77777777" w:rsidR="00443CBD" w:rsidRDefault="00443CBD" w:rsidP="00443CBD">
      <w:pPr>
        <w:rPr>
          <w:b/>
          <w:bCs/>
          <w:color w:val="000000" w:themeColor="text1"/>
          <w:sz w:val="28"/>
          <w:szCs w:val="28"/>
        </w:rPr>
      </w:pPr>
    </w:p>
    <w:p w14:paraId="3A55A74C" w14:textId="77777777" w:rsidR="00443CBD" w:rsidRDefault="00443CBD" w:rsidP="00443CBD">
      <w:pPr>
        <w:rPr>
          <w:b/>
          <w:bCs/>
          <w:color w:val="000000" w:themeColor="text1"/>
          <w:sz w:val="28"/>
          <w:szCs w:val="28"/>
        </w:rPr>
      </w:pPr>
    </w:p>
    <w:p w14:paraId="2C40AF93" w14:textId="77777777" w:rsidR="00443CBD" w:rsidRDefault="00443CBD" w:rsidP="00443CBD">
      <w:pPr>
        <w:rPr>
          <w:b/>
          <w:bCs/>
          <w:color w:val="000000" w:themeColor="text1"/>
          <w:sz w:val="28"/>
          <w:szCs w:val="28"/>
        </w:rPr>
      </w:pPr>
    </w:p>
    <w:p w14:paraId="33586BE4" w14:textId="77777777" w:rsidR="00443CBD" w:rsidRDefault="00443CBD" w:rsidP="00443CBD">
      <w:pPr>
        <w:rPr>
          <w:b/>
          <w:bCs/>
          <w:color w:val="000000" w:themeColor="text1"/>
          <w:sz w:val="28"/>
          <w:szCs w:val="28"/>
        </w:rPr>
      </w:pPr>
    </w:p>
    <w:p w14:paraId="61E4CCCD" w14:textId="77777777" w:rsidR="00443CBD" w:rsidRDefault="00443CBD" w:rsidP="00443CBD">
      <w:pPr>
        <w:rPr>
          <w:b/>
          <w:bCs/>
          <w:color w:val="000000" w:themeColor="text1"/>
          <w:sz w:val="28"/>
          <w:szCs w:val="28"/>
        </w:rPr>
      </w:pPr>
    </w:p>
    <w:p w14:paraId="173B2E58" w14:textId="622FE158" w:rsidR="00914ACA" w:rsidRPr="00443CBD" w:rsidRDefault="00914ACA" w:rsidP="00443CBD"/>
    <w:p w14:paraId="5B370198" w14:textId="77777777" w:rsidR="00914ACA" w:rsidRDefault="00914ACA" w:rsidP="00914ACA">
      <w:pPr>
        <w:ind w:right="237"/>
        <w:jc w:val="both"/>
        <w:rPr>
          <w:rFonts w:eastAsia="Arial"/>
          <w:color w:val="000000" w:themeColor="text1"/>
          <w:sz w:val="24"/>
          <w:szCs w:val="24"/>
        </w:rPr>
      </w:pPr>
    </w:p>
    <w:p w14:paraId="41854DDB" w14:textId="77777777" w:rsidR="000A118B" w:rsidRDefault="000A118B" w:rsidP="00443CBD">
      <w:pPr>
        <w:ind w:right="237"/>
        <w:jc w:val="both"/>
        <w:rPr>
          <w:rFonts w:eastAsia="Arial"/>
          <w:color w:val="000000" w:themeColor="text1"/>
          <w:sz w:val="24"/>
          <w:szCs w:val="24"/>
        </w:rPr>
      </w:pPr>
    </w:p>
    <w:p w14:paraId="1163C58C" w14:textId="77777777" w:rsidR="000A118B" w:rsidRDefault="000A118B" w:rsidP="00443CBD">
      <w:pPr>
        <w:ind w:right="237"/>
        <w:jc w:val="both"/>
        <w:rPr>
          <w:rFonts w:eastAsia="Arial"/>
          <w:color w:val="000000" w:themeColor="text1"/>
          <w:sz w:val="24"/>
          <w:szCs w:val="24"/>
        </w:rPr>
      </w:pPr>
    </w:p>
    <w:p w14:paraId="43045FFD" w14:textId="77777777" w:rsidR="000A118B" w:rsidRDefault="000A118B" w:rsidP="00443CBD">
      <w:pPr>
        <w:ind w:right="237"/>
        <w:jc w:val="both"/>
        <w:rPr>
          <w:rFonts w:eastAsia="Arial"/>
          <w:color w:val="000000" w:themeColor="text1"/>
          <w:sz w:val="24"/>
          <w:szCs w:val="24"/>
        </w:rPr>
      </w:pPr>
    </w:p>
    <w:p w14:paraId="3FC79DCB" w14:textId="77777777" w:rsidR="000A118B" w:rsidRDefault="000A118B" w:rsidP="00443CBD">
      <w:pPr>
        <w:ind w:right="237"/>
        <w:jc w:val="both"/>
        <w:rPr>
          <w:rFonts w:eastAsia="Arial"/>
          <w:color w:val="000000" w:themeColor="text1"/>
          <w:sz w:val="24"/>
          <w:szCs w:val="24"/>
        </w:rPr>
      </w:pPr>
    </w:p>
    <w:sdt>
      <w:sdtPr>
        <w:rPr>
          <w:b w:val="0"/>
          <w:kern w:val="0"/>
          <w:sz w:val="20"/>
        </w:rPr>
        <w:id w:val="-1587992900"/>
        <w:docPartObj>
          <w:docPartGallery w:val="Bibliographies"/>
          <w:docPartUnique/>
        </w:docPartObj>
      </w:sdtPr>
      <w:sdtContent>
        <w:p w14:paraId="0AB7883B" w14:textId="3D285E0D" w:rsidR="000A118B" w:rsidRDefault="000A118B">
          <w:pPr>
            <w:pStyle w:val="Heading1"/>
          </w:pPr>
          <w:r>
            <w:t>Bibliography</w:t>
          </w:r>
        </w:p>
        <w:sdt>
          <w:sdtPr>
            <w:id w:val="-765380772"/>
            <w:bibliography/>
          </w:sdtPr>
          <w:sdtContent>
            <w:p w14:paraId="11488444" w14:textId="77777777" w:rsidR="000A118B" w:rsidRPr="000A118B" w:rsidRDefault="000A118B" w:rsidP="000A118B">
              <w:pPr>
                <w:pStyle w:val="Bibliography"/>
                <w:ind w:left="720" w:hanging="720"/>
                <w:rPr>
                  <w:noProof/>
                </w:rPr>
              </w:pPr>
              <w:r w:rsidRPr="000A118B">
                <w:fldChar w:fldCharType="begin"/>
              </w:r>
              <w:r w:rsidRPr="000A118B">
                <w:instrText xml:space="preserve"> BIBLIOGRAPHY </w:instrText>
              </w:r>
              <w:r w:rsidRPr="000A118B">
                <w:fldChar w:fldCharType="separate"/>
              </w:r>
              <w:r w:rsidRPr="000A118B">
                <w:rPr>
                  <w:noProof/>
                </w:rPr>
                <w:t xml:space="preserve">Baginsky, M., Manthorpe, J., &amp; Moriarty, j. (2021). The Framework for the Assessment of Children in Need and Their Families and Signs of Safety: Competing or Complementary Frameworks. </w:t>
              </w:r>
              <w:r w:rsidRPr="000A118B">
                <w:rPr>
                  <w:i/>
                  <w:iCs/>
                  <w:noProof/>
                </w:rPr>
                <w:t>The British Journal of Social Work</w:t>
              </w:r>
              <w:r w:rsidRPr="000A118B">
                <w:rPr>
                  <w:noProof/>
                </w:rPr>
                <w:t>, pp. 2571–2589.</w:t>
              </w:r>
            </w:p>
            <w:p w14:paraId="2606DA0E" w14:textId="77777777" w:rsidR="000A118B" w:rsidRPr="000A118B" w:rsidRDefault="000A118B" w:rsidP="000A118B">
              <w:pPr>
                <w:pStyle w:val="Bibliography"/>
                <w:ind w:left="720" w:hanging="720"/>
                <w:rPr>
                  <w:noProof/>
                </w:rPr>
              </w:pPr>
              <w:r w:rsidRPr="000A118B">
                <w:rPr>
                  <w:noProof/>
                </w:rPr>
                <w:t xml:space="preserve">Bassot, B. (2024). </w:t>
              </w:r>
              <w:r w:rsidRPr="000A118B">
                <w:rPr>
                  <w:i/>
                  <w:iCs/>
                  <w:noProof/>
                </w:rPr>
                <w:t>The reflective journal .</w:t>
              </w:r>
              <w:r w:rsidRPr="000A118B">
                <w:rPr>
                  <w:noProof/>
                </w:rPr>
                <w:t xml:space="preserve"> London : Bloomsbury Publishing.</w:t>
              </w:r>
            </w:p>
            <w:p w14:paraId="6FE80B26" w14:textId="77777777" w:rsidR="000A118B" w:rsidRPr="000A118B" w:rsidRDefault="000A118B" w:rsidP="000A118B">
              <w:pPr>
                <w:pStyle w:val="Bibliography"/>
                <w:ind w:left="720" w:hanging="720"/>
                <w:rPr>
                  <w:noProof/>
                </w:rPr>
              </w:pPr>
              <w:r w:rsidRPr="000A118B">
                <w:rPr>
                  <w:noProof/>
                </w:rPr>
                <w:t xml:space="preserve">Brandon, M., &amp; Thorburn , J. (2008). Safeguarding children in the UK: a longitudinal study of services to children suffering or likely to suffer significant harm. </w:t>
              </w:r>
              <w:r w:rsidRPr="000A118B">
                <w:rPr>
                  <w:i/>
                  <w:iCs/>
                  <w:noProof/>
                </w:rPr>
                <w:t>Child &amp; Family Social Work</w:t>
              </w:r>
              <w:r w:rsidRPr="000A118B">
                <w:rPr>
                  <w:noProof/>
                </w:rPr>
                <w:t>, p. 365-377.</w:t>
              </w:r>
            </w:p>
            <w:p w14:paraId="4A735A7F" w14:textId="2EA061FC" w:rsidR="000A118B" w:rsidRPr="000A118B" w:rsidRDefault="000A118B" w:rsidP="000A118B">
              <w:pPr>
                <w:pStyle w:val="Bibliography"/>
                <w:ind w:left="720" w:hanging="720"/>
                <w:rPr>
                  <w:noProof/>
                </w:rPr>
              </w:pPr>
              <w:r w:rsidRPr="000A118B">
                <w:rPr>
                  <w:noProof/>
                </w:rPr>
                <w:t>Caffrey, L., &amp; Browne, F. (2022). Understanding the social worker–family relationship through self</w:t>
              </w:r>
              <w:r w:rsidRPr="000A118B">
                <w:rPr>
                  <w:rFonts w:ascii="Cambria Math" w:hAnsi="Cambria Math" w:cs="Cambria Math"/>
                  <w:noProof/>
                </w:rPr>
                <w:t>‐</w:t>
              </w:r>
              <w:r w:rsidRPr="000A118B">
                <w:rPr>
                  <w:noProof/>
                </w:rPr>
                <w:t xml:space="preserve">determination theory: A realist synthesis of Signs of Safety. </w:t>
              </w:r>
              <w:r w:rsidRPr="000A118B">
                <w:rPr>
                  <w:i/>
                  <w:iCs/>
                  <w:noProof/>
                </w:rPr>
                <w:t>Child &amp; family social work</w:t>
              </w:r>
              <w:r w:rsidRPr="000A118B">
                <w:rPr>
                  <w:noProof/>
                </w:rPr>
                <w:t>, p.513-525.</w:t>
              </w:r>
            </w:p>
            <w:p w14:paraId="2C5D4C99" w14:textId="77777777" w:rsidR="000A118B" w:rsidRPr="000A118B" w:rsidRDefault="000A118B" w:rsidP="000A118B">
              <w:pPr>
                <w:ind w:right="237"/>
                <w:jc w:val="both"/>
                <w:rPr>
                  <w:rFonts w:eastAsia="Arial"/>
                  <w:color w:val="000000" w:themeColor="text1"/>
                </w:rPr>
              </w:pPr>
              <w:r w:rsidRPr="000A118B">
                <w:rPr>
                  <w:rFonts w:eastAsia="Arial"/>
                  <w:color w:val="000000" w:themeColor="text1"/>
                </w:rPr>
                <w:t xml:space="preserve">Children Act 1989, Available at: </w:t>
              </w:r>
            </w:p>
            <w:p w14:paraId="774BA747" w14:textId="30E07976" w:rsidR="000A118B" w:rsidRPr="000A118B" w:rsidRDefault="000A118B" w:rsidP="000A118B">
              <w:pPr>
                <w:ind w:right="237"/>
                <w:jc w:val="both"/>
                <w:rPr>
                  <w:rFonts w:eastAsia="Arial"/>
                  <w:color w:val="000000" w:themeColor="text1"/>
                </w:rPr>
              </w:pPr>
              <w:r w:rsidRPr="000A118B">
                <w:t xml:space="preserve">             </w:t>
              </w:r>
              <w:r w:rsidRPr="000A118B">
                <w:rPr>
                  <w:rFonts w:eastAsia="Arial"/>
                </w:rPr>
                <w:t>https://www.legislation.gov.uk/ukpga/1989/41/section/47</w:t>
              </w:r>
              <w:r w:rsidRPr="000A118B">
                <w:rPr>
                  <w:rFonts w:eastAsia="Arial"/>
                  <w:color w:val="000000" w:themeColor="text1"/>
                </w:rPr>
                <w:t xml:space="preserve"> (Accessed: 19   September 2024)</w:t>
              </w:r>
            </w:p>
            <w:p w14:paraId="159139B8" w14:textId="77777777" w:rsidR="000A118B" w:rsidRPr="000A118B" w:rsidRDefault="000A118B" w:rsidP="000A118B">
              <w:pPr>
                <w:pStyle w:val="Bibliography"/>
                <w:ind w:left="720" w:hanging="720"/>
                <w:rPr>
                  <w:noProof/>
                </w:rPr>
              </w:pPr>
              <w:r w:rsidRPr="000A118B">
                <w:rPr>
                  <w:noProof/>
                </w:rPr>
                <w:t xml:space="preserve">College of Policing . (2015, January 1st). </w:t>
              </w:r>
              <w:r w:rsidRPr="000A118B">
                <w:rPr>
                  <w:i/>
                  <w:iCs/>
                  <w:noProof/>
                </w:rPr>
                <w:t>College of Policing analysis: Estimating demand on the police service</w:t>
              </w:r>
              <w:r w:rsidRPr="000A118B">
                <w:rPr>
                  <w:noProof/>
                </w:rPr>
                <w:t>. Retrieved from College of Policing: https://assets.college.police.uk/s3fs-public/2021-03/demand-on-policing-report.pdf</w:t>
              </w:r>
            </w:p>
            <w:p w14:paraId="7F601637" w14:textId="77777777" w:rsidR="000A118B" w:rsidRPr="000A118B" w:rsidRDefault="000A118B" w:rsidP="000A118B">
              <w:pPr>
                <w:pStyle w:val="Bibliography"/>
                <w:ind w:left="720" w:hanging="720"/>
                <w:rPr>
                  <w:noProof/>
                </w:rPr>
              </w:pPr>
              <w:r w:rsidRPr="000A118B">
                <w:rPr>
                  <w:noProof/>
                </w:rPr>
                <w:t xml:space="preserve">College of Policing. (2024, January 25). </w:t>
              </w:r>
              <w:r w:rsidRPr="000A118B">
                <w:rPr>
                  <w:i/>
                  <w:iCs/>
                  <w:noProof/>
                </w:rPr>
                <w:t>Offender management for domestic abuse</w:t>
              </w:r>
              <w:r w:rsidRPr="000A118B">
                <w:rPr>
                  <w:noProof/>
                </w:rPr>
                <w:t>. Retrieved from Working in partnership to deliver interventions that address the behaviour of domestic abuse perpetrators.: https://www.college.police.uk/support-forces/practices/offender-management-domestic-abuse#:~:text=Currently%2C%20across%20the%20entire%20population,a%2098%25%20DA%20reoffending%20rate.</w:t>
              </w:r>
            </w:p>
            <w:p w14:paraId="24413C09" w14:textId="77777777" w:rsidR="000A118B" w:rsidRPr="000A118B" w:rsidRDefault="000A118B" w:rsidP="000A118B">
              <w:pPr>
                <w:pStyle w:val="Bibliography"/>
                <w:ind w:left="720" w:hanging="720"/>
                <w:rPr>
                  <w:noProof/>
                </w:rPr>
              </w:pPr>
              <w:r w:rsidRPr="000A118B">
                <w:rPr>
                  <w:noProof/>
                </w:rPr>
                <w:t xml:space="preserve">Coulshed, V., &amp; Orme, J. (2006). </w:t>
              </w:r>
              <w:r w:rsidRPr="000A118B">
                <w:rPr>
                  <w:i/>
                  <w:iCs/>
                  <w:noProof/>
                </w:rPr>
                <w:t>Social Work pratice .</w:t>
              </w:r>
              <w:r w:rsidRPr="000A118B">
                <w:rPr>
                  <w:noProof/>
                </w:rPr>
                <w:t xml:space="preserve"> London : Sage Publications .</w:t>
              </w:r>
            </w:p>
            <w:p w14:paraId="75A8E914" w14:textId="77777777" w:rsidR="000A118B" w:rsidRPr="000A118B" w:rsidRDefault="000A118B" w:rsidP="000A118B">
              <w:pPr>
                <w:pStyle w:val="Bibliography"/>
                <w:ind w:left="720" w:hanging="720"/>
                <w:rPr>
                  <w:noProof/>
                </w:rPr>
              </w:pPr>
              <w:r w:rsidRPr="000A118B">
                <w:rPr>
                  <w:noProof/>
                </w:rPr>
                <w:t xml:space="preserve">Crown Prosecution Service . (2024, July 18). </w:t>
              </w:r>
              <w:r w:rsidRPr="000A118B">
                <w:rPr>
                  <w:i/>
                  <w:iCs/>
                  <w:noProof/>
                </w:rPr>
                <w:t>CPS data summary Quarter 4 2023-2024</w:t>
              </w:r>
              <w:r w:rsidRPr="000A118B">
                <w:rPr>
                  <w:noProof/>
                </w:rPr>
                <w:t>. Retrieved from Publication, Sexual offences , Domestic abuse , Hate crime: https://www.cps.gov.uk/publication/cps-data-summary-quarter-4-2023-2024</w:t>
              </w:r>
            </w:p>
            <w:p w14:paraId="247395B6" w14:textId="01433473" w:rsidR="000A118B" w:rsidRPr="000A118B" w:rsidRDefault="000A118B" w:rsidP="000A118B">
              <w:pPr>
                <w:pStyle w:val="Bibliography"/>
                <w:ind w:left="720" w:hanging="720"/>
                <w:rPr>
                  <w:noProof/>
                </w:rPr>
              </w:pPr>
              <w:r w:rsidRPr="000A118B">
                <w:rPr>
                  <w:noProof/>
                </w:rPr>
                <w:t xml:space="preserve">Driscoll, J. (2006). </w:t>
              </w:r>
              <w:r w:rsidRPr="000A118B">
                <w:rPr>
                  <w:i/>
                  <w:iCs/>
                  <w:noProof/>
                </w:rPr>
                <w:t>Practising clinical supervision: A reflective approach for healthcare professionals.</w:t>
              </w:r>
              <w:r w:rsidRPr="000A118B">
                <w:rPr>
                  <w:noProof/>
                </w:rPr>
                <w:t xml:space="preserve"> London: Elsevier Health Sciences.</w:t>
              </w:r>
            </w:p>
            <w:p w14:paraId="38E2EA01" w14:textId="77777777" w:rsidR="000A118B" w:rsidRPr="000A118B" w:rsidRDefault="000A118B" w:rsidP="000A118B">
              <w:pPr>
                <w:pStyle w:val="Bibliography"/>
                <w:ind w:left="720" w:hanging="720"/>
                <w:rPr>
                  <w:noProof/>
                </w:rPr>
              </w:pPr>
              <w:r w:rsidRPr="000A118B">
                <w:rPr>
                  <w:noProof/>
                </w:rPr>
                <w:t xml:space="preserve">Ford, K., Newbury , A., Meredith , Z., Evans , J., Hughes , K., &amp; Roderick, J. (2020). Understanding the outcome of police safeguarding notifications to social services in South Wales. </w:t>
              </w:r>
              <w:r w:rsidRPr="000A118B">
                <w:rPr>
                  <w:i/>
                  <w:iCs/>
                  <w:noProof/>
                </w:rPr>
                <w:t>The Police Journal</w:t>
              </w:r>
              <w:r w:rsidRPr="000A118B">
                <w:rPr>
                  <w:noProof/>
                </w:rPr>
                <w:t>.</w:t>
              </w:r>
            </w:p>
            <w:p w14:paraId="7437FB9B" w14:textId="77777777" w:rsidR="000A118B" w:rsidRPr="000A118B" w:rsidRDefault="000A118B" w:rsidP="000A118B">
              <w:pPr>
                <w:pStyle w:val="Bibliography"/>
                <w:ind w:left="720" w:hanging="720"/>
                <w:rPr>
                  <w:noProof/>
                </w:rPr>
              </w:pPr>
              <w:r w:rsidRPr="000A118B">
                <w:rPr>
                  <w:noProof/>
                </w:rPr>
                <w:t xml:space="preserve">Gibbs, G. (1988). </w:t>
              </w:r>
              <w:r w:rsidRPr="000A118B">
                <w:rPr>
                  <w:i/>
                  <w:iCs/>
                  <w:noProof/>
                </w:rPr>
                <w:t>Learning by Doing, A Guide to Teaching and Learning Methods.</w:t>
              </w:r>
              <w:r w:rsidRPr="000A118B">
                <w:rPr>
                  <w:noProof/>
                </w:rPr>
                <w:t xml:space="preserve"> Oxford : Oxford University Press .</w:t>
              </w:r>
            </w:p>
            <w:p w14:paraId="22BC61F2" w14:textId="77777777" w:rsidR="000A118B" w:rsidRPr="000A118B" w:rsidRDefault="000A118B" w:rsidP="000A118B">
              <w:pPr>
                <w:pStyle w:val="Bibliography"/>
                <w:ind w:left="720" w:hanging="720"/>
                <w:rPr>
                  <w:noProof/>
                </w:rPr>
              </w:pPr>
              <w:r w:rsidRPr="000A118B">
                <w:rPr>
                  <w:noProof/>
                </w:rPr>
                <w:t xml:space="preserve">Green, M. (2014). Credibility Contests: The Elephant in the Room. </w:t>
              </w:r>
              <w:r w:rsidRPr="000A118B">
                <w:rPr>
                  <w:i/>
                  <w:iCs/>
                  <w:noProof/>
                </w:rPr>
                <w:t>The international journal of evidence &amp; proof</w:t>
              </w:r>
              <w:r w:rsidRPr="000A118B">
                <w:rPr>
                  <w:noProof/>
                </w:rPr>
                <w:t>, 28-40.</w:t>
              </w:r>
            </w:p>
            <w:p w14:paraId="3006457A" w14:textId="77777777" w:rsidR="000A118B" w:rsidRPr="000A118B" w:rsidRDefault="000A118B" w:rsidP="000A118B">
              <w:pPr>
                <w:pStyle w:val="Bibliography"/>
                <w:ind w:left="720" w:hanging="720"/>
                <w:rPr>
                  <w:noProof/>
                </w:rPr>
              </w:pPr>
              <w:r w:rsidRPr="000A118B">
                <w:rPr>
                  <w:noProof/>
                </w:rPr>
                <w:t xml:space="preserve">Harbison, S., &amp; Sijen, T. (2021). On the Identification of Body Fluids and Tissues: A Crucial Link in the Investigation and Solution of Crime. </w:t>
              </w:r>
              <w:r w:rsidRPr="000A118B">
                <w:rPr>
                  <w:i/>
                  <w:iCs/>
                  <w:noProof/>
                </w:rPr>
                <w:t>Genes</w:t>
              </w:r>
              <w:r w:rsidRPr="000A118B">
                <w:rPr>
                  <w:noProof/>
                </w:rPr>
                <w:t>, 1728.</w:t>
              </w:r>
            </w:p>
            <w:p w14:paraId="7BA41483" w14:textId="77777777" w:rsidR="000A118B" w:rsidRPr="000A118B" w:rsidRDefault="000A118B" w:rsidP="000A118B">
              <w:pPr>
                <w:pStyle w:val="Bibliography"/>
                <w:ind w:left="720" w:hanging="720"/>
                <w:rPr>
                  <w:noProof/>
                </w:rPr>
              </w:pPr>
              <w:r w:rsidRPr="000A118B">
                <w:rPr>
                  <w:noProof/>
                </w:rPr>
                <w:t xml:space="preserve">Hoppe, S., Yan, Z., Hayes , B., &amp; Bills, M. (2020). Mandatory arrest for domestic violence and repeat offending: A meta-analysis. </w:t>
              </w:r>
              <w:r w:rsidRPr="000A118B">
                <w:rPr>
                  <w:i/>
                  <w:iCs/>
                  <w:noProof/>
                </w:rPr>
                <w:t>Aggression and violent behavior</w:t>
              </w:r>
              <w:r w:rsidRPr="000A118B">
                <w:rPr>
                  <w:noProof/>
                </w:rPr>
                <w:t>.</w:t>
              </w:r>
            </w:p>
            <w:p w14:paraId="60B3D276" w14:textId="77777777" w:rsidR="000A118B" w:rsidRPr="000A118B" w:rsidRDefault="000A118B" w:rsidP="000A118B">
              <w:pPr>
                <w:pStyle w:val="Bibliography"/>
                <w:ind w:left="720" w:hanging="720"/>
                <w:rPr>
                  <w:noProof/>
                </w:rPr>
              </w:pPr>
              <w:r w:rsidRPr="000A118B">
                <w:rPr>
                  <w:noProof/>
                </w:rPr>
                <w:t xml:space="preserve">Mary, B., Ixer, G., &amp; Manthorpe, J. (2020). Practice Frameworks in Children’s Services in England: An Attempt to Steer Social Work Back on Course? </w:t>
              </w:r>
              <w:r w:rsidRPr="000A118B">
                <w:rPr>
                  <w:i/>
                  <w:iCs/>
                  <w:noProof/>
                </w:rPr>
                <w:t>Social Work in Action</w:t>
              </w:r>
              <w:r w:rsidRPr="000A118B">
                <w:rPr>
                  <w:noProof/>
                </w:rPr>
                <w:t>, pp. 3-19.</w:t>
              </w:r>
            </w:p>
            <w:p w14:paraId="6D9DCFDB" w14:textId="77777777" w:rsidR="000A118B" w:rsidRPr="000A118B" w:rsidRDefault="000A118B" w:rsidP="000A118B">
              <w:pPr>
                <w:pStyle w:val="Bibliography"/>
                <w:ind w:left="720" w:hanging="720"/>
                <w:rPr>
                  <w:noProof/>
                </w:rPr>
              </w:pPr>
              <w:r w:rsidRPr="000A118B">
                <w:rPr>
                  <w:noProof/>
                </w:rPr>
                <w:t xml:space="preserve">Mills, R., &amp; Stanley , T. (2014). 'Signs of Safety' Practice at the Health and Children's Social Care Interface. </w:t>
              </w:r>
              <w:r w:rsidRPr="000A118B">
                <w:rPr>
                  <w:i/>
                  <w:iCs/>
                  <w:noProof/>
                </w:rPr>
                <w:t>Practice</w:t>
              </w:r>
              <w:r w:rsidRPr="000A118B">
                <w:rPr>
                  <w:noProof/>
                </w:rPr>
                <w:t>, 23-36.</w:t>
              </w:r>
            </w:p>
            <w:p w14:paraId="5A3C0057" w14:textId="77777777" w:rsidR="000A118B" w:rsidRPr="000A118B" w:rsidRDefault="000A118B" w:rsidP="000A118B">
              <w:pPr>
                <w:pStyle w:val="Bibliography"/>
                <w:ind w:left="720" w:hanging="720"/>
                <w:rPr>
                  <w:noProof/>
                </w:rPr>
              </w:pPr>
              <w:r w:rsidRPr="000A118B">
                <w:rPr>
                  <w:noProof/>
                </w:rPr>
                <w:t xml:space="preserve">Ministry of Jutsice. (2024, July 25). </w:t>
              </w:r>
              <w:r w:rsidRPr="000A118B">
                <w:rPr>
                  <w:i/>
                  <w:iCs/>
                  <w:noProof/>
                </w:rPr>
                <w:t>Proven reoffending statistics: July to September 2022</w:t>
              </w:r>
              <w:r w:rsidRPr="000A118B">
                <w:rPr>
                  <w:noProof/>
                </w:rPr>
                <w:t>. Retrieved from Gov.uk: https://www.gov.uk/government/statistics/proven-reoffending-statistics-july-2022-to-september-2022/proven-reoffending-statistics-july-to-september-2022</w:t>
              </w:r>
            </w:p>
            <w:p w14:paraId="4AE5E624" w14:textId="77777777" w:rsidR="000A118B" w:rsidRPr="000A118B" w:rsidRDefault="000A118B" w:rsidP="000A118B">
              <w:pPr>
                <w:pStyle w:val="Bibliography"/>
                <w:ind w:left="720" w:hanging="720"/>
                <w:rPr>
                  <w:noProof/>
                </w:rPr>
              </w:pPr>
              <w:r w:rsidRPr="000A118B">
                <w:rPr>
                  <w:noProof/>
                </w:rPr>
                <w:t xml:space="preserve">Office for National Satistics . (2023, November 24). </w:t>
              </w:r>
              <w:r w:rsidRPr="000A118B">
                <w:rPr>
                  <w:i/>
                  <w:iCs/>
                  <w:noProof/>
                </w:rPr>
                <w:t>Domestic abuse in England and Wales overview: November 2023</w:t>
              </w:r>
              <w:r w:rsidRPr="000A118B">
                <w:rPr>
                  <w:noProof/>
                </w:rPr>
                <w:t>. Retrieved from Figures on domestic abuse from the Crime Survey for England and Wales, police recorded crime, and other organisations.: https://www.ons.gov.uk/peoplepopulationandcommunity/crimeandjustice/bulletins/domesticabuseinenglandandwalesoverview/november2023</w:t>
              </w:r>
            </w:p>
            <w:p w14:paraId="70BAD96D" w14:textId="77777777" w:rsidR="000A118B" w:rsidRPr="000A118B" w:rsidRDefault="000A118B" w:rsidP="000A118B">
              <w:pPr>
                <w:pStyle w:val="Bibliography"/>
                <w:ind w:left="720" w:hanging="720"/>
                <w:rPr>
                  <w:noProof/>
                </w:rPr>
              </w:pPr>
              <w:r w:rsidRPr="000A118B">
                <w:rPr>
                  <w:noProof/>
                </w:rPr>
                <w:lastRenderedPageBreak/>
                <w:t xml:space="preserve">ONS. (2022, November 25). </w:t>
              </w:r>
              <w:r w:rsidRPr="000A118B">
                <w:rPr>
                  <w:i/>
                  <w:iCs/>
                  <w:noProof/>
                </w:rPr>
                <w:t xml:space="preserve">Office for National Satistics </w:t>
              </w:r>
              <w:r w:rsidRPr="000A118B">
                <w:rPr>
                  <w:noProof/>
                </w:rPr>
                <w:t>. Retrieved from Domestic abuse prevalence and trends, England and Wales: year ending March 2022: https://www.ons.gov.uk/peoplepopulationandcommunity/crimeandjustice/articles/domesticabuseprevalenceandtrendsenglandandwales/yearendingmarch2022</w:t>
              </w:r>
            </w:p>
            <w:p w14:paraId="267A8E44" w14:textId="77777777" w:rsidR="000A118B" w:rsidRPr="000A118B" w:rsidRDefault="000A118B" w:rsidP="000A118B">
              <w:pPr>
                <w:ind w:right="237"/>
                <w:jc w:val="both"/>
                <w:rPr>
                  <w:color w:val="000000" w:themeColor="text1"/>
                </w:rPr>
              </w:pPr>
              <w:r w:rsidRPr="000A118B">
                <w:rPr>
                  <w:color w:val="000000" w:themeColor="text1"/>
                </w:rPr>
                <w:t>Offences Against the Person Act 1861</w:t>
              </w:r>
            </w:p>
            <w:p w14:paraId="38977BF1" w14:textId="56E018D7" w:rsidR="000A118B" w:rsidRPr="000A118B" w:rsidRDefault="000A118B" w:rsidP="000A118B">
              <w:pPr>
                <w:ind w:right="237"/>
                <w:jc w:val="both"/>
                <w:rPr>
                  <w:color w:val="000000" w:themeColor="text1"/>
                </w:rPr>
              </w:pPr>
              <w:r w:rsidRPr="000A118B">
                <w:rPr>
                  <w:color w:val="000000" w:themeColor="text1"/>
                </w:rPr>
                <w:t xml:space="preserve">       </w:t>
              </w:r>
              <w:r>
                <w:rPr>
                  <w:color w:val="000000" w:themeColor="text1"/>
                </w:rPr>
                <w:t xml:space="preserve">  </w:t>
              </w:r>
              <w:r w:rsidRPr="000A118B">
                <w:rPr>
                  <w:color w:val="000000" w:themeColor="text1"/>
                </w:rPr>
                <w:t xml:space="preserve">   </w:t>
              </w:r>
              <w:r w:rsidR="000D747E">
                <w:rPr>
                  <w:color w:val="000000" w:themeColor="text1"/>
                </w:rPr>
                <w:t xml:space="preserve">  </w:t>
              </w:r>
              <w:r w:rsidRPr="000A118B">
                <w:rPr>
                  <w:color w:val="000000" w:themeColor="text1"/>
                </w:rPr>
                <w:t>https://www.legislation.gov.uk/ukpga/Vict/24-25/100/section/47</w:t>
              </w:r>
              <w:r>
                <w:rPr>
                  <w:color w:val="000000" w:themeColor="text1"/>
                </w:rPr>
                <w:t xml:space="preserve"> </w:t>
              </w:r>
              <w:r w:rsidRPr="000A118B">
                <w:rPr>
                  <w:color w:val="000000" w:themeColor="text1"/>
                </w:rPr>
                <w:t xml:space="preserve">(Accessed: 13 October </w:t>
              </w:r>
              <w:r>
                <w:rPr>
                  <w:color w:val="000000" w:themeColor="text1"/>
                </w:rPr>
                <w:t xml:space="preserve">   </w:t>
              </w:r>
              <w:r w:rsidRPr="000A118B">
                <w:rPr>
                  <w:color w:val="000000" w:themeColor="text1"/>
                </w:rPr>
                <w:t xml:space="preserve">2024) </w:t>
              </w:r>
            </w:p>
            <w:p w14:paraId="10640121" w14:textId="1F73267D" w:rsidR="000A118B" w:rsidRPr="000A118B" w:rsidRDefault="000A118B" w:rsidP="000A118B">
              <w:pPr>
                <w:ind w:right="237"/>
                <w:jc w:val="both"/>
                <w:rPr>
                  <w:rFonts w:eastAsia="Arial"/>
                  <w:color w:val="000000" w:themeColor="text1"/>
                </w:rPr>
              </w:pPr>
              <w:r w:rsidRPr="000A118B">
                <w:rPr>
                  <w:rFonts w:eastAsia="Arial"/>
                  <w:color w:val="000000" w:themeColor="text1"/>
                </w:rPr>
                <w:t>Police and Criminal Evidence Act 1984, Available at:</w:t>
              </w:r>
            </w:p>
            <w:p w14:paraId="001C6E5B" w14:textId="02ABF8B4" w:rsidR="000A118B" w:rsidRPr="000A118B" w:rsidRDefault="000A118B" w:rsidP="000A118B">
              <w:pPr>
                <w:ind w:right="237"/>
                <w:jc w:val="both"/>
                <w:rPr>
                  <w:rFonts w:eastAsia="Arial"/>
                  <w:color w:val="000000" w:themeColor="text1"/>
                </w:rPr>
              </w:pPr>
              <w:r w:rsidRPr="000A118B">
                <w:t xml:space="preserve">           </w:t>
              </w:r>
              <w:r w:rsidR="000D747E">
                <w:t xml:space="preserve">  </w:t>
              </w:r>
              <w:r w:rsidRPr="000A118B">
                <w:t xml:space="preserve">https://www.legislation.gov.uk/ukpga/1984/60/contents </w:t>
              </w:r>
              <w:r w:rsidRPr="000A118B">
                <w:rPr>
                  <w:rFonts w:eastAsia="Arial"/>
                  <w:color w:val="000000" w:themeColor="text1"/>
                </w:rPr>
                <w:t>(Accessed: 27 September 2024)</w:t>
              </w:r>
            </w:p>
            <w:p w14:paraId="5DC252AD" w14:textId="405E2E26" w:rsidR="000A118B" w:rsidRPr="000A118B" w:rsidRDefault="000A118B" w:rsidP="000A118B">
              <w:pPr>
                <w:ind w:right="237"/>
                <w:jc w:val="both"/>
                <w:rPr>
                  <w:rFonts w:eastAsia="Arial"/>
                  <w:color w:val="000000" w:themeColor="text1"/>
                </w:rPr>
              </w:pPr>
              <w:r w:rsidRPr="000A118B">
                <w:rPr>
                  <w:rFonts w:eastAsia="Arial"/>
                  <w:color w:val="000000" w:themeColor="text1"/>
                </w:rPr>
                <w:t xml:space="preserve">Public Order Act 1986, Available at: </w:t>
              </w:r>
            </w:p>
            <w:p w14:paraId="6B4D5287" w14:textId="1A70B283" w:rsidR="000A118B" w:rsidRPr="000A118B" w:rsidRDefault="000A118B" w:rsidP="000A118B">
              <w:pPr>
                <w:ind w:right="237"/>
                <w:jc w:val="both"/>
                <w:rPr>
                  <w:rFonts w:eastAsia="Arial"/>
                  <w:color w:val="000000" w:themeColor="text1"/>
                </w:rPr>
              </w:pPr>
              <w:r w:rsidRPr="000A118B">
                <w:t xml:space="preserve">            </w:t>
              </w:r>
              <w:r w:rsidR="000D747E">
                <w:t xml:space="preserve"> </w:t>
              </w:r>
              <w:r w:rsidRPr="000A118B">
                <w:rPr>
                  <w:rFonts w:eastAsia="Arial"/>
                </w:rPr>
                <w:t>https://www.legislation.gov.uk/ukpga/1986/64/section/3</w:t>
              </w:r>
              <w:r w:rsidRPr="000A118B">
                <w:rPr>
                  <w:rFonts w:eastAsia="Arial"/>
                  <w:color w:val="000000" w:themeColor="text1"/>
                </w:rPr>
                <w:t xml:space="preserve"> (Accessed: 19 September 2024) </w:t>
              </w:r>
            </w:p>
            <w:p w14:paraId="4B342F72" w14:textId="77777777" w:rsidR="000A118B" w:rsidRPr="000A118B" w:rsidRDefault="000A118B" w:rsidP="000A118B">
              <w:pPr>
                <w:pStyle w:val="Bibliography"/>
                <w:ind w:left="720" w:hanging="720"/>
                <w:rPr>
                  <w:noProof/>
                </w:rPr>
              </w:pPr>
              <w:r w:rsidRPr="000A118B">
                <w:rPr>
                  <w:noProof/>
                </w:rPr>
                <w:t xml:space="preserve">Roy, J. (2022). Signs of Safety: The View From Early Help. </w:t>
              </w:r>
              <w:r w:rsidRPr="000A118B">
                <w:rPr>
                  <w:i/>
                  <w:iCs/>
                  <w:noProof/>
                </w:rPr>
                <w:t>Child care in practice : Northern Ireland journal of multi-disciplinary child care practice</w:t>
              </w:r>
              <w:r w:rsidRPr="000A118B">
                <w:rPr>
                  <w:noProof/>
                </w:rPr>
                <w:t>, 482-498.</w:t>
              </w:r>
            </w:p>
            <w:p w14:paraId="2C0D0434" w14:textId="77777777" w:rsidR="000A118B" w:rsidRPr="000A118B" w:rsidRDefault="000A118B" w:rsidP="000A118B">
              <w:pPr>
                <w:pStyle w:val="Bibliography"/>
                <w:ind w:left="720" w:hanging="720"/>
                <w:rPr>
                  <w:noProof/>
                </w:rPr>
              </w:pPr>
              <w:r w:rsidRPr="000A118B">
                <w:rPr>
                  <w:noProof/>
                </w:rPr>
                <w:t xml:space="preserve">Sammons, A., &amp; Putwain, D. (2019). </w:t>
              </w:r>
              <w:r w:rsidRPr="000A118B">
                <w:rPr>
                  <w:i/>
                  <w:iCs/>
                  <w:noProof/>
                </w:rPr>
                <w:t>Psychology and Crime.</w:t>
              </w:r>
              <w:r w:rsidRPr="000A118B">
                <w:rPr>
                  <w:noProof/>
                </w:rPr>
                <w:t xml:space="preserve"> Abingdon: Taylor &amp; Francis Group.</w:t>
              </w:r>
            </w:p>
            <w:p w14:paraId="0A6705ED" w14:textId="77777777" w:rsidR="000A118B" w:rsidRPr="000A118B" w:rsidRDefault="000A118B" w:rsidP="000A118B">
              <w:pPr>
                <w:pStyle w:val="Bibliography"/>
                <w:ind w:left="720" w:hanging="720"/>
                <w:rPr>
                  <w:noProof/>
                </w:rPr>
              </w:pPr>
              <w:r w:rsidRPr="000A118B">
                <w:rPr>
                  <w:noProof/>
                </w:rPr>
                <w:t xml:space="preserve">Sleath , E., &amp; Brown , S. (2017). Staff and offender perspectives of Integrated Offender Management and the impact of its introduction on arrests and risk of reoffending in one police force region. </w:t>
              </w:r>
              <w:r w:rsidRPr="000A118B">
                <w:rPr>
                  <w:i/>
                  <w:iCs/>
                  <w:noProof/>
                </w:rPr>
                <w:t>Policing and Society</w:t>
              </w:r>
              <w:r w:rsidRPr="000A118B">
                <w:rPr>
                  <w:noProof/>
                </w:rPr>
                <w:t>, 511-529.</w:t>
              </w:r>
            </w:p>
            <w:p w14:paraId="2D5B1011" w14:textId="77777777" w:rsidR="000A118B" w:rsidRPr="000A118B" w:rsidRDefault="000A118B" w:rsidP="000A118B">
              <w:pPr>
                <w:pStyle w:val="Bibliography"/>
                <w:ind w:left="720" w:hanging="720"/>
                <w:rPr>
                  <w:noProof/>
                </w:rPr>
              </w:pPr>
              <w:r w:rsidRPr="000A118B">
                <w:rPr>
                  <w:noProof/>
                </w:rPr>
                <w:t xml:space="preserve">Smith , A., Heyes, K., Bradbury, A., Fox , C., Jordan, H., &amp; Kiss, Z. (2018). The effectiveness of probation supervision towards reducing reoffending: A Rapid Evidence Assessment. </w:t>
              </w:r>
              <w:r w:rsidRPr="000A118B">
                <w:rPr>
                  <w:i/>
                  <w:iCs/>
                  <w:noProof/>
                </w:rPr>
                <w:t>Probation Journal</w:t>
              </w:r>
              <w:r w:rsidRPr="000A118B">
                <w:rPr>
                  <w:noProof/>
                </w:rPr>
                <w:t>, 407-428.</w:t>
              </w:r>
            </w:p>
            <w:p w14:paraId="19843425" w14:textId="77777777" w:rsidR="000A118B" w:rsidRPr="000A118B" w:rsidRDefault="000A118B" w:rsidP="000A118B">
              <w:pPr>
                <w:pStyle w:val="Bibliography"/>
                <w:ind w:left="720" w:hanging="720"/>
                <w:rPr>
                  <w:noProof/>
                </w:rPr>
              </w:pPr>
              <w:r w:rsidRPr="000A118B">
                <w:rPr>
                  <w:noProof/>
                </w:rPr>
                <w:t xml:space="preserve">Williams , M., Norman , D., &amp; Home , P. (2021). Software for the trajectory analysis of blood-drops: A systematic review. </w:t>
              </w:r>
              <w:r w:rsidRPr="000A118B">
                <w:rPr>
                  <w:i/>
                  <w:iCs/>
                  <w:noProof/>
                </w:rPr>
                <w:t>Forensic Science International</w:t>
              </w:r>
              <w:r w:rsidRPr="000A118B">
                <w:rPr>
                  <w:noProof/>
                </w:rPr>
                <w:t>, 328.</w:t>
              </w:r>
            </w:p>
            <w:p w14:paraId="7FD12C5B" w14:textId="77777777" w:rsidR="000A118B" w:rsidRPr="000A118B" w:rsidRDefault="000A118B" w:rsidP="000A118B">
              <w:pPr>
                <w:pStyle w:val="Bibliography"/>
                <w:ind w:left="720" w:hanging="720"/>
                <w:rPr>
                  <w:noProof/>
                </w:rPr>
              </w:pPr>
              <w:r w:rsidRPr="000A118B">
                <w:rPr>
                  <w:noProof/>
                </w:rPr>
                <w:t xml:space="preserve">Williams, B. (2023). </w:t>
              </w:r>
              <w:r w:rsidRPr="000A118B">
                <w:rPr>
                  <w:i/>
                  <w:iCs/>
                  <w:noProof/>
                </w:rPr>
                <w:t>Policing Mental Health, Vulnerability and Risk.</w:t>
              </w:r>
              <w:r w:rsidRPr="000A118B">
                <w:rPr>
                  <w:noProof/>
                </w:rPr>
                <w:t xml:space="preserve"> St. Albans : Critical Publishing.</w:t>
              </w:r>
            </w:p>
            <w:p w14:paraId="3DF1FDD9" w14:textId="23CAFBBE" w:rsidR="000A118B" w:rsidRDefault="000A118B" w:rsidP="000A118B">
              <w:r w:rsidRPr="000A118B">
                <w:rPr>
                  <w:b/>
                  <w:bCs/>
                  <w:noProof/>
                </w:rPr>
                <w:fldChar w:fldCharType="end"/>
              </w:r>
            </w:p>
          </w:sdtContent>
        </w:sdt>
      </w:sdtContent>
    </w:sdt>
    <w:p w14:paraId="79BA194F" w14:textId="77777777" w:rsidR="000A118B" w:rsidRDefault="000A118B" w:rsidP="00443CBD">
      <w:pPr>
        <w:ind w:right="237"/>
        <w:jc w:val="both"/>
        <w:rPr>
          <w:rFonts w:eastAsia="Arial"/>
          <w:color w:val="000000" w:themeColor="text1"/>
          <w:sz w:val="24"/>
          <w:szCs w:val="24"/>
        </w:rPr>
      </w:pPr>
    </w:p>
    <w:p w14:paraId="42CAE062" w14:textId="77777777" w:rsidR="000A118B" w:rsidRDefault="000A118B" w:rsidP="00443CBD">
      <w:pPr>
        <w:ind w:right="237"/>
        <w:jc w:val="both"/>
        <w:rPr>
          <w:rFonts w:eastAsia="Arial"/>
          <w:color w:val="000000" w:themeColor="text1"/>
          <w:sz w:val="24"/>
          <w:szCs w:val="24"/>
        </w:rPr>
      </w:pPr>
    </w:p>
    <w:p w14:paraId="292D8D2C" w14:textId="77777777" w:rsidR="00443CBD" w:rsidRPr="00907AEB" w:rsidRDefault="00443CBD" w:rsidP="00443CBD">
      <w:pPr>
        <w:ind w:right="237"/>
        <w:jc w:val="both"/>
        <w:rPr>
          <w:rFonts w:eastAsia="Arial"/>
          <w:color w:val="000000" w:themeColor="text1"/>
          <w:sz w:val="24"/>
          <w:szCs w:val="24"/>
        </w:rPr>
      </w:pPr>
    </w:p>
    <w:p w14:paraId="5F79612C" w14:textId="4E91C753" w:rsidR="009370AE" w:rsidRDefault="009370AE"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3F4437AE" w:rsidR="0FF883D4" w:rsidRDefault="5CE196A1" w:rsidP="5CE196A1">
      <w:r w:rsidRPr="5CE196A1">
        <w:rPr>
          <w:rFonts w:eastAsia="Arial"/>
          <w:b/>
          <w:bCs/>
          <w:color w:val="000000" w:themeColor="text1"/>
          <w:sz w:val="24"/>
          <w:szCs w:val="24"/>
        </w:rPr>
        <w:t xml:space="preserve">Authentication signature: </w:t>
      </w:r>
      <w:r w:rsidR="00907AEB">
        <w:rPr>
          <w:rFonts w:eastAsia="Arial"/>
          <w:b/>
          <w:bCs/>
          <w:color w:val="000000" w:themeColor="text1"/>
          <w:sz w:val="24"/>
          <w:szCs w:val="24"/>
        </w:rPr>
        <w:t xml:space="preserve">Corey Rumbelow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17BAD286"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r w:rsidR="00907AEB">
        <w:rPr>
          <w:rFonts w:eastAsia="Arial"/>
          <w:b/>
          <w:bCs/>
          <w:color w:val="000000" w:themeColor="text1"/>
          <w:sz w:val="24"/>
          <w:szCs w:val="24"/>
        </w:rPr>
        <w:t xml:space="preserve">I confirm this to be the case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EE88BE5" w:rsidR="0FF883D4" w:rsidRDefault="5CE196A1" w:rsidP="5CE196A1">
      <w:r w:rsidRPr="5CE196A1">
        <w:rPr>
          <w:rFonts w:eastAsia="Arial"/>
          <w:b/>
          <w:bCs/>
          <w:color w:val="000000" w:themeColor="text1"/>
          <w:sz w:val="24"/>
          <w:szCs w:val="24"/>
        </w:rPr>
        <w:t xml:space="preserve">Signed: </w:t>
      </w:r>
      <w:r w:rsidR="00907AEB">
        <w:rPr>
          <w:rFonts w:eastAsia="Arial"/>
          <w:b/>
          <w:bCs/>
          <w:color w:val="000000" w:themeColor="text1"/>
          <w:sz w:val="24"/>
          <w:szCs w:val="24"/>
        </w:rPr>
        <w:t xml:space="preserve">Corey Rumbelow </w:t>
      </w:r>
      <w:r w:rsidR="004E7150">
        <w:rPr>
          <w:rFonts w:eastAsia="Arial"/>
          <w:b/>
          <w:bCs/>
          <w:color w:val="000000" w:themeColor="text1"/>
          <w:sz w:val="24"/>
          <w:szCs w:val="24"/>
        </w:rPr>
        <w:t>2245913</w:t>
      </w:r>
    </w:p>
    <w:p w14:paraId="563192E7" w14:textId="7A83C86F" w:rsidR="0FF883D4" w:rsidRDefault="5CE196A1" w:rsidP="5CE196A1">
      <w:r w:rsidRPr="5CE196A1">
        <w:rPr>
          <w:rFonts w:eastAsia="Arial"/>
          <w:b/>
          <w:bCs/>
          <w:color w:val="000000" w:themeColor="text1"/>
          <w:sz w:val="24"/>
          <w:szCs w:val="24"/>
        </w:rPr>
        <w:t xml:space="preserve"> </w:t>
      </w:r>
    </w:p>
    <w:p w14:paraId="482B2B3A" w14:textId="65C29760" w:rsidR="0FF883D4" w:rsidRPr="00907AEB" w:rsidRDefault="5CE196A1" w:rsidP="00907AEB">
      <w:pPr>
        <w:sectPr w:rsidR="0FF883D4" w:rsidRPr="00907A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907AEB">
        <w:t xml:space="preserve"> </w:t>
      </w:r>
      <w:r w:rsidR="004E7150">
        <w:t>22</w:t>
      </w:r>
      <w:r w:rsidR="00907AEB">
        <w:t>/10/24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0F0E1C" w14:textId="77777777" w:rsidR="00CA04BD" w:rsidRDefault="00CA04BD">
      <w:r>
        <w:separator/>
      </w:r>
    </w:p>
  </w:endnote>
  <w:endnote w:type="continuationSeparator" w:id="0">
    <w:p w14:paraId="066B7E94" w14:textId="77777777" w:rsidR="00CA04BD" w:rsidRDefault="00CA0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876977" w14:textId="77777777" w:rsidR="00CA04BD" w:rsidRDefault="00CA04BD">
      <w:r>
        <w:separator/>
      </w:r>
    </w:p>
  </w:footnote>
  <w:footnote w:type="continuationSeparator" w:id="0">
    <w:p w14:paraId="137F1C55" w14:textId="77777777" w:rsidR="00CA04BD" w:rsidRDefault="00CA04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66B98"/>
    <w:rsid w:val="00080477"/>
    <w:rsid w:val="00080CF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118B"/>
    <w:rsid w:val="000A4240"/>
    <w:rsid w:val="000A469A"/>
    <w:rsid w:val="000B1E96"/>
    <w:rsid w:val="000C378F"/>
    <w:rsid w:val="000C6892"/>
    <w:rsid w:val="000C6FFE"/>
    <w:rsid w:val="000D0BB6"/>
    <w:rsid w:val="000D747E"/>
    <w:rsid w:val="000E26B0"/>
    <w:rsid w:val="000F1599"/>
    <w:rsid w:val="000F1769"/>
    <w:rsid w:val="000F6196"/>
    <w:rsid w:val="000F7ECD"/>
    <w:rsid w:val="00102E64"/>
    <w:rsid w:val="0010312C"/>
    <w:rsid w:val="00106DC7"/>
    <w:rsid w:val="00112391"/>
    <w:rsid w:val="00114F52"/>
    <w:rsid w:val="00115E45"/>
    <w:rsid w:val="0012135C"/>
    <w:rsid w:val="00130E83"/>
    <w:rsid w:val="00131E81"/>
    <w:rsid w:val="00132F43"/>
    <w:rsid w:val="00133655"/>
    <w:rsid w:val="001347F8"/>
    <w:rsid w:val="00137BB5"/>
    <w:rsid w:val="00137E05"/>
    <w:rsid w:val="00142C70"/>
    <w:rsid w:val="001447F6"/>
    <w:rsid w:val="00147DE3"/>
    <w:rsid w:val="00150794"/>
    <w:rsid w:val="001608C4"/>
    <w:rsid w:val="00171418"/>
    <w:rsid w:val="00190207"/>
    <w:rsid w:val="00190913"/>
    <w:rsid w:val="001961CF"/>
    <w:rsid w:val="001A21A9"/>
    <w:rsid w:val="001A59BB"/>
    <w:rsid w:val="001A6A51"/>
    <w:rsid w:val="001A79C4"/>
    <w:rsid w:val="001B331A"/>
    <w:rsid w:val="001C0E74"/>
    <w:rsid w:val="001C1716"/>
    <w:rsid w:val="001C6CEC"/>
    <w:rsid w:val="001D229F"/>
    <w:rsid w:val="001D51C0"/>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2BC4"/>
    <w:rsid w:val="002246A0"/>
    <w:rsid w:val="00224AF9"/>
    <w:rsid w:val="00230439"/>
    <w:rsid w:val="00231A3A"/>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108"/>
    <w:rsid w:val="00291ADD"/>
    <w:rsid w:val="00294868"/>
    <w:rsid w:val="00295CA1"/>
    <w:rsid w:val="00296017"/>
    <w:rsid w:val="002A291A"/>
    <w:rsid w:val="002A5604"/>
    <w:rsid w:val="002B1701"/>
    <w:rsid w:val="002B23C3"/>
    <w:rsid w:val="002B443A"/>
    <w:rsid w:val="002B5B35"/>
    <w:rsid w:val="002C256A"/>
    <w:rsid w:val="002C496D"/>
    <w:rsid w:val="002D05EB"/>
    <w:rsid w:val="002D25E7"/>
    <w:rsid w:val="002D2F29"/>
    <w:rsid w:val="002D2FD3"/>
    <w:rsid w:val="002D3950"/>
    <w:rsid w:val="002E7017"/>
    <w:rsid w:val="002F4F6E"/>
    <w:rsid w:val="003015C3"/>
    <w:rsid w:val="0030698D"/>
    <w:rsid w:val="0031350A"/>
    <w:rsid w:val="00315346"/>
    <w:rsid w:val="00316815"/>
    <w:rsid w:val="003168CA"/>
    <w:rsid w:val="00321255"/>
    <w:rsid w:val="0032230D"/>
    <w:rsid w:val="00322A0B"/>
    <w:rsid w:val="00332F54"/>
    <w:rsid w:val="00335FC5"/>
    <w:rsid w:val="00340E9A"/>
    <w:rsid w:val="003516C0"/>
    <w:rsid w:val="00352E59"/>
    <w:rsid w:val="00354DBE"/>
    <w:rsid w:val="00355210"/>
    <w:rsid w:val="003555D5"/>
    <w:rsid w:val="00356335"/>
    <w:rsid w:val="003621CC"/>
    <w:rsid w:val="00365DF9"/>
    <w:rsid w:val="0036668D"/>
    <w:rsid w:val="00372DB4"/>
    <w:rsid w:val="0037490C"/>
    <w:rsid w:val="00375AF5"/>
    <w:rsid w:val="003761BD"/>
    <w:rsid w:val="003769F6"/>
    <w:rsid w:val="00385414"/>
    <w:rsid w:val="00385BB8"/>
    <w:rsid w:val="00390074"/>
    <w:rsid w:val="00394EC2"/>
    <w:rsid w:val="00396D0C"/>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1BC5"/>
    <w:rsid w:val="003F1C5C"/>
    <w:rsid w:val="004046F0"/>
    <w:rsid w:val="0040668F"/>
    <w:rsid w:val="004110AF"/>
    <w:rsid w:val="00412677"/>
    <w:rsid w:val="00417925"/>
    <w:rsid w:val="004348AE"/>
    <w:rsid w:val="00435E9A"/>
    <w:rsid w:val="004376C0"/>
    <w:rsid w:val="0044115F"/>
    <w:rsid w:val="004418D2"/>
    <w:rsid w:val="0044223A"/>
    <w:rsid w:val="00443CBD"/>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849F9"/>
    <w:rsid w:val="004911B4"/>
    <w:rsid w:val="0049196A"/>
    <w:rsid w:val="004923DA"/>
    <w:rsid w:val="00493434"/>
    <w:rsid w:val="00495C08"/>
    <w:rsid w:val="004962F9"/>
    <w:rsid w:val="004968E2"/>
    <w:rsid w:val="004A07F1"/>
    <w:rsid w:val="004A14C4"/>
    <w:rsid w:val="004A2A49"/>
    <w:rsid w:val="004A51EC"/>
    <w:rsid w:val="004B600B"/>
    <w:rsid w:val="004B6822"/>
    <w:rsid w:val="004B69F6"/>
    <w:rsid w:val="004C2D3A"/>
    <w:rsid w:val="004D03C4"/>
    <w:rsid w:val="004D0BF1"/>
    <w:rsid w:val="004D24D2"/>
    <w:rsid w:val="004D35A4"/>
    <w:rsid w:val="004D445F"/>
    <w:rsid w:val="004E087B"/>
    <w:rsid w:val="004E44A4"/>
    <w:rsid w:val="004E7150"/>
    <w:rsid w:val="004E7B8B"/>
    <w:rsid w:val="004E7BDD"/>
    <w:rsid w:val="004F1E21"/>
    <w:rsid w:val="004F740D"/>
    <w:rsid w:val="004F7B8F"/>
    <w:rsid w:val="00500748"/>
    <w:rsid w:val="005011D6"/>
    <w:rsid w:val="0050167A"/>
    <w:rsid w:val="005042F1"/>
    <w:rsid w:val="00510D6A"/>
    <w:rsid w:val="00513C7D"/>
    <w:rsid w:val="00513CF0"/>
    <w:rsid w:val="005169D1"/>
    <w:rsid w:val="00521123"/>
    <w:rsid w:val="00521221"/>
    <w:rsid w:val="00536FA9"/>
    <w:rsid w:val="005414F4"/>
    <w:rsid w:val="00546187"/>
    <w:rsid w:val="005463F1"/>
    <w:rsid w:val="00550103"/>
    <w:rsid w:val="00557D77"/>
    <w:rsid w:val="00562EAA"/>
    <w:rsid w:val="00563B58"/>
    <w:rsid w:val="005640C4"/>
    <w:rsid w:val="00564C53"/>
    <w:rsid w:val="005660BA"/>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31AC"/>
    <w:rsid w:val="00654329"/>
    <w:rsid w:val="00654CEC"/>
    <w:rsid w:val="00655507"/>
    <w:rsid w:val="006712A7"/>
    <w:rsid w:val="006733CC"/>
    <w:rsid w:val="00674FC2"/>
    <w:rsid w:val="00676247"/>
    <w:rsid w:val="00677E42"/>
    <w:rsid w:val="00682334"/>
    <w:rsid w:val="00684B16"/>
    <w:rsid w:val="00694C00"/>
    <w:rsid w:val="00696F65"/>
    <w:rsid w:val="006A7A6D"/>
    <w:rsid w:val="006B5E67"/>
    <w:rsid w:val="006C2EB5"/>
    <w:rsid w:val="006C3F19"/>
    <w:rsid w:val="006D18A3"/>
    <w:rsid w:val="006D5970"/>
    <w:rsid w:val="006E481E"/>
    <w:rsid w:val="006E795F"/>
    <w:rsid w:val="006F0A10"/>
    <w:rsid w:val="006F374E"/>
    <w:rsid w:val="00700249"/>
    <w:rsid w:val="0070604C"/>
    <w:rsid w:val="007069CD"/>
    <w:rsid w:val="00710D69"/>
    <w:rsid w:val="007110E6"/>
    <w:rsid w:val="00711A70"/>
    <w:rsid w:val="00712E6F"/>
    <w:rsid w:val="00712E90"/>
    <w:rsid w:val="00713B7E"/>
    <w:rsid w:val="0071499F"/>
    <w:rsid w:val="007203DA"/>
    <w:rsid w:val="007204AE"/>
    <w:rsid w:val="00725495"/>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B7D58"/>
    <w:rsid w:val="007C0546"/>
    <w:rsid w:val="007C1634"/>
    <w:rsid w:val="007C1D94"/>
    <w:rsid w:val="007C2879"/>
    <w:rsid w:val="007C6A87"/>
    <w:rsid w:val="007C705D"/>
    <w:rsid w:val="007D0A07"/>
    <w:rsid w:val="007D0C96"/>
    <w:rsid w:val="007D133D"/>
    <w:rsid w:val="007D3B99"/>
    <w:rsid w:val="007D3EB4"/>
    <w:rsid w:val="007D3F16"/>
    <w:rsid w:val="007D78CC"/>
    <w:rsid w:val="007F3F7E"/>
    <w:rsid w:val="007F5497"/>
    <w:rsid w:val="00813CEC"/>
    <w:rsid w:val="0081534C"/>
    <w:rsid w:val="008171E4"/>
    <w:rsid w:val="008208EA"/>
    <w:rsid w:val="00823570"/>
    <w:rsid w:val="00824E67"/>
    <w:rsid w:val="00825A64"/>
    <w:rsid w:val="00826F48"/>
    <w:rsid w:val="008308AE"/>
    <w:rsid w:val="0083166E"/>
    <w:rsid w:val="00831DC3"/>
    <w:rsid w:val="008322C7"/>
    <w:rsid w:val="00834F1D"/>
    <w:rsid w:val="00835F87"/>
    <w:rsid w:val="00836FEC"/>
    <w:rsid w:val="00841F9D"/>
    <w:rsid w:val="008420E1"/>
    <w:rsid w:val="00843CCA"/>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C7C04"/>
    <w:rsid w:val="008D5813"/>
    <w:rsid w:val="008D634E"/>
    <w:rsid w:val="008D778A"/>
    <w:rsid w:val="008E39A5"/>
    <w:rsid w:val="008F22BD"/>
    <w:rsid w:val="009079BD"/>
    <w:rsid w:val="00907AEB"/>
    <w:rsid w:val="00912BD9"/>
    <w:rsid w:val="00914ACA"/>
    <w:rsid w:val="00916CFB"/>
    <w:rsid w:val="00920E5B"/>
    <w:rsid w:val="009249F8"/>
    <w:rsid w:val="00926436"/>
    <w:rsid w:val="00926ED5"/>
    <w:rsid w:val="0093018C"/>
    <w:rsid w:val="00932CCA"/>
    <w:rsid w:val="009370AE"/>
    <w:rsid w:val="00953CF1"/>
    <w:rsid w:val="009544C0"/>
    <w:rsid w:val="00954FA4"/>
    <w:rsid w:val="00956AE9"/>
    <w:rsid w:val="00964CC6"/>
    <w:rsid w:val="009714EB"/>
    <w:rsid w:val="00976A15"/>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09F3"/>
    <w:rsid w:val="009F3AEC"/>
    <w:rsid w:val="00A00081"/>
    <w:rsid w:val="00A015F7"/>
    <w:rsid w:val="00A07483"/>
    <w:rsid w:val="00A10D56"/>
    <w:rsid w:val="00A12AAE"/>
    <w:rsid w:val="00A15B06"/>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378C"/>
    <w:rsid w:val="00A652F6"/>
    <w:rsid w:val="00A732EA"/>
    <w:rsid w:val="00A7489E"/>
    <w:rsid w:val="00A760DE"/>
    <w:rsid w:val="00A8015F"/>
    <w:rsid w:val="00A80BD2"/>
    <w:rsid w:val="00A85039"/>
    <w:rsid w:val="00A851F7"/>
    <w:rsid w:val="00A906AA"/>
    <w:rsid w:val="00A94C5E"/>
    <w:rsid w:val="00AA241A"/>
    <w:rsid w:val="00AA252C"/>
    <w:rsid w:val="00AA666E"/>
    <w:rsid w:val="00AB326F"/>
    <w:rsid w:val="00AB5518"/>
    <w:rsid w:val="00AC01D4"/>
    <w:rsid w:val="00AC2A6A"/>
    <w:rsid w:val="00AC4A04"/>
    <w:rsid w:val="00AC7EB1"/>
    <w:rsid w:val="00AD2726"/>
    <w:rsid w:val="00AD336F"/>
    <w:rsid w:val="00AD3550"/>
    <w:rsid w:val="00AE228B"/>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47B81"/>
    <w:rsid w:val="00B50FBA"/>
    <w:rsid w:val="00B558EB"/>
    <w:rsid w:val="00B577D3"/>
    <w:rsid w:val="00B60466"/>
    <w:rsid w:val="00B6548F"/>
    <w:rsid w:val="00B732BB"/>
    <w:rsid w:val="00B7502A"/>
    <w:rsid w:val="00B77305"/>
    <w:rsid w:val="00B80F16"/>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370C"/>
    <w:rsid w:val="00BC460B"/>
    <w:rsid w:val="00BC5725"/>
    <w:rsid w:val="00BD1A8D"/>
    <w:rsid w:val="00BD30B1"/>
    <w:rsid w:val="00BE0F7B"/>
    <w:rsid w:val="00BE10C2"/>
    <w:rsid w:val="00C01D14"/>
    <w:rsid w:val="00C025B4"/>
    <w:rsid w:val="00C0275F"/>
    <w:rsid w:val="00C11F61"/>
    <w:rsid w:val="00C1238A"/>
    <w:rsid w:val="00C161FD"/>
    <w:rsid w:val="00C23EA8"/>
    <w:rsid w:val="00C23F17"/>
    <w:rsid w:val="00C26A95"/>
    <w:rsid w:val="00C26D0D"/>
    <w:rsid w:val="00C27C95"/>
    <w:rsid w:val="00C300D2"/>
    <w:rsid w:val="00C3270F"/>
    <w:rsid w:val="00C3278B"/>
    <w:rsid w:val="00C33375"/>
    <w:rsid w:val="00C34C23"/>
    <w:rsid w:val="00C42005"/>
    <w:rsid w:val="00C44446"/>
    <w:rsid w:val="00C4664D"/>
    <w:rsid w:val="00C472AA"/>
    <w:rsid w:val="00C505EF"/>
    <w:rsid w:val="00C50A05"/>
    <w:rsid w:val="00C54AED"/>
    <w:rsid w:val="00C55B2F"/>
    <w:rsid w:val="00C63D00"/>
    <w:rsid w:val="00C6441B"/>
    <w:rsid w:val="00C64805"/>
    <w:rsid w:val="00C7108B"/>
    <w:rsid w:val="00C77203"/>
    <w:rsid w:val="00C8089F"/>
    <w:rsid w:val="00C82EE9"/>
    <w:rsid w:val="00C836CC"/>
    <w:rsid w:val="00C87A74"/>
    <w:rsid w:val="00C90A71"/>
    <w:rsid w:val="00C91574"/>
    <w:rsid w:val="00C91BC2"/>
    <w:rsid w:val="00C92C71"/>
    <w:rsid w:val="00C93F8F"/>
    <w:rsid w:val="00C94420"/>
    <w:rsid w:val="00C94BF2"/>
    <w:rsid w:val="00CA04BD"/>
    <w:rsid w:val="00CA2745"/>
    <w:rsid w:val="00CA3593"/>
    <w:rsid w:val="00CA7F4F"/>
    <w:rsid w:val="00CB04C4"/>
    <w:rsid w:val="00CB258E"/>
    <w:rsid w:val="00CB3C8F"/>
    <w:rsid w:val="00CB75CE"/>
    <w:rsid w:val="00CC02F1"/>
    <w:rsid w:val="00CC11A6"/>
    <w:rsid w:val="00CC135E"/>
    <w:rsid w:val="00CC434C"/>
    <w:rsid w:val="00CC4ECA"/>
    <w:rsid w:val="00CC6AB7"/>
    <w:rsid w:val="00CD556C"/>
    <w:rsid w:val="00CD5D3F"/>
    <w:rsid w:val="00CF1E90"/>
    <w:rsid w:val="00CF3DB3"/>
    <w:rsid w:val="00D00E0D"/>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94BA9"/>
    <w:rsid w:val="00DA1025"/>
    <w:rsid w:val="00DA22EC"/>
    <w:rsid w:val="00DA230C"/>
    <w:rsid w:val="00DA5860"/>
    <w:rsid w:val="00DB2767"/>
    <w:rsid w:val="00DC08B3"/>
    <w:rsid w:val="00DC4729"/>
    <w:rsid w:val="00DE556F"/>
    <w:rsid w:val="00E03B6D"/>
    <w:rsid w:val="00E0649E"/>
    <w:rsid w:val="00E078EE"/>
    <w:rsid w:val="00E17160"/>
    <w:rsid w:val="00E211BF"/>
    <w:rsid w:val="00E2640B"/>
    <w:rsid w:val="00E35BEC"/>
    <w:rsid w:val="00E4570B"/>
    <w:rsid w:val="00E50821"/>
    <w:rsid w:val="00E50EF8"/>
    <w:rsid w:val="00E51F91"/>
    <w:rsid w:val="00E54DD7"/>
    <w:rsid w:val="00E676F7"/>
    <w:rsid w:val="00E7086E"/>
    <w:rsid w:val="00E7374A"/>
    <w:rsid w:val="00E73C41"/>
    <w:rsid w:val="00E7598F"/>
    <w:rsid w:val="00E76F60"/>
    <w:rsid w:val="00E83342"/>
    <w:rsid w:val="00E83D90"/>
    <w:rsid w:val="00E83F28"/>
    <w:rsid w:val="00E83F91"/>
    <w:rsid w:val="00E84C71"/>
    <w:rsid w:val="00E9107A"/>
    <w:rsid w:val="00E91F62"/>
    <w:rsid w:val="00E929FD"/>
    <w:rsid w:val="00E93240"/>
    <w:rsid w:val="00E9479B"/>
    <w:rsid w:val="00EA28F1"/>
    <w:rsid w:val="00EA4D48"/>
    <w:rsid w:val="00EB2173"/>
    <w:rsid w:val="00EB2257"/>
    <w:rsid w:val="00EB62E6"/>
    <w:rsid w:val="00ED1B30"/>
    <w:rsid w:val="00ED250E"/>
    <w:rsid w:val="00ED6535"/>
    <w:rsid w:val="00EE1AC1"/>
    <w:rsid w:val="00EE39D6"/>
    <w:rsid w:val="00EE413C"/>
    <w:rsid w:val="00EE52AD"/>
    <w:rsid w:val="00EF137C"/>
    <w:rsid w:val="00F01F92"/>
    <w:rsid w:val="00F10A08"/>
    <w:rsid w:val="00F139CF"/>
    <w:rsid w:val="00F22AC5"/>
    <w:rsid w:val="00F22D14"/>
    <w:rsid w:val="00F254D1"/>
    <w:rsid w:val="00F32B82"/>
    <w:rsid w:val="00F4043E"/>
    <w:rsid w:val="00F40CB5"/>
    <w:rsid w:val="00F41BBC"/>
    <w:rsid w:val="00F43B9D"/>
    <w:rsid w:val="00F444F0"/>
    <w:rsid w:val="00F50847"/>
    <w:rsid w:val="00F53F27"/>
    <w:rsid w:val="00F546D1"/>
    <w:rsid w:val="00F61979"/>
    <w:rsid w:val="00F6513F"/>
    <w:rsid w:val="00F66272"/>
    <w:rsid w:val="00F6ACA0"/>
    <w:rsid w:val="00F709C0"/>
    <w:rsid w:val="00F8610A"/>
    <w:rsid w:val="00F927A1"/>
    <w:rsid w:val="00F92E4D"/>
    <w:rsid w:val="00F94392"/>
    <w:rsid w:val="00FA3764"/>
    <w:rsid w:val="00FA56ED"/>
    <w:rsid w:val="00FB4F0C"/>
    <w:rsid w:val="00FB5FA6"/>
    <w:rsid w:val="00FC1310"/>
    <w:rsid w:val="00FC1328"/>
    <w:rsid w:val="00FC2FF3"/>
    <w:rsid w:val="00FC3263"/>
    <w:rsid w:val="00FC51F9"/>
    <w:rsid w:val="00FC5B40"/>
    <w:rsid w:val="00FC5FF8"/>
    <w:rsid w:val="00FC702B"/>
    <w:rsid w:val="00FD3D7C"/>
    <w:rsid w:val="00FD4F8F"/>
    <w:rsid w:val="00FD4FF1"/>
    <w:rsid w:val="00FE0C16"/>
    <w:rsid w:val="00FE10FC"/>
    <w:rsid w:val="00FE14AD"/>
    <w:rsid w:val="00FE14B1"/>
    <w:rsid w:val="00FE1F6A"/>
    <w:rsid w:val="00FE565E"/>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9714EB"/>
    <w:rPr>
      <w:color w:val="605E5C"/>
      <w:shd w:val="clear" w:color="auto" w:fill="E1DFDD"/>
    </w:rPr>
  </w:style>
  <w:style w:type="character" w:customStyle="1" w:styleId="Heading1Char">
    <w:name w:val="Heading 1 Char"/>
    <w:basedOn w:val="DefaultParagraphFont"/>
    <w:link w:val="Heading1"/>
    <w:uiPriority w:val="9"/>
    <w:rsid w:val="00907AEB"/>
    <w:rPr>
      <w:rFonts w:ascii="Arial" w:hAnsi="Arial" w:cs="Arial"/>
      <w:b/>
      <w:color w:val="000000"/>
      <w:kern w:val="28"/>
      <w:sz w:val="28"/>
      <w:lang w:eastAsia="en-GB"/>
    </w:rPr>
  </w:style>
  <w:style w:type="paragraph" w:styleId="Bibliography">
    <w:name w:val="Bibliography"/>
    <w:basedOn w:val="Normal"/>
    <w:next w:val="Normal"/>
    <w:uiPriority w:val="37"/>
    <w:unhideWhenUsed/>
    <w:rsid w:val="00907AEB"/>
  </w:style>
  <w:style w:type="character" w:styleId="FollowedHyperlink">
    <w:name w:val="FollowedHyperlink"/>
    <w:basedOn w:val="DefaultParagraphFont"/>
    <w:uiPriority w:val="99"/>
    <w:semiHidden/>
    <w:unhideWhenUsed/>
    <w:rsid w:val="00443C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121">
      <w:bodyDiv w:val="1"/>
      <w:marLeft w:val="0"/>
      <w:marRight w:val="0"/>
      <w:marTop w:val="0"/>
      <w:marBottom w:val="0"/>
      <w:divBdr>
        <w:top w:val="none" w:sz="0" w:space="0" w:color="auto"/>
        <w:left w:val="none" w:sz="0" w:space="0" w:color="auto"/>
        <w:bottom w:val="none" w:sz="0" w:space="0" w:color="auto"/>
        <w:right w:val="none" w:sz="0" w:space="0" w:color="auto"/>
      </w:divBdr>
    </w:div>
    <w:div w:id="10373456">
      <w:bodyDiv w:val="1"/>
      <w:marLeft w:val="0"/>
      <w:marRight w:val="0"/>
      <w:marTop w:val="0"/>
      <w:marBottom w:val="0"/>
      <w:divBdr>
        <w:top w:val="none" w:sz="0" w:space="0" w:color="auto"/>
        <w:left w:val="none" w:sz="0" w:space="0" w:color="auto"/>
        <w:bottom w:val="none" w:sz="0" w:space="0" w:color="auto"/>
        <w:right w:val="none" w:sz="0" w:space="0" w:color="auto"/>
      </w:divBdr>
    </w:div>
    <w:div w:id="16779248">
      <w:bodyDiv w:val="1"/>
      <w:marLeft w:val="0"/>
      <w:marRight w:val="0"/>
      <w:marTop w:val="0"/>
      <w:marBottom w:val="0"/>
      <w:divBdr>
        <w:top w:val="none" w:sz="0" w:space="0" w:color="auto"/>
        <w:left w:val="none" w:sz="0" w:space="0" w:color="auto"/>
        <w:bottom w:val="none" w:sz="0" w:space="0" w:color="auto"/>
        <w:right w:val="none" w:sz="0" w:space="0" w:color="auto"/>
      </w:divBdr>
    </w:div>
    <w:div w:id="85003125">
      <w:bodyDiv w:val="1"/>
      <w:marLeft w:val="0"/>
      <w:marRight w:val="0"/>
      <w:marTop w:val="0"/>
      <w:marBottom w:val="0"/>
      <w:divBdr>
        <w:top w:val="none" w:sz="0" w:space="0" w:color="auto"/>
        <w:left w:val="none" w:sz="0" w:space="0" w:color="auto"/>
        <w:bottom w:val="none" w:sz="0" w:space="0" w:color="auto"/>
        <w:right w:val="none" w:sz="0" w:space="0" w:color="auto"/>
      </w:divBdr>
    </w:div>
    <w:div w:id="91947216">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87837869">
      <w:bodyDiv w:val="1"/>
      <w:marLeft w:val="0"/>
      <w:marRight w:val="0"/>
      <w:marTop w:val="0"/>
      <w:marBottom w:val="0"/>
      <w:divBdr>
        <w:top w:val="none" w:sz="0" w:space="0" w:color="auto"/>
        <w:left w:val="none" w:sz="0" w:space="0" w:color="auto"/>
        <w:bottom w:val="none" w:sz="0" w:space="0" w:color="auto"/>
        <w:right w:val="none" w:sz="0" w:space="0" w:color="auto"/>
      </w:divBdr>
    </w:div>
    <w:div w:id="201674756">
      <w:bodyDiv w:val="1"/>
      <w:marLeft w:val="0"/>
      <w:marRight w:val="0"/>
      <w:marTop w:val="0"/>
      <w:marBottom w:val="0"/>
      <w:divBdr>
        <w:top w:val="none" w:sz="0" w:space="0" w:color="auto"/>
        <w:left w:val="none" w:sz="0" w:space="0" w:color="auto"/>
        <w:bottom w:val="none" w:sz="0" w:space="0" w:color="auto"/>
        <w:right w:val="none" w:sz="0" w:space="0" w:color="auto"/>
      </w:divBdr>
    </w:div>
    <w:div w:id="279922471">
      <w:bodyDiv w:val="1"/>
      <w:marLeft w:val="0"/>
      <w:marRight w:val="0"/>
      <w:marTop w:val="0"/>
      <w:marBottom w:val="0"/>
      <w:divBdr>
        <w:top w:val="none" w:sz="0" w:space="0" w:color="auto"/>
        <w:left w:val="none" w:sz="0" w:space="0" w:color="auto"/>
        <w:bottom w:val="none" w:sz="0" w:space="0" w:color="auto"/>
        <w:right w:val="none" w:sz="0" w:space="0" w:color="auto"/>
      </w:divBdr>
    </w:div>
    <w:div w:id="343173717">
      <w:bodyDiv w:val="1"/>
      <w:marLeft w:val="0"/>
      <w:marRight w:val="0"/>
      <w:marTop w:val="0"/>
      <w:marBottom w:val="0"/>
      <w:divBdr>
        <w:top w:val="none" w:sz="0" w:space="0" w:color="auto"/>
        <w:left w:val="none" w:sz="0" w:space="0" w:color="auto"/>
        <w:bottom w:val="none" w:sz="0" w:space="0" w:color="auto"/>
        <w:right w:val="none" w:sz="0" w:space="0" w:color="auto"/>
      </w:divBdr>
    </w:div>
    <w:div w:id="361127733">
      <w:bodyDiv w:val="1"/>
      <w:marLeft w:val="0"/>
      <w:marRight w:val="0"/>
      <w:marTop w:val="0"/>
      <w:marBottom w:val="0"/>
      <w:divBdr>
        <w:top w:val="none" w:sz="0" w:space="0" w:color="auto"/>
        <w:left w:val="none" w:sz="0" w:space="0" w:color="auto"/>
        <w:bottom w:val="none" w:sz="0" w:space="0" w:color="auto"/>
        <w:right w:val="none" w:sz="0" w:space="0" w:color="auto"/>
      </w:divBdr>
    </w:div>
    <w:div w:id="387189479">
      <w:bodyDiv w:val="1"/>
      <w:marLeft w:val="0"/>
      <w:marRight w:val="0"/>
      <w:marTop w:val="0"/>
      <w:marBottom w:val="0"/>
      <w:divBdr>
        <w:top w:val="none" w:sz="0" w:space="0" w:color="auto"/>
        <w:left w:val="none" w:sz="0" w:space="0" w:color="auto"/>
        <w:bottom w:val="none" w:sz="0" w:space="0" w:color="auto"/>
        <w:right w:val="none" w:sz="0" w:space="0" w:color="auto"/>
      </w:divBdr>
    </w:div>
    <w:div w:id="468206661">
      <w:bodyDiv w:val="1"/>
      <w:marLeft w:val="0"/>
      <w:marRight w:val="0"/>
      <w:marTop w:val="0"/>
      <w:marBottom w:val="0"/>
      <w:divBdr>
        <w:top w:val="none" w:sz="0" w:space="0" w:color="auto"/>
        <w:left w:val="none" w:sz="0" w:space="0" w:color="auto"/>
        <w:bottom w:val="none" w:sz="0" w:space="0" w:color="auto"/>
        <w:right w:val="none" w:sz="0" w:space="0" w:color="auto"/>
      </w:divBdr>
    </w:div>
    <w:div w:id="473715295">
      <w:bodyDiv w:val="1"/>
      <w:marLeft w:val="0"/>
      <w:marRight w:val="0"/>
      <w:marTop w:val="0"/>
      <w:marBottom w:val="0"/>
      <w:divBdr>
        <w:top w:val="none" w:sz="0" w:space="0" w:color="auto"/>
        <w:left w:val="none" w:sz="0" w:space="0" w:color="auto"/>
        <w:bottom w:val="none" w:sz="0" w:space="0" w:color="auto"/>
        <w:right w:val="none" w:sz="0" w:space="0" w:color="auto"/>
      </w:divBdr>
    </w:div>
    <w:div w:id="527910024">
      <w:bodyDiv w:val="1"/>
      <w:marLeft w:val="0"/>
      <w:marRight w:val="0"/>
      <w:marTop w:val="0"/>
      <w:marBottom w:val="0"/>
      <w:divBdr>
        <w:top w:val="none" w:sz="0" w:space="0" w:color="auto"/>
        <w:left w:val="none" w:sz="0" w:space="0" w:color="auto"/>
        <w:bottom w:val="none" w:sz="0" w:space="0" w:color="auto"/>
        <w:right w:val="none" w:sz="0" w:space="0" w:color="auto"/>
      </w:divBdr>
    </w:div>
    <w:div w:id="535823571">
      <w:bodyDiv w:val="1"/>
      <w:marLeft w:val="0"/>
      <w:marRight w:val="0"/>
      <w:marTop w:val="0"/>
      <w:marBottom w:val="0"/>
      <w:divBdr>
        <w:top w:val="none" w:sz="0" w:space="0" w:color="auto"/>
        <w:left w:val="none" w:sz="0" w:space="0" w:color="auto"/>
        <w:bottom w:val="none" w:sz="0" w:space="0" w:color="auto"/>
        <w:right w:val="none" w:sz="0" w:space="0" w:color="auto"/>
      </w:divBdr>
    </w:div>
    <w:div w:id="550921532">
      <w:bodyDiv w:val="1"/>
      <w:marLeft w:val="0"/>
      <w:marRight w:val="0"/>
      <w:marTop w:val="0"/>
      <w:marBottom w:val="0"/>
      <w:divBdr>
        <w:top w:val="none" w:sz="0" w:space="0" w:color="auto"/>
        <w:left w:val="none" w:sz="0" w:space="0" w:color="auto"/>
        <w:bottom w:val="none" w:sz="0" w:space="0" w:color="auto"/>
        <w:right w:val="none" w:sz="0" w:space="0" w:color="auto"/>
      </w:divBdr>
    </w:div>
    <w:div w:id="591355559">
      <w:bodyDiv w:val="1"/>
      <w:marLeft w:val="0"/>
      <w:marRight w:val="0"/>
      <w:marTop w:val="0"/>
      <w:marBottom w:val="0"/>
      <w:divBdr>
        <w:top w:val="none" w:sz="0" w:space="0" w:color="auto"/>
        <w:left w:val="none" w:sz="0" w:space="0" w:color="auto"/>
        <w:bottom w:val="none" w:sz="0" w:space="0" w:color="auto"/>
        <w:right w:val="none" w:sz="0" w:space="0" w:color="auto"/>
      </w:divBdr>
    </w:div>
    <w:div w:id="612130827">
      <w:bodyDiv w:val="1"/>
      <w:marLeft w:val="0"/>
      <w:marRight w:val="0"/>
      <w:marTop w:val="0"/>
      <w:marBottom w:val="0"/>
      <w:divBdr>
        <w:top w:val="none" w:sz="0" w:space="0" w:color="auto"/>
        <w:left w:val="none" w:sz="0" w:space="0" w:color="auto"/>
        <w:bottom w:val="none" w:sz="0" w:space="0" w:color="auto"/>
        <w:right w:val="none" w:sz="0" w:space="0" w:color="auto"/>
      </w:divBdr>
    </w:div>
    <w:div w:id="613289252">
      <w:bodyDiv w:val="1"/>
      <w:marLeft w:val="0"/>
      <w:marRight w:val="0"/>
      <w:marTop w:val="0"/>
      <w:marBottom w:val="0"/>
      <w:divBdr>
        <w:top w:val="none" w:sz="0" w:space="0" w:color="auto"/>
        <w:left w:val="none" w:sz="0" w:space="0" w:color="auto"/>
        <w:bottom w:val="none" w:sz="0" w:space="0" w:color="auto"/>
        <w:right w:val="none" w:sz="0" w:space="0" w:color="auto"/>
      </w:divBdr>
    </w:div>
    <w:div w:id="670647873">
      <w:bodyDiv w:val="1"/>
      <w:marLeft w:val="0"/>
      <w:marRight w:val="0"/>
      <w:marTop w:val="0"/>
      <w:marBottom w:val="0"/>
      <w:divBdr>
        <w:top w:val="none" w:sz="0" w:space="0" w:color="auto"/>
        <w:left w:val="none" w:sz="0" w:space="0" w:color="auto"/>
        <w:bottom w:val="none" w:sz="0" w:space="0" w:color="auto"/>
        <w:right w:val="none" w:sz="0" w:space="0" w:color="auto"/>
      </w:divBdr>
    </w:div>
    <w:div w:id="696155496">
      <w:bodyDiv w:val="1"/>
      <w:marLeft w:val="0"/>
      <w:marRight w:val="0"/>
      <w:marTop w:val="0"/>
      <w:marBottom w:val="0"/>
      <w:divBdr>
        <w:top w:val="none" w:sz="0" w:space="0" w:color="auto"/>
        <w:left w:val="none" w:sz="0" w:space="0" w:color="auto"/>
        <w:bottom w:val="none" w:sz="0" w:space="0" w:color="auto"/>
        <w:right w:val="none" w:sz="0" w:space="0" w:color="auto"/>
      </w:divBdr>
    </w:div>
    <w:div w:id="704646012">
      <w:bodyDiv w:val="1"/>
      <w:marLeft w:val="0"/>
      <w:marRight w:val="0"/>
      <w:marTop w:val="0"/>
      <w:marBottom w:val="0"/>
      <w:divBdr>
        <w:top w:val="none" w:sz="0" w:space="0" w:color="auto"/>
        <w:left w:val="none" w:sz="0" w:space="0" w:color="auto"/>
        <w:bottom w:val="none" w:sz="0" w:space="0" w:color="auto"/>
        <w:right w:val="none" w:sz="0" w:space="0" w:color="auto"/>
      </w:divBdr>
    </w:div>
    <w:div w:id="709574341">
      <w:bodyDiv w:val="1"/>
      <w:marLeft w:val="0"/>
      <w:marRight w:val="0"/>
      <w:marTop w:val="0"/>
      <w:marBottom w:val="0"/>
      <w:divBdr>
        <w:top w:val="none" w:sz="0" w:space="0" w:color="auto"/>
        <w:left w:val="none" w:sz="0" w:space="0" w:color="auto"/>
        <w:bottom w:val="none" w:sz="0" w:space="0" w:color="auto"/>
        <w:right w:val="none" w:sz="0" w:space="0" w:color="auto"/>
      </w:divBdr>
    </w:div>
    <w:div w:id="723869059">
      <w:bodyDiv w:val="1"/>
      <w:marLeft w:val="0"/>
      <w:marRight w:val="0"/>
      <w:marTop w:val="0"/>
      <w:marBottom w:val="0"/>
      <w:divBdr>
        <w:top w:val="none" w:sz="0" w:space="0" w:color="auto"/>
        <w:left w:val="none" w:sz="0" w:space="0" w:color="auto"/>
        <w:bottom w:val="none" w:sz="0" w:space="0" w:color="auto"/>
        <w:right w:val="none" w:sz="0" w:space="0" w:color="auto"/>
      </w:divBdr>
    </w:div>
    <w:div w:id="761071362">
      <w:bodyDiv w:val="1"/>
      <w:marLeft w:val="0"/>
      <w:marRight w:val="0"/>
      <w:marTop w:val="0"/>
      <w:marBottom w:val="0"/>
      <w:divBdr>
        <w:top w:val="none" w:sz="0" w:space="0" w:color="auto"/>
        <w:left w:val="none" w:sz="0" w:space="0" w:color="auto"/>
        <w:bottom w:val="none" w:sz="0" w:space="0" w:color="auto"/>
        <w:right w:val="none" w:sz="0" w:space="0" w:color="auto"/>
      </w:divBdr>
    </w:div>
    <w:div w:id="773331948">
      <w:bodyDiv w:val="1"/>
      <w:marLeft w:val="0"/>
      <w:marRight w:val="0"/>
      <w:marTop w:val="0"/>
      <w:marBottom w:val="0"/>
      <w:divBdr>
        <w:top w:val="none" w:sz="0" w:space="0" w:color="auto"/>
        <w:left w:val="none" w:sz="0" w:space="0" w:color="auto"/>
        <w:bottom w:val="none" w:sz="0" w:space="0" w:color="auto"/>
        <w:right w:val="none" w:sz="0" w:space="0" w:color="auto"/>
      </w:divBdr>
    </w:div>
    <w:div w:id="828787586">
      <w:bodyDiv w:val="1"/>
      <w:marLeft w:val="0"/>
      <w:marRight w:val="0"/>
      <w:marTop w:val="0"/>
      <w:marBottom w:val="0"/>
      <w:divBdr>
        <w:top w:val="none" w:sz="0" w:space="0" w:color="auto"/>
        <w:left w:val="none" w:sz="0" w:space="0" w:color="auto"/>
        <w:bottom w:val="none" w:sz="0" w:space="0" w:color="auto"/>
        <w:right w:val="none" w:sz="0" w:space="0" w:color="auto"/>
      </w:divBdr>
    </w:div>
    <w:div w:id="836965083">
      <w:bodyDiv w:val="1"/>
      <w:marLeft w:val="0"/>
      <w:marRight w:val="0"/>
      <w:marTop w:val="0"/>
      <w:marBottom w:val="0"/>
      <w:divBdr>
        <w:top w:val="none" w:sz="0" w:space="0" w:color="auto"/>
        <w:left w:val="none" w:sz="0" w:space="0" w:color="auto"/>
        <w:bottom w:val="none" w:sz="0" w:space="0" w:color="auto"/>
        <w:right w:val="none" w:sz="0" w:space="0" w:color="auto"/>
      </w:divBdr>
    </w:div>
    <w:div w:id="840125974">
      <w:bodyDiv w:val="1"/>
      <w:marLeft w:val="0"/>
      <w:marRight w:val="0"/>
      <w:marTop w:val="0"/>
      <w:marBottom w:val="0"/>
      <w:divBdr>
        <w:top w:val="none" w:sz="0" w:space="0" w:color="auto"/>
        <w:left w:val="none" w:sz="0" w:space="0" w:color="auto"/>
        <w:bottom w:val="none" w:sz="0" w:space="0" w:color="auto"/>
        <w:right w:val="none" w:sz="0" w:space="0" w:color="auto"/>
      </w:divBdr>
    </w:div>
    <w:div w:id="844437321">
      <w:bodyDiv w:val="1"/>
      <w:marLeft w:val="0"/>
      <w:marRight w:val="0"/>
      <w:marTop w:val="0"/>
      <w:marBottom w:val="0"/>
      <w:divBdr>
        <w:top w:val="none" w:sz="0" w:space="0" w:color="auto"/>
        <w:left w:val="none" w:sz="0" w:space="0" w:color="auto"/>
        <w:bottom w:val="none" w:sz="0" w:space="0" w:color="auto"/>
        <w:right w:val="none" w:sz="0" w:space="0" w:color="auto"/>
      </w:divBdr>
    </w:div>
    <w:div w:id="846098829">
      <w:bodyDiv w:val="1"/>
      <w:marLeft w:val="0"/>
      <w:marRight w:val="0"/>
      <w:marTop w:val="0"/>
      <w:marBottom w:val="0"/>
      <w:divBdr>
        <w:top w:val="none" w:sz="0" w:space="0" w:color="auto"/>
        <w:left w:val="none" w:sz="0" w:space="0" w:color="auto"/>
        <w:bottom w:val="none" w:sz="0" w:space="0" w:color="auto"/>
        <w:right w:val="none" w:sz="0" w:space="0" w:color="auto"/>
      </w:divBdr>
    </w:div>
    <w:div w:id="924533604">
      <w:bodyDiv w:val="1"/>
      <w:marLeft w:val="0"/>
      <w:marRight w:val="0"/>
      <w:marTop w:val="0"/>
      <w:marBottom w:val="0"/>
      <w:divBdr>
        <w:top w:val="none" w:sz="0" w:space="0" w:color="auto"/>
        <w:left w:val="none" w:sz="0" w:space="0" w:color="auto"/>
        <w:bottom w:val="none" w:sz="0" w:space="0" w:color="auto"/>
        <w:right w:val="none" w:sz="0" w:space="0" w:color="auto"/>
      </w:divBdr>
    </w:div>
    <w:div w:id="1022123545">
      <w:bodyDiv w:val="1"/>
      <w:marLeft w:val="0"/>
      <w:marRight w:val="0"/>
      <w:marTop w:val="0"/>
      <w:marBottom w:val="0"/>
      <w:divBdr>
        <w:top w:val="none" w:sz="0" w:space="0" w:color="auto"/>
        <w:left w:val="none" w:sz="0" w:space="0" w:color="auto"/>
        <w:bottom w:val="none" w:sz="0" w:space="0" w:color="auto"/>
        <w:right w:val="none" w:sz="0" w:space="0" w:color="auto"/>
      </w:divBdr>
    </w:div>
    <w:div w:id="1062487599">
      <w:bodyDiv w:val="1"/>
      <w:marLeft w:val="0"/>
      <w:marRight w:val="0"/>
      <w:marTop w:val="0"/>
      <w:marBottom w:val="0"/>
      <w:divBdr>
        <w:top w:val="none" w:sz="0" w:space="0" w:color="auto"/>
        <w:left w:val="none" w:sz="0" w:space="0" w:color="auto"/>
        <w:bottom w:val="none" w:sz="0" w:space="0" w:color="auto"/>
        <w:right w:val="none" w:sz="0" w:space="0" w:color="auto"/>
      </w:divBdr>
    </w:div>
    <w:div w:id="107860026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4688245">
      <w:bodyDiv w:val="1"/>
      <w:marLeft w:val="0"/>
      <w:marRight w:val="0"/>
      <w:marTop w:val="0"/>
      <w:marBottom w:val="0"/>
      <w:divBdr>
        <w:top w:val="none" w:sz="0" w:space="0" w:color="auto"/>
        <w:left w:val="none" w:sz="0" w:space="0" w:color="auto"/>
        <w:bottom w:val="none" w:sz="0" w:space="0" w:color="auto"/>
        <w:right w:val="none" w:sz="0" w:space="0" w:color="auto"/>
      </w:divBdr>
    </w:div>
    <w:div w:id="1134063921">
      <w:bodyDiv w:val="1"/>
      <w:marLeft w:val="0"/>
      <w:marRight w:val="0"/>
      <w:marTop w:val="0"/>
      <w:marBottom w:val="0"/>
      <w:divBdr>
        <w:top w:val="none" w:sz="0" w:space="0" w:color="auto"/>
        <w:left w:val="none" w:sz="0" w:space="0" w:color="auto"/>
        <w:bottom w:val="none" w:sz="0" w:space="0" w:color="auto"/>
        <w:right w:val="none" w:sz="0" w:space="0" w:color="auto"/>
      </w:divBdr>
    </w:div>
    <w:div w:id="1136071569">
      <w:bodyDiv w:val="1"/>
      <w:marLeft w:val="0"/>
      <w:marRight w:val="0"/>
      <w:marTop w:val="0"/>
      <w:marBottom w:val="0"/>
      <w:divBdr>
        <w:top w:val="none" w:sz="0" w:space="0" w:color="auto"/>
        <w:left w:val="none" w:sz="0" w:space="0" w:color="auto"/>
        <w:bottom w:val="none" w:sz="0" w:space="0" w:color="auto"/>
        <w:right w:val="none" w:sz="0" w:space="0" w:color="auto"/>
      </w:divBdr>
    </w:div>
    <w:div w:id="115507387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1889036">
      <w:bodyDiv w:val="1"/>
      <w:marLeft w:val="0"/>
      <w:marRight w:val="0"/>
      <w:marTop w:val="0"/>
      <w:marBottom w:val="0"/>
      <w:divBdr>
        <w:top w:val="none" w:sz="0" w:space="0" w:color="auto"/>
        <w:left w:val="none" w:sz="0" w:space="0" w:color="auto"/>
        <w:bottom w:val="none" w:sz="0" w:space="0" w:color="auto"/>
        <w:right w:val="none" w:sz="0" w:space="0" w:color="auto"/>
      </w:divBdr>
    </w:div>
    <w:div w:id="1241525051">
      <w:bodyDiv w:val="1"/>
      <w:marLeft w:val="0"/>
      <w:marRight w:val="0"/>
      <w:marTop w:val="0"/>
      <w:marBottom w:val="0"/>
      <w:divBdr>
        <w:top w:val="none" w:sz="0" w:space="0" w:color="auto"/>
        <w:left w:val="none" w:sz="0" w:space="0" w:color="auto"/>
        <w:bottom w:val="none" w:sz="0" w:space="0" w:color="auto"/>
        <w:right w:val="none" w:sz="0" w:space="0" w:color="auto"/>
      </w:divBdr>
    </w:div>
    <w:div w:id="1281570864">
      <w:bodyDiv w:val="1"/>
      <w:marLeft w:val="0"/>
      <w:marRight w:val="0"/>
      <w:marTop w:val="0"/>
      <w:marBottom w:val="0"/>
      <w:divBdr>
        <w:top w:val="none" w:sz="0" w:space="0" w:color="auto"/>
        <w:left w:val="none" w:sz="0" w:space="0" w:color="auto"/>
        <w:bottom w:val="none" w:sz="0" w:space="0" w:color="auto"/>
        <w:right w:val="none" w:sz="0" w:space="0" w:color="auto"/>
      </w:divBdr>
    </w:div>
    <w:div w:id="1287155349">
      <w:bodyDiv w:val="1"/>
      <w:marLeft w:val="0"/>
      <w:marRight w:val="0"/>
      <w:marTop w:val="0"/>
      <w:marBottom w:val="0"/>
      <w:divBdr>
        <w:top w:val="none" w:sz="0" w:space="0" w:color="auto"/>
        <w:left w:val="none" w:sz="0" w:space="0" w:color="auto"/>
        <w:bottom w:val="none" w:sz="0" w:space="0" w:color="auto"/>
        <w:right w:val="none" w:sz="0" w:space="0" w:color="auto"/>
      </w:divBdr>
    </w:div>
    <w:div w:id="1325939869">
      <w:bodyDiv w:val="1"/>
      <w:marLeft w:val="0"/>
      <w:marRight w:val="0"/>
      <w:marTop w:val="0"/>
      <w:marBottom w:val="0"/>
      <w:divBdr>
        <w:top w:val="none" w:sz="0" w:space="0" w:color="auto"/>
        <w:left w:val="none" w:sz="0" w:space="0" w:color="auto"/>
        <w:bottom w:val="none" w:sz="0" w:space="0" w:color="auto"/>
        <w:right w:val="none" w:sz="0" w:space="0" w:color="auto"/>
      </w:divBdr>
    </w:div>
    <w:div w:id="1329745623">
      <w:bodyDiv w:val="1"/>
      <w:marLeft w:val="0"/>
      <w:marRight w:val="0"/>
      <w:marTop w:val="0"/>
      <w:marBottom w:val="0"/>
      <w:divBdr>
        <w:top w:val="none" w:sz="0" w:space="0" w:color="auto"/>
        <w:left w:val="none" w:sz="0" w:space="0" w:color="auto"/>
        <w:bottom w:val="none" w:sz="0" w:space="0" w:color="auto"/>
        <w:right w:val="none" w:sz="0" w:space="0" w:color="auto"/>
      </w:divBdr>
    </w:div>
    <w:div w:id="1355809359">
      <w:bodyDiv w:val="1"/>
      <w:marLeft w:val="0"/>
      <w:marRight w:val="0"/>
      <w:marTop w:val="0"/>
      <w:marBottom w:val="0"/>
      <w:divBdr>
        <w:top w:val="none" w:sz="0" w:space="0" w:color="auto"/>
        <w:left w:val="none" w:sz="0" w:space="0" w:color="auto"/>
        <w:bottom w:val="none" w:sz="0" w:space="0" w:color="auto"/>
        <w:right w:val="none" w:sz="0" w:space="0" w:color="auto"/>
      </w:divBdr>
    </w:div>
    <w:div w:id="1370688724">
      <w:bodyDiv w:val="1"/>
      <w:marLeft w:val="0"/>
      <w:marRight w:val="0"/>
      <w:marTop w:val="0"/>
      <w:marBottom w:val="0"/>
      <w:divBdr>
        <w:top w:val="none" w:sz="0" w:space="0" w:color="auto"/>
        <w:left w:val="none" w:sz="0" w:space="0" w:color="auto"/>
        <w:bottom w:val="none" w:sz="0" w:space="0" w:color="auto"/>
        <w:right w:val="none" w:sz="0" w:space="0" w:color="auto"/>
      </w:divBdr>
    </w:div>
    <w:div w:id="1464229578">
      <w:bodyDiv w:val="1"/>
      <w:marLeft w:val="0"/>
      <w:marRight w:val="0"/>
      <w:marTop w:val="0"/>
      <w:marBottom w:val="0"/>
      <w:divBdr>
        <w:top w:val="none" w:sz="0" w:space="0" w:color="auto"/>
        <w:left w:val="none" w:sz="0" w:space="0" w:color="auto"/>
        <w:bottom w:val="none" w:sz="0" w:space="0" w:color="auto"/>
        <w:right w:val="none" w:sz="0" w:space="0" w:color="auto"/>
      </w:divBdr>
    </w:div>
    <w:div w:id="1493136906">
      <w:bodyDiv w:val="1"/>
      <w:marLeft w:val="0"/>
      <w:marRight w:val="0"/>
      <w:marTop w:val="0"/>
      <w:marBottom w:val="0"/>
      <w:divBdr>
        <w:top w:val="none" w:sz="0" w:space="0" w:color="auto"/>
        <w:left w:val="none" w:sz="0" w:space="0" w:color="auto"/>
        <w:bottom w:val="none" w:sz="0" w:space="0" w:color="auto"/>
        <w:right w:val="none" w:sz="0" w:space="0" w:color="auto"/>
      </w:divBdr>
    </w:div>
    <w:div w:id="1518613132">
      <w:bodyDiv w:val="1"/>
      <w:marLeft w:val="0"/>
      <w:marRight w:val="0"/>
      <w:marTop w:val="0"/>
      <w:marBottom w:val="0"/>
      <w:divBdr>
        <w:top w:val="none" w:sz="0" w:space="0" w:color="auto"/>
        <w:left w:val="none" w:sz="0" w:space="0" w:color="auto"/>
        <w:bottom w:val="none" w:sz="0" w:space="0" w:color="auto"/>
        <w:right w:val="none" w:sz="0" w:space="0" w:color="auto"/>
      </w:divBdr>
    </w:div>
    <w:div w:id="1520436521">
      <w:bodyDiv w:val="1"/>
      <w:marLeft w:val="0"/>
      <w:marRight w:val="0"/>
      <w:marTop w:val="0"/>
      <w:marBottom w:val="0"/>
      <w:divBdr>
        <w:top w:val="none" w:sz="0" w:space="0" w:color="auto"/>
        <w:left w:val="none" w:sz="0" w:space="0" w:color="auto"/>
        <w:bottom w:val="none" w:sz="0" w:space="0" w:color="auto"/>
        <w:right w:val="none" w:sz="0" w:space="0" w:color="auto"/>
      </w:divBdr>
    </w:div>
    <w:div w:id="1544751203">
      <w:bodyDiv w:val="1"/>
      <w:marLeft w:val="0"/>
      <w:marRight w:val="0"/>
      <w:marTop w:val="0"/>
      <w:marBottom w:val="0"/>
      <w:divBdr>
        <w:top w:val="none" w:sz="0" w:space="0" w:color="auto"/>
        <w:left w:val="none" w:sz="0" w:space="0" w:color="auto"/>
        <w:bottom w:val="none" w:sz="0" w:space="0" w:color="auto"/>
        <w:right w:val="none" w:sz="0" w:space="0" w:color="auto"/>
      </w:divBdr>
    </w:div>
    <w:div w:id="1556621961">
      <w:bodyDiv w:val="1"/>
      <w:marLeft w:val="0"/>
      <w:marRight w:val="0"/>
      <w:marTop w:val="0"/>
      <w:marBottom w:val="0"/>
      <w:divBdr>
        <w:top w:val="none" w:sz="0" w:space="0" w:color="auto"/>
        <w:left w:val="none" w:sz="0" w:space="0" w:color="auto"/>
        <w:bottom w:val="none" w:sz="0" w:space="0" w:color="auto"/>
        <w:right w:val="none" w:sz="0" w:space="0" w:color="auto"/>
      </w:divBdr>
    </w:div>
    <w:div w:id="1595629021">
      <w:bodyDiv w:val="1"/>
      <w:marLeft w:val="0"/>
      <w:marRight w:val="0"/>
      <w:marTop w:val="0"/>
      <w:marBottom w:val="0"/>
      <w:divBdr>
        <w:top w:val="none" w:sz="0" w:space="0" w:color="auto"/>
        <w:left w:val="none" w:sz="0" w:space="0" w:color="auto"/>
        <w:bottom w:val="none" w:sz="0" w:space="0" w:color="auto"/>
        <w:right w:val="none" w:sz="0" w:space="0" w:color="auto"/>
      </w:divBdr>
    </w:div>
    <w:div w:id="1656491946">
      <w:bodyDiv w:val="1"/>
      <w:marLeft w:val="0"/>
      <w:marRight w:val="0"/>
      <w:marTop w:val="0"/>
      <w:marBottom w:val="0"/>
      <w:divBdr>
        <w:top w:val="none" w:sz="0" w:space="0" w:color="auto"/>
        <w:left w:val="none" w:sz="0" w:space="0" w:color="auto"/>
        <w:bottom w:val="none" w:sz="0" w:space="0" w:color="auto"/>
        <w:right w:val="none" w:sz="0" w:space="0" w:color="auto"/>
      </w:divBdr>
    </w:div>
    <w:div w:id="169707793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3253762">
      <w:bodyDiv w:val="1"/>
      <w:marLeft w:val="0"/>
      <w:marRight w:val="0"/>
      <w:marTop w:val="0"/>
      <w:marBottom w:val="0"/>
      <w:divBdr>
        <w:top w:val="none" w:sz="0" w:space="0" w:color="auto"/>
        <w:left w:val="none" w:sz="0" w:space="0" w:color="auto"/>
        <w:bottom w:val="none" w:sz="0" w:space="0" w:color="auto"/>
        <w:right w:val="none" w:sz="0" w:space="0" w:color="auto"/>
      </w:divBdr>
    </w:div>
    <w:div w:id="185237602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89705511">
      <w:bodyDiv w:val="1"/>
      <w:marLeft w:val="0"/>
      <w:marRight w:val="0"/>
      <w:marTop w:val="0"/>
      <w:marBottom w:val="0"/>
      <w:divBdr>
        <w:top w:val="none" w:sz="0" w:space="0" w:color="auto"/>
        <w:left w:val="none" w:sz="0" w:space="0" w:color="auto"/>
        <w:bottom w:val="none" w:sz="0" w:space="0" w:color="auto"/>
        <w:right w:val="none" w:sz="0" w:space="0" w:color="auto"/>
      </w:divBdr>
    </w:div>
    <w:div w:id="2009017159">
      <w:bodyDiv w:val="1"/>
      <w:marLeft w:val="0"/>
      <w:marRight w:val="0"/>
      <w:marTop w:val="0"/>
      <w:marBottom w:val="0"/>
      <w:divBdr>
        <w:top w:val="none" w:sz="0" w:space="0" w:color="auto"/>
        <w:left w:val="none" w:sz="0" w:space="0" w:color="auto"/>
        <w:bottom w:val="none" w:sz="0" w:space="0" w:color="auto"/>
        <w:right w:val="none" w:sz="0" w:space="0" w:color="auto"/>
      </w:divBdr>
    </w:div>
    <w:div w:id="20323402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683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Bra</b:Tag>
    <b:SourceType>JournalArticle</b:SourceType>
    <b:Guid>{7B081ECB-BDA9-4A47-9FE3-2330E76B561B}</b:Guid>
    <b:Author>
      <b:Author>
        <b:NameList>
          <b:Person>
            <b:Last>Brandon</b:Last>
            <b:First>Marian</b:First>
          </b:Person>
          <b:Person>
            <b:Last>Thorburn </b:Last>
            <b:First>June </b:First>
          </b:Person>
        </b:NameList>
      </b:Author>
    </b:Author>
    <b:Title>Safeguarding children in the UK: a longitudinal study of services to children suffering or likely to suffer significant harm</b:Title>
    <b:JournalName>Child &amp; Family Social Work</b:JournalName>
    <b:Year>2008</b:Year>
    <b:Pages>p. 365-377</b:Pages>
    <b:RefOrder>2</b:RefOrder>
  </b:Source>
  <b:Source>
    <b:Tag>Und</b:Tag>
    <b:SourceType>JournalArticle</b:SourceType>
    <b:Guid>{110F15EF-2F0D-46B2-AFC3-FF919F7720C6}</b:Guid>
    <b:Title>Understanding the social worker–family relationship through self‐determination theory: A realist synthesis of Signs of Safety</b:Title>
    <b:JournalName>Child &amp; family social work</b:JournalName>
    <b:Year>2022</b:Year>
    <b:Pages>p.513-525</b:Pages>
    <b:Author>
      <b:Author>
        <b:NameList>
          <b:Person>
            <b:Last>Caffrey</b:Last>
            <b:First>Louise</b:First>
          </b:Person>
          <b:Person>
            <b:Last>Browne</b:Last>
            <b:First> Freda</b:First>
          </b:Person>
        </b:NameList>
      </b:Author>
    </b:Author>
    <b:RefOrder>3</b:RefOrder>
  </b:Source>
  <b:Source>
    <b:Tag>Pra</b:Tag>
    <b:SourceType>JournalArticle</b:SourceType>
    <b:Guid>{4B1C64FA-C409-4CE6-BA7B-F568D92CBD92}</b:Guid>
    <b:Title>Practice Frameworks in Children’s Services in England: An Attempt to Steer Social Work Back on Course?</b:Title>
    <b:Author>
      <b:Author>
        <b:NameList>
          <b:Person>
            <b:Last>Mary</b:Last>
            <b:First>Baginsky</b:First>
          </b:Person>
          <b:Person>
            <b:Last>Ixer</b:Last>
            <b:First>Graham</b:First>
          </b:Person>
          <b:Person>
            <b:Last>Manthorpe</b:Last>
            <b:First>Jill</b:First>
          </b:Person>
        </b:NameList>
      </b:Author>
    </b:Author>
    <b:JournalName>Social Work in Action</b:JournalName>
    <b:Year>2020</b:Year>
    <b:Pages>pp. 3-19</b:Pages>
    <b:RefOrder>4</b:RefOrder>
  </b:Source>
  <b:Source>
    <b:Tag>Bag21</b:Tag>
    <b:SourceType>JournalArticle</b:SourceType>
    <b:Guid>{57B2CD1C-1C39-49E6-B946-EF4CC3DECD88}</b:Guid>
    <b:Author>
      <b:Author>
        <b:NameList>
          <b:Person>
            <b:Last>Baginsky</b:Last>
            <b:First>Mary</b:First>
          </b:Person>
          <b:Person>
            <b:Last>Manthorpe</b:Last>
            <b:First>Jill</b:First>
          </b:Person>
          <b:Person>
            <b:Last>Moriarty</b:Last>
            <b:First>jo</b:First>
          </b:Person>
        </b:NameList>
      </b:Author>
    </b:Author>
    <b:Title>The Framework for the Assessment of Children in Need and Their Families and Signs of Safety: Competing or Complementary Frameworks</b:Title>
    <b:JournalName>The British Journal of Social Work</b:JournalName>
    <b:Year>2021</b:Year>
    <b:Pages>pp. 2571–2589</b:Pages>
    <b:RefOrder>5</b:RefOrder>
  </b:Source>
  <b:Source>
    <b:Tag>Wil23</b:Tag>
    <b:SourceType>Book</b:SourceType>
    <b:Guid>{AABF0772-AF70-43D9-B59F-9894C52571F5}</b:Guid>
    <b:Title>Policing Mental Health, Vulnerability and Risk</b:Title>
    <b:Year>2023</b:Year>
    <b:Author>
      <b:Author>
        <b:NameList>
          <b:Person>
            <b:Last>Williams</b:Last>
            <b:First>Brian</b:First>
          </b:Person>
        </b:NameList>
      </b:Author>
    </b:Author>
    <b:City>St. Albans </b:City>
    <b:Publisher>Critical Publishing</b:Publisher>
    <b:RefOrder>8</b:RefOrder>
  </b:Source>
  <b:Source>
    <b:Tag>Min24</b:Tag>
    <b:SourceType>InternetSite</b:SourceType>
    <b:Guid>{794578E5-9FDC-4629-8EDB-A380DEF63288}</b:Guid>
    <b:Title>Proven reoffending statistics: July to September 2022</b:Title>
    <b:Year>2024</b:Year>
    <b:Author>
      <b:Author>
        <b:Corporate>Ministry of Jutsice</b:Corporate>
      </b:Author>
    </b:Author>
    <b:InternetSiteTitle>Gov.uk</b:InternetSiteTitle>
    <b:Month>July</b:Month>
    <b:Day>25</b:Day>
    <b:URL>https://www.gov.uk/government/statistics/proven-reoffending-statistics-july-2022-to-september-2022/proven-reoffending-statistics-july-to-september-2022</b:URL>
    <b:RefOrder>9</b:RefOrder>
  </b:Source>
  <b:Source>
    <b:Tag>Aid19</b:Tag>
    <b:SourceType>Book</b:SourceType>
    <b:Guid>{0A5C755F-94BD-43C9-9955-02AC1FBBA714}</b:Guid>
    <b:Title>Psychology and Crime</b:Title>
    <b:Year>2019</b:Year>
    <b:City>Abingdon</b:City>
    <b:Publisher>Taylor &amp; Francis Group</b:Publisher>
    <b:Author>
      <b:Author>
        <b:NameList>
          <b:Person>
            <b:Last>Sammons</b:Last>
            <b:First>Aidan</b:First>
          </b:Person>
          <b:Person>
            <b:Last>Putwain</b:Last>
            <b:First>David </b:First>
          </b:Person>
        </b:NameList>
      </b:Author>
    </b:Author>
    <b:RefOrder>10</b:RefOrder>
  </b:Source>
  <b:Source>
    <b:Tag>ONS22</b:Tag>
    <b:SourceType>InternetSite</b:SourceType>
    <b:Guid>{C5C08D8D-5CA3-4BB5-BACE-5D66173965F4}</b:Guid>
    <b:Title>Office for National Satistics </b:Title>
    <b:Year>2022</b:Year>
    <b:Author>
      <b:Author>
        <b:NameList>
          <b:Person>
            <b:Last>ONS</b:Last>
          </b:Person>
        </b:NameList>
      </b:Author>
    </b:Author>
    <b:InternetSiteTitle>Domestic abuse prevalence and trends, England and Wales: year ending March 2022</b:InternetSiteTitle>
    <b:Month>November </b:Month>
    <b:Day>25</b:Day>
    <b:URL>https://www.ons.gov.uk/peoplepopulationandcommunity/crimeandjustice/articles/domesticabuseprevalenceandtrendsenglandandwales/yearendingmarch2022</b:URL>
    <b:RefOrder>11</b:RefOrder>
  </b:Source>
  <b:Source>
    <b:Tag>Hop20</b:Tag>
    <b:SourceType>JournalArticle</b:SourceType>
    <b:Guid>{7EDE2A31-150D-4763-8674-7B4A59AF2189}</b:Guid>
    <b:Title>Mandatory arrest for domestic violence and repeat offending: A meta-analysis</b:Title>
    <b:Year>2020</b:Year>
    <b:JournalName> Aggression and violent behavior</b:JournalName>
    <b:Author>
      <b:Author>
        <b:NameList>
          <b:Person>
            <b:Last>Hoppe</b:Last>
            <b:First>Susan </b:First>
          </b:Person>
          <b:Person>
            <b:Last>Yan</b:Last>
            <b:First>Zhang </b:First>
          </b:Person>
          <b:Person>
            <b:Last>Hayes </b:Last>
            <b:First>Brittany</b:First>
          </b:Person>
          <b:Person>
            <b:Last>Bills</b:Last>
            <b:First>Mathew</b:First>
          </b:Person>
        </b:NameList>
      </b:Author>
    </b:Author>
    <b:RefOrder>12</b:RefOrder>
  </b:Source>
  <b:Source>
    <b:Tag>Smi18</b:Tag>
    <b:SourceType>JournalArticle</b:SourceType>
    <b:Guid>{DB94FC80-ACA8-422C-984C-82D466EC6E3C}</b:Guid>
    <b:Title>The effectiveness of probation supervision towards reducing reoffending: A Rapid Evidence Assessment</b:Title>
    <b:JournalName>Probation Journal</b:JournalName>
    <b:Year>2018</b:Year>
    <b:Pages>407-428</b:Pages>
    <b:Author>
      <b:Author>
        <b:NameList>
          <b:Person>
            <b:Last>Smith </b:Last>
            <b:First>Andrew </b:First>
          </b:Person>
          <b:Person>
            <b:Last>Heyes</b:Last>
            <b:First>Kim</b:First>
          </b:Person>
          <b:Person>
            <b:Last>Bradbury</b:Last>
            <b:First>Andrew </b:First>
          </b:Person>
          <b:Person>
            <b:Last>Fox </b:Last>
            <b:First>Chris </b:First>
          </b:Person>
          <b:Person>
            <b:Last>Jordan</b:Last>
            <b:First>Harrison </b:First>
          </b:Person>
          <b:Person>
            <b:Last>Kiss</b:Last>
            <b:First>Zsolt</b:First>
          </b:Person>
        </b:NameList>
      </b:Author>
    </b:Author>
    <b:RefOrder>13</b:RefOrder>
  </b:Source>
  <b:Source>
    <b:Tag>Sle17</b:Tag>
    <b:SourceType>JournalArticle</b:SourceType>
    <b:Guid>{C6E2A2C6-A482-47B4-B14D-7D8BCFD56967}</b:Guid>
    <b:Title>Staff and offender perspectives of Integrated Offender Management and the impact of its introduction on arrests and risk of reoffending in one police force region</b:Title>
    <b:JournalName>Policing and Society</b:JournalName>
    <b:Year>2017</b:Year>
    <b:Pages>511-529</b:Pages>
    <b:Author>
      <b:Author>
        <b:NameList>
          <b:Person>
            <b:Last>Sleath </b:Last>
            <b:First>Emma </b:First>
          </b:Person>
          <b:Person>
            <b:Last>Brown </b:Last>
            <b:First>Sarah </b:First>
          </b:Person>
        </b:NameList>
      </b:Author>
    </b:Author>
    <b:RefOrder>14</b:RefOrder>
  </b:Source>
  <b:Source>
    <b:Tag>Har21</b:Tag>
    <b:SourceType>JournalArticle</b:SourceType>
    <b:Guid>{4BBADD05-9321-4AFC-8171-BB387923269C}</b:Guid>
    <b:Title>On the Identification of Body Fluids and Tissues: A Crucial Link in the Investigation and Solution of Crime</b:Title>
    <b:JournalName>Genes</b:JournalName>
    <b:Year>2021</b:Year>
    <b:Pages>1728</b:Pages>
    <b:Author>
      <b:Author>
        <b:NameList>
          <b:Person>
            <b:Last>Harbison</b:Last>
            <b:First>SallyAnn</b:First>
          </b:Person>
          <b:Person>
            <b:Last>Sijen</b:Last>
            <b:First>Titia</b:First>
          </b:Person>
        </b:NameList>
      </b:Author>
    </b:Author>
    <b:RefOrder>17</b:RefOrder>
  </b:Source>
  <b:Source>
    <b:Tag>Wil</b:Tag>
    <b:SourceType>JournalArticle</b:SourceType>
    <b:Guid>{71CF6C81-41FF-4D44-9323-0E39F986AFA0}</b:Guid>
    <b:Title>Software for the trajectory analysis of blood-drops: A systematic review</b:Title>
    <b:Author>
      <b:Author>
        <b:NameList>
          <b:Person>
            <b:Last>Williams </b:Last>
            <b:First>Mark </b:First>
          </b:Person>
          <b:Person>
            <b:Last>Norman </b:Last>
            <b:First>Danielle </b:First>
          </b:Person>
          <b:Person>
            <b:Last>Home </b:Last>
            <b:First>Patrick </b:First>
          </b:Person>
        </b:NameList>
      </b:Author>
    </b:Author>
    <b:JournalName>Forensic Science International</b:JournalName>
    <b:Year>2021</b:Year>
    <b:Pages>328</b:Pages>
    <b:RefOrder>18</b:RefOrder>
  </b:Source>
  <b:Source>
    <b:Tag>Gre14</b:Tag>
    <b:SourceType>JournalArticle</b:SourceType>
    <b:Guid>{08D38B78-BCD6-4DEA-A617-95CD7FB63012}</b:Guid>
    <b:Author>
      <b:Author>
        <b:NameList>
          <b:Person>
            <b:Last>Green</b:Last>
            <b:First>Michael</b:First>
          </b:Person>
        </b:NameList>
      </b:Author>
    </b:Author>
    <b:Title>Credibility Contests: The Elephant in the Room</b:Title>
    <b:JournalName>The international journal of evidence &amp; proof</b:JournalName>
    <b:Year>2014</b:Year>
    <b:Pages>28-40</b:Pages>
    <b:RefOrder>19</b:RefOrder>
  </b:Source>
  <b:Source>
    <b:Tag>Dri06</b:Tag>
    <b:SourceType>Book</b:SourceType>
    <b:Guid>{F216CE1B-84B0-4F7E-AFB8-1513FAC4665E}</b:Guid>
    <b:Title>Practising clinical supervision: A reflective approach for healthcare professionals.</b:Title>
    <b:Year>2006</b:Year>
    <b:City>London</b:City>
    <b:Publisher>Elsevier Health Sciences</b:Publisher>
    <b:Author>
      <b:Author>
        <b:NameList>
          <b:Person>
            <b:Last>Driscoll</b:Last>
            <b:First>J</b:First>
          </b:Person>
        </b:NameList>
      </b:Author>
    </b:Author>
    <b:RefOrder>15</b:RefOrder>
  </b:Source>
  <b:Source>
    <b:Tag>Col15</b:Tag>
    <b:SourceType>InternetSite</b:SourceType>
    <b:Guid>{95C05559-E57A-4028-9633-D7B9402796AE}</b:Guid>
    <b:Title>College of Policing analysis: Estimating demand on the police service</b:Title>
    <b:Year>2015</b:Year>
    <b:Author>
      <b:Author>
        <b:NameList>
          <b:Person>
            <b:Last>College of Policing </b:Last>
          </b:Person>
        </b:NameList>
      </b:Author>
    </b:Author>
    <b:InternetSiteTitle>College of Policing</b:InternetSiteTitle>
    <b:Month>January</b:Month>
    <b:Day>1st</b:Day>
    <b:URL>https://assets.college.police.uk/s3fs-public/2021-03/demand-on-policing-report.pdf</b:URL>
    <b:RefOrder>20</b:RefOrder>
  </b:Source>
  <b:Source>
    <b:Tag>Bar24</b:Tag>
    <b:SourceType>Book</b:SourceType>
    <b:Guid>{D06E9E68-B302-4A96-AC38-A85C7CA0FF83}</b:Guid>
    <b:Title>The reflective journal </b:Title>
    <b:Year>2024</b:Year>
    <b:Author>
      <b:Author>
        <b:NameList>
          <b:Person>
            <b:Last>Bassot</b:Last>
            <b:First>Barbra</b:First>
          </b:Person>
        </b:NameList>
      </b:Author>
    </b:Author>
    <b:City>London </b:City>
    <b:Publisher>Bloomsbury Publishing</b:Publisher>
    <b:RefOrder>16</b:RefOrder>
  </b:Source>
  <b:Source>
    <b:Tag>Cou06</b:Tag>
    <b:SourceType>Book</b:SourceType>
    <b:Guid>{75481168-D618-429B-94CD-D271CEE777C5}</b:Guid>
    <b:Author>
      <b:Author>
        <b:NameList>
          <b:Person>
            <b:Last>Coulshed</b:Last>
            <b:First>Veronica</b:First>
          </b:Person>
          <b:Person>
            <b:Last>Orme</b:Last>
            <b:First>Joan </b:First>
          </b:Person>
        </b:NameList>
      </b:Author>
    </b:Author>
    <b:Title>Social Work pratice </b:Title>
    <b:Year>2006</b:Year>
    <b:City>London </b:City>
    <b:Publisher>Sage Publications </b:Publisher>
    <b:RefOrder>21</b:RefOrder>
  </b:Source>
  <b:Source>
    <b:Tag>For20</b:Tag>
    <b:SourceType>JournalArticle</b:SourceType>
    <b:Guid>{4C3A10A3-08D1-4828-83C0-4A400732B643}</b:Guid>
    <b:Title>Understanding the outcome of police safeguarding notifications to social services in South Wales</b:Title>
    <b:Year>2020</b:Year>
    <b:Author>
      <b:Author>
        <b:NameList>
          <b:Person>
            <b:Last>Ford</b:Last>
            <b:First>Kat</b:First>
          </b:Person>
          <b:Person>
            <b:Last>Newbury </b:Last>
            <b:First>A</b:First>
          </b:Person>
          <b:Person>
            <b:Last>Meredith </b:Last>
            <b:First>Z</b:First>
          </b:Person>
          <b:Person>
            <b:Last>Evans </b:Last>
            <b:First>J</b:First>
          </b:Person>
          <b:Person>
            <b:Last>Hughes </b:Last>
            <b:First>K</b:First>
          </b:Person>
          <b:Person>
            <b:Last>Roderick</b:Last>
            <b:First>J</b:First>
          </b:Person>
        </b:NameList>
      </b:Author>
    </b:Author>
    <b:JournalName>The Police Journal</b:JournalName>
    <b:RefOrder>22</b:RefOrder>
  </b:Source>
  <b:Source>
    <b:Tag>Off23</b:Tag>
    <b:SourceType>InternetSite</b:SourceType>
    <b:Guid>{8D22ABB3-B4C3-41D5-B8A9-72009FB8E41A}</b:Guid>
    <b:Title>Domestic abuse in England and Wales overview: November 2023</b:Title>
    <b:Year>2023</b:Year>
    <b:Author>
      <b:Author>
        <b:Corporate>Office for National Satistics </b:Corporate>
      </b:Author>
    </b:Author>
    <b:InternetSiteTitle>Figures on domestic abuse from the Crime Survey for England and Wales, police recorded crime, and other organisations.</b:InternetSiteTitle>
    <b:Month>November </b:Month>
    <b:Day>24</b:Day>
    <b:URL>https://www.ons.gov.uk/peoplepopulationandcommunity/crimeandjustice/bulletins/domesticabuseinenglandandwalesoverview/november2023</b:URL>
    <b:RefOrder>23</b:RefOrder>
  </b:Source>
  <b:Source>
    <b:Tag>Cro24</b:Tag>
    <b:SourceType>InternetSite</b:SourceType>
    <b:Guid>{D1175E50-CECA-4A13-A21F-1580C31BD0B9}</b:Guid>
    <b:Author>
      <b:Author>
        <b:Corporate>Crown Prosecution Service </b:Corporate>
      </b:Author>
    </b:Author>
    <b:Title>CPS data summary Quarter 4 2023-2024</b:Title>
    <b:InternetSiteTitle>Publication, Sexual offences , Domestic abuse , Hate crime</b:InternetSiteTitle>
    <b:Year>2024</b:Year>
    <b:Month>July</b:Month>
    <b:Day>18</b:Day>
    <b:URL>https://www.cps.gov.uk/publication/cps-data-summary-quarter-4-2023-2024</b:URL>
    <b:RefOrder>24</b:RefOrder>
  </b:Source>
  <b:Source>
    <b:Tag>Col24</b:Tag>
    <b:SourceType>InternetSite</b:SourceType>
    <b:Guid>{AE08F08B-743D-4C68-B07A-C1EA493B5DDF}</b:Guid>
    <b:Author>
      <b:Author>
        <b:Corporate>College of Policing</b:Corporate>
      </b:Author>
    </b:Author>
    <b:Title>Offender management for domestic abuse</b:Title>
    <b:InternetSiteTitle>Working in partnership to deliver interventions that address the behaviour of domestic abuse perpetrators.</b:InternetSiteTitle>
    <b:Year>2024</b:Year>
    <b:Month>January</b:Month>
    <b:Day>25</b:Day>
    <b:URL>https://www.college.police.uk/support-forces/practices/offender-management-domestic-abuse#:~:text=Currently%2C%20across%20the%20entire%20population,a%2098%25%20DA%20reoffending%20rate.</b:URL>
    <b:RefOrder>25</b:RefOrder>
  </b:Source>
  <b:Source>
    <b:Tag>Jes22</b:Tag>
    <b:SourceType>JournalArticle</b:SourceType>
    <b:Guid>{6F775F6F-3980-4E9E-903A-55E4973B96BA}</b:Guid>
    <b:Title>Signs of Safety: The View From Early Help</b:Title>
    <b:Year>2022</b:Year>
    <b:Author>
      <b:Author>
        <b:NameList>
          <b:Person>
            <b:Last>Roy</b:Last>
            <b:First>Jessica</b:First>
          </b:Person>
        </b:NameList>
      </b:Author>
    </b:Author>
    <b:JournalName>Child care in practice : Northern Ireland journal of multi-disciplinary child care practice</b:JournalName>
    <b:Pages>482-498</b:Pages>
    <b:RefOrder>7</b:RefOrder>
  </b:Source>
  <b:Source>
    <b:Tag>Mil14</b:Tag>
    <b:SourceType>JournalArticle</b:SourceType>
    <b:Guid>{720AD2FD-A27D-453D-8BE0-8E35D5BA366E}</b:Guid>
    <b:Author>
      <b:Author>
        <b:NameList>
          <b:Person>
            <b:Last>Mills</b:Last>
            <b:First>Rob</b:First>
          </b:Person>
          <b:Person>
            <b:Last>Stanley </b:Last>
            <b:First>Tony</b:First>
          </b:Person>
        </b:NameList>
      </b:Author>
    </b:Author>
    <b:Title>'Signs of Safety' Practice at the Health and Children's Social Care Interface</b:Title>
    <b:JournalName>Practice</b:JournalName>
    <b:Year>2014</b:Year>
    <b:Pages>23-36</b:Pages>
    <b:RefOrder>6</b:RefOrder>
  </b:Source>
  <b:Source>
    <b:Tag>Gra88</b:Tag>
    <b:SourceType>Book</b:SourceType>
    <b:Guid>{6F8793F4-2C20-4B06-81CD-0C9BC472A07B}</b:Guid>
    <b:Title>Learning by Doing, A Guide to Teaching and Learning Methods</b:Title>
    <b:Year>1988</b:Year>
    <b:Author>
      <b:Author>
        <b:NameList>
          <b:Person>
            <b:Last>Gibbs</b:Last>
            <b:First>Graham</b:First>
          </b:Person>
        </b:NameList>
      </b:Author>
    </b:Author>
    <b:City>Oxford </b:City>
    <b:Publisher>Oxford University Press </b:Publisher>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F6EB246-ADA4-4225-AAA5-FCE9409EF7D9}">
  <ds:schemaRefs>
    <ds:schemaRef ds:uri="http://schemas.openxmlformats.org/officeDocument/2006/bibliography"/>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2506</TotalTime>
  <Pages>17</Pages>
  <Words>6131</Words>
  <Characters>34948</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Rumbelow,Corey swp8697</cp:lastModifiedBy>
  <cp:revision>20</cp:revision>
  <cp:lastPrinted>2014-08-26T08:55:00Z</cp:lastPrinted>
  <dcterms:created xsi:type="dcterms:W3CDTF">2024-09-18T09:25:00Z</dcterms:created>
  <dcterms:modified xsi:type="dcterms:W3CDTF">2024-10-22T19:49:00Z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