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90F6FF" w14:textId="28665628" w:rsidR="00DA1221" w:rsidRPr="00DA1221" w:rsidRDefault="00DA1221" w:rsidP="00DA1221">
      <w:r>
        <w:rPr>
          <w:b/>
          <w:bCs/>
          <w:color w:val="FFFFFF"/>
          <w:sz w:val="24"/>
          <w:szCs w:val="24"/>
        </w:rPr>
        <w:t xml:space="preserve">  </w:t>
      </w:r>
    </w:p>
    <w:p w14:paraId="3E608302" w14:textId="77777777" w:rsidR="00DA1221" w:rsidRDefault="00DA1221" w:rsidP="00DA1221"/>
    <w:p w14:paraId="4355D0D0" w14:textId="77777777" w:rsidR="00DA1221" w:rsidRDefault="00DA1221" w:rsidP="00DA1221"/>
    <w:p w14:paraId="6DD94A4B" w14:textId="77777777" w:rsidR="00DA1221" w:rsidRPr="00DA1221" w:rsidRDefault="00DA1221" w:rsidP="00DA1221"/>
    <w:p w14:paraId="295754AA" w14:textId="77777777" w:rsidR="00DA1221" w:rsidRDefault="00DA1221" w:rsidP="00DA1221"/>
    <w:p w14:paraId="40BDB3DC" w14:textId="77777777" w:rsidR="00DA1221" w:rsidRDefault="00DA1221" w:rsidP="00DA1221"/>
    <w:p w14:paraId="20B936F0" w14:textId="77777777" w:rsidR="00DA1221" w:rsidRDefault="00DA1221" w:rsidP="00DA1221"/>
    <w:p w14:paraId="6EC3A322" w14:textId="77777777" w:rsidR="00DA1221" w:rsidRDefault="00DA1221" w:rsidP="00DA1221"/>
    <w:p w14:paraId="3868F171" w14:textId="77777777" w:rsidR="00DA1221" w:rsidRDefault="00DA1221" w:rsidP="00DA1221"/>
    <w:p w14:paraId="68BF43FE" w14:textId="77777777" w:rsidR="00DA1221" w:rsidRDefault="00DA1221" w:rsidP="00DA1221"/>
    <w:p w14:paraId="003E6A0A" w14:textId="77777777" w:rsidR="00DA1221" w:rsidRDefault="00DA1221" w:rsidP="00DA1221"/>
    <w:p w14:paraId="67145913" w14:textId="77777777" w:rsidR="00DA1221" w:rsidRDefault="00DA1221" w:rsidP="00DA1221"/>
    <w:p w14:paraId="72E92A2C" w14:textId="77777777" w:rsidR="00DA1221" w:rsidRPr="00DA1221" w:rsidRDefault="00DA1221" w:rsidP="00DA1221"/>
    <w:p w14:paraId="67B3B946" w14:textId="19E37CAB" w:rsidR="00DA1221" w:rsidRPr="00DA1221" w:rsidRDefault="00DA1221" w:rsidP="00DA1221">
      <w:pPr>
        <w:spacing w:line="480" w:lineRule="auto"/>
        <w:jc w:val="center"/>
        <w:rPr>
          <w:sz w:val="24"/>
          <w:szCs w:val="24"/>
        </w:rPr>
      </w:pPr>
      <w:r w:rsidRPr="00DA1221">
        <w:rPr>
          <w:b/>
          <w:bCs/>
          <w:sz w:val="24"/>
          <w:szCs w:val="24"/>
        </w:rPr>
        <w:t>Student</w:t>
      </w:r>
      <w:r w:rsidRPr="00DA1221">
        <w:rPr>
          <w:b/>
          <w:bCs/>
          <w:sz w:val="24"/>
          <w:szCs w:val="24"/>
        </w:rPr>
        <w:t xml:space="preserve"> Name</w:t>
      </w:r>
      <w:r w:rsidRPr="00DA1221">
        <w:rPr>
          <w:b/>
          <w:bCs/>
          <w:sz w:val="24"/>
          <w:szCs w:val="24"/>
        </w:rPr>
        <w:t>:</w:t>
      </w:r>
      <w:r w:rsidRPr="00DA1221">
        <w:rPr>
          <w:sz w:val="24"/>
          <w:szCs w:val="24"/>
        </w:rPr>
        <w:t xml:space="preserve"> Olufemi Idowu A</w:t>
      </w:r>
      <w:r w:rsidRPr="00DA1221">
        <w:rPr>
          <w:sz w:val="24"/>
          <w:szCs w:val="24"/>
        </w:rPr>
        <w:t>folabi</w:t>
      </w:r>
      <w:r w:rsidRPr="00DA1221">
        <w:rPr>
          <w:sz w:val="24"/>
          <w:szCs w:val="24"/>
        </w:rPr>
        <w:t xml:space="preserve"> Odubitan</w:t>
      </w:r>
    </w:p>
    <w:p w14:paraId="178EC390" w14:textId="1F324CA9" w:rsidR="00DA1221" w:rsidRPr="00DA1221" w:rsidRDefault="00DA1221" w:rsidP="00DA1221">
      <w:pPr>
        <w:spacing w:line="480" w:lineRule="auto"/>
        <w:jc w:val="center"/>
        <w:rPr>
          <w:sz w:val="24"/>
          <w:szCs w:val="24"/>
        </w:rPr>
      </w:pPr>
      <w:r w:rsidRPr="00DA1221">
        <w:rPr>
          <w:b/>
          <w:bCs/>
          <w:sz w:val="24"/>
          <w:szCs w:val="24"/>
        </w:rPr>
        <w:t>Student ID:</w:t>
      </w:r>
      <w:r w:rsidRPr="00DA1221">
        <w:rPr>
          <w:sz w:val="24"/>
          <w:szCs w:val="24"/>
        </w:rPr>
        <w:t xml:space="preserve"> 2321211</w:t>
      </w:r>
    </w:p>
    <w:p w14:paraId="1D2676AB" w14:textId="468C7C58" w:rsidR="00DA1221" w:rsidRPr="00DA1221" w:rsidRDefault="00DA1221" w:rsidP="00DA1221">
      <w:pPr>
        <w:spacing w:line="480" w:lineRule="auto"/>
        <w:jc w:val="center"/>
        <w:rPr>
          <w:sz w:val="24"/>
          <w:szCs w:val="24"/>
        </w:rPr>
      </w:pPr>
      <w:r w:rsidRPr="00DA1221">
        <w:rPr>
          <w:b/>
          <w:bCs/>
          <w:sz w:val="24"/>
          <w:szCs w:val="24"/>
        </w:rPr>
        <w:t>Module</w:t>
      </w:r>
      <w:r w:rsidRPr="00DA1221">
        <w:rPr>
          <w:b/>
          <w:bCs/>
          <w:sz w:val="24"/>
          <w:szCs w:val="24"/>
        </w:rPr>
        <w:t xml:space="preserve"> code</w:t>
      </w:r>
      <w:r w:rsidRPr="00DA1221">
        <w:rPr>
          <w:b/>
          <w:bCs/>
          <w:sz w:val="24"/>
          <w:szCs w:val="24"/>
        </w:rPr>
        <w:t>:</w:t>
      </w:r>
      <w:r w:rsidRPr="00DA1221">
        <w:rPr>
          <w:sz w:val="24"/>
          <w:szCs w:val="24"/>
        </w:rPr>
        <w:t xml:space="preserve"> BMHP6027</w:t>
      </w:r>
    </w:p>
    <w:p w14:paraId="50C22FDF" w14:textId="168B228C" w:rsidR="00DA1221" w:rsidRPr="00DA1221" w:rsidRDefault="00DA1221" w:rsidP="00DA1221">
      <w:pPr>
        <w:spacing w:line="480" w:lineRule="auto"/>
        <w:jc w:val="center"/>
        <w:rPr>
          <w:sz w:val="24"/>
          <w:szCs w:val="24"/>
        </w:rPr>
      </w:pPr>
      <w:r w:rsidRPr="00DA1221">
        <w:rPr>
          <w:b/>
          <w:bCs/>
          <w:sz w:val="24"/>
          <w:szCs w:val="24"/>
        </w:rPr>
        <w:t>Module Title:</w:t>
      </w:r>
      <w:r w:rsidRPr="00DA1221">
        <w:rPr>
          <w:sz w:val="24"/>
          <w:szCs w:val="24"/>
        </w:rPr>
        <w:t xml:space="preserve"> </w:t>
      </w:r>
      <w:r w:rsidRPr="00DA1221">
        <w:rPr>
          <w:sz w:val="24"/>
          <w:szCs w:val="24"/>
        </w:rPr>
        <w:t xml:space="preserve">Empowering the Older </w:t>
      </w:r>
      <w:r w:rsidRPr="00DA1221">
        <w:rPr>
          <w:sz w:val="24"/>
          <w:szCs w:val="24"/>
        </w:rPr>
        <w:t>Person</w:t>
      </w:r>
    </w:p>
    <w:p w14:paraId="5AF12B00" w14:textId="3503A66A" w:rsidR="00DA1221" w:rsidRPr="00DA1221" w:rsidRDefault="00DA1221" w:rsidP="00DA1221">
      <w:pPr>
        <w:spacing w:line="480" w:lineRule="auto"/>
        <w:jc w:val="center"/>
        <w:rPr>
          <w:sz w:val="24"/>
          <w:szCs w:val="24"/>
        </w:rPr>
      </w:pPr>
      <w:r w:rsidRPr="00DA1221">
        <w:rPr>
          <w:b/>
          <w:bCs/>
          <w:sz w:val="24"/>
          <w:szCs w:val="24"/>
        </w:rPr>
        <w:t xml:space="preserve">Assessment Title: </w:t>
      </w:r>
      <w:r w:rsidRPr="00DA1221">
        <w:rPr>
          <w:sz w:val="24"/>
          <w:szCs w:val="24"/>
        </w:rPr>
        <w:t>Component 2</w:t>
      </w:r>
      <w:r w:rsidRPr="00DA1221">
        <w:rPr>
          <w:sz w:val="24"/>
          <w:szCs w:val="24"/>
        </w:rPr>
        <w:t xml:space="preserve"> -</w:t>
      </w:r>
      <w:r w:rsidRPr="00DA1221">
        <w:rPr>
          <w:b/>
          <w:bCs/>
          <w:sz w:val="24"/>
          <w:szCs w:val="24"/>
        </w:rPr>
        <w:t xml:space="preserve"> </w:t>
      </w:r>
      <w:r w:rsidRPr="00DA1221">
        <w:rPr>
          <w:sz w:val="24"/>
          <w:szCs w:val="24"/>
        </w:rPr>
        <w:t>Debate</w:t>
      </w:r>
    </w:p>
    <w:p w14:paraId="710B87F9" w14:textId="691A6FA0" w:rsidR="00DA1221" w:rsidRPr="00DA1221" w:rsidRDefault="00DA1221" w:rsidP="00DA1221">
      <w:pPr>
        <w:spacing w:line="480" w:lineRule="auto"/>
        <w:jc w:val="center"/>
        <w:rPr>
          <w:sz w:val="24"/>
          <w:szCs w:val="24"/>
        </w:rPr>
      </w:pPr>
      <w:r w:rsidRPr="00DA1221">
        <w:rPr>
          <w:b/>
          <w:bCs/>
          <w:sz w:val="24"/>
          <w:szCs w:val="24"/>
        </w:rPr>
        <w:t>Position:</w:t>
      </w:r>
      <w:r w:rsidRPr="00DA1221">
        <w:rPr>
          <w:sz w:val="24"/>
          <w:szCs w:val="24"/>
        </w:rPr>
        <w:t xml:space="preserve"> Family caregivers provide better support for dementia patients</w:t>
      </w:r>
    </w:p>
    <w:p w14:paraId="626C47A7" w14:textId="77777777" w:rsidR="00DA1221" w:rsidRPr="00DA1221" w:rsidRDefault="00DA1221" w:rsidP="00DA1221">
      <w:pPr>
        <w:spacing w:line="480" w:lineRule="auto"/>
        <w:jc w:val="center"/>
      </w:pPr>
    </w:p>
    <w:p w14:paraId="493AD8C2" w14:textId="77777777" w:rsidR="00DA1221" w:rsidRDefault="00DA1221" w:rsidP="00DA1221">
      <w:pPr>
        <w:spacing w:before="80" w:after="80" w:line="480" w:lineRule="auto"/>
        <w:jc w:val="center"/>
      </w:pPr>
    </w:p>
    <w:p w14:paraId="223BB6A3" w14:textId="77777777" w:rsidR="00DA1221" w:rsidRDefault="00DA1221" w:rsidP="00DA1221">
      <w:pPr>
        <w:spacing w:before="80" w:after="80"/>
      </w:pPr>
    </w:p>
    <w:p w14:paraId="3ED9CD7A" w14:textId="77777777" w:rsidR="00DA1221" w:rsidRDefault="00DA1221" w:rsidP="00DA1221">
      <w:pPr>
        <w:spacing w:before="80" w:after="80"/>
      </w:pPr>
    </w:p>
    <w:p w14:paraId="2B173919" w14:textId="77777777" w:rsidR="00DA1221" w:rsidRDefault="00DA1221" w:rsidP="00DA1221">
      <w:pPr>
        <w:spacing w:before="80" w:after="80"/>
      </w:pPr>
    </w:p>
    <w:p w14:paraId="638BFCC8" w14:textId="77777777" w:rsidR="00DA1221" w:rsidRDefault="00DA1221" w:rsidP="00DA1221">
      <w:pPr>
        <w:spacing w:before="80" w:after="80"/>
      </w:pPr>
    </w:p>
    <w:p w14:paraId="5DA63F16" w14:textId="77777777" w:rsidR="00DA1221" w:rsidRDefault="00DA1221" w:rsidP="00DA1221">
      <w:pPr>
        <w:spacing w:before="80" w:after="80"/>
      </w:pPr>
    </w:p>
    <w:p w14:paraId="1F3B8F62" w14:textId="77777777" w:rsidR="00DA1221" w:rsidRDefault="00DA1221" w:rsidP="00DA1221">
      <w:pPr>
        <w:spacing w:before="80" w:after="80"/>
      </w:pPr>
    </w:p>
    <w:p w14:paraId="3663D3E9" w14:textId="77777777" w:rsidR="00DA1221" w:rsidRDefault="00DA1221" w:rsidP="00DA1221">
      <w:pPr>
        <w:spacing w:before="80" w:after="80"/>
      </w:pPr>
    </w:p>
    <w:p w14:paraId="6410045E" w14:textId="77777777" w:rsidR="00DA1221" w:rsidRDefault="00DA1221" w:rsidP="00DA1221">
      <w:pPr>
        <w:spacing w:before="80" w:after="80"/>
      </w:pPr>
    </w:p>
    <w:p w14:paraId="558EF4F7" w14:textId="77777777" w:rsidR="00DA1221" w:rsidRDefault="00DA1221" w:rsidP="00DA1221">
      <w:pPr>
        <w:spacing w:before="80" w:after="80"/>
      </w:pPr>
    </w:p>
    <w:p w14:paraId="28AB95FA" w14:textId="77777777" w:rsidR="00DA1221" w:rsidRDefault="00DA1221" w:rsidP="00DA1221">
      <w:pPr>
        <w:spacing w:before="80" w:after="80"/>
      </w:pPr>
    </w:p>
    <w:p w14:paraId="38CA2BCE" w14:textId="77777777" w:rsidR="00DA1221" w:rsidRDefault="00DA1221" w:rsidP="00DA1221">
      <w:pPr>
        <w:spacing w:before="80" w:after="80"/>
      </w:pPr>
    </w:p>
    <w:p w14:paraId="612D238C" w14:textId="77777777" w:rsidR="00DA1221" w:rsidRDefault="00DA1221" w:rsidP="00DA1221">
      <w:pPr>
        <w:spacing w:before="80" w:after="80"/>
      </w:pPr>
    </w:p>
    <w:p w14:paraId="1E9FD517" w14:textId="77777777" w:rsidR="00DA1221" w:rsidRDefault="00DA1221" w:rsidP="00DA1221">
      <w:pPr>
        <w:spacing w:before="80" w:after="80"/>
      </w:pPr>
    </w:p>
    <w:p w14:paraId="2111F08C" w14:textId="77777777" w:rsidR="00DA1221" w:rsidRDefault="00DA1221" w:rsidP="00DA1221">
      <w:pPr>
        <w:spacing w:before="80" w:after="80"/>
      </w:pPr>
    </w:p>
    <w:p w14:paraId="4D24C118" w14:textId="77777777" w:rsidR="00DA1221" w:rsidRDefault="00DA1221" w:rsidP="00DA1221">
      <w:pPr>
        <w:spacing w:before="80" w:after="80"/>
      </w:pPr>
    </w:p>
    <w:p w14:paraId="12C2453F" w14:textId="53FE20F6" w:rsidR="00DA1221" w:rsidRPr="00DA1221" w:rsidRDefault="00DA1221" w:rsidP="00F338C5">
      <w:pPr>
        <w:spacing w:before="80" w:after="80" w:line="360" w:lineRule="auto"/>
        <w:jc w:val="center"/>
        <w:rPr>
          <w:b/>
          <w:bCs/>
        </w:rPr>
      </w:pPr>
      <w:r w:rsidRPr="00DA1221">
        <w:rPr>
          <w:b/>
          <w:bCs/>
        </w:rPr>
        <w:lastRenderedPageBreak/>
        <w:t>References</w:t>
      </w:r>
    </w:p>
    <w:p w14:paraId="4EA117AF" w14:textId="77777777" w:rsidR="00F338C5" w:rsidRPr="00F338C5" w:rsidRDefault="00F338C5" w:rsidP="00F338C5">
      <w:pPr>
        <w:spacing w:line="360" w:lineRule="auto"/>
        <w:ind w:left="720" w:hanging="720"/>
        <w:jc w:val="both"/>
        <w:rPr>
          <w:sz w:val="24"/>
          <w:szCs w:val="24"/>
        </w:rPr>
      </w:pPr>
      <w:r w:rsidRPr="00F338C5">
        <w:rPr>
          <w:sz w:val="24"/>
          <w:szCs w:val="24"/>
        </w:rPr>
        <w:t xml:space="preserve">Atchley, R.C. (1989) 'A continuity theory of normal aging', </w:t>
      </w:r>
      <w:r w:rsidRPr="00F338C5">
        <w:rPr>
          <w:i/>
          <w:iCs/>
          <w:sz w:val="24"/>
          <w:szCs w:val="24"/>
        </w:rPr>
        <w:t>The Gerontologist</w:t>
      </w:r>
      <w:r w:rsidRPr="00F338C5">
        <w:rPr>
          <w:sz w:val="24"/>
          <w:szCs w:val="24"/>
        </w:rPr>
        <w:t>, 29(2), pp. 183–190.</w:t>
      </w:r>
    </w:p>
    <w:p w14:paraId="1516698C" w14:textId="77777777" w:rsidR="00F338C5" w:rsidRPr="00F338C5" w:rsidRDefault="00F338C5" w:rsidP="00F338C5">
      <w:pPr>
        <w:spacing w:line="360" w:lineRule="auto"/>
        <w:ind w:left="720" w:hanging="720"/>
        <w:jc w:val="both"/>
        <w:rPr>
          <w:sz w:val="24"/>
          <w:szCs w:val="24"/>
        </w:rPr>
      </w:pPr>
      <w:r w:rsidRPr="00F338C5">
        <w:rPr>
          <w:sz w:val="24"/>
          <w:szCs w:val="24"/>
        </w:rPr>
        <w:t>Care Act 2014 (c.23). London: HMSO.</w:t>
      </w:r>
    </w:p>
    <w:p w14:paraId="17DBD297" w14:textId="77777777" w:rsidR="00F338C5" w:rsidRPr="00F338C5" w:rsidRDefault="00F338C5" w:rsidP="00F338C5">
      <w:pPr>
        <w:spacing w:line="360" w:lineRule="auto"/>
        <w:ind w:left="720" w:hanging="720"/>
        <w:jc w:val="both"/>
        <w:rPr>
          <w:sz w:val="24"/>
          <w:szCs w:val="24"/>
        </w:rPr>
      </w:pPr>
      <w:r w:rsidRPr="00F338C5">
        <w:rPr>
          <w:sz w:val="24"/>
          <w:szCs w:val="24"/>
        </w:rPr>
        <w:t xml:space="preserve">Care Quality Commission (2024) </w:t>
      </w:r>
      <w:r w:rsidRPr="00F338C5">
        <w:rPr>
          <w:i/>
          <w:iCs/>
          <w:sz w:val="24"/>
          <w:szCs w:val="24"/>
        </w:rPr>
        <w:t>Health and social care support for people with dementia</w:t>
      </w:r>
      <w:r w:rsidRPr="00F338C5">
        <w:rPr>
          <w:sz w:val="24"/>
          <w:szCs w:val="24"/>
        </w:rPr>
        <w:t xml:space="preserve">. Newcastle: CQC. Available at: </w:t>
      </w:r>
      <w:hyperlink r:id="rId6" w:history="1">
        <w:r w:rsidRPr="00F338C5">
          <w:rPr>
            <w:rStyle w:val="Hyperlink"/>
            <w:sz w:val="24"/>
            <w:szCs w:val="24"/>
          </w:rPr>
          <w:t>https://www.cqc.org.uk/publications/health-and-social-care-support-dementia</w:t>
        </w:r>
      </w:hyperlink>
      <w:r w:rsidRPr="00F338C5">
        <w:rPr>
          <w:sz w:val="24"/>
          <w:szCs w:val="24"/>
        </w:rPr>
        <w:t xml:space="preserve"> (Accessed: 10 June 2026).</w:t>
      </w:r>
    </w:p>
    <w:p w14:paraId="672A9D35" w14:textId="77777777" w:rsidR="00F338C5" w:rsidRPr="00F338C5" w:rsidRDefault="00F338C5" w:rsidP="00F338C5">
      <w:pPr>
        <w:spacing w:line="360" w:lineRule="auto"/>
        <w:ind w:left="720" w:hanging="720"/>
        <w:jc w:val="both"/>
        <w:rPr>
          <w:sz w:val="24"/>
          <w:szCs w:val="24"/>
        </w:rPr>
      </w:pPr>
      <w:r w:rsidRPr="00F338C5">
        <w:rPr>
          <w:sz w:val="24"/>
          <w:szCs w:val="24"/>
        </w:rPr>
        <w:t>Carer's Leave Act 2023 (c.18). London: HMSO.</w:t>
      </w:r>
    </w:p>
    <w:p w14:paraId="68DDD67D" w14:textId="77777777" w:rsidR="00F338C5" w:rsidRPr="00F338C5" w:rsidRDefault="00F338C5" w:rsidP="00F338C5">
      <w:pPr>
        <w:spacing w:line="360" w:lineRule="auto"/>
        <w:ind w:left="720" w:hanging="720"/>
        <w:jc w:val="both"/>
        <w:rPr>
          <w:sz w:val="24"/>
          <w:szCs w:val="24"/>
        </w:rPr>
      </w:pPr>
      <w:r w:rsidRPr="00F338C5">
        <w:rPr>
          <w:sz w:val="24"/>
          <w:szCs w:val="24"/>
        </w:rPr>
        <w:t xml:space="preserve">Carnall Farrar (2024) </w:t>
      </w:r>
      <w:r w:rsidRPr="00F338C5">
        <w:rPr>
          <w:i/>
          <w:iCs/>
          <w:sz w:val="24"/>
          <w:szCs w:val="24"/>
        </w:rPr>
        <w:t>The economic impact of dementia: module 1, the annual cost of dementia</w:t>
      </w:r>
      <w:r w:rsidRPr="00F338C5">
        <w:rPr>
          <w:sz w:val="24"/>
          <w:szCs w:val="24"/>
        </w:rPr>
        <w:t xml:space="preserve">. Commissioned by the Alzheimer's Society. London: Carnall Farrar. Available at: </w:t>
      </w:r>
      <w:hyperlink r:id="rId7" w:history="1">
        <w:r w:rsidRPr="00F338C5">
          <w:rPr>
            <w:rStyle w:val="Hyperlink"/>
            <w:sz w:val="24"/>
            <w:szCs w:val="24"/>
          </w:rPr>
          <w:t>https://www.alzheimers.org.uk/sites/default/files/2024-05/the-annual-costs-of-dementia.pdf</w:t>
        </w:r>
      </w:hyperlink>
      <w:r w:rsidRPr="00F338C5">
        <w:rPr>
          <w:sz w:val="24"/>
          <w:szCs w:val="24"/>
        </w:rPr>
        <w:t xml:space="preserve"> (Accessed: 10 June 2026).</w:t>
      </w:r>
    </w:p>
    <w:p w14:paraId="217A6A41" w14:textId="77777777" w:rsidR="00F338C5" w:rsidRPr="00F338C5" w:rsidRDefault="00F338C5" w:rsidP="00F338C5">
      <w:pPr>
        <w:spacing w:line="360" w:lineRule="auto"/>
        <w:ind w:left="720" w:hanging="720"/>
        <w:jc w:val="both"/>
        <w:rPr>
          <w:sz w:val="24"/>
          <w:szCs w:val="24"/>
        </w:rPr>
      </w:pPr>
      <w:r w:rsidRPr="00F338C5">
        <w:rPr>
          <w:sz w:val="24"/>
          <w:szCs w:val="24"/>
        </w:rPr>
        <w:t xml:space="preserve">Elovainio, M., Lahti, J., Pirinen, M., </w:t>
      </w:r>
      <w:proofErr w:type="spellStart"/>
      <w:r w:rsidRPr="00F338C5">
        <w:rPr>
          <w:sz w:val="24"/>
          <w:szCs w:val="24"/>
        </w:rPr>
        <w:t>Pulkki</w:t>
      </w:r>
      <w:proofErr w:type="spellEnd"/>
      <w:r w:rsidRPr="00F338C5">
        <w:rPr>
          <w:sz w:val="24"/>
          <w:szCs w:val="24"/>
        </w:rPr>
        <w:t xml:space="preserve">-Raback, L., Malmberg, A., </w:t>
      </w:r>
      <w:proofErr w:type="spellStart"/>
      <w:r w:rsidRPr="00F338C5">
        <w:rPr>
          <w:sz w:val="24"/>
          <w:szCs w:val="24"/>
        </w:rPr>
        <w:t>Lipsanen</w:t>
      </w:r>
      <w:proofErr w:type="spellEnd"/>
      <w:r w:rsidRPr="00F338C5">
        <w:rPr>
          <w:sz w:val="24"/>
          <w:szCs w:val="24"/>
        </w:rPr>
        <w:t xml:space="preserve">, J., Virtanen, M., Kivimaki, M. and Hakulinen, C. (2022) 'Association of social isolation, loneliness and genetic risk with incidence of dementia: UK Biobank cohort study', </w:t>
      </w:r>
      <w:r w:rsidRPr="00F338C5">
        <w:rPr>
          <w:i/>
          <w:iCs/>
          <w:sz w:val="24"/>
          <w:szCs w:val="24"/>
        </w:rPr>
        <w:t>BMJ Open</w:t>
      </w:r>
      <w:r w:rsidRPr="00F338C5">
        <w:rPr>
          <w:sz w:val="24"/>
          <w:szCs w:val="24"/>
        </w:rPr>
        <w:t xml:space="preserve">, 12(2), article e053936. Available at: </w:t>
      </w:r>
      <w:hyperlink r:id="rId8" w:history="1">
        <w:r w:rsidRPr="00F338C5">
          <w:rPr>
            <w:rStyle w:val="Hyperlink"/>
            <w:sz w:val="24"/>
            <w:szCs w:val="24"/>
          </w:rPr>
          <w:t>https://doi.org/10.1136/bmjopen-2021-053936</w:t>
        </w:r>
      </w:hyperlink>
    </w:p>
    <w:p w14:paraId="704B0837" w14:textId="77777777" w:rsidR="00F338C5" w:rsidRPr="00F338C5" w:rsidRDefault="00F338C5" w:rsidP="00F338C5">
      <w:pPr>
        <w:spacing w:line="360" w:lineRule="auto"/>
        <w:ind w:left="720" w:hanging="720"/>
        <w:jc w:val="both"/>
        <w:rPr>
          <w:sz w:val="24"/>
          <w:szCs w:val="24"/>
        </w:rPr>
      </w:pPr>
      <w:r w:rsidRPr="00F338C5">
        <w:rPr>
          <w:sz w:val="24"/>
          <w:szCs w:val="24"/>
        </w:rPr>
        <w:t xml:space="preserve">Gilsenan, J., Gorman, C. and Shevlin, M. (2023) 'Explaining caregiver burden in a large sample of UK dementia caregivers: the role of contextual factors, behavioural problems, psychological resilience and anticipatory grief', </w:t>
      </w:r>
      <w:r w:rsidRPr="00F338C5">
        <w:rPr>
          <w:i/>
          <w:iCs/>
          <w:sz w:val="24"/>
          <w:szCs w:val="24"/>
        </w:rPr>
        <w:t>Aging and Mental Health</w:t>
      </w:r>
      <w:r w:rsidRPr="00F338C5">
        <w:rPr>
          <w:sz w:val="24"/>
          <w:szCs w:val="24"/>
        </w:rPr>
        <w:t xml:space="preserve">, 26(7), pp. 1274–1281. Available at: </w:t>
      </w:r>
      <w:hyperlink r:id="rId9" w:history="1">
        <w:r w:rsidRPr="00F338C5">
          <w:rPr>
            <w:rStyle w:val="Hyperlink"/>
            <w:sz w:val="24"/>
            <w:szCs w:val="24"/>
          </w:rPr>
          <w:t>https://doi.org/10.1080/13607863.2022.2102138</w:t>
        </w:r>
      </w:hyperlink>
    </w:p>
    <w:p w14:paraId="09872690" w14:textId="77777777" w:rsidR="00F338C5" w:rsidRPr="00F338C5" w:rsidRDefault="00F338C5" w:rsidP="00F338C5">
      <w:pPr>
        <w:spacing w:line="360" w:lineRule="auto"/>
        <w:ind w:left="720" w:hanging="720"/>
        <w:jc w:val="both"/>
        <w:rPr>
          <w:sz w:val="24"/>
          <w:szCs w:val="24"/>
        </w:rPr>
      </w:pPr>
      <w:r w:rsidRPr="00F338C5">
        <w:rPr>
          <w:sz w:val="24"/>
          <w:szCs w:val="24"/>
        </w:rPr>
        <w:t xml:space="preserve">Guarnera, J., Yuen, E. and Macpherson, H. (2023) 'The impact of loneliness and social isolation on cognitive aging: a narrative review', </w:t>
      </w:r>
      <w:r w:rsidRPr="00F338C5">
        <w:rPr>
          <w:i/>
          <w:iCs/>
          <w:sz w:val="24"/>
          <w:szCs w:val="24"/>
        </w:rPr>
        <w:t>Journal of Alzheimer's Disease Reports</w:t>
      </w:r>
      <w:r w:rsidRPr="00F338C5">
        <w:rPr>
          <w:sz w:val="24"/>
          <w:szCs w:val="24"/>
        </w:rPr>
        <w:t xml:space="preserve">, 7(1), pp. 699–714. Available at: </w:t>
      </w:r>
      <w:hyperlink r:id="rId10" w:history="1">
        <w:r w:rsidRPr="00F338C5">
          <w:rPr>
            <w:rStyle w:val="Hyperlink"/>
            <w:sz w:val="24"/>
            <w:szCs w:val="24"/>
          </w:rPr>
          <w:t>https://doi.org/10.3233/ADR-230011</w:t>
        </w:r>
      </w:hyperlink>
    </w:p>
    <w:p w14:paraId="20DF0A1A" w14:textId="77777777" w:rsidR="00F338C5" w:rsidRPr="00F338C5" w:rsidRDefault="00F338C5" w:rsidP="00F338C5">
      <w:pPr>
        <w:spacing w:line="360" w:lineRule="auto"/>
        <w:ind w:left="720" w:hanging="720"/>
        <w:jc w:val="both"/>
        <w:rPr>
          <w:sz w:val="24"/>
          <w:szCs w:val="24"/>
        </w:rPr>
      </w:pPr>
      <w:r w:rsidRPr="00F338C5">
        <w:rPr>
          <w:sz w:val="24"/>
          <w:szCs w:val="24"/>
        </w:rPr>
        <w:t xml:space="preserve">Hellis, E. and </w:t>
      </w:r>
      <w:proofErr w:type="spellStart"/>
      <w:r w:rsidRPr="00F338C5">
        <w:rPr>
          <w:sz w:val="24"/>
          <w:szCs w:val="24"/>
        </w:rPr>
        <w:t>Mukaetova-Ladinska</w:t>
      </w:r>
      <w:proofErr w:type="spellEnd"/>
      <w:r w:rsidRPr="00F338C5">
        <w:rPr>
          <w:sz w:val="24"/>
          <w:szCs w:val="24"/>
        </w:rPr>
        <w:t xml:space="preserve">, E.B. (2023) 'Informal caregiving and Alzheimer's disease: the psychological effect', </w:t>
      </w:r>
      <w:r w:rsidRPr="00F338C5">
        <w:rPr>
          <w:i/>
          <w:iCs/>
          <w:sz w:val="24"/>
          <w:szCs w:val="24"/>
        </w:rPr>
        <w:t>Medicina</w:t>
      </w:r>
      <w:r w:rsidRPr="00F338C5">
        <w:rPr>
          <w:sz w:val="24"/>
          <w:szCs w:val="24"/>
        </w:rPr>
        <w:t xml:space="preserve">, 59(1), article 48. Available at: </w:t>
      </w:r>
      <w:hyperlink r:id="rId11" w:history="1">
        <w:r w:rsidRPr="00F338C5">
          <w:rPr>
            <w:rStyle w:val="Hyperlink"/>
            <w:sz w:val="24"/>
            <w:szCs w:val="24"/>
          </w:rPr>
          <w:t>https://doi.org/10.3390/medicina59010048</w:t>
        </w:r>
      </w:hyperlink>
    </w:p>
    <w:p w14:paraId="27934C3B" w14:textId="77777777" w:rsidR="00F338C5" w:rsidRPr="00F338C5" w:rsidRDefault="00F338C5" w:rsidP="00F338C5">
      <w:pPr>
        <w:spacing w:line="360" w:lineRule="auto"/>
        <w:ind w:left="720" w:hanging="720"/>
        <w:jc w:val="both"/>
        <w:rPr>
          <w:sz w:val="24"/>
          <w:szCs w:val="24"/>
        </w:rPr>
      </w:pPr>
      <w:proofErr w:type="spellStart"/>
      <w:r w:rsidRPr="00F338C5">
        <w:rPr>
          <w:sz w:val="24"/>
          <w:szCs w:val="24"/>
        </w:rPr>
        <w:t>Kitwood</w:t>
      </w:r>
      <w:proofErr w:type="spellEnd"/>
      <w:r w:rsidRPr="00F338C5">
        <w:rPr>
          <w:sz w:val="24"/>
          <w:szCs w:val="24"/>
        </w:rPr>
        <w:t xml:space="preserve">, T. (1997) </w:t>
      </w:r>
      <w:r w:rsidRPr="00F338C5">
        <w:rPr>
          <w:i/>
          <w:iCs/>
          <w:sz w:val="24"/>
          <w:szCs w:val="24"/>
        </w:rPr>
        <w:t>Dementia reconsidered: the person comes first</w:t>
      </w:r>
      <w:r w:rsidRPr="00F338C5">
        <w:rPr>
          <w:sz w:val="24"/>
          <w:szCs w:val="24"/>
        </w:rPr>
        <w:t>. Buckingham: Open University Press.</w:t>
      </w:r>
    </w:p>
    <w:p w14:paraId="58E04388" w14:textId="77777777" w:rsidR="00F338C5" w:rsidRPr="00F338C5" w:rsidRDefault="00F338C5" w:rsidP="00F338C5">
      <w:pPr>
        <w:spacing w:line="360" w:lineRule="auto"/>
        <w:ind w:left="720" w:hanging="720"/>
        <w:jc w:val="both"/>
        <w:rPr>
          <w:sz w:val="24"/>
          <w:szCs w:val="24"/>
        </w:rPr>
      </w:pPr>
      <w:r w:rsidRPr="00F338C5">
        <w:rPr>
          <w:sz w:val="24"/>
          <w:szCs w:val="24"/>
        </w:rPr>
        <w:t xml:space="preserve">Livingston, G., Huntley, J., Liu, K.Y., </w:t>
      </w:r>
      <w:proofErr w:type="spellStart"/>
      <w:r w:rsidRPr="00F338C5">
        <w:rPr>
          <w:sz w:val="24"/>
          <w:szCs w:val="24"/>
        </w:rPr>
        <w:t>Costafreda</w:t>
      </w:r>
      <w:proofErr w:type="spellEnd"/>
      <w:r w:rsidRPr="00F338C5">
        <w:rPr>
          <w:sz w:val="24"/>
          <w:szCs w:val="24"/>
        </w:rPr>
        <w:t xml:space="preserve">, S.G., </w:t>
      </w:r>
      <w:proofErr w:type="spellStart"/>
      <w:r w:rsidRPr="00F338C5">
        <w:rPr>
          <w:sz w:val="24"/>
          <w:szCs w:val="24"/>
        </w:rPr>
        <w:t>Selbaek</w:t>
      </w:r>
      <w:proofErr w:type="spellEnd"/>
      <w:r w:rsidRPr="00F338C5">
        <w:rPr>
          <w:sz w:val="24"/>
          <w:szCs w:val="24"/>
        </w:rPr>
        <w:t xml:space="preserve">, G., Alladi, S., Ames, D., Banerjee, S., Burns, A., </w:t>
      </w:r>
      <w:proofErr w:type="spellStart"/>
      <w:r w:rsidRPr="00F338C5">
        <w:rPr>
          <w:sz w:val="24"/>
          <w:szCs w:val="24"/>
        </w:rPr>
        <w:t>Brayne</w:t>
      </w:r>
      <w:proofErr w:type="spellEnd"/>
      <w:r w:rsidRPr="00F338C5">
        <w:rPr>
          <w:sz w:val="24"/>
          <w:szCs w:val="24"/>
        </w:rPr>
        <w:t xml:space="preserve">, C., Fox, N.C., Ferri, C.P., Gitlin, L.N., Howard, R., Kales, H.C., </w:t>
      </w:r>
      <w:proofErr w:type="spellStart"/>
      <w:r w:rsidRPr="00F338C5">
        <w:rPr>
          <w:sz w:val="24"/>
          <w:szCs w:val="24"/>
        </w:rPr>
        <w:t>Kivimaki</w:t>
      </w:r>
      <w:proofErr w:type="spellEnd"/>
      <w:r w:rsidRPr="00F338C5">
        <w:rPr>
          <w:sz w:val="24"/>
          <w:szCs w:val="24"/>
        </w:rPr>
        <w:t xml:space="preserve">, M., Larson, E.B., </w:t>
      </w:r>
      <w:proofErr w:type="spellStart"/>
      <w:r w:rsidRPr="00F338C5">
        <w:rPr>
          <w:sz w:val="24"/>
          <w:szCs w:val="24"/>
        </w:rPr>
        <w:t>Nakasujja</w:t>
      </w:r>
      <w:proofErr w:type="spellEnd"/>
      <w:r w:rsidRPr="00F338C5">
        <w:rPr>
          <w:sz w:val="24"/>
          <w:szCs w:val="24"/>
        </w:rPr>
        <w:t>, N., Rockwood, K., Samus, Q., Shirai, K., Singh-</w:t>
      </w:r>
      <w:proofErr w:type="spellStart"/>
      <w:r w:rsidRPr="00F338C5">
        <w:rPr>
          <w:sz w:val="24"/>
          <w:szCs w:val="24"/>
        </w:rPr>
        <w:t>Manoux</w:t>
      </w:r>
      <w:proofErr w:type="spellEnd"/>
      <w:r w:rsidRPr="00F338C5">
        <w:rPr>
          <w:sz w:val="24"/>
          <w:szCs w:val="24"/>
        </w:rPr>
        <w:t xml:space="preserve">, A., Schneider, L.S., Walsh, S., Yao, Y., </w:t>
      </w:r>
      <w:proofErr w:type="spellStart"/>
      <w:r w:rsidRPr="00F338C5">
        <w:rPr>
          <w:sz w:val="24"/>
          <w:szCs w:val="24"/>
        </w:rPr>
        <w:t>Sommerlad</w:t>
      </w:r>
      <w:proofErr w:type="spellEnd"/>
      <w:r w:rsidRPr="00F338C5">
        <w:rPr>
          <w:sz w:val="24"/>
          <w:szCs w:val="24"/>
        </w:rPr>
        <w:t xml:space="preserve">, A. and Mukadam, N. (2024) 'Dementia prevention, intervention, and care: 2024 report of the Lancet standing Commission', </w:t>
      </w:r>
      <w:r w:rsidRPr="00F338C5">
        <w:rPr>
          <w:i/>
          <w:iCs/>
          <w:sz w:val="24"/>
          <w:szCs w:val="24"/>
        </w:rPr>
        <w:t>The Lancet</w:t>
      </w:r>
      <w:r w:rsidRPr="00F338C5">
        <w:rPr>
          <w:sz w:val="24"/>
          <w:szCs w:val="24"/>
        </w:rPr>
        <w:t xml:space="preserve">, 404(10452), pp. 572–628. Available at: </w:t>
      </w:r>
      <w:hyperlink r:id="rId12" w:history="1">
        <w:r w:rsidRPr="00F338C5">
          <w:rPr>
            <w:rStyle w:val="Hyperlink"/>
            <w:sz w:val="24"/>
            <w:szCs w:val="24"/>
          </w:rPr>
          <w:t>https://doi.org/10.1016/S0140-6736(24)01296-0</w:t>
        </w:r>
      </w:hyperlink>
    </w:p>
    <w:p w14:paraId="2E8B98EA" w14:textId="77777777" w:rsidR="00F338C5" w:rsidRPr="00F338C5" w:rsidRDefault="00F338C5" w:rsidP="00F338C5">
      <w:pPr>
        <w:spacing w:line="360" w:lineRule="auto"/>
        <w:ind w:left="720" w:hanging="720"/>
        <w:jc w:val="both"/>
        <w:rPr>
          <w:sz w:val="24"/>
          <w:szCs w:val="24"/>
        </w:rPr>
      </w:pPr>
      <w:r w:rsidRPr="00F338C5">
        <w:rPr>
          <w:sz w:val="24"/>
          <w:szCs w:val="24"/>
        </w:rPr>
        <w:t xml:space="preserve">Livingston, G., Huntley, J., </w:t>
      </w:r>
      <w:proofErr w:type="spellStart"/>
      <w:r w:rsidRPr="00F338C5">
        <w:rPr>
          <w:sz w:val="24"/>
          <w:szCs w:val="24"/>
        </w:rPr>
        <w:t>Sommerlad</w:t>
      </w:r>
      <w:proofErr w:type="spellEnd"/>
      <w:r w:rsidRPr="00F338C5">
        <w:rPr>
          <w:sz w:val="24"/>
          <w:szCs w:val="24"/>
        </w:rPr>
        <w:t xml:space="preserve">, A., Ames, D., Ballard, C., Banerjee, S., </w:t>
      </w:r>
      <w:proofErr w:type="spellStart"/>
      <w:r w:rsidRPr="00F338C5">
        <w:rPr>
          <w:sz w:val="24"/>
          <w:szCs w:val="24"/>
        </w:rPr>
        <w:t>Brayne</w:t>
      </w:r>
      <w:proofErr w:type="spellEnd"/>
      <w:r w:rsidRPr="00F338C5">
        <w:rPr>
          <w:sz w:val="24"/>
          <w:szCs w:val="24"/>
        </w:rPr>
        <w:t xml:space="preserve">, C., Burns, A., Cohen-Mansfield, J., Cooper, C., </w:t>
      </w:r>
      <w:proofErr w:type="spellStart"/>
      <w:r w:rsidRPr="00F338C5">
        <w:rPr>
          <w:sz w:val="24"/>
          <w:szCs w:val="24"/>
        </w:rPr>
        <w:t>Costafreda</w:t>
      </w:r>
      <w:proofErr w:type="spellEnd"/>
      <w:r w:rsidRPr="00F338C5">
        <w:rPr>
          <w:sz w:val="24"/>
          <w:szCs w:val="24"/>
        </w:rPr>
        <w:t xml:space="preserve">, S.G., Dias, A., Fox, N., Gitlin, L.N., Howard, R., Kales, H.C., </w:t>
      </w:r>
      <w:proofErr w:type="spellStart"/>
      <w:r w:rsidRPr="00F338C5">
        <w:rPr>
          <w:sz w:val="24"/>
          <w:szCs w:val="24"/>
        </w:rPr>
        <w:t>Kivimaki</w:t>
      </w:r>
      <w:proofErr w:type="spellEnd"/>
      <w:r w:rsidRPr="00F338C5">
        <w:rPr>
          <w:sz w:val="24"/>
          <w:szCs w:val="24"/>
        </w:rPr>
        <w:t xml:space="preserve">, M., Larson, E.B., Ogunniyi, A., Orgeta, V., Ritchie, K., Rockwood, K., Sampson, E.L., Samus, Q., Schneider, L.S., </w:t>
      </w:r>
      <w:proofErr w:type="spellStart"/>
      <w:r w:rsidRPr="00F338C5">
        <w:rPr>
          <w:sz w:val="24"/>
          <w:szCs w:val="24"/>
        </w:rPr>
        <w:t>Selbaek</w:t>
      </w:r>
      <w:proofErr w:type="spellEnd"/>
      <w:r w:rsidRPr="00F338C5">
        <w:rPr>
          <w:sz w:val="24"/>
          <w:szCs w:val="24"/>
        </w:rPr>
        <w:t xml:space="preserve">, G., Teri, L. and Mukadam, N. (2020) 'Dementia prevention, intervention, and care: 2020 report of the Lancet Commission', </w:t>
      </w:r>
      <w:r w:rsidRPr="00F338C5">
        <w:rPr>
          <w:i/>
          <w:iCs/>
          <w:sz w:val="24"/>
          <w:szCs w:val="24"/>
        </w:rPr>
        <w:t>The Lancet</w:t>
      </w:r>
      <w:r w:rsidRPr="00F338C5">
        <w:rPr>
          <w:sz w:val="24"/>
          <w:szCs w:val="24"/>
        </w:rPr>
        <w:t xml:space="preserve">, 396(10248), pp. 413–446. Available at: </w:t>
      </w:r>
      <w:hyperlink r:id="rId13" w:history="1">
        <w:r w:rsidRPr="00F338C5">
          <w:rPr>
            <w:rStyle w:val="Hyperlink"/>
            <w:sz w:val="24"/>
            <w:szCs w:val="24"/>
          </w:rPr>
          <w:t>https://doi.org/10.1016/S0140-6736(20)30367-6</w:t>
        </w:r>
      </w:hyperlink>
    </w:p>
    <w:p w14:paraId="3C76210D" w14:textId="77777777" w:rsidR="00F338C5" w:rsidRPr="00F338C5" w:rsidRDefault="00F338C5" w:rsidP="00F338C5">
      <w:pPr>
        <w:spacing w:line="360" w:lineRule="auto"/>
        <w:ind w:left="720" w:hanging="720"/>
        <w:jc w:val="both"/>
        <w:rPr>
          <w:sz w:val="24"/>
          <w:szCs w:val="24"/>
        </w:rPr>
      </w:pPr>
      <w:r w:rsidRPr="00F338C5">
        <w:rPr>
          <w:sz w:val="24"/>
          <w:szCs w:val="24"/>
        </w:rPr>
        <w:t xml:space="preserve">Marques, M.J., Goncalves-Pereira, M., de </w:t>
      </w:r>
      <w:proofErr w:type="spellStart"/>
      <w:r w:rsidRPr="00F338C5">
        <w:rPr>
          <w:sz w:val="24"/>
          <w:szCs w:val="24"/>
        </w:rPr>
        <w:t>Vugt</w:t>
      </w:r>
      <w:proofErr w:type="spellEnd"/>
      <w:r w:rsidRPr="00F338C5">
        <w:rPr>
          <w:sz w:val="24"/>
          <w:szCs w:val="24"/>
        </w:rPr>
        <w:t xml:space="preserve">, M., Verhey, F. and Woods, B. (2024) 'The quality of family relationships in dementia: mixed methods to unravel mixed feelings', </w:t>
      </w:r>
      <w:r w:rsidRPr="00F338C5">
        <w:rPr>
          <w:i/>
          <w:iCs/>
          <w:sz w:val="24"/>
          <w:szCs w:val="24"/>
        </w:rPr>
        <w:t>Dementia</w:t>
      </w:r>
      <w:r w:rsidRPr="00F338C5">
        <w:rPr>
          <w:sz w:val="24"/>
          <w:szCs w:val="24"/>
        </w:rPr>
        <w:t xml:space="preserve">, 23(2), pp. 210–233. Available at: </w:t>
      </w:r>
      <w:hyperlink r:id="rId14" w:history="1">
        <w:r w:rsidRPr="00F338C5">
          <w:rPr>
            <w:rStyle w:val="Hyperlink"/>
            <w:sz w:val="24"/>
            <w:szCs w:val="24"/>
          </w:rPr>
          <w:t>https://doi.org/10.1177/14713012231220759</w:t>
        </w:r>
      </w:hyperlink>
    </w:p>
    <w:p w14:paraId="1ADEB39C" w14:textId="77777777" w:rsidR="00F338C5" w:rsidRPr="00F338C5" w:rsidRDefault="00F338C5" w:rsidP="00F338C5">
      <w:pPr>
        <w:spacing w:line="360" w:lineRule="auto"/>
        <w:ind w:left="720" w:hanging="720"/>
        <w:jc w:val="both"/>
        <w:rPr>
          <w:sz w:val="24"/>
          <w:szCs w:val="24"/>
        </w:rPr>
      </w:pPr>
      <w:r w:rsidRPr="00F338C5">
        <w:rPr>
          <w:sz w:val="24"/>
          <w:szCs w:val="24"/>
        </w:rPr>
        <w:t>Mental Capacity Act 2005 (c.9). London: HMSO.</w:t>
      </w:r>
    </w:p>
    <w:p w14:paraId="6C9D30E0" w14:textId="77777777" w:rsidR="00F338C5" w:rsidRPr="00F338C5" w:rsidRDefault="00F338C5" w:rsidP="00F338C5">
      <w:pPr>
        <w:spacing w:line="360" w:lineRule="auto"/>
        <w:ind w:left="720" w:hanging="720"/>
        <w:jc w:val="both"/>
        <w:rPr>
          <w:sz w:val="24"/>
          <w:szCs w:val="24"/>
        </w:rPr>
      </w:pPr>
      <w:r w:rsidRPr="00F338C5">
        <w:rPr>
          <w:sz w:val="24"/>
          <w:szCs w:val="24"/>
        </w:rPr>
        <w:t xml:space="preserve">National Institute for Health and Care Excellence (2023) </w:t>
      </w:r>
      <w:r w:rsidRPr="00F338C5">
        <w:rPr>
          <w:i/>
          <w:iCs/>
          <w:sz w:val="24"/>
          <w:szCs w:val="24"/>
        </w:rPr>
        <w:t xml:space="preserve">Dementia: assessment, management and support for people living with dementia and their </w:t>
      </w:r>
      <w:proofErr w:type="spellStart"/>
      <w:r w:rsidRPr="00F338C5">
        <w:rPr>
          <w:i/>
          <w:iCs/>
          <w:sz w:val="24"/>
          <w:szCs w:val="24"/>
        </w:rPr>
        <w:t>carers</w:t>
      </w:r>
      <w:proofErr w:type="spellEnd"/>
      <w:r w:rsidRPr="00F338C5">
        <w:rPr>
          <w:sz w:val="24"/>
          <w:szCs w:val="24"/>
        </w:rPr>
        <w:t>. NICE guideline NG97. London: NICE.</w:t>
      </w:r>
    </w:p>
    <w:p w14:paraId="6568ECF8" w14:textId="77777777" w:rsidR="00F338C5" w:rsidRPr="00F338C5" w:rsidRDefault="00F338C5" w:rsidP="00F338C5">
      <w:pPr>
        <w:spacing w:line="360" w:lineRule="auto"/>
        <w:ind w:left="720" w:hanging="720"/>
        <w:jc w:val="both"/>
        <w:rPr>
          <w:sz w:val="24"/>
          <w:szCs w:val="24"/>
        </w:rPr>
      </w:pPr>
      <w:r w:rsidRPr="00F338C5">
        <w:rPr>
          <w:sz w:val="24"/>
          <w:szCs w:val="24"/>
        </w:rPr>
        <w:t xml:space="preserve">Polacsek, M. and Woolford, M. (2022) 'Strategies to support older adults' mental health during the transition into residential aged care: a qualitative study of multiple stakeholder perspectives', </w:t>
      </w:r>
      <w:r w:rsidRPr="00F338C5">
        <w:rPr>
          <w:i/>
          <w:iCs/>
          <w:sz w:val="24"/>
          <w:szCs w:val="24"/>
        </w:rPr>
        <w:t>BMC Geriatrics</w:t>
      </w:r>
      <w:r w:rsidRPr="00F338C5">
        <w:rPr>
          <w:sz w:val="24"/>
          <w:szCs w:val="24"/>
        </w:rPr>
        <w:t xml:space="preserve">, 22(1), article 151. Available at: </w:t>
      </w:r>
      <w:hyperlink r:id="rId15" w:history="1">
        <w:r w:rsidRPr="00F338C5">
          <w:rPr>
            <w:rStyle w:val="Hyperlink"/>
            <w:sz w:val="24"/>
            <w:szCs w:val="24"/>
          </w:rPr>
          <w:t>https://doi.org/10.1186/s12877-022-02859-1</w:t>
        </w:r>
      </w:hyperlink>
    </w:p>
    <w:p w14:paraId="0557E002" w14:textId="77777777" w:rsidR="00F338C5" w:rsidRPr="00F338C5" w:rsidRDefault="00F338C5" w:rsidP="00F338C5">
      <w:pPr>
        <w:spacing w:line="360" w:lineRule="auto"/>
        <w:ind w:left="720" w:hanging="720"/>
        <w:jc w:val="both"/>
        <w:rPr>
          <w:sz w:val="24"/>
          <w:szCs w:val="24"/>
        </w:rPr>
      </w:pPr>
      <w:r w:rsidRPr="00F338C5">
        <w:rPr>
          <w:sz w:val="24"/>
          <w:szCs w:val="24"/>
        </w:rPr>
        <w:t xml:space="preserve">Rose, T. and Harrison Dening, K. (2023) 'Who am I? Identity, person-centred care and dementia', </w:t>
      </w:r>
      <w:r w:rsidRPr="00F338C5">
        <w:rPr>
          <w:i/>
          <w:iCs/>
          <w:sz w:val="24"/>
          <w:szCs w:val="24"/>
        </w:rPr>
        <w:t>Nursing Older People</w:t>
      </w:r>
      <w:r w:rsidRPr="00F338C5">
        <w:rPr>
          <w:sz w:val="24"/>
          <w:szCs w:val="24"/>
        </w:rPr>
        <w:t xml:space="preserve">. Available at: </w:t>
      </w:r>
      <w:hyperlink r:id="rId16" w:history="1">
        <w:r w:rsidRPr="00F338C5">
          <w:rPr>
            <w:rStyle w:val="Hyperlink"/>
            <w:sz w:val="24"/>
            <w:szCs w:val="24"/>
          </w:rPr>
          <w:t>https://doi.org/10.7748/nop.2023.e1446</w:t>
        </w:r>
      </w:hyperlink>
    </w:p>
    <w:p w14:paraId="17394E26" w14:textId="77777777" w:rsidR="00F338C5" w:rsidRPr="00F338C5" w:rsidRDefault="00F338C5" w:rsidP="00F338C5">
      <w:pPr>
        <w:spacing w:line="360" w:lineRule="auto"/>
        <w:ind w:left="720" w:hanging="720"/>
        <w:jc w:val="both"/>
        <w:rPr>
          <w:sz w:val="24"/>
          <w:szCs w:val="24"/>
        </w:rPr>
      </w:pPr>
      <w:r w:rsidRPr="00F338C5">
        <w:rPr>
          <w:sz w:val="24"/>
          <w:szCs w:val="24"/>
        </w:rPr>
        <w:t xml:space="preserve">Shah, R., Salek, M.S., Ali, F.M., Nixon, S.J., </w:t>
      </w:r>
      <w:proofErr w:type="spellStart"/>
      <w:r w:rsidRPr="00F338C5">
        <w:rPr>
          <w:sz w:val="24"/>
          <w:szCs w:val="24"/>
        </w:rPr>
        <w:t>Otwombe</w:t>
      </w:r>
      <w:proofErr w:type="spellEnd"/>
      <w:r w:rsidRPr="00F338C5">
        <w:rPr>
          <w:sz w:val="24"/>
          <w:szCs w:val="24"/>
        </w:rPr>
        <w:t xml:space="preserve">, K., Ingram, J.R. and Finlay, A.Y. (2024) 'Dementia and its profound impact on family members and partners: a large UK cross-sectional study', </w:t>
      </w:r>
      <w:r w:rsidRPr="00F338C5">
        <w:rPr>
          <w:i/>
          <w:iCs/>
          <w:sz w:val="24"/>
          <w:szCs w:val="24"/>
        </w:rPr>
        <w:t>Alzheimer Disease and Associated Disorders</w:t>
      </w:r>
      <w:r w:rsidRPr="00F338C5">
        <w:rPr>
          <w:sz w:val="24"/>
          <w:szCs w:val="24"/>
        </w:rPr>
        <w:t xml:space="preserve">, 38(4), pp. 338–343. Available at: </w:t>
      </w:r>
      <w:hyperlink r:id="rId17" w:history="1">
        <w:r w:rsidRPr="00F338C5">
          <w:rPr>
            <w:rStyle w:val="Hyperlink"/>
            <w:sz w:val="24"/>
            <w:szCs w:val="24"/>
          </w:rPr>
          <w:t>https://doi.org/10.1097/WAD.0000000000000647</w:t>
        </w:r>
      </w:hyperlink>
    </w:p>
    <w:p w14:paraId="0C77BBBC" w14:textId="77777777" w:rsidR="00F338C5" w:rsidRPr="00F338C5" w:rsidRDefault="00F338C5" w:rsidP="00F338C5">
      <w:pPr>
        <w:spacing w:line="360" w:lineRule="auto"/>
        <w:ind w:left="720" w:hanging="720"/>
        <w:jc w:val="both"/>
        <w:rPr>
          <w:sz w:val="24"/>
          <w:szCs w:val="24"/>
        </w:rPr>
      </w:pPr>
      <w:r w:rsidRPr="00F338C5">
        <w:rPr>
          <w:sz w:val="24"/>
          <w:szCs w:val="24"/>
        </w:rPr>
        <w:t xml:space="preserve">Stenberg, J., Haaland-Johansen, L. and Lohne, V. (2023) 'Migrant informal caregiver perceptions and experiences of caring for a family member with dementia: a systematic review and thematic synthesis', </w:t>
      </w:r>
      <w:r w:rsidRPr="00F338C5">
        <w:rPr>
          <w:i/>
          <w:iCs/>
          <w:sz w:val="24"/>
          <w:szCs w:val="24"/>
        </w:rPr>
        <w:t>Journal of Clinical Nursing</w:t>
      </w:r>
      <w:r w:rsidRPr="00F338C5">
        <w:rPr>
          <w:sz w:val="24"/>
          <w:szCs w:val="24"/>
        </w:rPr>
        <w:t xml:space="preserve">, 32(19–20), pp. 7345–7357. Available at: </w:t>
      </w:r>
      <w:hyperlink r:id="rId18" w:history="1">
        <w:r w:rsidRPr="00F338C5">
          <w:rPr>
            <w:rStyle w:val="Hyperlink"/>
            <w:sz w:val="24"/>
            <w:szCs w:val="24"/>
          </w:rPr>
          <w:t>https://doi.org/10.1111/jocn.16390</w:t>
        </w:r>
      </w:hyperlink>
    </w:p>
    <w:p w14:paraId="6869CA0D" w14:textId="77777777" w:rsidR="00F338C5" w:rsidRPr="00F338C5" w:rsidRDefault="00F338C5" w:rsidP="00F338C5">
      <w:pPr>
        <w:spacing w:line="360" w:lineRule="auto"/>
        <w:ind w:left="720" w:hanging="720"/>
        <w:jc w:val="both"/>
        <w:rPr>
          <w:sz w:val="24"/>
          <w:szCs w:val="24"/>
        </w:rPr>
      </w:pPr>
      <w:r w:rsidRPr="00F338C5">
        <w:rPr>
          <w:sz w:val="24"/>
          <w:szCs w:val="24"/>
        </w:rPr>
        <w:t xml:space="preserve">Victor, C.R., van den Heuvel, E., Pentecost, C., Quinn, C., Charlwood, C. and Clare, L. (2024) 'Understanding dementia in minority ethnic communities: the perspectives of key stakeholders interviewed as part of the IDEAL programme', </w:t>
      </w:r>
      <w:r w:rsidRPr="00F338C5">
        <w:rPr>
          <w:i/>
          <w:iCs/>
          <w:sz w:val="24"/>
          <w:szCs w:val="24"/>
        </w:rPr>
        <w:t>Dementia</w:t>
      </w:r>
      <w:r w:rsidRPr="00F338C5">
        <w:rPr>
          <w:sz w:val="24"/>
          <w:szCs w:val="24"/>
        </w:rPr>
        <w:t xml:space="preserve">, 23(7), pp. 1172–1182. Available at: </w:t>
      </w:r>
      <w:hyperlink r:id="rId19" w:history="1">
        <w:r w:rsidRPr="00F338C5">
          <w:rPr>
            <w:rStyle w:val="Hyperlink"/>
            <w:sz w:val="24"/>
            <w:szCs w:val="24"/>
          </w:rPr>
          <w:t>https://doi.org/10.1177/14713012241272817</w:t>
        </w:r>
      </w:hyperlink>
    </w:p>
    <w:p w14:paraId="3D793BC0" w14:textId="77777777" w:rsidR="00F338C5" w:rsidRPr="00F338C5" w:rsidRDefault="00F338C5" w:rsidP="00F338C5">
      <w:pPr>
        <w:spacing w:line="360" w:lineRule="auto"/>
        <w:ind w:left="720" w:hanging="720"/>
        <w:jc w:val="both"/>
        <w:rPr>
          <w:sz w:val="24"/>
          <w:szCs w:val="24"/>
        </w:rPr>
      </w:pPr>
      <w:r w:rsidRPr="00F338C5">
        <w:rPr>
          <w:sz w:val="24"/>
          <w:szCs w:val="24"/>
        </w:rPr>
        <w:t xml:space="preserve">Webster, L., Amador, S., Rapaport, P., Mukadam, N., </w:t>
      </w:r>
      <w:proofErr w:type="spellStart"/>
      <w:r w:rsidRPr="00F338C5">
        <w:rPr>
          <w:sz w:val="24"/>
          <w:szCs w:val="24"/>
        </w:rPr>
        <w:t>Sommerlad</w:t>
      </w:r>
      <w:proofErr w:type="spellEnd"/>
      <w:r w:rsidRPr="00F338C5">
        <w:rPr>
          <w:sz w:val="24"/>
          <w:szCs w:val="24"/>
        </w:rPr>
        <w:t xml:space="preserve">, A., James, T., Javed, S., Roche, M., Lord, K., </w:t>
      </w:r>
      <w:proofErr w:type="spellStart"/>
      <w:r w:rsidRPr="00F338C5">
        <w:rPr>
          <w:sz w:val="24"/>
          <w:szCs w:val="24"/>
        </w:rPr>
        <w:t>Bharadia</w:t>
      </w:r>
      <w:proofErr w:type="spellEnd"/>
      <w:r w:rsidRPr="00F338C5">
        <w:rPr>
          <w:sz w:val="24"/>
          <w:szCs w:val="24"/>
        </w:rPr>
        <w:t xml:space="preserve">, T., Rahman-Amin, M., Lang, I. and Livingston, G. (2023) 'Tailoring </w:t>
      </w:r>
      <w:proofErr w:type="spellStart"/>
      <w:r w:rsidRPr="00F338C5">
        <w:rPr>
          <w:sz w:val="24"/>
          <w:szCs w:val="24"/>
        </w:rPr>
        <w:t>STrAtegies</w:t>
      </w:r>
      <w:proofErr w:type="spellEnd"/>
      <w:r w:rsidRPr="00F338C5">
        <w:rPr>
          <w:sz w:val="24"/>
          <w:szCs w:val="24"/>
        </w:rPr>
        <w:t xml:space="preserve"> for </w:t>
      </w:r>
      <w:proofErr w:type="spellStart"/>
      <w:r w:rsidRPr="00F338C5">
        <w:rPr>
          <w:sz w:val="24"/>
          <w:szCs w:val="24"/>
        </w:rPr>
        <w:t>RelaTives</w:t>
      </w:r>
      <w:proofErr w:type="spellEnd"/>
      <w:r w:rsidRPr="00F338C5">
        <w:rPr>
          <w:sz w:val="24"/>
          <w:szCs w:val="24"/>
        </w:rPr>
        <w:t xml:space="preserve"> for Black and South Asian dementia family carers in the United Kingdom: a mixed methods study', </w:t>
      </w:r>
      <w:r w:rsidRPr="00F338C5">
        <w:rPr>
          <w:i/>
          <w:iCs/>
          <w:sz w:val="24"/>
          <w:szCs w:val="24"/>
        </w:rPr>
        <w:t>International Journal of Geriatric Psychiatry</w:t>
      </w:r>
      <w:r w:rsidRPr="00F338C5">
        <w:rPr>
          <w:sz w:val="24"/>
          <w:szCs w:val="24"/>
        </w:rPr>
        <w:t xml:space="preserve">, 38(1). Available at: </w:t>
      </w:r>
      <w:hyperlink r:id="rId20" w:history="1">
        <w:r w:rsidRPr="00F338C5">
          <w:rPr>
            <w:rStyle w:val="Hyperlink"/>
            <w:sz w:val="24"/>
            <w:szCs w:val="24"/>
          </w:rPr>
          <w:t>https://doi.org/10.1002/gps.5868</w:t>
        </w:r>
      </w:hyperlink>
    </w:p>
    <w:p w14:paraId="6EF60538" w14:textId="77777777" w:rsidR="00F338C5" w:rsidRPr="00F338C5" w:rsidRDefault="00F338C5" w:rsidP="00F338C5">
      <w:pPr>
        <w:spacing w:line="360" w:lineRule="auto"/>
        <w:ind w:left="720" w:hanging="720"/>
        <w:jc w:val="both"/>
        <w:rPr>
          <w:sz w:val="24"/>
          <w:szCs w:val="24"/>
        </w:rPr>
      </w:pPr>
      <w:r w:rsidRPr="00F338C5">
        <w:rPr>
          <w:sz w:val="24"/>
          <w:szCs w:val="24"/>
        </w:rPr>
        <w:t xml:space="preserve">Wijesinghe, S. and </w:t>
      </w:r>
      <w:proofErr w:type="spellStart"/>
      <w:r w:rsidRPr="00F338C5">
        <w:rPr>
          <w:sz w:val="24"/>
          <w:szCs w:val="24"/>
        </w:rPr>
        <w:t>Mukaetova-Ladinska</w:t>
      </w:r>
      <w:proofErr w:type="spellEnd"/>
      <w:r w:rsidRPr="00F338C5">
        <w:rPr>
          <w:sz w:val="24"/>
          <w:szCs w:val="24"/>
        </w:rPr>
        <w:t xml:space="preserve">, E.B. (2024) 'Exploration of dementia help seeking </w:t>
      </w:r>
      <w:proofErr w:type="spellStart"/>
      <w:r w:rsidRPr="00F338C5">
        <w:rPr>
          <w:sz w:val="24"/>
          <w:szCs w:val="24"/>
        </w:rPr>
        <w:t>behaviours</w:t>
      </w:r>
      <w:proofErr w:type="spellEnd"/>
      <w:r w:rsidRPr="00F338C5">
        <w:rPr>
          <w:sz w:val="24"/>
          <w:szCs w:val="24"/>
        </w:rPr>
        <w:t xml:space="preserve"> amongst UK South Asian communities: a systematic review', </w:t>
      </w:r>
      <w:r w:rsidRPr="00F338C5">
        <w:rPr>
          <w:i/>
          <w:iCs/>
          <w:sz w:val="24"/>
          <w:szCs w:val="24"/>
        </w:rPr>
        <w:t>OBM Geriatrics</w:t>
      </w:r>
      <w:r w:rsidRPr="00F338C5">
        <w:rPr>
          <w:sz w:val="24"/>
          <w:szCs w:val="24"/>
        </w:rPr>
        <w:t xml:space="preserve">, 8(2). Available at: </w:t>
      </w:r>
      <w:hyperlink r:id="rId21" w:history="1">
        <w:r w:rsidRPr="00F338C5">
          <w:rPr>
            <w:rStyle w:val="Hyperlink"/>
            <w:sz w:val="24"/>
            <w:szCs w:val="24"/>
          </w:rPr>
          <w:t>https://doi.org/10.21926/obm.geriatr.2402279</w:t>
        </w:r>
      </w:hyperlink>
    </w:p>
    <w:p w14:paraId="1F31EA23" w14:textId="77777777" w:rsidR="00DA1221" w:rsidRDefault="00DA1221" w:rsidP="00F338C5">
      <w:pPr>
        <w:spacing w:line="360" w:lineRule="auto"/>
      </w:pPr>
    </w:p>
    <w:sectPr w:rsidR="00DA1221">
      <w:footerReference w:type="default" r:id="rId2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7CAD60" w14:textId="77777777" w:rsidR="00BF15FD" w:rsidRDefault="00BF15FD" w:rsidP="00AF45C4">
      <w:r>
        <w:separator/>
      </w:r>
    </w:p>
  </w:endnote>
  <w:endnote w:type="continuationSeparator" w:id="0">
    <w:p w14:paraId="273B2081" w14:textId="77777777" w:rsidR="00BF15FD" w:rsidRDefault="00BF15FD" w:rsidP="00AF45C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8463635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217BD6" w14:textId="209218C8" w:rsidR="00AF45C4" w:rsidRDefault="00AF45C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D8E29C4" w14:textId="77777777" w:rsidR="00AF45C4" w:rsidRDefault="00AF45C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8B9808" w14:textId="77777777" w:rsidR="00BF15FD" w:rsidRDefault="00BF15FD" w:rsidP="00AF45C4">
      <w:r>
        <w:separator/>
      </w:r>
    </w:p>
  </w:footnote>
  <w:footnote w:type="continuationSeparator" w:id="0">
    <w:p w14:paraId="61DDF98C" w14:textId="77777777" w:rsidR="00BF15FD" w:rsidRDefault="00BF15FD" w:rsidP="00AF45C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1221"/>
    <w:rsid w:val="00604212"/>
    <w:rsid w:val="00614CC9"/>
    <w:rsid w:val="00AA3CAC"/>
    <w:rsid w:val="00AF45C4"/>
    <w:rsid w:val="00BF15FD"/>
    <w:rsid w:val="00DA1221"/>
    <w:rsid w:val="00E1066E"/>
    <w:rsid w:val="00F33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474D75"/>
  <w15:chartTrackingRefBased/>
  <w15:docId w15:val="{701B2B42-7D4D-4AFD-80BB-BEC9E98B04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A1221"/>
    <w:pPr>
      <w:spacing w:after="0" w:line="240" w:lineRule="auto"/>
    </w:pPr>
    <w:rPr>
      <w:rFonts w:ascii="Arial" w:eastAsia="Arial" w:hAnsi="Arial" w:cs="Arial"/>
      <w:color w:val="1C2A1E"/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DA122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A122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122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122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122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122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122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122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122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122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A122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122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122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122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122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122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122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122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122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12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122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122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122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122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122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122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122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122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122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14CC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4CC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F45C4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F45C4"/>
    <w:rPr>
      <w:rFonts w:ascii="Arial" w:eastAsia="Arial" w:hAnsi="Arial" w:cs="Arial"/>
      <w:color w:val="1C2A1E"/>
      <w:kern w:val="0"/>
      <w:sz w:val="22"/>
      <w:szCs w:val="22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AF45C4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F45C4"/>
    <w:rPr>
      <w:rFonts w:ascii="Arial" w:eastAsia="Arial" w:hAnsi="Arial" w:cs="Arial"/>
      <w:color w:val="1C2A1E"/>
      <w:kern w:val="0"/>
      <w:sz w:val="22"/>
      <w:szCs w:val="22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36/bmjopen-2021-053936" TargetMode="External"/><Relationship Id="rId13" Type="http://schemas.openxmlformats.org/officeDocument/2006/relationships/hyperlink" Target="https://doi.org/10.1016/S0140-6736(20)30367-6" TargetMode="External"/><Relationship Id="rId18" Type="http://schemas.openxmlformats.org/officeDocument/2006/relationships/hyperlink" Target="https://doi.org/10.1111/jocn.16390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doi.org/10.21926/obm.geriatr.2402279" TargetMode="External"/><Relationship Id="rId7" Type="http://schemas.openxmlformats.org/officeDocument/2006/relationships/hyperlink" Target="https://www.alzheimers.org.uk/sites/default/files/2024-05/the-annual-costs-of-dementia.pdf" TargetMode="External"/><Relationship Id="rId12" Type="http://schemas.openxmlformats.org/officeDocument/2006/relationships/hyperlink" Target="https://doi.org/10.1016/S0140-6736(24)01296-0" TargetMode="External"/><Relationship Id="rId17" Type="http://schemas.openxmlformats.org/officeDocument/2006/relationships/hyperlink" Target="https://doi.org/10.1097/WAD.0000000000000647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7748/nop.2023.e1446" TargetMode="External"/><Relationship Id="rId20" Type="http://schemas.openxmlformats.org/officeDocument/2006/relationships/hyperlink" Target="https://doi.org/10.1002/gps.5868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qc.org.uk/publications/health-and-social-care-support-dementia" TargetMode="External"/><Relationship Id="rId11" Type="http://schemas.openxmlformats.org/officeDocument/2006/relationships/hyperlink" Target="https://doi.org/10.3390/medicina59010048" TargetMode="External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doi.org/10.1186/s12877-022-02859-1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doi.org/10.3233/ADR-230011" TargetMode="External"/><Relationship Id="rId19" Type="http://schemas.openxmlformats.org/officeDocument/2006/relationships/hyperlink" Target="https://doi.org/10.1177/14713012241272817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oi.org/10.1080/13607863.2022.2102138" TargetMode="External"/><Relationship Id="rId14" Type="http://schemas.openxmlformats.org/officeDocument/2006/relationships/hyperlink" Target="https://doi.org/10.1177/14713012231220759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4</Pages>
  <Words>1024</Words>
  <Characters>5840</Characters>
  <Application>Microsoft Office Word</Application>
  <DocSecurity>0</DocSecurity>
  <Lines>108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Idowu PC</dc:creator>
  <cp:keywords/>
  <dc:description/>
  <cp:lastModifiedBy>Adedeji Adelaja</cp:lastModifiedBy>
  <cp:revision>23</cp:revision>
  <dcterms:created xsi:type="dcterms:W3CDTF">2026-06-18T14:08:00Z</dcterms:created>
  <dcterms:modified xsi:type="dcterms:W3CDTF">2026-06-18T14:48:00Z</dcterms:modified>
</cp:coreProperties>
</file>