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012501" w14:textId="77777777" w:rsidR="00F81ED9" w:rsidRPr="00812591" w:rsidRDefault="00F81ED9" w:rsidP="00F81ED9">
      <w:pPr>
        <w:pStyle w:val="BodyText"/>
        <w:spacing w:line="360" w:lineRule="auto"/>
        <w:mirrorIndents/>
        <w:jc w:val="center"/>
        <w:rPr>
          <w:rFonts w:ascii="Arial" w:hAnsi="Arial" w:cs="Arial"/>
          <w:sz w:val="20"/>
        </w:rPr>
      </w:pPr>
      <w:r>
        <w:rPr>
          <w:noProof/>
        </w:rPr>
        <w:drawing>
          <wp:inline distT="0" distB="0" distL="0" distR="0" wp14:anchorId="5ADA8F6A" wp14:editId="0DBCCF45">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1CF56E5C" w14:textId="77777777" w:rsidR="00F81ED9" w:rsidRDefault="00F81ED9" w:rsidP="00F81ED9">
      <w:pPr>
        <w:pStyle w:val="BodyText"/>
        <w:spacing w:line="360" w:lineRule="auto"/>
        <w:mirrorIndents/>
        <w:rPr>
          <w:rFonts w:ascii="Arial" w:hAnsi="Arial" w:cs="Arial"/>
          <w:sz w:val="20"/>
        </w:rPr>
      </w:pPr>
    </w:p>
    <w:p w14:paraId="0E976E7B" w14:textId="77777777" w:rsidR="00F81ED9" w:rsidRPr="00812591" w:rsidRDefault="00F81ED9" w:rsidP="00F81ED9">
      <w:pPr>
        <w:pStyle w:val="BodyText"/>
        <w:spacing w:line="360" w:lineRule="auto"/>
        <w:mirrorIndents/>
        <w:rPr>
          <w:rFonts w:ascii="Arial" w:hAnsi="Arial" w:cs="Arial"/>
          <w:sz w:val="20"/>
        </w:rPr>
      </w:pPr>
    </w:p>
    <w:p w14:paraId="42D0C0DB" w14:textId="77777777" w:rsidR="00F81ED9" w:rsidRPr="00C5548A" w:rsidRDefault="708A5FEB" w:rsidP="3225C199">
      <w:pPr>
        <w:spacing w:after="100" w:line="360" w:lineRule="auto"/>
        <w:jc w:val="center"/>
        <w:rPr>
          <w:rFonts w:ascii="Arial" w:hAnsi="Arial" w:cs="Arial"/>
          <w:color w:val="0070C0"/>
          <w:sz w:val="56"/>
          <w:szCs w:val="56"/>
        </w:rPr>
      </w:pPr>
      <w:r w:rsidRPr="00C5548A">
        <w:rPr>
          <w:rFonts w:ascii="Arial" w:hAnsi="Arial" w:cs="Arial"/>
          <w:b/>
          <w:bCs/>
          <w:color w:val="0070C0"/>
          <w:sz w:val="56"/>
          <w:szCs w:val="56"/>
        </w:rPr>
        <w:t>Challenging Behaviour in Older Adults with Dementia in UK Care Homes: Causes, Impacts, and Management Strategies</w:t>
      </w:r>
    </w:p>
    <w:p w14:paraId="67F129E9" w14:textId="77777777" w:rsidR="00F81ED9" w:rsidRPr="00141A69" w:rsidRDefault="00F81ED9" w:rsidP="00F81E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color w:val="0070C0"/>
          <w:sz w:val="80"/>
          <w:szCs w:val="80"/>
        </w:rPr>
      </w:pPr>
    </w:p>
    <w:p w14:paraId="29E1AE21" w14:textId="504DEE8E" w:rsidR="00F81ED9" w:rsidRPr="004C13F2" w:rsidRDefault="708A5FEB" w:rsidP="3225C1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color w:val="0070C0"/>
          <w:sz w:val="80"/>
          <w:szCs w:val="80"/>
        </w:rPr>
      </w:pPr>
      <w:r w:rsidRPr="004C13F2">
        <w:rPr>
          <w:rFonts w:ascii="Arial" w:eastAsia="Arial Unicode MS" w:hAnsi="Arial" w:cs="Arial"/>
          <w:b/>
          <w:bCs/>
          <w:color w:val="0070C0"/>
          <w:sz w:val="80"/>
          <w:szCs w:val="80"/>
        </w:rPr>
        <w:t>Selma</w:t>
      </w:r>
      <w:r w:rsidR="1A84475F" w:rsidRPr="004C13F2">
        <w:rPr>
          <w:rFonts w:ascii="Arial" w:eastAsia="Arial Unicode MS" w:hAnsi="Arial" w:cs="Arial"/>
          <w:b/>
          <w:bCs/>
          <w:color w:val="0070C0"/>
          <w:sz w:val="80"/>
          <w:szCs w:val="80"/>
        </w:rPr>
        <w:t xml:space="preserve"> Pacheco</w:t>
      </w:r>
    </w:p>
    <w:p w14:paraId="51E203B3" w14:textId="77777777" w:rsidR="00F81ED9" w:rsidRDefault="00F81ED9" w:rsidP="00F81E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66B4D074" w14:textId="77777777" w:rsidR="00F81ED9" w:rsidRDefault="00F81ED9" w:rsidP="00F81E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41ADD798" w14:textId="255B3DAF" w:rsidR="00F81ED9" w:rsidRPr="008825E0" w:rsidRDefault="708A5FEB" w:rsidP="3225C1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720"/>
        <w:mirrorIndents/>
        <w:rPr>
          <w:rFonts w:ascii="Arial" w:eastAsia="Arial Unicode MS" w:hAnsi="Arial" w:cs="Arial"/>
          <w:sz w:val="36"/>
          <w:szCs w:val="36"/>
        </w:rPr>
      </w:pPr>
      <w:r w:rsidRPr="3225C199">
        <w:rPr>
          <w:rFonts w:ascii="Arial" w:eastAsia="Arial Unicode MS" w:hAnsi="Arial" w:cs="Arial"/>
          <w:b/>
          <w:bCs/>
          <w:sz w:val="36"/>
          <w:szCs w:val="36"/>
        </w:rPr>
        <w:t>Supervisor’s name</w:t>
      </w:r>
      <w:r w:rsidRPr="3225C199">
        <w:rPr>
          <w:rFonts w:ascii="Arial" w:eastAsia="Arial Unicode MS" w:hAnsi="Arial" w:cs="Arial"/>
          <w:sz w:val="36"/>
          <w:szCs w:val="36"/>
        </w:rPr>
        <w:t>:</w:t>
      </w:r>
      <w:r w:rsidR="13B20FA7" w:rsidRPr="3225C199">
        <w:rPr>
          <w:rFonts w:ascii="Arial" w:eastAsia="Arial Unicode MS" w:hAnsi="Arial" w:cs="Arial"/>
          <w:sz w:val="36"/>
          <w:szCs w:val="36"/>
        </w:rPr>
        <w:t xml:space="preserve"> Bianca Sanfilippo</w:t>
      </w:r>
    </w:p>
    <w:p w14:paraId="4534B9CF" w14:textId="77777777" w:rsidR="00F81ED9" w:rsidRPr="00812591" w:rsidRDefault="00F81ED9" w:rsidP="00F81E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40"/>
          <w:szCs w:val="40"/>
        </w:rPr>
      </w:pPr>
    </w:p>
    <w:p w14:paraId="12C92101" w14:textId="77777777" w:rsidR="00F81ED9" w:rsidRPr="008825E0" w:rsidRDefault="00F81ED9" w:rsidP="00F81E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32"/>
          <w:szCs w:val="32"/>
        </w:rPr>
      </w:pPr>
      <w:r w:rsidRPr="008825E0">
        <w:rPr>
          <w:rFonts w:ascii="Arial" w:eastAsia="Arial Unicode MS" w:hAnsi="Arial" w:cs="Arial"/>
          <w:sz w:val="32"/>
          <w:szCs w:val="32"/>
        </w:rPr>
        <w:t xml:space="preserve">Dissertation submitted as part of the requirements for the award BSc (Hons) Health and Social Care </w:t>
      </w:r>
    </w:p>
    <w:p w14:paraId="4903DEEE" w14:textId="77777777" w:rsidR="00F81ED9" w:rsidRPr="00812591" w:rsidRDefault="00F81ED9" w:rsidP="00F81E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F4E293C" w14:textId="71D5833F" w:rsidR="3225C199" w:rsidRDefault="3225C199" w:rsidP="3225C1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rPr>
          <w:rFonts w:ascii="Arial" w:eastAsia="Arial Unicode MS" w:hAnsi="Arial" w:cs="Arial"/>
          <w:b/>
          <w:bCs/>
          <w:color w:val="0070C0"/>
        </w:rPr>
      </w:pPr>
    </w:p>
    <w:p w14:paraId="0292A2E1" w14:textId="6A0224A1" w:rsidR="00F81ED9" w:rsidRPr="00141A69" w:rsidRDefault="00396824" w:rsidP="3225C1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ind w:left="2160" w:firstLine="720"/>
        <w:mirrorIndents/>
      </w:pPr>
      <w:r>
        <w:rPr>
          <w:rFonts w:ascii="Arial" w:eastAsia="Arial Unicode MS" w:hAnsi="Arial" w:cs="Arial"/>
          <w:b/>
          <w:bCs/>
          <w:color w:val="0070C0"/>
        </w:rPr>
        <w:lastRenderedPageBreak/>
        <w:tab/>
      </w:r>
      <w:r>
        <w:rPr>
          <w:rFonts w:ascii="Arial" w:eastAsia="Arial Unicode MS" w:hAnsi="Arial" w:cs="Arial"/>
          <w:b/>
          <w:bCs/>
          <w:color w:val="0070C0"/>
        </w:rPr>
        <w:tab/>
      </w:r>
      <w:r>
        <w:rPr>
          <w:rFonts w:ascii="Arial" w:eastAsia="Arial Unicode MS" w:hAnsi="Arial" w:cs="Arial"/>
          <w:b/>
          <w:bCs/>
          <w:color w:val="0070C0"/>
        </w:rPr>
        <w:tab/>
      </w:r>
      <w:r w:rsidR="248C72DD" w:rsidRPr="3225C199">
        <w:rPr>
          <w:rFonts w:ascii="Arial" w:eastAsia="Arial Unicode MS" w:hAnsi="Arial" w:cs="Arial"/>
          <w:b/>
          <w:bCs/>
          <w:color w:val="0070C0"/>
        </w:rPr>
        <w:t>14</w:t>
      </w:r>
      <w:r w:rsidRPr="3225C199">
        <w:rPr>
          <w:rFonts w:ascii="Arial" w:eastAsia="Arial Unicode MS" w:hAnsi="Arial" w:cs="Arial"/>
          <w:b/>
          <w:bCs/>
          <w:color w:val="0070C0"/>
          <w:vertAlign w:val="superscript"/>
        </w:rPr>
        <w:t>th</w:t>
      </w:r>
      <w:r w:rsidRPr="3225C199">
        <w:rPr>
          <w:rFonts w:ascii="Arial" w:eastAsia="Arial Unicode MS" w:hAnsi="Arial" w:cs="Arial"/>
          <w:b/>
          <w:bCs/>
          <w:color w:val="0070C0"/>
        </w:rPr>
        <w:t xml:space="preserve"> </w:t>
      </w:r>
      <w:r w:rsidR="004C13F2" w:rsidRPr="3225C199">
        <w:rPr>
          <w:rFonts w:ascii="Arial" w:eastAsia="Arial Unicode MS" w:hAnsi="Arial" w:cs="Arial"/>
          <w:b/>
          <w:bCs/>
          <w:color w:val="0070C0"/>
        </w:rPr>
        <w:t>August</w:t>
      </w:r>
      <w:r w:rsidR="248C72DD" w:rsidRPr="3225C199">
        <w:rPr>
          <w:rFonts w:ascii="Arial" w:eastAsia="Arial Unicode MS" w:hAnsi="Arial" w:cs="Arial"/>
          <w:b/>
          <w:bCs/>
          <w:color w:val="0070C0"/>
        </w:rPr>
        <w:t xml:space="preserve"> 2026</w:t>
      </w:r>
    </w:p>
    <w:p w14:paraId="4E7F3BB3" w14:textId="77777777" w:rsidR="00F81ED9" w:rsidRPr="00812591" w:rsidRDefault="00F81ED9" w:rsidP="00F81E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rPr>
      </w:pPr>
    </w:p>
    <w:p w14:paraId="02221115" w14:textId="77777777" w:rsidR="00F81ED9" w:rsidRDefault="00F81ED9" w:rsidP="00F81ED9">
      <w:pPr>
        <w:rPr>
          <w:rFonts w:ascii="Arial" w:hAnsi="Arial" w:cs="Arial"/>
          <w:b/>
          <w:sz w:val="20"/>
          <w:szCs w:val="20"/>
        </w:rPr>
      </w:pPr>
      <w:r>
        <w:rPr>
          <w:rFonts w:ascii="Arial" w:hAnsi="Arial" w:cs="Arial"/>
          <w:b/>
          <w:sz w:val="20"/>
          <w:szCs w:val="20"/>
        </w:rPr>
        <w:br w:type="page"/>
      </w:r>
    </w:p>
    <w:p w14:paraId="6FF60EF2" w14:textId="77777777" w:rsidR="00F81ED9" w:rsidRPr="00812591" w:rsidRDefault="708A5FEB" w:rsidP="3225C199">
      <w:pPr>
        <w:pStyle w:val="Heading1"/>
        <w:rPr>
          <w:rFonts w:ascii="Arial" w:eastAsia="Arial" w:hAnsi="Arial" w:cs="Arial"/>
          <w:b/>
          <w:bCs/>
        </w:rPr>
      </w:pPr>
      <w:r w:rsidRPr="3225C199">
        <w:rPr>
          <w:rFonts w:ascii="Arial" w:eastAsia="Arial" w:hAnsi="Arial" w:cs="Arial"/>
          <w:b/>
          <w:bCs/>
        </w:rPr>
        <w:lastRenderedPageBreak/>
        <w:t>DECLARATION</w:t>
      </w:r>
    </w:p>
    <w:p w14:paraId="4DA83C39" w14:textId="77777777" w:rsidR="00F81ED9" w:rsidRPr="00812591" w:rsidRDefault="00F81ED9" w:rsidP="00F81ED9">
      <w:pPr>
        <w:spacing w:line="360" w:lineRule="auto"/>
        <w:mirrorIndents/>
        <w:rPr>
          <w:rFonts w:ascii="Arial" w:hAnsi="Arial" w:cs="Arial"/>
          <w:sz w:val="20"/>
          <w:szCs w:val="20"/>
        </w:rPr>
      </w:pPr>
    </w:p>
    <w:p w14:paraId="4A1B2D40" w14:textId="77777777" w:rsidR="00F81ED9" w:rsidRPr="002B4534" w:rsidRDefault="00F81ED9" w:rsidP="00F81ED9">
      <w:pPr>
        <w:spacing w:line="360" w:lineRule="auto"/>
        <w:mirrorIndents/>
        <w:rPr>
          <w:rFonts w:ascii="Arial" w:hAnsi="Arial" w:cs="Arial"/>
        </w:rPr>
      </w:pPr>
      <w:r w:rsidRPr="002B4534">
        <w:rPr>
          <w:rFonts w:ascii="Arial" w:hAnsi="Arial" w:cs="Arial"/>
        </w:rPr>
        <w:t>This work has not previously been accepted in substance for any degree and is not being concurrently submitted in candidature for any degree.</w:t>
      </w:r>
    </w:p>
    <w:p w14:paraId="0FA3C23A" w14:textId="77777777" w:rsidR="00F81ED9" w:rsidRPr="002B4534" w:rsidRDefault="00F81ED9" w:rsidP="00F81ED9">
      <w:pPr>
        <w:spacing w:line="360" w:lineRule="auto"/>
        <w:mirrorIndents/>
        <w:rPr>
          <w:rFonts w:ascii="Arial" w:hAnsi="Arial" w:cs="Arial"/>
        </w:rPr>
      </w:pPr>
    </w:p>
    <w:p w14:paraId="185ED39C" w14:textId="77777777" w:rsidR="00F81ED9" w:rsidRPr="002B4534" w:rsidRDefault="00F81ED9" w:rsidP="00F81ED9">
      <w:pPr>
        <w:spacing w:line="360" w:lineRule="auto"/>
        <w:mirrorIndents/>
        <w:rPr>
          <w:rFonts w:ascii="Arial" w:hAnsi="Arial" w:cs="Arial"/>
        </w:rPr>
      </w:pPr>
    </w:p>
    <w:p w14:paraId="08E8C56B" w14:textId="71233349" w:rsidR="00F81ED9" w:rsidRPr="00396824" w:rsidRDefault="708A5FEB" w:rsidP="00F81ED9">
      <w:pPr>
        <w:spacing w:line="360" w:lineRule="auto"/>
        <w:mirrorIndents/>
        <w:rPr>
          <w:rFonts w:ascii="Arial" w:hAnsi="Arial" w:cs="Arial"/>
          <w:lang w:val="pt-PT"/>
        </w:rPr>
      </w:pPr>
      <w:r w:rsidRPr="00396824">
        <w:rPr>
          <w:rFonts w:ascii="Arial" w:hAnsi="Arial" w:cs="Arial"/>
          <w:lang w:val="pt-PT"/>
        </w:rPr>
        <w:t>Signed…Selma</w:t>
      </w:r>
      <w:r w:rsidR="7E99BC76" w:rsidRPr="00396824">
        <w:rPr>
          <w:rFonts w:ascii="Arial" w:hAnsi="Arial" w:cs="Arial"/>
          <w:lang w:val="pt-PT"/>
        </w:rPr>
        <w:t xml:space="preserve"> Cristina Tavares Pacheco</w:t>
      </w:r>
      <w:r w:rsidRPr="00396824">
        <w:rPr>
          <w:rFonts w:ascii="Arial" w:hAnsi="Arial" w:cs="Arial"/>
          <w:lang w:val="pt-PT"/>
        </w:rPr>
        <w:t>…………………………</w:t>
      </w:r>
    </w:p>
    <w:p w14:paraId="64EA40C2" w14:textId="77777777" w:rsidR="00F81ED9" w:rsidRPr="00396824" w:rsidRDefault="00F81ED9" w:rsidP="00F81ED9">
      <w:pPr>
        <w:spacing w:line="360" w:lineRule="auto"/>
        <w:mirrorIndents/>
        <w:rPr>
          <w:rFonts w:ascii="Arial" w:hAnsi="Arial" w:cs="Arial"/>
          <w:lang w:val="pt-PT"/>
        </w:rPr>
      </w:pPr>
    </w:p>
    <w:p w14:paraId="09C336BC" w14:textId="77777777" w:rsidR="00F81ED9" w:rsidRPr="00396824" w:rsidRDefault="00F81ED9" w:rsidP="00F81ED9">
      <w:pPr>
        <w:spacing w:line="360" w:lineRule="auto"/>
        <w:mirrorIndents/>
        <w:rPr>
          <w:rFonts w:ascii="Arial" w:hAnsi="Arial" w:cs="Arial"/>
          <w:lang w:val="pt-PT"/>
        </w:rPr>
      </w:pPr>
    </w:p>
    <w:p w14:paraId="21177F20" w14:textId="38102833" w:rsidR="00F81ED9" w:rsidRPr="002B4534" w:rsidRDefault="708A5FEB" w:rsidP="00F81ED9">
      <w:pPr>
        <w:spacing w:line="360" w:lineRule="auto"/>
        <w:mirrorIndents/>
        <w:rPr>
          <w:rFonts w:ascii="Arial" w:hAnsi="Arial" w:cs="Arial"/>
        </w:rPr>
      </w:pPr>
      <w:r w:rsidRPr="3225C199">
        <w:rPr>
          <w:rFonts w:ascii="Arial" w:hAnsi="Arial" w:cs="Arial"/>
        </w:rPr>
        <w:t>Date</w:t>
      </w:r>
      <w:r w:rsidR="071795B9" w:rsidRPr="3225C199">
        <w:rPr>
          <w:rFonts w:ascii="Arial" w:hAnsi="Arial" w:cs="Arial"/>
        </w:rPr>
        <w:t>............</w:t>
      </w:r>
      <w:r w:rsidR="02FEB261" w:rsidRPr="3225C199">
        <w:rPr>
          <w:rFonts w:ascii="Arial" w:hAnsi="Arial" w:cs="Arial"/>
        </w:rPr>
        <w:t xml:space="preserve"> </w:t>
      </w:r>
      <w:r w:rsidR="2CA9F7AB" w:rsidRPr="3225C199">
        <w:rPr>
          <w:rFonts w:ascii="Arial" w:hAnsi="Arial" w:cs="Arial"/>
        </w:rPr>
        <w:t>1</w:t>
      </w:r>
      <w:r w:rsidR="02FEB261" w:rsidRPr="3225C199">
        <w:rPr>
          <w:rFonts w:ascii="Arial" w:hAnsi="Arial" w:cs="Arial"/>
        </w:rPr>
        <w:t>4/</w:t>
      </w:r>
      <w:r w:rsidR="7782F0AD" w:rsidRPr="3225C199">
        <w:rPr>
          <w:rFonts w:ascii="Arial" w:hAnsi="Arial" w:cs="Arial"/>
        </w:rPr>
        <w:t>08/2026</w:t>
      </w:r>
      <w:r w:rsidRPr="3225C199">
        <w:rPr>
          <w:rFonts w:ascii="Arial" w:hAnsi="Arial" w:cs="Arial"/>
        </w:rPr>
        <w:t>………………………………………………</w:t>
      </w:r>
    </w:p>
    <w:p w14:paraId="1D74A447" w14:textId="77777777" w:rsidR="00F81ED9" w:rsidRPr="002B4534" w:rsidRDefault="00F81ED9" w:rsidP="00F81ED9"/>
    <w:p w14:paraId="1ECEED5E" w14:textId="77777777" w:rsidR="00F81ED9" w:rsidRPr="002B4534" w:rsidRDefault="00F81ED9" w:rsidP="00F81ED9"/>
    <w:p w14:paraId="0375041F" w14:textId="77777777" w:rsidR="00F81ED9" w:rsidRPr="002B4534" w:rsidRDefault="00F81ED9" w:rsidP="00F81ED9">
      <w:pPr>
        <w:spacing w:line="360" w:lineRule="auto"/>
        <w:mirrorIndents/>
        <w:rPr>
          <w:rFonts w:ascii="Arial" w:hAnsi="Arial" w:cs="Arial"/>
          <w:bCs/>
          <w:kern w:val="32"/>
        </w:rPr>
      </w:pPr>
      <w:r w:rsidRPr="002B4534">
        <w:rPr>
          <w:rFonts w:ascii="Arial" w:hAnsi="Arial" w:cs="Arial"/>
          <w:b/>
        </w:rPr>
        <w:t xml:space="preserve">STATEMENT 1 </w:t>
      </w:r>
    </w:p>
    <w:p w14:paraId="3B2BCBFD" w14:textId="77777777" w:rsidR="00F81ED9" w:rsidRPr="002B4534" w:rsidRDefault="00F81ED9" w:rsidP="00F81ED9">
      <w:pPr>
        <w:spacing w:line="360" w:lineRule="auto"/>
        <w:mirrorIndents/>
        <w:rPr>
          <w:rFonts w:ascii="Arial" w:hAnsi="Arial" w:cs="Arial"/>
        </w:rPr>
      </w:pPr>
      <w:r w:rsidRPr="002B4534">
        <w:rPr>
          <w:rFonts w:ascii="Arial" w:hAnsi="Arial" w:cs="Arial"/>
        </w:rPr>
        <w:t>This dissertation is being submitted in partial fulfilment of the requirements for the degree of BSc.</w:t>
      </w:r>
    </w:p>
    <w:p w14:paraId="1A3D81A1" w14:textId="77777777" w:rsidR="00F81ED9" w:rsidRPr="002B4534" w:rsidRDefault="00F81ED9" w:rsidP="00F81ED9"/>
    <w:p w14:paraId="44A2B35D" w14:textId="4C8BF2D7" w:rsidR="00F81ED9" w:rsidRPr="002B4534" w:rsidRDefault="708A5FEB" w:rsidP="00F81ED9">
      <w:pPr>
        <w:spacing w:line="360" w:lineRule="auto"/>
        <w:mirrorIndents/>
        <w:rPr>
          <w:rFonts w:ascii="Arial" w:hAnsi="Arial" w:cs="Arial"/>
        </w:rPr>
      </w:pPr>
      <w:r w:rsidRPr="3225C199">
        <w:rPr>
          <w:rFonts w:ascii="Arial" w:hAnsi="Arial" w:cs="Arial"/>
        </w:rPr>
        <w:t>Signed………</w:t>
      </w:r>
      <w:r w:rsidR="7F72FAB0" w:rsidRPr="3225C199">
        <w:rPr>
          <w:rFonts w:ascii="Arial" w:hAnsi="Arial" w:cs="Arial"/>
        </w:rPr>
        <w:t>Selma Pacheco</w:t>
      </w:r>
      <w:r w:rsidRPr="3225C199">
        <w:rPr>
          <w:rFonts w:ascii="Arial" w:hAnsi="Arial" w:cs="Arial"/>
        </w:rPr>
        <w:t xml:space="preserve">……………………………………. </w:t>
      </w:r>
    </w:p>
    <w:p w14:paraId="30C7C144" w14:textId="77777777" w:rsidR="00F81ED9" w:rsidRPr="002B4534" w:rsidRDefault="00F81ED9" w:rsidP="00F81ED9">
      <w:pPr>
        <w:spacing w:line="360" w:lineRule="auto"/>
        <w:mirrorIndents/>
        <w:rPr>
          <w:rFonts w:ascii="Arial" w:hAnsi="Arial" w:cs="Arial"/>
        </w:rPr>
      </w:pPr>
    </w:p>
    <w:p w14:paraId="7A4E164E" w14:textId="77777777" w:rsidR="00F81ED9" w:rsidRPr="002B4534" w:rsidRDefault="00F81ED9" w:rsidP="00F81ED9">
      <w:pPr>
        <w:spacing w:line="360" w:lineRule="auto"/>
        <w:mirrorIndents/>
        <w:rPr>
          <w:rFonts w:ascii="Arial" w:hAnsi="Arial" w:cs="Arial"/>
        </w:rPr>
      </w:pPr>
    </w:p>
    <w:p w14:paraId="20BAAEEA" w14:textId="62C99174" w:rsidR="00F81ED9" w:rsidRPr="002B4534" w:rsidRDefault="708A5FEB" w:rsidP="00F81ED9">
      <w:pPr>
        <w:spacing w:line="360" w:lineRule="auto"/>
        <w:mirrorIndents/>
        <w:rPr>
          <w:rFonts w:ascii="Arial" w:hAnsi="Arial" w:cs="Arial"/>
        </w:rPr>
      </w:pPr>
      <w:r w:rsidRPr="3225C199">
        <w:rPr>
          <w:rFonts w:ascii="Arial" w:hAnsi="Arial" w:cs="Arial"/>
        </w:rPr>
        <w:t>Date………</w:t>
      </w:r>
      <w:r w:rsidR="08EFBADD" w:rsidRPr="3225C199">
        <w:rPr>
          <w:rFonts w:ascii="Arial" w:hAnsi="Arial" w:cs="Arial"/>
        </w:rPr>
        <w:t>14/08/2026</w:t>
      </w:r>
      <w:r w:rsidRPr="3225C199">
        <w:rPr>
          <w:rFonts w:ascii="Arial" w:hAnsi="Arial" w:cs="Arial"/>
        </w:rPr>
        <w:t>………………………………………</w:t>
      </w:r>
    </w:p>
    <w:p w14:paraId="34D51529" w14:textId="77777777" w:rsidR="00F81ED9" w:rsidRPr="002B4534" w:rsidRDefault="00F81ED9" w:rsidP="00F81ED9">
      <w:pPr>
        <w:spacing w:line="360" w:lineRule="auto"/>
        <w:mirrorIndents/>
        <w:rPr>
          <w:rFonts w:ascii="Arial" w:hAnsi="Arial" w:cs="Arial"/>
        </w:rPr>
      </w:pPr>
    </w:p>
    <w:p w14:paraId="6D998AAD" w14:textId="77777777" w:rsidR="00F81ED9" w:rsidRPr="002B4534" w:rsidRDefault="00F81ED9" w:rsidP="00F81ED9">
      <w:pPr>
        <w:spacing w:line="360" w:lineRule="auto"/>
        <w:mirrorIndents/>
        <w:rPr>
          <w:rFonts w:ascii="Arial" w:hAnsi="Arial" w:cs="Arial"/>
        </w:rPr>
      </w:pPr>
    </w:p>
    <w:p w14:paraId="366A054F" w14:textId="77777777" w:rsidR="00F81ED9" w:rsidRPr="002B4534" w:rsidRDefault="00F81ED9" w:rsidP="00F81ED9">
      <w:pPr>
        <w:spacing w:line="360" w:lineRule="auto"/>
        <w:mirrorIndents/>
        <w:rPr>
          <w:rFonts w:ascii="Arial" w:hAnsi="Arial" w:cs="Arial"/>
        </w:rPr>
      </w:pPr>
      <w:r w:rsidRPr="002B4534">
        <w:rPr>
          <w:rFonts w:ascii="Arial" w:hAnsi="Arial" w:cs="Arial"/>
          <w:b/>
        </w:rPr>
        <w:t>STATEMENT 2</w:t>
      </w:r>
    </w:p>
    <w:p w14:paraId="1C5A8849" w14:textId="77777777" w:rsidR="00F81ED9" w:rsidRPr="002B4534" w:rsidRDefault="00F81ED9" w:rsidP="00F81ED9">
      <w:pPr>
        <w:spacing w:line="360" w:lineRule="auto"/>
        <w:mirrorIndents/>
        <w:rPr>
          <w:rFonts w:ascii="Arial" w:hAnsi="Arial" w:cs="Arial"/>
        </w:rPr>
      </w:pPr>
      <w:r w:rsidRPr="002B4534">
        <w:rPr>
          <w:rFonts w:ascii="Arial" w:hAnsi="Arial" w:cs="Arial"/>
        </w:rPr>
        <w:t>This dissertation is the result of my own independent work/investigation, except where otherwise stated.</w:t>
      </w:r>
    </w:p>
    <w:p w14:paraId="582B112A" w14:textId="77777777" w:rsidR="00F81ED9" w:rsidRPr="002B4534" w:rsidRDefault="00F81ED9" w:rsidP="00F81ED9">
      <w:pPr>
        <w:spacing w:line="360" w:lineRule="auto"/>
        <w:mirrorIndents/>
        <w:rPr>
          <w:rFonts w:ascii="Arial" w:hAnsi="Arial" w:cs="Arial"/>
        </w:rPr>
      </w:pPr>
    </w:p>
    <w:p w14:paraId="073E5E64" w14:textId="77777777" w:rsidR="00F81ED9" w:rsidRPr="002B4534" w:rsidRDefault="00F81ED9" w:rsidP="00F81ED9">
      <w:pPr>
        <w:spacing w:line="360" w:lineRule="auto"/>
        <w:mirrorIndents/>
        <w:rPr>
          <w:rFonts w:ascii="Arial" w:hAnsi="Arial" w:cs="Arial"/>
        </w:rPr>
      </w:pPr>
      <w:r w:rsidRPr="002B4534">
        <w:rPr>
          <w:rFonts w:ascii="Arial" w:hAnsi="Arial" w:cs="Arial"/>
        </w:rPr>
        <w:t>Other sources are acknowledged by footnotes giving explicit references.  A bibliography is appended.</w:t>
      </w:r>
    </w:p>
    <w:p w14:paraId="7EB7C58A" w14:textId="77777777" w:rsidR="00F81ED9" w:rsidRPr="002B4534" w:rsidRDefault="00F81ED9" w:rsidP="00F81ED9">
      <w:pPr>
        <w:spacing w:line="360" w:lineRule="auto"/>
        <w:mirrorIndents/>
        <w:rPr>
          <w:rFonts w:ascii="Arial" w:hAnsi="Arial" w:cs="Arial"/>
        </w:rPr>
      </w:pPr>
    </w:p>
    <w:p w14:paraId="6B224D92" w14:textId="77777777" w:rsidR="00F81ED9" w:rsidRPr="002B4534" w:rsidRDefault="00F81ED9" w:rsidP="00F81ED9">
      <w:pPr>
        <w:spacing w:line="360" w:lineRule="auto"/>
        <w:mirrorIndents/>
        <w:rPr>
          <w:rFonts w:ascii="Arial" w:hAnsi="Arial" w:cs="Arial"/>
        </w:rPr>
      </w:pPr>
    </w:p>
    <w:p w14:paraId="1E06BF6B" w14:textId="60FF506E" w:rsidR="00F81ED9" w:rsidRPr="002B4534" w:rsidRDefault="708A5FEB" w:rsidP="00F81ED9">
      <w:pPr>
        <w:spacing w:line="360" w:lineRule="auto"/>
        <w:mirrorIndents/>
        <w:rPr>
          <w:rFonts w:ascii="Arial" w:hAnsi="Arial" w:cs="Arial"/>
        </w:rPr>
      </w:pPr>
      <w:r w:rsidRPr="3225C199">
        <w:rPr>
          <w:rFonts w:ascii="Arial" w:hAnsi="Arial" w:cs="Arial"/>
        </w:rPr>
        <w:t>Signed…</w:t>
      </w:r>
      <w:r w:rsidR="3FCF5F98" w:rsidRPr="3225C199">
        <w:rPr>
          <w:rFonts w:ascii="Arial" w:hAnsi="Arial" w:cs="Arial"/>
        </w:rPr>
        <w:t>Sel</w:t>
      </w:r>
      <w:r w:rsidR="76697E41" w:rsidRPr="3225C199">
        <w:rPr>
          <w:rFonts w:ascii="Arial" w:hAnsi="Arial" w:cs="Arial"/>
        </w:rPr>
        <w:t>ma Pacheco</w:t>
      </w:r>
      <w:r w:rsidRPr="3225C199">
        <w:rPr>
          <w:rFonts w:ascii="Arial" w:hAnsi="Arial" w:cs="Arial"/>
        </w:rPr>
        <w:t>…………………………………………</w:t>
      </w:r>
    </w:p>
    <w:p w14:paraId="03EA3C93" w14:textId="77777777" w:rsidR="00F81ED9" w:rsidRPr="002B4534" w:rsidRDefault="00F81ED9" w:rsidP="00F81ED9">
      <w:pPr>
        <w:spacing w:line="360" w:lineRule="auto"/>
        <w:mirrorIndents/>
        <w:rPr>
          <w:rFonts w:ascii="Arial" w:hAnsi="Arial" w:cs="Arial"/>
        </w:rPr>
      </w:pPr>
    </w:p>
    <w:p w14:paraId="4C227891" w14:textId="77777777" w:rsidR="00F81ED9" w:rsidRPr="002B4534" w:rsidRDefault="00F81ED9" w:rsidP="00F81ED9">
      <w:pPr>
        <w:spacing w:line="360" w:lineRule="auto"/>
        <w:mirrorIndents/>
        <w:rPr>
          <w:rFonts w:ascii="Arial" w:hAnsi="Arial" w:cs="Arial"/>
        </w:rPr>
      </w:pPr>
    </w:p>
    <w:p w14:paraId="6178301C" w14:textId="3F3558BC" w:rsidR="00F81ED9" w:rsidRPr="002B4534" w:rsidRDefault="708A5FEB" w:rsidP="00F81ED9">
      <w:pPr>
        <w:spacing w:line="360" w:lineRule="auto"/>
        <w:mirrorIndents/>
        <w:rPr>
          <w:rFonts w:ascii="Arial" w:hAnsi="Arial" w:cs="Arial"/>
        </w:rPr>
      </w:pPr>
      <w:r w:rsidRPr="3225C199">
        <w:rPr>
          <w:rFonts w:ascii="Arial" w:hAnsi="Arial" w:cs="Arial"/>
        </w:rPr>
        <w:t>Date……</w:t>
      </w:r>
      <w:r w:rsidR="0D58F811" w:rsidRPr="3225C199">
        <w:rPr>
          <w:rFonts w:ascii="Arial" w:hAnsi="Arial" w:cs="Arial"/>
        </w:rPr>
        <w:t>14/08/2026</w:t>
      </w:r>
      <w:r w:rsidRPr="3225C199">
        <w:rPr>
          <w:rFonts w:ascii="Arial" w:hAnsi="Arial" w:cs="Arial"/>
        </w:rPr>
        <w:t xml:space="preserve">………………………………………… </w:t>
      </w:r>
    </w:p>
    <w:p w14:paraId="2E6A58CB" w14:textId="77777777" w:rsidR="00DF51AF" w:rsidRPr="00F81ED9" w:rsidRDefault="00DD5BEE" w:rsidP="00F81ED9">
      <w:pPr>
        <w:spacing w:line="360" w:lineRule="auto"/>
        <w:rPr>
          <w:rFonts w:ascii="Arial" w:hAnsi="Arial" w:cs="Arial"/>
        </w:rPr>
      </w:pPr>
      <w:r w:rsidRPr="00F81ED9">
        <w:rPr>
          <w:rFonts w:ascii="Arial" w:hAnsi="Arial" w:cs="Arial"/>
        </w:rPr>
        <w:br w:type="page"/>
      </w:r>
    </w:p>
    <w:p w14:paraId="010986C2" w14:textId="7EF18E80" w:rsidR="00DF51AF" w:rsidRPr="00FB3ADA" w:rsidRDefault="0D1F849A" w:rsidP="3225C199">
      <w:pPr>
        <w:pStyle w:val="Heading1"/>
        <w:spacing w:before="400" w:after="200" w:line="360" w:lineRule="auto"/>
        <w:ind w:left="2160" w:firstLine="720"/>
      </w:pPr>
      <w:r w:rsidRPr="3225C199">
        <w:rPr>
          <w:rFonts w:ascii="Arial" w:hAnsi="Arial" w:cs="Arial"/>
          <w:b/>
          <w:bCs/>
          <w:color w:val="auto"/>
        </w:rPr>
        <w:lastRenderedPageBreak/>
        <w:t>Acknowledgements</w:t>
      </w:r>
    </w:p>
    <w:p w14:paraId="311D774D" w14:textId="1D0DC10E" w:rsidR="0A2F1251" w:rsidRDefault="0A2F1251" w:rsidP="3225C199">
      <w:pPr>
        <w:pStyle w:val="Heading1"/>
        <w:spacing w:before="400" w:after="200" w:line="360" w:lineRule="auto"/>
        <w:jc w:val="both"/>
        <w:rPr>
          <w:rFonts w:ascii="Arial" w:eastAsia="Arial" w:hAnsi="Arial" w:cs="Arial"/>
          <w:color w:val="auto"/>
          <w:sz w:val="22"/>
          <w:szCs w:val="22"/>
        </w:rPr>
      </w:pPr>
      <w:r w:rsidRPr="3225C199">
        <w:rPr>
          <w:rFonts w:ascii="Arial" w:eastAsia="Arial" w:hAnsi="Arial" w:cs="Arial"/>
          <w:color w:val="auto"/>
          <w:sz w:val="22"/>
          <w:szCs w:val="22"/>
        </w:rPr>
        <w:t>I would like to express my heartfelt gratitude to my supervisor, Bianca Sanfilipo</w:t>
      </w:r>
      <w:r w:rsidR="3F79B032" w:rsidRPr="3225C199">
        <w:rPr>
          <w:rFonts w:ascii="Arial" w:eastAsia="Arial" w:hAnsi="Arial" w:cs="Arial"/>
          <w:color w:val="auto"/>
          <w:sz w:val="22"/>
          <w:szCs w:val="22"/>
        </w:rPr>
        <w:t>, for her guidance, support, and encouragement throughout this dissertation. I am also th</w:t>
      </w:r>
      <w:r w:rsidR="5A93709B" w:rsidRPr="3225C199">
        <w:rPr>
          <w:rFonts w:ascii="Arial" w:eastAsia="Arial" w:hAnsi="Arial" w:cs="Arial"/>
          <w:color w:val="auto"/>
          <w:sz w:val="22"/>
          <w:szCs w:val="22"/>
        </w:rPr>
        <w:t xml:space="preserve">ankful to my </w:t>
      </w:r>
      <w:r w:rsidR="40C9707D" w:rsidRPr="3225C199">
        <w:rPr>
          <w:rFonts w:ascii="Arial" w:eastAsia="Arial" w:hAnsi="Arial" w:cs="Arial"/>
          <w:color w:val="auto"/>
          <w:sz w:val="22"/>
          <w:szCs w:val="22"/>
        </w:rPr>
        <w:t xml:space="preserve">lecturers </w:t>
      </w:r>
      <w:r w:rsidR="5A93709B" w:rsidRPr="3225C199">
        <w:rPr>
          <w:rFonts w:ascii="Arial" w:eastAsia="Arial" w:hAnsi="Arial" w:cs="Arial"/>
          <w:color w:val="auto"/>
          <w:sz w:val="22"/>
          <w:szCs w:val="22"/>
        </w:rPr>
        <w:t>and colleagues for their assistance and valuable advice during my studie</w:t>
      </w:r>
      <w:r w:rsidR="004C13F2">
        <w:rPr>
          <w:rFonts w:ascii="Arial" w:eastAsia="Arial" w:hAnsi="Arial" w:cs="Arial"/>
          <w:color w:val="auto"/>
          <w:sz w:val="22"/>
          <w:szCs w:val="22"/>
        </w:rPr>
        <w:t>s</w:t>
      </w:r>
      <w:r w:rsidR="3AE2A72E" w:rsidRPr="3225C199">
        <w:rPr>
          <w:rFonts w:ascii="Arial" w:eastAsia="Arial" w:hAnsi="Arial" w:cs="Arial"/>
          <w:color w:val="auto"/>
          <w:sz w:val="22"/>
          <w:szCs w:val="22"/>
        </w:rPr>
        <w:t>.</w:t>
      </w:r>
    </w:p>
    <w:p w14:paraId="0A2E9406" w14:textId="05B0BBDC" w:rsidR="3225C199" w:rsidRDefault="3225C199" w:rsidP="3225C199">
      <w:pPr>
        <w:pStyle w:val="Heading1"/>
        <w:spacing w:before="400" w:after="200" w:line="360" w:lineRule="auto"/>
        <w:rPr>
          <w:rFonts w:ascii="Arial" w:hAnsi="Arial" w:cs="Arial"/>
          <w:color w:val="auto"/>
          <w:sz w:val="22"/>
          <w:szCs w:val="22"/>
        </w:rPr>
      </w:pPr>
    </w:p>
    <w:p w14:paraId="440F46F7" w14:textId="2644A581" w:rsidR="3225C199" w:rsidRDefault="3225C199" w:rsidP="3225C199">
      <w:pPr>
        <w:pStyle w:val="Heading1"/>
        <w:spacing w:before="400" w:after="200" w:line="360" w:lineRule="auto"/>
        <w:rPr>
          <w:rFonts w:ascii="Arial" w:hAnsi="Arial" w:cs="Arial"/>
          <w:b/>
          <w:bCs/>
          <w:color w:val="auto"/>
        </w:rPr>
      </w:pPr>
    </w:p>
    <w:p w14:paraId="7F8D7265" w14:textId="378C8BB5" w:rsidR="3225C199" w:rsidRDefault="3225C199" w:rsidP="3225C199">
      <w:pPr>
        <w:pStyle w:val="Heading1"/>
        <w:spacing w:before="400" w:after="200" w:line="360" w:lineRule="auto"/>
        <w:rPr>
          <w:rFonts w:ascii="Arial" w:hAnsi="Arial" w:cs="Arial"/>
          <w:b/>
          <w:bCs/>
          <w:color w:val="auto"/>
        </w:rPr>
      </w:pPr>
    </w:p>
    <w:p w14:paraId="0D68E234" w14:textId="446B1FA1" w:rsidR="3225C199" w:rsidRDefault="3225C199" w:rsidP="3225C199">
      <w:pPr>
        <w:pStyle w:val="Heading1"/>
        <w:spacing w:before="400" w:after="200" w:line="360" w:lineRule="auto"/>
        <w:rPr>
          <w:rFonts w:ascii="Arial" w:hAnsi="Arial" w:cs="Arial"/>
          <w:b/>
          <w:bCs/>
          <w:color w:val="auto"/>
        </w:rPr>
      </w:pPr>
    </w:p>
    <w:p w14:paraId="0D5D1435" w14:textId="317BF88D" w:rsidR="3225C199" w:rsidRDefault="3225C199" w:rsidP="3225C199">
      <w:pPr>
        <w:pStyle w:val="Heading1"/>
        <w:spacing w:before="400" w:after="200" w:line="360" w:lineRule="auto"/>
        <w:rPr>
          <w:rFonts w:ascii="Arial" w:hAnsi="Arial" w:cs="Arial"/>
          <w:b/>
          <w:bCs/>
          <w:color w:val="auto"/>
        </w:rPr>
      </w:pPr>
    </w:p>
    <w:p w14:paraId="25D1EBD0" w14:textId="5D1CECFF" w:rsidR="3225C199" w:rsidRDefault="3225C199" w:rsidP="3225C199">
      <w:pPr>
        <w:pStyle w:val="Heading1"/>
        <w:spacing w:before="400" w:after="200" w:line="360" w:lineRule="auto"/>
        <w:rPr>
          <w:rFonts w:ascii="Arial" w:hAnsi="Arial" w:cs="Arial"/>
          <w:b/>
          <w:bCs/>
          <w:color w:val="auto"/>
        </w:rPr>
      </w:pPr>
    </w:p>
    <w:p w14:paraId="715CFEE2" w14:textId="52B9C938" w:rsidR="3225C199" w:rsidRDefault="3225C199" w:rsidP="3225C199">
      <w:pPr>
        <w:pStyle w:val="Heading1"/>
        <w:spacing w:before="400" w:after="200" w:line="360" w:lineRule="auto"/>
        <w:rPr>
          <w:rFonts w:ascii="Arial" w:hAnsi="Arial" w:cs="Arial"/>
          <w:b/>
          <w:bCs/>
          <w:color w:val="auto"/>
        </w:rPr>
      </w:pPr>
    </w:p>
    <w:p w14:paraId="65E18935" w14:textId="098ED955" w:rsidR="3225C199" w:rsidRDefault="3225C199" w:rsidP="3225C199">
      <w:pPr>
        <w:pStyle w:val="Heading1"/>
        <w:spacing w:before="400" w:after="200" w:line="360" w:lineRule="auto"/>
        <w:rPr>
          <w:rFonts w:ascii="Arial" w:hAnsi="Arial" w:cs="Arial"/>
          <w:b/>
          <w:bCs/>
          <w:color w:val="auto"/>
        </w:rPr>
      </w:pPr>
    </w:p>
    <w:p w14:paraId="4DD0FFF9" w14:textId="7D04DFEF" w:rsidR="3225C199" w:rsidRDefault="3225C199" w:rsidP="3225C199">
      <w:pPr>
        <w:pStyle w:val="Heading1"/>
        <w:spacing w:before="400" w:after="200" w:line="360" w:lineRule="auto"/>
        <w:rPr>
          <w:rFonts w:ascii="Arial" w:hAnsi="Arial" w:cs="Arial"/>
          <w:b/>
          <w:bCs/>
          <w:color w:val="auto"/>
        </w:rPr>
      </w:pPr>
    </w:p>
    <w:p w14:paraId="68590C9F" w14:textId="23A046AE" w:rsidR="3225C199" w:rsidRDefault="3225C199" w:rsidP="3225C199">
      <w:pPr>
        <w:pStyle w:val="Heading1"/>
        <w:spacing w:before="400" w:after="200" w:line="360" w:lineRule="auto"/>
        <w:rPr>
          <w:rFonts w:ascii="Arial" w:hAnsi="Arial" w:cs="Arial"/>
          <w:b/>
          <w:bCs/>
          <w:color w:val="auto"/>
        </w:rPr>
      </w:pPr>
    </w:p>
    <w:p w14:paraId="28561484" w14:textId="0C646BF5" w:rsidR="3225C199" w:rsidRDefault="3225C199" w:rsidP="3225C199">
      <w:pPr>
        <w:pStyle w:val="Heading1"/>
        <w:spacing w:before="400" w:after="200" w:line="360" w:lineRule="auto"/>
        <w:rPr>
          <w:rFonts w:ascii="Arial" w:hAnsi="Arial" w:cs="Arial"/>
          <w:b/>
          <w:bCs/>
          <w:color w:val="auto"/>
        </w:rPr>
      </w:pPr>
    </w:p>
    <w:p w14:paraId="52F20C02" w14:textId="5E2AAEBB" w:rsidR="3225C199" w:rsidRDefault="3225C199" w:rsidP="3225C199">
      <w:pPr>
        <w:pStyle w:val="Heading1"/>
        <w:spacing w:before="400" w:after="200" w:line="360" w:lineRule="auto"/>
        <w:rPr>
          <w:rFonts w:ascii="Arial" w:hAnsi="Arial" w:cs="Arial"/>
          <w:b/>
          <w:bCs/>
          <w:color w:val="auto"/>
        </w:rPr>
      </w:pPr>
    </w:p>
    <w:p w14:paraId="75C86B09" w14:textId="300E83CE" w:rsidR="0D1F849A" w:rsidRDefault="0D1F849A" w:rsidP="004C13F2">
      <w:pPr>
        <w:pStyle w:val="Heading1"/>
        <w:spacing w:before="400" w:after="200" w:line="360" w:lineRule="auto"/>
        <w:ind w:left="2880" w:firstLine="720"/>
      </w:pPr>
      <w:r w:rsidRPr="3225C199">
        <w:rPr>
          <w:rFonts w:ascii="Arial" w:hAnsi="Arial" w:cs="Arial"/>
          <w:b/>
          <w:bCs/>
          <w:color w:val="auto"/>
        </w:rPr>
        <w:lastRenderedPageBreak/>
        <w:t>Abstract</w:t>
      </w:r>
    </w:p>
    <w:p w14:paraId="7CB403F4" w14:textId="5E055090" w:rsidR="00DF51AF" w:rsidRPr="00C71782" w:rsidRDefault="47DA349F" w:rsidP="3225C199">
      <w:pPr>
        <w:pStyle w:val="Heading2"/>
        <w:spacing w:before="300" w:after="150" w:line="360" w:lineRule="auto"/>
        <w:rPr>
          <w:rFonts w:ascii="Arial" w:hAnsi="Arial" w:cs="Arial"/>
          <w:b/>
          <w:bCs/>
          <w:color w:val="auto"/>
          <w:sz w:val="28"/>
          <w:szCs w:val="28"/>
        </w:rPr>
      </w:pPr>
      <w:r w:rsidRPr="3225C199">
        <w:rPr>
          <w:rFonts w:ascii="Arial" w:hAnsi="Arial" w:cs="Arial"/>
          <w:b/>
          <w:bCs/>
          <w:color w:val="auto"/>
          <w:sz w:val="28"/>
          <w:szCs w:val="28"/>
        </w:rPr>
        <w:t xml:space="preserve"> </w:t>
      </w:r>
      <w:r w:rsidR="0D1F849A" w:rsidRPr="3225C199">
        <w:rPr>
          <w:rFonts w:ascii="Arial" w:hAnsi="Arial" w:cs="Arial"/>
          <w:b/>
          <w:bCs/>
          <w:color w:val="auto"/>
          <w:sz w:val="28"/>
          <w:szCs w:val="28"/>
        </w:rPr>
        <w:t>Aim and Objectives</w:t>
      </w:r>
    </w:p>
    <w:p w14:paraId="21089171" w14:textId="7987C5F0"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This dissertation aims to critically explore the causes, impacts, and management strategies for challenging behaviour among older adults with dementia living in </w:t>
      </w:r>
      <w:r w:rsidR="1A306627" w:rsidRPr="3225C199">
        <w:rPr>
          <w:rFonts w:ascii="Arial" w:eastAsia="Arial" w:hAnsi="Arial" w:cs="Arial"/>
          <w:sz w:val="22"/>
          <w:szCs w:val="22"/>
        </w:rPr>
        <w:t>care homes in the UK</w:t>
      </w:r>
      <w:r w:rsidRPr="3225C199">
        <w:rPr>
          <w:rFonts w:ascii="Arial" w:hAnsi="Arial" w:cs="Arial"/>
          <w:sz w:val="22"/>
          <w:szCs w:val="22"/>
        </w:rPr>
        <w:t>. The objectives are to identify the underlying causes of such behaviours, examine their psychological, social, and organisational impacts, assess current management interventions, and provide evidence-based recommendations for improving practice.</w:t>
      </w:r>
    </w:p>
    <w:p w14:paraId="60C061CF" w14:textId="77777777" w:rsidR="00DF51AF" w:rsidRPr="00C71782" w:rsidRDefault="0D1F849A" w:rsidP="3225C199">
      <w:pPr>
        <w:pStyle w:val="Heading2"/>
        <w:spacing w:before="300" w:after="150" w:line="360" w:lineRule="auto"/>
        <w:rPr>
          <w:rFonts w:ascii="Arial" w:hAnsi="Arial" w:cs="Arial"/>
          <w:b/>
          <w:bCs/>
          <w:color w:val="auto"/>
          <w:sz w:val="28"/>
          <w:szCs w:val="28"/>
        </w:rPr>
      </w:pPr>
      <w:r w:rsidRPr="3225C199">
        <w:rPr>
          <w:rFonts w:ascii="Arial" w:hAnsi="Arial" w:cs="Arial"/>
          <w:b/>
          <w:bCs/>
          <w:color w:val="auto"/>
          <w:sz w:val="28"/>
          <w:szCs w:val="28"/>
        </w:rPr>
        <w:t>Background</w:t>
      </w:r>
    </w:p>
    <w:p w14:paraId="4F752029" w14:textId="32659D33"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Behavioural and psychological symptoms of dementia (BPSD), such as agitation, aggression, and wandering, present significant challenges in care home settings (Livingston et al., 2017). These behaviours </w:t>
      </w:r>
      <w:r w:rsidR="43257C93" w:rsidRPr="3225C199">
        <w:rPr>
          <w:rFonts w:ascii="Arial" w:eastAsia="Arial" w:hAnsi="Arial" w:cs="Arial"/>
          <w:sz w:val="22"/>
          <w:szCs w:val="22"/>
        </w:rPr>
        <w:t>link</w:t>
      </w:r>
      <w:r w:rsidRPr="3225C199">
        <w:rPr>
          <w:rFonts w:ascii="Arial" w:hAnsi="Arial" w:cs="Arial"/>
          <w:sz w:val="22"/>
          <w:szCs w:val="22"/>
        </w:rPr>
        <w:t xml:space="preserve"> to unmet needs (Cohen-Mansfield, 2000) and can adversely affect the well-being of residents, staff, and families.</w:t>
      </w:r>
    </w:p>
    <w:p w14:paraId="5B5F9631" w14:textId="77777777" w:rsidR="00DF51AF" w:rsidRPr="00C71782" w:rsidRDefault="00DD5BEE" w:rsidP="00F81ED9">
      <w:pPr>
        <w:pStyle w:val="Heading2"/>
        <w:spacing w:before="300" w:after="150" w:line="360" w:lineRule="auto"/>
        <w:rPr>
          <w:rFonts w:ascii="Arial" w:hAnsi="Arial" w:cs="Arial"/>
          <w:b/>
          <w:bCs/>
          <w:color w:val="auto"/>
          <w:sz w:val="28"/>
          <w:szCs w:val="28"/>
        </w:rPr>
      </w:pPr>
      <w:r w:rsidRPr="00C71782">
        <w:rPr>
          <w:rFonts w:ascii="Arial" w:hAnsi="Arial" w:cs="Arial"/>
          <w:b/>
          <w:bCs/>
          <w:color w:val="auto"/>
          <w:sz w:val="28"/>
          <w:szCs w:val="28"/>
        </w:rPr>
        <w:t>Methods</w:t>
      </w:r>
    </w:p>
    <w:p w14:paraId="7D11B2B5"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A systematic literature review was conducted, focusing on UK-based, peer-reviewed studies published between 2019 and 2024. Databases searched included PubMed, CINAHL, Scopus, and Google Scholar. Thematic analysis was used to synthesise findings from selected studies (Braun and Clarke, 2006).</w:t>
      </w:r>
    </w:p>
    <w:p w14:paraId="2B01D2F3" w14:textId="77777777" w:rsidR="00DF51AF" w:rsidRPr="00C71782" w:rsidRDefault="0D1F849A" w:rsidP="3225C199">
      <w:pPr>
        <w:pStyle w:val="Heading2"/>
        <w:spacing w:before="300" w:after="150" w:line="360" w:lineRule="auto"/>
        <w:jc w:val="both"/>
        <w:rPr>
          <w:rFonts w:ascii="Arial" w:hAnsi="Arial" w:cs="Arial"/>
          <w:b/>
          <w:bCs/>
          <w:color w:val="auto"/>
          <w:sz w:val="28"/>
          <w:szCs w:val="28"/>
        </w:rPr>
      </w:pPr>
      <w:r w:rsidRPr="3225C199">
        <w:rPr>
          <w:rFonts w:ascii="Arial" w:hAnsi="Arial" w:cs="Arial"/>
          <w:b/>
          <w:bCs/>
          <w:color w:val="auto"/>
          <w:sz w:val="22"/>
          <w:szCs w:val="22"/>
        </w:rPr>
        <w:t>Main Findings</w:t>
      </w:r>
    </w:p>
    <w:p w14:paraId="00067E3C" w14:textId="77777777" w:rsidR="00DF51AF" w:rsidRPr="00F81ED9" w:rsidRDefault="0D1F849A" w:rsidP="3225C199">
      <w:pPr>
        <w:spacing w:after="200" w:line="360" w:lineRule="auto"/>
        <w:jc w:val="both"/>
      </w:pPr>
      <w:r w:rsidRPr="3225C199">
        <w:rPr>
          <w:rFonts w:ascii="Arial" w:hAnsi="Arial" w:cs="Arial"/>
          <w:sz w:val="22"/>
          <w:szCs w:val="22"/>
        </w:rPr>
        <w:t>The review found that BPSD are most effectively managed through person-centred, non-pharmacological interventions (Kitwood, 1997; NICE, 2018), supported by targeted staff training (Campbell et al., 2020) and environmental adaptations. Barriers to implementation include staffing shortages, inconsistent training, and organisational constraints (Gray, Brooker and Tucker, 2022). The impacts of BPSD are far-reaching, affecting residents' quality of life and increasing stress among staff and relatives (Shah et al., 2024).</w:t>
      </w:r>
    </w:p>
    <w:p w14:paraId="03F91AFC" w14:textId="18FA4900" w:rsidR="3225C199" w:rsidRDefault="3225C199" w:rsidP="3225C199">
      <w:pPr>
        <w:spacing w:after="200" w:line="360" w:lineRule="auto"/>
        <w:jc w:val="both"/>
        <w:rPr>
          <w:rFonts w:ascii="Arial" w:hAnsi="Arial" w:cs="Arial"/>
          <w:sz w:val="22"/>
          <w:szCs w:val="22"/>
        </w:rPr>
      </w:pPr>
    </w:p>
    <w:p w14:paraId="142581FE" w14:textId="77777777" w:rsidR="00DF51AF" w:rsidRPr="00C71782" w:rsidRDefault="00DD5BEE" w:rsidP="00F81ED9">
      <w:pPr>
        <w:pStyle w:val="Heading2"/>
        <w:spacing w:before="300" w:after="150" w:line="360" w:lineRule="auto"/>
        <w:rPr>
          <w:rFonts w:ascii="Arial" w:hAnsi="Arial" w:cs="Arial"/>
          <w:b/>
          <w:bCs/>
          <w:color w:val="auto"/>
          <w:sz w:val="28"/>
          <w:szCs w:val="28"/>
        </w:rPr>
      </w:pPr>
      <w:r w:rsidRPr="00C71782">
        <w:rPr>
          <w:rFonts w:ascii="Arial" w:hAnsi="Arial" w:cs="Arial"/>
          <w:b/>
          <w:bCs/>
          <w:color w:val="auto"/>
          <w:sz w:val="28"/>
          <w:szCs w:val="28"/>
        </w:rPr>
        <w:t>Conclusions</w:t>
      </w:r>
    </w:p>
    <w:p w14:paraId="7DF8979B" w14:textId="58134C51"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Person-centred care approaches, </w:t>
      </w:r>
      <w:r w:rsidR="29CEFEC2" w:rsidRPr="3225C199">
        <w:rPr>
          <w:rFonts w:ascii="Arial" w:hAnsi="Arial" w:cs="Arial"/>
          <w:sz w:val="22"/>
          <w:szCs w:val="22"/>
        </w:rPr>
        <w:t>along</w:t>
      </w:r>
      <w:r w:rsidRPr="3225C199">
        <w:rPr>
          <w:rFonts w:ascii="Arial" w:hAnsi="Arial" w:cs="Arial"/>
          <w:sz w:val="22"/>
          <w:szCs w:val="22"/>
        </w:rPr>
        <w:t xml:space="preserve"> with effective staff training and supportive environments, are essential for managing challenging behaviour in dementia care (Kitwood, </w:t>
      </w:r>
      <w:r w:rsidRPr="3225C199">
        <w:rPr>
          <w:rFonts w:ascii="Arial" w:hAnsi="Arial" w:cs="Arial"/>
          <w:sz w:val="22"/>
          <w:szCs w:val="22"/>
        </w:rPr>
        <w:lastRenderedPageBreak/>
        <w:t>1997). Bridging the gap between policy and practice requires systemic changes, including investment in workforce development and greater support for care home staff and families.</w:t>
      </w:r>
    </w:p>
    <w:p w14:paraId="44DD14DB" w14:textId="77777777" w:rsidR="00DF51AF" w:rsidRPr="00F81ED9" w:rsidRDefault="00DD5BEE" w:rsidP="00F81ED9">
      <w:pPr>
        <w:spacing w:line="360" w:lineRule="auto"/>
        <w:rPr>
          <w:rFonts w:ascii="Arial" w:hAnsi="Arial" w:cs="Arial"/>
        </w:rPr>
      </w:pPr>
      <w:r w:rsidRPr="00F81ED9">
        <w:rPr>
          <w:rFonts w:ascii="Arial" w:hAnsi="Arial" w:cs="Arial"/>
        </w:rPr>
        <w:br w:type="page"/>
      </w:r>
    </w:p>
    <w:p w14:paraId="7075ED72" w14:textId="77777777" w:rsidR="00DF51AF" w:rsidRPr="00C71782" w:rsidRDefault="00DD5BEE" w:rsidP="00F81ED9">
      <w:pPr>
        <w:pStyle w:val="Heading1"/>
        <w:spacing w:before="400" w:after="200" w:line="360" w:lineRule="auto"/>
        <w:rPr>
          <w:rFonts w:ascii="Arial" w:hAnsi="Arial" w:cs="Arial"/>
          <w:b/>
          <w:bCs/>
          <w:color w:val="auto"/>
        </w:rPr>
      </w:pPr>
      <w:r w:rsidRPr="00C71782">
        <w:rPr>
          <w:rFonts w:ascii="Arial" w:hAnsi="Arial" w:cs="Arial"/>
          <w:b/>
          <w:bCs/>
          <w:color w:val="auto"/>
        </w:rPr>
        <w:lastRenderedPageBreak/>
        <w:t>Table of Contents</w:t>
      </w:r>
    </w:p>
    <w:p w14:paraId="77233116" w14:textId="697D9D2C" w:rsidR="00DF51AF" w:rsidRPr="00F81ED9" w:rsidRDefault="00DD5BEE" w:rsidP="00F81ED9">
      <w:pPr>
        <w:spacing w:line="360" w:lineRule="auto"/>
        <w:rPr>
          <w:rFonts w:ascii="Arial" w:hAnsi="Arial" w:cs="Arial"/>
        </w:rPr>
      </w:pPr>
      <w:r w:rsidRPr="00F81ED9">
        <w:rPr>
          <w:rFonts w:ascii="Arial" w:hAnsi="Arial" w:cs="Arial"/>
        </w:rPr>
        <w:t xml:space="preserve">Acknowledgements </w:t>
      </w:r>
    </w:p>
    <w:p w14:paraId="1C1F10CE" w14:textId="130389D0" w:rsidR="00DF51AF" w:rsidRPr="00F81ED9" w:rsidRDefault="00DD5BEE" w:rsidP="00F81ED9">
      <w:pPr>
        <w:spacing w:line="360" w:lineRule="auto"/>
        <w:rPr>
          <w:rFonts w:ascii="Arial" w:hAnsi="Arial" w:cs="Arial"/>
        </w:rPr>
      </w:pPr>
      <w:r w:rsidRPr="00F81ED9">
        <w:rPr>
          <w:rFonts w:ascii="Arial" w:hAnsi="Arial" w:cs="Arial"/>
        </w:rPr>
        <w:t xml:space="preserve">Abstract </w:t>
      </w:r>
    </w:p>
    <w:p w14:paraId="6ED47365" w14:textId="3EAD7DAD" w:rsidR="00DF51AF" w:rsidRPr="00F81ED9" w:rsidRDefault="00DD5BEE" w:rsidP="00F81ED9">
      <w:pPr>
        <w:spacing w:line="360" w:lineRule="auto"/>
        <w:rPr>
          <w:rFonts w:ascii="Arial" w:hAnsi="Arial" w:cs="Arial"/>
        </w:rPr>
      </w:pPr>
      <w:r w:rsidRPr="00F81ED9">
        <w:rPr>
          <w:rFonts w:ascii="Arial" w:hAnsi="Arial" w:cs="Arial"/>
        </w:rPr>
        <w:t xml:space="preserve">Table of Contents </w:t>
      </w:r>
    </w:p>
    <w:p w14:paraId="675BCB3F" w14:textId="20BB2247" w:rsidR="00DF51AF" w:rsidRPr="0078680D" w:rsidRDefault="00DD5BEE" w:rsidP="00F81ED9">
      <w:pPr>
        <w:spacing w:line="360" w:lineRule="auto"/>
        <w:rPr>
          <w:rFonts w:ascii="Arial" w:hAnsi="Arial" w:cs="Arial"/>
          <w:b/>
          <w:bCs/>
        </w:rPr>
      </w:pPr>
      <w:r w:rsidRPr="0078680D">
        <w:rPr>
          <w:rFonts w:ascii="Arial" w:hAnsi="Arial" w:cs="Arial"/>
          <w:b/>
          <w:bCs/>
        </w:rPr>
        <w:t>Chapter 1:</w:t>
      </w:r>
      <w:r w:rsidR="0078680D" w:rsidRPr="0078680D">
        <w:rPr>
          <w:rFonts w:ascii="Arial" w:hAnsi="Arial" w:cs="Arial"/>
          <w:b/>
          <w:bCs/>
        </w:rPr>
        <w:t xml:space="preserve"> </w:t>
      </w:r>
      <w:r w:rsidRPr="0078680D">
        <w:rPr>
          <w:rFonts w:ascii="Arial" w:hAnsi="Arial" w:cs="Arial"/>
          <w:b/>
          <w:bCs/>
        </w:rPr>
        <w:t>Introduction</w:t>
      </w:r>
      <w:r w:rsidR="0078680D">
        <w:rPr>
          <w:rFonts w:ascii="Arial" w:hAnsi="Arial" w:cs="Arial"/>
        </w:rPr>
        <w:t xml:space="preserve"> </w:t>
      </w:r>
    </w:p>
    <w:p w14:paraId="140C9C12" w14:textId="77777777" w:rsidR="00C71782" w:rsidRDefault="00DD5BEE" w:rsidP="00F81ED9">
      <w:pPr>
        <w:spacing w:line="360" w:lineRule="auto"/>
        <w:rPr>
          <w:rFonts w:ascii="Arial" w:hAnsi="Arial" w:cs="Arial"/>
        </w:rPr>
      </w:pPr>
      <w:r w:rsidRPr="00F81ED9">
        <w:rPr>
          <w:rFonts w:ascii="Arial" w:hAnsi="Arial" w:cs="Arial"/>
        </w:rPr>
        <w:t xml:space="preserve">1.1 Definition of Main Concepts  </w:t>
      </w:r>
    </w:p>
    <w:p w14:paraId="2D570D09" w14:textId="77777777" w:rsidR="00C71782" w:rsidRPr="004176F7" w:rsidRDefault="00DD5BEE" w:rsidP="00F81ED9">
      <w:pPr>
        <w:spacing w:line="360" w:lineRule="auto"/>
        <w:rPr>
          <w:rFonts w:ascii="Arial" w:hAnsi="Arial" w:cs="Arial"/>
          <w:b/>
          <w:bCs/>
        </w:rPr>
      </w:pPr>
      <w:r w:rsidRPr="004176F7">
        <w:rPr>
          <w:rFonts w:ascii="Arial" w:hAnsi="Arial" w:cs="Arial"/>
          <w:b/>
          <w:bCs/>
        </w:rPr>
        <w:t xml:space="preserve">1.2 Rationale of the Study  </w:t>
      </w:r>
    </w:p>
    <w:p w14:paraId="19F1D48A" w14:textId="77777777" w:rsidR="00C71782" w:rsidRDefault="00DD5BEE" w:rsidP="00F81ED9">
      <w:pPr>
        <w:spacing w:line="360" w:lineRule="auto"/>
        <w:rPr>
          <w:rFonts w:ascii="Arial" w:hAnsi="Arial" w:cs="Arial"/>
        </w:rPr>
      </w:pPr>
      <w:r w:rsidRPr="00F81ED9">
        <w:rPr>
          <w:rFonts w:ascii="Arial" w:hAnsi="Arial" w:cs="Arial"/>
        </w:rPr>
        <w:t xml:space="preserve">1.3 Aim of the Study  </w:t>
      </w:r>
    </w:p>
    <w:p w14:paraId="00165773" w14:textId="77777777" w:rsidR="00C71782" w:rsidRDefault="00DD5BEE" w:rsidP="00F81ED9">
      <w:pPr>
        <w:spacing w:line="360" w:lineRule="auto"/>
        <w:rPr>
          <w:rFonts w:ascii="Arial" w:hAnsi="Arial" w:cs="Arial"/>
        </w:rPr>
      </w:pPr>
      <w:r w:rsidRPr="00F81ED9">
        <w:rPr>
          <w:rFonts w:ascii="Arial" w:hAnsi="Arial" w:cs="Arial"/>
        </w:rPr>
        <w:t xml:space="preserve">1.4 Objectives of the Study  </w:t>
      </w:r>
    </w:p>
    <w:p w14:paraId="47911CE8" w14:textId="6D736C80" w:rsidR="00DF51AF" w:rsidRPr="004176F7" w:rsidRDefault="00DD5BEE" w:rsidP="00F81ED9">
      <w:pPr>
        <w:spacing w:line="360" w:lineRule="auto"/>
        <w:rPr>
          <w:rFonts w:ascii="Arial" w:hAnsi="Arial" w:cs="Arial"/>
          <w:b/>
          <w:bCs/>
        </w:rPr>
      </w:pPr>
      <w:r w:rsidRPr="004176F7">
        <w:rPr>
          <w:rFonts w:ascii="Arial" w:hAnsi="Arial" w:cs="Arial"/>
          <w:b/>
          <w:bCs/>
        </w:rPr>
        <w:t>1.5 Structure of the Dissertation</w:t>
      </w:r>
    </w:p>
    <w:p w14:paraId="250ED523" w14:textId="33B3EEE2" w:rsidR="00DF51AF" w:rsidRPr="004176F7" w:rsidRDefault="00DD5BEE" w:rsidP="00F81ED9">
      <w:pPr>
        <w:spacing w:line="360" w:lineRule="auto"/>
        <w:rPr>
          <w:rFonts w:ascii="Arial" w:hAnsi="Arial" w:cs="Arial"/>
          <w:b/>
          <w:bCs/>
        </w:rPr>
      </w:pPr>
      <w:r w:rsidRPr="004176F7">
        <w:rPr>
          <w:rFonts w:ascii="Arial" w:hAnsi="Arial" w:cs="Arial"/>
          <w:b/>
          <w:bCs/>
        </w:rPr>
        <w:t>Chapter 2: Background</w:t>
      </w:r>
      <w:r w:rsidR="0078680D" w:rsidRPr="004176F7">
        <w:rPr>
          <w:rFonts w:ascii="Arial" w:hAnsi="Arial" w:cs="Arial"/>
          <w:b/>
          <w:bCs/>
        </w:rPr>
        <w:t xml:space="preserve"> </w:t>
      </w:r>
    </w:p>
    <w:p w14:paraId="29412A6E" w14:textId="77777777" w:rsidR="00C71782" w:rsidRDefault="00DD5BEE" w:rsidP="00F81ED9">
      <w:pPr>
        <w:spacing w:line="360" w:lineRule="auto"/>
        <w:rPr>
          <w:rFonts w:ascii="Arial" w:hAnsi="Arial" w:cs="Arial"/>
        </w:rPr>
      </w:pPr>
      <w:r w:rsidRPr="00F81ED9">
        <w:rPr>
          <w:rFonts w:ascii="Arial" w:hAnsi="Arial" w:cs="Arial"/>
        </w:rPr>
        <w:t xml:space="preserve">2.1 Historical Background  </w:t>
      </w:r>
    </w:p>
    <w:p w14:paraId="240AF741" w14:textId="77777777" w:rsidR="00C71782" w:rsidRDefault="00DD5BEE" w:rsidP="00F81ED9">
      <w:pPr>
        <w:spacing w:line="360" w:lineRule="auto"/>
        <w:rPr>
          <w:rFonts w:ascii="Arial" w:hAnsi="Arial" w:cs="Arial"/>
        </w:rPr>
      </w:pPr>
      <w:r w:rsidRPr="00F81ED9">
        <w:rPr>
          <w:rFonts w:ascii="Arial" w:hAnsi="Arial" w:cs="Arial"/>
        </w:rPr>
        <w:t xml:space="preserve">2.2 Theoretical Background  </w:t>
      </w:r>
    </w:p>
    <w:p w14:paraId="751C7E37" w14:textId="77777777" w:rsidR="00C71782" w:rsidRDefault="00DD5BEE" w:rsidP="00F81ED9">
      <w:pPr>
        <w:spacing w:line="360" w:lineRule="auto"/>
        <w:rPr>
          <w:rFonts w:ascii="Arial" w:hAnsi="Arial" w:cs="Arial"/>
        </w:rPr>
      </w:pPr>
      <w:r w:rsidRPr="00F81ED9">
        <w:rPr>
          <w:rFonts w:ascii="Arial" w:hAnsi="Arial" w:cs="Arial"/>
        </w:rPr>
        <w:t xml:space="preserve">2.3 International Context  </w:t>
      </w:r>
    </w:p>
    <w:p w14:paraId="451365EC" w14:textId="53BC2D23" w:rsidR="00DF51AF" w:rsidRPr="00F81ED9" w:rsidRDefault="00DD5BEE" w:rsidP="00F81ED9">
      <w:pPr>
        <w:spacing w:line="360" w:lineRule="auto"/>
        <w:rPr>
          <w:rFonts w:ascii="Arial" w:hAnsi="Arial" w:cs="Arial"/>
        </w:rPr>
      </w:pPr>
      <w:r w:rsidRPr="00F81ED9">
        <w:rPr>
          <w:rFonts w:ascii="Arial" w:hAnsi="Arial" w:cs="Arial"/>
        </w:rPr>
        <w:t>2.4 National/Local Context</w:t>
      </w:r>
    </w:p>
    <w:p w14:paraId="146D72F7" w14:textId="77777777" w:rsidR="00C71782" w:rsidRPr="00C71782" w:rsidRDefault="00DD5BEE" w:rsidP="00F81ED9">
      <w:pPr>
        <w:spacing w:line="360" w:lineRule="auto"/>
        <w:rPr>
          <w:rFonts w:ascii="Arial" w:hAnsi="Arial" w:cs="Arial"/>
          <w:b/>
          <w:bCs/>
        </w:rPr>
      </w:pPr>
      <w:r w:rsidRPr="00C71782">
        <w:rPr>
          <w:rFonts w:ascii="Arial" w:hAnsi="Arial" w:cs="Arial"/>
          <w:b/>
          <w:bCs/>
        </w:rPr>
        <w:t xml:space="preserve">Chapter 3: </w:t>
      </w:r>
    </w:p>
    <w:p w14:paraId="1439F025" w14:textId="18E021CE" w:rsidR="00DF51AF" w:rsidRPr="00F81ED9" w:rsidRDefault="00DD5BEE" w:rsidP="00F81ED9">
      <w:pPr>
        <w:spacing w:line="360" w:lineRule="auto"/>
        <w:rPr>
          <w:rFonts w:ascii="Arial" w:hAnsi="Arial" w:cs="Arial"/>
        </w:rPr>
      </w:pPr>
      <w:r w:rsidRPr="00F81ED9">
        <w:rPr>
          <w:rFonts w:ascii="Arial" w:hAnsi="Arial" w:cs="Arial"/>
        </w:rPr>
        <w:t xml:space="preserve">Methods </w:t>
      </w:r>
    </w:p>
    <w:p w14:paraId="4571BCE1" w14:textId="77777777" w:rsidR="00C71782" w:rsidRDefault="00DD5BEE" w:rsidP="00F81ED9">
      <w:pPr>
        <w:spacing w:line="360" w:lineRule="auto"/>
        <w:rPr>
          <w:rFonts w:ascii="Arial" w:hAnsi="Arial" w:cs="Arial"/>
        </w:rPr>
      </w:pPr>
      <w:r w:rsidRPr="00F81ED9">
        <w:rPr>
          <w:rFonts w:ascii="Arial" w:hAnsi="Arial" w:cs="Arial"/>
        </w:rPr>
        <w:t xml:space="preserve">3.1 Data Collection  </w:t>
      </w:r>
    </w:p>
    <w:p w14:paraId="25F73096" w14:textId="77777777" w:rsidR="00C71782" w:rsidRDefault="00DD5BEE" w:rsidP="00F81ED9">
      <w:pPr>
        <w:spacing w:line="360" w:lineRule="auto"/>
        <w:rPr>
          <w:rFonts w:ascii="Arial" w:hAnsi="Arial" w:cs="Arial"/>
        </w:rPr>
      </w:pPr>
      <w:r w:rsidRPr="00F81ED9">
        <w:rPr>
          <w:rFonts w:ascii="Arial" w:hAnsi="Arial" w:cs="Arial"/>
        </w:rPr>
        <w:t xml:space="preserve">3.2 Data Analysis  </w:t>
      </w:r>
    </w:p>
    <w:p w14:paraId="0DBE7404" w14:textId="3767D8DC" w:rsidR="00DF51AF" w:rsidRPr="00F81ED9" w:rsidRDefault="00DD5BEE" w:rsidP="00F81ED9">
      <w:pPr>
        <w:spacing w:line="360" w:lineRule="auto"/>
        <w:rPr>
          <w:rFonts w:ascii="Arial" w:hAnsi="Arial" w:cs="Arial"/>
        </w:rPr>
      </w:pPr>
      <w:r w:rsidRPr="00F81ED9">
        <w:rPr>
          <w:rFonts w:ascii="Arial" w:hAnsi="Arial" w:cs="Arial"/>
        </w:rPr>
        <w:t>3.3 Ethical Considerations</w:t>
      </w:r>
    </w:p>
    <w:p w14:paraId="518472B7" w14:textId="77777777" w:rsidR="00C71782" w:rsidRPr="00C71782" w:rsidRDefault="00DD5BEE" w:rsidP="00F81ED9">
      <w:pPr>
        <w:spacing w:line="360" w:lineRule="auto"/>
        <w:rPr>
          <w:rFonts w:ascii="Arial" w:hAnsi="Arial" w:cs="Arial"/>
          <w:b/>
          <w:bCs/>
        </w:rPr>
      </w:pPr>
      <w:r w:rsidRPr="00C71782">
        <w:rPr>
          <w:rFonts w:ascii="Arial" w:hAnsi="Arial" w:cs="Arial"/>
          <w:b/>
          <w:bCs/>
        </w:rPr>
        <w:t xml:space="preserve">Chapter 4: </w:t>
      </w:r>
    </w:p>
    <w:p w14:paraId="5E75763F" w14:textId="461EBBC2" w:rsidR="00DF51AF" w:rsidRPr="00F81ED9" w:rsidRDefault="00DD5BEE" w:rsidP="00F81ED9">
      <w:pPr>
        <w:spacing w:line="360" w:lineRule="auto"/>
        <w:rPr>
          <w:rFonts w:ascii="Arial" w:hAnsi="Arial" w:cs="Arial"/>
        </w:rPr>
      </w:pPr>
      <w:r w:rsidRPr="00F81ED9">
        <w:rPr>
          <w:rFonts w:ascii="Arial" w:hAnsi="Arial" w:cs="Arial"/>
        </w:rPr>
        <w:t xml:space="preserve">Results and Discussion </w:t>
      </w:r>
    </w:p>
    <w:p w14:paraId="4CAA4FEA" w14:textId="77777777" w:rsidR="00C71782" w:rsidRDefault="00DD5BEE" w:rsidP="00F81ED9">
      <w:pPr>
        <w:spacing w:line="360" w:lineRule="auto"/>
        <w:rPr>
          <w:rFonts w:ascii="Arial" w:hAnsi="Arial" w:cs="Arial"/>
        </w:rPr>
      </w:pPr>
      <w:r w:rsidRPr="00F81ED9">
        <w:rPr>
          <w:rFonts w:ascii="Arial" w:hAnsi="Arial" w:cs="Arial"/>
        </w:rPr>
        <w:t xml:space="preserve">4.1 Characteristics of the Literature  </w:t>
      </w:r>
    </w:p>
    <w:p w14:paraId="77FA7863" w14:textId="77777777" w:rsidR="00C71782" w:rsidRDefault="00DD5BEE" w:rsidP="00F81ED9">
      <w:pPr>
        <w:spacing w:line="360" w:lineRule="auto"/>
        <w:rPr>
          <w:rFonts w:ascii="Arial" w:hAnsi="Arial" w:cs="Arial"/>
        </w:rPr>
      </w:pPr>
      <w:r w:rsidRPr="00F81ED9">
        <w:rPr>
          <w:rFonts w:ascii="Arial" w:hAnsi="Arial" w:cs="Arial"/>
        </w:rPr>
        <w:t xml:space="preserve">4.2 Analysis of Results/Themes  </w:t>
      </w:r>
    </w:p>
    <w:p w14:paraId="3CAA13FE" w14:textId="77777777" w:rsidR="00C71782" w:rsidRDefault="00DD5BEE" w:rsidP="00F81ED9">
      <w:pPr>
        <w:spacing w:line="360" w:lineRule="auto"/>
        <w:rPr>
          <w:rFonts w:ascii="Arial" w:hAnsi="Arial" w:cs="Arial"/>
        </w:rPr>
      </w:pPr>
      <w:r w:rsidRPr="00F81ED9">
        <w:rPr>
          <w:rFonts w:ascii="Arial" w:hAnsi="Arial" w:cs="Arial"/>
        </w:rPr>
        <w:t xml:space="preserve">4.3 Discussion  </w:t>
      </w:r>
    </w:p>
    <w:p w14:paraId="5B4642F3" w14:textId="5EE9713D" w:rsidR="00DF51AF" w:rsidRPr="00F81ED9" w:rsidRDefault="00DD5BEE" w:rsidP="00F81ED9">
      <w:pPr>
        <w:spacing w:line="360" w:lineRule="auto"/>
        <w:rPr>
          <w:rFonts w:ascii="Arial" w:hAnsi="Arial" w:cs="Arial"/>
        </w:rPr>
      </w:pPr>
      <w:r w:rsidRPr="00F81ED9">
        <w:rPr>
          <w:rFonts w:ascii="Arial" w:hAnsi="Arial" w:cs="Arial"/>
        </w:rPr>
        <w:t>4.4 Table of Findings</w:t>
      </w:r>
    </w:p>
    <w:p w14:paraId="6777D2C0" w14:textId="77777777" w:rsidR="00C71782" w:rsidRPr="00C71782" w:rsidRDefault="00DD5BEE" w:rsidP="00F81ED9">
      <w:pPr>
        <w:spacing w:line="360" w:lineRule="auto"/>
        <w:rPr>
          <w:rFonts w:ascii="Arial" w:hAnsi="Arial" w:cs="Arial"/>
          <w:b/>
          <w:bCs/>
        </w:rPr>
      </w:pPr>
      <w:r w:rsidRPr="00C71782">
        <w:rPr>
          <w:rFonts w:ascii="Arial" w:hAnsi="Arial" w:cs="Arial"/>
          <w:b/>
          <w:bCs/>
        </w:rPr>
        <w:t xml:space="preserve">Chapter 5: </w:t>
      </w:r>
    </w:p>
    <w:p w14:paraId="31834BFB" w14:textId="2415E3A2" w:rsidR="00DF51AF" w:rsidRPr="00F81ED9" w:rsidRDefault="00DD5BEE" w:rsidP="00F81ED9">
      <w:pPr>
        <w:spacing w:line="360" w:lineRule="auto"/>
        <w:rPr>
          <w:rFonts w:ascii="Arial" w:hAnsi="Arial" w:cs="Arial"/>
        </w:rPr>
      </w:pPr>
      <w:r w:rsidRPr="00F81ED9">
        <w:rPr>
          <w:rFonts w:ascii="Arial" w:hAnsi="Arial" w:cs="Arial"/>
        </w:rPr>
        <w:t xml:space="preserve">Recommendations and Conclusion </w:t>
      </w:r>
    </w:p>
    <w:p w14:paraId="0CF93DFB" w14:textId="77777777" w:rsidR="00C71782" w:rsidRDefault="00DD5BEE" w:rsidP="00F81ED9">
      <w:pPr>
        <w:spacing w:line="360" w:lineRule="auto"/>
        <w:rPr>
          <w:rFonts w:ascii="Arial" w:hAnsi="Arial" w:cs="Arial"/>
        </w:rPr>
      </w:pPr>
      <w:r w:rsidRPr="00F81ED9">
        <w:rPr>
          <w:rFonts w:ascii="Arial" w:hAnsi="Arial" w:cs="Arial"/>
        </w:rPr>
        <w:t xml:space="preserve">5.1 Recommendations  </w:t>
      </w:r>
    </w:p>
    <w:p w14:paraId="15069EA6" w14:textId="7ADD0AEE" w:rsidR="00DF51AF" w:rsidRPr="00F81ED9" w:rsidRDefault="00DD5BEE" w:rsidP="00F81ED9">
      <w:pPr>
        <w:spacing w:line="360" w:lineRule="auto"/>
        <w:rPr>
          <w:rFonts w:ascii="Arial" w:hAnsi="Arial" w:cs="Arial"/>
        </w:rPr>
      </w:pPr>
      <w:r w:rsidRPr="00F81ED9">
        <w:rPr>
          <w:rFonts w:ascii="Arial" w:hAnsi="Arial" w:cs="Arial"/>
        </w:rPr>
        <w:t>5.2 Conclusion</w:t>
      </w:r>
    </w:p>
    <w:p w14:paraId="5324D7B2" w14:textId="76CA95BD" w:rsidR="00DF51AF" w:rsidRPr="00F81ED9" w:rsidRDefault="00DD5BEE" w:rsidP="00F81ED9">
      <w:pPr>
        <w:spacing w:line="360" w:lineRule="auto"/>
        <w:rPr>
          <w:rFonts w:ascii="Arial" w:hAnsi="Arial" w:cs="Arial"/>
        </w:rPr>
      </w:pPr>
      <w:r w:rsidRPr="00C71782">
        <w:rPr>
          <w:rFonts w:ascii="Arial" w:hAnsi="Arial" w:cs="Arial"/>
          <w:b/>
          <w:bCs/>
        </w:rPr>
        <w:t xml:space="preserve">References </w:t>
      </w:r>
      <w:r w:rsidRPr="00F81ED9">
        <w:rPr>
          <w:rFonts w:ascii="Arial" w:hAnsi="Arial" w:cs="Arial"/>
        </w:rPr>
        <w:br w:type="page"/>
      </w:r>
    </w:p>
    <w:p w14:paraId="4773BA74" w14:textId="77777777" w:rsidR="00DF51AF" w:rsidRPr="00C71782" w:rsidRDefault="0D1F849A" w:rsidP="3225C199">
      <w:pPr>
        <w:pStyle w:val="Heading1"/>
        <w:spacing w:before="400" w:after="200" w:line="360" w:lineRule="auto"/>
        <w:ind w:left="1440" w:firstLine="720"/>
        <w:rPr>
          <w:rFonts w:ascii="Arial" w:hAnsi="Arial" w:cs="Arial"/>
          <w:b/>
          <w:bCs/>
          <w:color w:val="auto"/>
        </w:rPr>
      </w:pPr>
      <w:r w:rsidRPr="3225C199">
        <w:rPr>
          <w:rFonts w:ascii="Arial" w:hAnsi="Arial" w:cs="Arial"/>
          <w:b/>
          <w:bCs/>
          <w:color w:val="auto"/>
        </w:rPr>
        <w:lastRenderedPageBreak/>
        <w:t>Chapter 1: Introduction</w:t>
      </w:r>
    </w:p>
    <w:p w14:paraId="3DC4D878" w14:textId="77777777" w:rsidR="00DF51AF" w:rsidRPr="00C71782" w:rsidRDefault="00DD5BEE" w:rsidP="00F81ED9">
      <w:pPr>
        <w:pStyle w:val="Heading2"/>
        <w:spacing w:before="300" w:after="150" w:line="360" w:lineRule="auto"/>
        <w:rPr>
          <w:rFonts w:ascii="Arial" w:hAnsi="Arial" w:cs="Arial"/>
          <w:b/>
          <w:bCs/>
          <w:color w:val="auto"/>
          <w:sz w:val="28"/>
          <w:szCs w:val="28"/>
        </w:rPr>
      </w:pPr>
      <w:r w:rsidRPr="00C71782">
        <w:rPr>
          <w:rFonts w:ascii="Arial" w:hAnsi="Arial" w:cs="Arial"/>
          <w:b/>
          <w:bCs/>
          <w:color w:val="auto"/>
          <w:sz w:val="28"/>
          <w:szCs w:val="28"/>
        </w:rPr>
        <w:t>1.1 Definition of Main Concepts</w:t>
      </w:r>
    </w:p>
    <w:p w14:paraId="43B155C0"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Dementia is a progressive neurological condition that impairs memory, cognition, communication, and the capacity for independent daily functioning. As the disease advances, it frequently gives rise to behavioural and psychological symptoms of dementia (BPSD), a broad term describing behaviours such as agitation, aggression, wandering, vocal disruption, apathy, and resistance to personal care (Cohen-Mansfield, 2000). These behaviours have historically been labelled "challenging behaviour" in UK care practice, a term that has attracted criticism for implicitly locating the problem within the individual rather than within the circumstances that provoke it (Warren, 2022).</w:t>
      </w:r>
    </w:p>
    <w:p w14:paraId="05337EA5"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Contemporary scholarship increasingly favours a reframing of BPSD as a form of communication. Rather than being random or purely pathological, such behaviours are understood as expressions of unmet physical, psychological, social, or environmental needs that a person with dementia can no longer articulate verbally (Cohen-Mansfield, 2000; Warren, 2022). This reconceptualisation carries significant implications for practice, shifting the clinical and organisational response away from suppression or control and towards enquiry, interpretation, and the meeting of underlying need.</w:t>
      </w:r>
    </w:p>
    <w:p w14:paraId="238E35E4"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Person-centred care, a concept developed most influentially by Kitwood (1997), similarly insists that behaviour cannot be understood in isolation from a person's biography, personality, physical health, and social environment. Kitwood argued that much of what was historically labelled "difficult" behaviour was in fact a predictable response to a "malignant social psychology" that undermined personhood through practices such as infantilisation, disempowerment, and labelling. Understanding these behaviours as forms of communication, therefore, is not merely a semantic exercise but a foundation for the compassionate, individualised, and ultimately more effective care that this dissertation advocates for throughout.</w:t>
      </w:r>
    </w:p>
    <w:p w14:paraId="21B63D47" w14:textId="77777777" w:rsidR="00DF51AF" w:rsidRPr="0078680D" w:rsidRDefault="00DD5BEE" w:rsidP="00F81ED9">
      <w:pPr>
        <w:pStyle w:val="Heading2"/>
        <w:spacing w:before="300" w:after="150" w:line="360" w:lineRule="auto"/>
        <w:rPr>
          <w:rFonts w:ascii="Arial" w:hAnsi="Arial" w:cs="Arial"/>
          <w:b/>
          <w:bCs/>
          <w:color w:val="auto"/>
          <w:sz w:val="28"/>
          <w:szCs w:val="28"/>
        </w:rPr>
      </w:pPr>
      <w:r w:rsidRPr="0078680D">
        <w:rPr>
          <w:rFonts w:ascii="Arial" w:hAnsi="Arial" w:cs="Arial"/>
          <w:b/>
          <w:bCs/>
          <w:color w:val="auto"/>
          <w:sz w:val="28"/>
          <w:szCs w:val="28"/>
        </w:rPr>
        <w:t>1.2 Rationale of the Study</w:t>
      </w:r>
    </w:p>
    <w:p w14:paraId="67599146"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The rationale for this study is grounded in the scale and urgency of the challenge facing UK dementia care. The prevalence of dementia is rising sharply in the UK, driven by an ageing population and improved diagnosis rates, with projections estimating substantial increases in both the number of people living with dementia and the associated costs of care over the coming decades (Wittenberg et al., 2019; Alzheimer's Society, 2024). A considerable </w:t>
      </w:r>
      <w:r w:rsidRPr="3225C199">
        <w:rPr>
          <w:rFonts w:ascii="Arial" w:hAnsi="Arial" w:cs="Arial"/>
          <w:sz w:val="22"/>
          <w:szCs w:val="22"/>
        </w:rPr>
        <w:lastRenderedPageBreak/>
        <w:t>proportion of people with more advanced dementia are cared for in residential and nursing care homes, settings in which BPSD are reported to be highly prevalent and are consistently identified as one of the most significant sources of distress for residents, and of strain for staff and family carers alike (Livingston et al., 2017).</w:t>
      </w:r>
    </w:p>
    <w:p w14:paraId="72272B61"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Despite the existence of clear national guidance advocating person-centred, non-pharmacological approaches as the first line of management (NICE, 2018), evidence continues to suggest a persistent gap between policy and everyday practice. Antipsychotic and other psychotropic medications continue to be used, sometimes inappropriately, to manage behaviours that might otherwise respond to environmental or relational interventions, and the application of national guidelines across the care home sector remains markedly inconsistent (Gray, Brooker and Tucker, 2022).</w:t>
      </w:r>
    </w:p>
    <w:p w14:paraId="63B8193A"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This gap matters because BPSD, left unaddressed or poorly managed, are strongly associated with reduced quality of life for residents, increased carer burden, and premature transitions into higher levels of institutional care (Toot et al., 2017). Understanding why this gap between evidence and practice persists, and what can realistically be done to close it, is therefore of direct relevance not only to residents and their families but to the sustainability of the wider social care system. This study responds to that need by critically synthesising recent UK evidence on the causes, consequences, and management of BPSD, with a particular focus on identifying practical, evidence-based recommendations that can be implemented within the resource constraints that characterise much of the sector, rather than recommendations that assume resourcing levels well beyond those realistically available to most providers.</w:t>
      </w:r>
    </w:p>
    <w:p w14:paraId="28ACC2FA" w14:textId="77777777" w:rsidR="00DF51AF" w:rsidRPr="004176F7" w:rsidRDefault="00DD5BEE" w:rsidP="00F81ED9">
      <w:pPr>
        <w:pStyle w:val="Heading2"/>
        <w:spacing w:before="300" w:after="150" w:line="360" w:lineRule="auto"/>
        <w:rPr>
          <w:rFonts w:ascii="Arial" w:hAnsi="Arial" w:cs="Arial"/>
          <w:b/>
          <w:bCs/>
          <w:color w:val="auto"/>
          <w:sz w:val="24"/>
          <w:szCs w:val="24"/>
        </w:rPr>
      </w:pPr>
      <w:r w:rsidRPr="004176F7">
        <w:rPr>
          <w:rFonts w:ascii="Arial" w:hAnsi="Arial" w:cs="Arial"/>
          <w:b/>
          <w:bCs/>
          <w:color w:val="auto"/>
          <w:sz w:val="24"/>
          <w:szCs w:val="24"/>
        </w:rPr>
        <w:t>1.3 Aim of the Study</w:t>
      </w:r>
    </w:p>
    <w:p w14:paraId="06C0C2CC" w14:textId="77777777" w:rsidR="00DF51AF" w:rsidRDefault="0D1F849A" w:rsidP="3225C199">
      <w:pPr>
        <w:spacing w:after="200" w:line="360" w:lineRule="auto"/>
        <w:jc w:val="both"/>
        <w:rPr>
          <w:rFonts w:ascii="Arial" w:hAnsi="Arial" w:cs="Arial"/>
        </w:rPr>
      </w:pPr>
      <w:r w:rsidRPr="3225C199">
        <w:rPr>
          <w:rFonts w:ascii="Arial" w:hAnsi="Arial" w:cs="Arial"/>
        </w:rPr>
        <w:t xml:space="preserve">The aim of this dissertation is to critically explore the causes, impacts, and management strategies for challenging behaviour among older adults with dementia living in UK care homes. In pursuing this aim, the study seeks not simply to catalogue existing findings but to interrogate the relationships between them: how particular causes give rise to </w:t>
      </w:r>
      <w:proofErr w:type="gramStart"/>
      <w:r w:rsidRPr="3225C199">
        <w:rPr>
          <w:rFonts w:ascii="Arial" w:hAnsi="Arial" w:cs="Arial"/>
        </w:rPr>
        <w:t>particular impacts</w:t>
      </w:r>
      <w:proofErr w:type="gramEnd"/>
      <w:r w:rsidRPr="3225C199">
        <w:rPr>
          <w:rFonts w:ascii="Arial" w:hAnsi="Arial" w:cs="Arial"/>
        </w:rPr>
        <w:t>, and how management strategies succeed or fail depending on the organisational and environmental conditions in which they are implemented. The intention throughout is to move beyond description towards practical, actionable insight for care home practice.</w:t>
      </w:r>
    </w:p>
    <w:p w14:paraId="1BCB92B1" w14:textId="590C7D9B" w:rsidR="004C13F2" w:rsidRDefault="004C13F2" w:rsidP="3225C199">
      <w:pPr>
        <w:spacing w:after="200" w:line="360" w:lineRule="auto"/>
        <w:jc w:val="both"/>
        <w:rPr>
          <w:rFonts w:ascii="Arial" w:hAnsi="Arial" w:cs="Arial"/>
        </w:rPr>
      </w:pPr>
    </w:p>
    <w:p w14:paraId="3BB80463" w14:textId="77777777" w:rsidR="004C13F2" w:rsidRPr="00F81ED9" w:rsidRDefault="004C13F2" w:rsidP="3225C199">
      <w:pPr>
        <w:spacing w:after="200" w:line="360" w:lineRule="auto"/>
        <w:jc w:val="both"/>
        <w:rPr>
          <w:rFonts w:ascii="Arial" w:hAnsi="Arial" w:cs="Arial"/>
        </w:rPr>
      </w:pPr>
    </w:p>
    <w:p w14:paraId="2BFDB4A6" w14:textId="77777777" w:rsidR="00DF51AF" w:rsidRPr="004176F7" w:rsidRDefault="00DD5BEE" w:rsidP="00F81ED9">
      <w:pPr>
        <w:pStyle w:val="Heading2"/>
        <w:spacing w:before="300" w:after="150" w:line="360" w:lineRule="auto"/>
        <w:rPr>
          <w:rFonts w:ascii="Arial" w:hAnsi="Arial" w:cs="Arial"/>
          <w:b/>
          <w:bCs/>
          <w:color w:val="auto"/>
          <w:sz w:val="24"/>
          <w:szCs w:val="24"/>
        </w:rPr>
      </w:pPr>
      <w:r w:rsidRPr="004176F7">
        <w:rPr>
          <w:rFonts w:ascii="Arial" w:hAnsi="Arial" w:cs="Arial"/>
          <w:b/>
          <w:bCs/>
          <w:color w:val="auto"/>
          <w:sz w:val="24"/>
          <w:szCs w:val="24"/>
        </w:rPr>
        <w:lastRenderedPageBreak/>
        <w:t>1.4 Objectives of the Study</w:t>
      </w:r>
    </w:p>
    <w:p w14:paraId="3F08020C" w14:textId="48D77C33" w:rsidR="00DF51AF" w:rsidRPr="00F81ED9" w:rsidRDefault="004C13F2" w:rsidP="3225C199">
      <w:pPr>
        <w:spacing w:after="200" w:line="360" w:lineRule="auto"/>
        <w:jc w:val="both"/>
        <w:rPr>
          <w:rFonts w:ascii="Arial" w:hAnsi="Arial" w:cs="Arial"/>
        </w:rPr>
      </w:pPr>
      <w:r w:rsidRPr="3225C199">
        <w:rPr>
          <w:rFonts w:ascii="Arial" w:hAnsi="Arial" w:cs="Arial"/>
          <w:sz w:val="22"/>
          <w:szCs w:val="22"/>
        </w:rPr>
        <w:t>To</w:t>
      </w:r>
      <w:r w:rsidR="0D1F849A" w:rsidRPr="3225C199">
        <w:rPr>
          <w:rFonts w:ascii="Arial" w:hAnsi="Arial" w:cs="Arial"/>
          <w:sz w:val="22"/>
          <w:szCs w:val="22"/>
        </w:rPr>
        <w:t xml:space="preserve"> achieve this aim, the study pursues four specific objectives. First, to identify the underlying causes of challenging behaviour among care home residents with dementia, drawing on biological, psychological, social, and environmental explanatory frameworks. Second, to examine the impacts of these behaviours across three interconnected groups: residents themselves, the staff who care for them, and the families who remain involved in their care. Third, to assess the effectiveness of current management strategies, distinguishing between pharmacological and non-pharmacological approaches and considering the organisational barriers that shape their implementation. Fourth, to provide evidence-based recommendations for improving dementia care practice that are realistic and applicable within the operational and financial constraints of the UK care home sector. Together, these objectives provide a coherent structure through which the dissertation's central aim is addressed.</w:t>
      </w:r>
    </w:p>
    <w:p w14:paraId="3143539D" w14:textId="77777777" w:rsidR="00DF51AF" w:rsidRPr="004176F7" w:rsidRDefault="00DD5BEE" w:rsidP="00F81ED9">
      <w:pPr>
        <w:pStyle w:val="Heading2"/>
        <w:spacing w:before="300" w:after="150" w:line="360" w:lineRule="auto"/>
        <w:rPr>
          <w:rFonts w:ascii="Arial" w:hAnsi="Arial" w:cs="Arial"/>
          <w:b/>
          <w:bCs/>
          <w:color w:val="auto"/>
          <w:sz w:val="24"/>
          <w:szCs w:val="24"/>
        </w:rPr>
      </w:pPr>
      <w:r w:rsidRPr="004176F7">
        <w:rPr>
          <w:rFonts w:ascii="Arial" w:hAnsi="Arial" w:cs="Arial"/>
          <w:b/>
          <w:bCs/>
          <w:color w:val="auto"/>
          <w:sz w:val="24"/>
          <w:szCs w:val="24"/>
        </w:rPr>
        <w:t>1.5 Structure of the Dissertation</w:t>
      </w:r>
    </w:p>
    <w:p w14:paraId="7EEB6BEC"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The remainder of this dissertation is organised into four further chapters. Chapter 2 situates the study within its historical, theoretical, international, and UK policy context, tracing the evolution of dementia care from institutional models of restraint towards person-centred approaches, and outlining the theoretical frameworks that inform the analysis. Chapter 3 sets out the methodological approach adopted, including the search strategy, inclusion and exclusion criteria, and the thematic analysis process used to synthesise the literature, together with a discussion of the ethical considerations relevant to a secondary review of this kind.</w:t>
      </w:r>
    </w:p>
    <w:p w14:paraId="28983E4A" w14:textId="77777777" w:rsidR="00DF51AF" w:rsidRDefault="0D1F849A" w:rsidP="3225C199">
      <w:pPr>
        <w:spacing w:after="200" w:line="360" w:lineRule="auto"/>
        <w:jc w:val="both"/>
        <w:rPr>
          <w:rFonts w:ascii="Arial" w:hAnsi="Arial" w:cs="Arial"/>
          <w:sz w:val="22"/>
          <w:szCs w:val="22"/>
        </w:rPr>
      </w:pPr>
      <w:r w:rsidRPr="3225C199">
        <w:rPr>
          <w:rFonts w:ascii="Arial" w:hAnsi="Arial" w:cs="Arial"/>
          <w:sz w:val="22"/>
          <w:szCs w:val="22"/>
        </w:rPr>
        <w:t>Chapter 4 presents the results of the review and discusses them in relation to the existing evidence base, organised around the causes, impacts, and management of BPSD, before considering the strengths and limitations of the review itself. Chapter 5 draws together the findings into a set of practical recommendations for care home practice and policy, before offering a concluding reflection on the significance of the study and its contribution to the wider debate on improving dementia care in UK care homes.</w:t>
      </w:r>
    </w:p>
    <w:p w14:paraId="22AA20A3" w14:textId="77777777" w:rsidR="00C5548A" w:rsidRDefault="00C5548A" w:rsidP="3225C199">
      <w:pPr>
        <w:spacing w:after="200" w:line="360" w:lineRule="auto"/>
        <w:jc w:val="both"/>
        <w:rPr>
          <w:rFonts w:ascii="Arial" w:hAnsi="Arial" w:cs="Arial"/>
          <w:sz w:val="22"/>
          <w:szCs w:val="22"/>
        </w:rPr>
      </w:pPr>
    </w:p>
    <w:p w14:paraId="2C54CF70" w14:textId="77777777" w:rsidR="00C5548A" w:rsidRDefault="00C5548A" w:rsidP="3225C199">
      <w:pPr>
        <w:spacing w:after="200" w:line="360" w:lineRule="auto"/>
        <w:jc w:val="both"/>
        <w:rPr>
          <w:rFonts w:ascii="Arial" w:hAnsi="Arial" w:cs="Arial"/>
          <w:sz w:val="22"/>
          <w:szCs w:val="22"/>
        </w:rPr>
      </w:pPr>
    </w:p>
    <w:p w14:paraId="36C4F471" w14:textId="77777777" w:rsidR="00C5548A" w:rsidRDefault="00C5548A" w:rsidP="3225C199">
      <w:pPr>
        <w:spacing w:after="200" w:line="360" w:lineRule="auto"/>
        <w:jc w:val="both"/>
        <w:rPr>
          <w:rFonts w:ascii="Arial" w:hAnsi="Arial" w:cs="Arial"/>
          <w:sz w:val="22"/>
          <w:szCs w:val="22"/>
        </w:rPr>
      </w:pPr>
    </w:p>
    <w:p w14:paraId="530594B1" w14:textId="77777777" w:rsidR="00C5548A" w:rsidRDefault="00C5548A" w:rsidP="3225C199">
      <w:pPr>
        <w:spacing w:after="200" w:line="360" w:lineRule="auto"/>
        <w:jc w:val="both"/>
        <w:rPr>
          <w:rFonts w:ascii="Arial" w:hAnsi="Arial" w:cs="Arial"/>
          <w:sz w:val="22"/>
          <w:szCs w:val="22"/>
        </w:rPr>
      </w:pPr>
    </w:p>
    <w:p w14:paraId="0C9B2FDB" w14:textId="77777777" w:rsidR="00C5548A" w:rsidRPr="00F81ED9" w:rsidRDefault="00C5548A" w:rsidP="3225C199">
      <w:pPr>
        <w:spacing w:after="200" w:line="360" w:lineRule="auto"/>
        <w:jc w:val="both"/>
        <w:rPr>
          <w:rFonts w:ascii="Arial" w:hAnsi="Arial" w:cs="Arial"/>
          <w:sz w:val="22"/>
          <w:szCs w:val="22"/>
        </w:rPr>
      </w:pPr>
    </w:p>
    <w:p w14:paraId="739A529B" w14:textId="77777777" w:rsidR="00DF51AF" w:rsidRPr="0078680D" w:rsidRDefault="0D1F849A" w:rsidP="3225C199">
      <w:pPr>
        <w:pStyle w:val="Heading1"/>
        <w:spacing w:before="400" w:after="200" w:line="360" w:lineRule="auto"/>
        <w:ind w:left="1440" w:firstLine="720"/>
      </w:pPr>
      <w:r w:rsidRPr="3225C199">
        <w:rPr>
          <w:rFonts w:ascii="Arial" w:hAnsi="Arial" w:cs="Arial"/>
          <w:b/>
          <w:bCs/>
          <w:color w:val="auto"/>
        </w:rPr>
        <w:lastRenderedPageBreak/>
        <w:t>Chapter 2: Background</w:t>
      </w:r>
    </w:p>
    <w:p w14:paraId="180B4260" w14:textId="77777777" w:rsidR="004C13F2" w:rsidRDefault="35E620AA" w:rsidP="004C13F2">
      <w:pPr>
        <w:pStyle w:val="Heading1"/>
        <w:spacing w:before="400" w:after="200" w:line="360" w:lineRule="auto"/>
        <w:jc w:val="both"/>
        <w:rPr>
          <w:rFonts w:ascii="Arial" w:hAnsi="Arial" w:cs="Arial"/>
          <w:b/>
          <w:bCs/>
          <w:color w:val="auto"/>
          <w:sz w:val="28"/>
          <w:szCs w:val="28"/>
        </w:rPr>
      </w:pPr>
      <w:r w:rsidRPr="3225C199">
        <w:rPr>
          <w:rFonts w:ascii="Arial" w:hAnsi="Arial" w:cs="Arial"/>
          <w:b/>
          <w:bCs/>
          <w:color w:val="auto"/>
          <w:sz w:val="28"/>
          <w:szCs w:val="28"/>
        </w:rPr>
        <w:t>Introduction</w:t>
      </w:r>
    </w:p>
    <w:p w14:paraId="56021C8C" w14:textId="05B551AE" w:rsidR="004C13F2" w:rsidRPr="004C13F2" w:rsidRDefault="004C13F2" w:rsidP="004C13F2">
      <w:pPr>
        <w:pStyle w:val="Heading1"/>
        <w:spacing w:before="400" w:after="200" w:line="360" w:lineRule="auto"/>
        <w:jc w:val="both"/>
        <w:rPr>
          <w:rFonts w:ascii="Arial" w:hAnsi="Arial" w:cs="Arial"/>
          <w:b/>
          <w:bCs/>
          <w:color w:val="auto"/>
          <w:sz w:val="28"/>
          <w:szCs w:val="28"/>
        </w:rPr>
      </w:pPr>
      <w:r w:rsidRPr="004C13F2">
        <w:rPr>
          <w:rFonts w:ascii="Arial" w:hAnsi="Arial" w:cs="Arial"/>
          <w:color w:val="auto"/>
          <w:sz w:val="22"/>
          <w:szCs w:val="22"/>
        </w:rPr>
        <w:t xml:space="preserve">This chapter provides the background to the study by exploring the historical development of dementia care and the key theories that explain challenging behaviour in older adults with dementia. It also examines the international and UK context, highlighting current policies, guidance, and the challenges faced by care homes in implementing person-centred care. </w:t>
      </w:r>
    </w:p>
    <w:p w14:paraId="025FE738" w14:textId="77777777" w:rsidR="00DF51AF" w:rsidRPr="004176F7" w:rsidRDefault="00DD5BEE" w:rsidP="00F81ED9">
      <w:pPr>
        <w:pStyle w:val="Heading2"/>
        <w:spacing w:before="300" w:after="150" w:line="360" w:lineRule="auto"/>
        <w:rPr>
          <w:rFonts w:ascii="Arial" w:hAnsi="Arial" w:cs="Arial"/>
          <w:b/>
          <w:bCs/>
          <w:color w:val="auto"/>
          <w:sz w:val="24"/>
          <w:szCs w:val="24"/>
        </w:rPr>
      </w:pPr>
      <w:r w:rsidRPr="004176F7">
        <w:rPr>
          <w:rFonts w:ascii="Arial" w:hAnsi="Arial" w:cs="Arial"/>
          <w:b/>
          <w:bCs/>
          <w:color w:val="auto"/>
          <w:sz w:val="24"/>
          <w:szCs w:val="24"/>
        </w:rPr>
        <w:t>2.1 Historical Background</w:t>
      </w:r>
    </w:p>
    <w:p w14:paraId="3435F9D4"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Dementia care in the UK has undergone a significant transformation over the past half-century. In the mid-twentieth century, care for people with dementia, where it existed at all outside the family home, was largely institutional in character, delivered in long-stay psychiatric hospitals and workhouse-derived settings that prioritised order, containment, and the management of symptoms over individual wellbeing. Behaviours now understood as BPSD were frequently addressed through physical restraint, seclusion, and heavy sedation, with little consideration given to the underlying causes of distress or to residents' individual histories and preferences.</w:t>
      </w:r>
    </w:p>
    <w:p w14:paraId="15BE137C"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The publication of Kitwood's (1997) Dementia Reconsidered marked a pivotal turning point in this trajectory. Kitwood argued that the prevailing biomedical model, which understood dementia purely as a matter of progressive neurological decline, was incomplete, and that much of the distress and behavioural disturbance observed in</w:t>
      </w:r>
      <w:r w:rsidRPr="3225C199">
        <w:rPr>
          <w:rFonts w:ascii="Arial" w:hAnsi="Arial" w:cs="Arial"/>
        </w:rPr>
        <w:t xml:space="preserve"> </w:t>
      </w:r>
      <w:r w:rsidRPr="3225C199">
        <w:rPr>
          <w:rFonts w:ascii="Arial" w:hAnsi="Arial" w:cs="Arial"/>
          <w:sz w:val="22"/>
          <w:szCs w:val="22"/>
        </w:rPr>
        <w:t xml:space="preserve">people with dementia was in fact socially constructed, arising from a "malignant social psychology" in which care practices systematically undermined personhood. This reframing gave rise to the person-centred care movement, which has since become the dominant paradigm in UK dementia policy and practice, even where implementation continues to </w:t>
      </w:r>
      <w:proofErr w:type="gramStart"/>
      <w:r w:rsidRPr="3225C199">
        <w:rPr>
          <w:rFonts w:ascii="Arial" w:hAnsi="Arial" w:cs="Arial"/>
          <w:sz w:val="22"/>
          <w:szCs w:val="22"/>
        </w:rPr>
        <w:t>lag behind</w:t>
      </w:r>
      <w:proofErr w:type="gramEnd"/>
      <w:r w:rsidRPr="3225C199">
        <w:rPr>
          <w:rFonts w:ascii="Arial" w:hAnsi="Arial" w:cs="Arial"/>
          <w:sz w:val="22"/>
          <w:szCs w:val="22"/>
        </w:rPr>
        <w:t xml:space="preserve"> the rhetoric.</w:t>
      </w:r>
    </w:p>
    <w:p w14:paraId="37FE41E2"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This shift was subsequently formalised at a national policy level. The 2009 National Dementia Strategy (Department of Health, 2009) represented the first comprehensive UK government commitment to improving dementia care, setting out objectives around earlier diagnosis, improved quality of care in general hospitals and care homes, and a reduction in the inappropriate use of antipsychotic medication to manage behavioural symptoms. The strategy explicitly acknowledged that BPSD had too often been managed through chemical restraint rather than through understanding and addressing underlying need, and it set in motion a series of subsequent audits and guidance documents aimed at reducing this reliance.</w:t>
      </w:r>
    </w:p>
    <w:p w14:paraId="303239AB"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lastRenderedPageBreak/>
        <w:t>Later policy developments, including successive iterations of the National Institute for Health and Care Excellence (NICE) guidance, have continued to build on this foundation, progressively strengthening the expectation that non-pharmacological, person-centred approaches should be attempted before, or alongside, any consideration of medication (NICE, 2018). Nonetheless, as this dissertation will demonstrate, the historical legacy of institutional, symptom-focused care continues to exert an influence on contemporary practice, particularly in under-resourced settings where time and staffing pressures make it easier to default to older, more reactive models of management than to the relational, individualised approaches that policy now demands.</w:t>
      </w:r>
    </w:p>
    <w:p w14:paraId="11DB224D"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The regulatory landscape has evolved alongside this policy shift, with the Care Quality Commission now assessing dementia care explicitly against person-centred criteria as part of its inspection framework (Care Quality Commission, 2025a), examining not only whether residents are safe but whether they are treated with dignity, offered meaningful occupation, and supported in ways that reflect their individual identity and history. This regulatory reinforcement has undoubtedly raised the baseline expectation placed on care providers, yet inspection frameworks operate retrospectively, identifying poor practice after the fact rather than resourcing the workforce conditions that would prevent it, a tension that recurs throughout the evidence examined in later chapters of this dissertation. A parallel development has been the introduction of national training standards for restrictive practice, requiring care providers to demonstrate that any use of restraint is proportionate, minimised, and delivered by staff trained to a recognised benchmark (Restraint Reduction Network, 2019).</w:t>
      </w:r>
    </w:p>
    <w:p w14:paraId="1EBF9AE6" w14:textId="77777777" w:rsidR="00DF51AF" w:rsidRPr="0078680D" w:rsidRDefault="00DD5BEE" w:rsidP="00F81ED9">
      <w:pPr>
        <w:pStyle w:val="Heading2"/>
        <w:spacing w:before="300" w:after="150" w:line="360" w:lineRule="auto"/>
        <w:rPr>
          <w:rFonts w:ascii="Arial" w:hAnsi="Arial" w:cs="Arial"/>
          <w:b/>
          <w:bCs/>
          <w:color w:val="auto"/>
          <w:sz w:val="28"/>
          <w:szCs w:val="28"/>
        </w:rPr>
      </w:pPr>
      <w:r w:rsidRPr="0078680D">
        <w:rPr>
          <w:rFonts w:ascii="Arial" w:hAnsi="Arial" w:cs="Arial"/>
          <w:b/>
          <w:bCs/>
          <w:color w:val="auto"/>
          <w:sz w:val="28"/>
          <w:szCs w:val="28"/>
        </w:rPr>
        <w:t>2.2 Theoretical Background</w:t>
      </w:r>
    </w:p>
    <w:p w14:paraId="37A62280"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Several complementary theoretical frameworks underpin contemporary understanding of challenging behaviour in dementia, and together they provide the analytical lens through which this dissertation approaches the causes, impacts, and management of BPSD.</w:t>
      </w:r>
    </w:p>
    <w:p w14:paraId="7B866422"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The Biopsychosocial Model (Engel, 1977) provides the broadest of these frameworks, proposing that health and behaviour must be understood as the product of interacting biological, psychological, and social factors rather than being reducible to any single domain. Applied to dementia care, this model resists purely pharmacological or purely psychological explanations of challenging behaviour,</w:t>
      </w:r>
      <w:r w:rsidRPr="3225C199">
        <w:rPr>
          <w:rFonts w:ascii="Arial" w:hAnsi="Arial" w:cs="Arial"/>
        </w:rPr>
        <w:t xml:space="preserve"> </w:t>
      </w:r>
      <w:r w:rsidRPr="3225C199">
        <w:rPr>
          <w:rFonts w:ascii="Arial" w:hAnsi="Arial" w:cs="Arial"/>
          <w:sz w:val="22"/>
          <w:szCs w:val="22"/>
        </w:rPr>
        <w:t>insisting instead that clinicians and care staff consider physical health (for example, undiagnosed pain or infection), psychological state (for example, fear, confusion, or frustration), and social and environmental context (for example, noise, unfamiliar staff, or lack of meaningful occupation) together when seeking to understand any given behavioural episode.</w:t>
      </w:r>
    </w:p>
    <w:p w14:paraId="6DBC722C"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lastRenderedPageBreak/>
        <w:t>The Unmet Needs Model (Cohen-Mansfield, 2000; Cohen-Mansfield and Werner, 1995) offers a more specific operationalisation of this biopsychosocial perspective, building on earlier observational work demonstrating that agitated behaviours vary systematically with specific environmental conditions such as restraint, inactivity, and social isolation. It proposes that behaviours such as agitation, calling out, or wandering typically arise when a person with dementia experiences an unmet need, whether physiological (hunger, thirst, pain, the need to use the toilet), psychological (boredom, loneliness, the need for stimulation or reassurance), or environmental (excessive noise, uncomfortable temperature, unfamiliar surroundings) that they are unable to communicate or address independently due to their cognitive impairment. Because the behaviour itself is the only remaining channel of communication available to the person, the model reframes the clinical task away from suppressing the behaviour and towards decoding and meeting the need that underlies it.</w:t>
      </w:r>
    </w:p>
    <w:p w14:paraId="7174EBB5"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Person-Centred Care (Kitwood, 1997; Kitwood and Bredin, 1992) provides the values-based framework within which these more mechanistic models are applied. Kitwood's approach emphasises individuality, personal history, identity, and the maintenance of meaningful relationships as central to psychological wellbeing in dementia, and it explicitly positions the quality of the caring relationship, rather than the severity of cognitive impairment alone, as the primary determinant of a person's wellbeing. This framework underlines that the same underlying need, if identified through the lens of the Unmet Needs Model, must still be addressed in a manner that respects the individual's biography, preferences, and dignity if the intervention is to be genuinely effective and not merely procedurally compliant.</w:t>
      </w:r>
    </w:p>
    <w:p w14:paraId="2D8363FC"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Finally, the Caregiver Coping framework (Leocadie et al., 2020) draws attention to the role of the caregiver, rather than the resident, in shaping outcomes. This body of work highlights that the skills, resilience, training, and emotional regulation of care staff have a direct and measurable influence on the frequency and severity of BPSD, since poorly equipped or highly stressed staff are more likely to respond to challenging behaviour in ways that escalate rather than de-escalate distress.</w:t>
      </w:r>
    </w:p>
    <w:p w14:paraId="249F7D4F"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None of these frameworks is, in isolation, sufficient to explain the full complexity of challenging behaviour in dementia care, and it is their combination that gives this dissertation its analytical structure. The Biopsychosocial Model provides the broad explanatory architecture; the Unmet Needs Model translates that architecture into a practical diagnostic tool for interpreting specific behavioural episodes; Person-Centred Care supplies the ethical and relational standard against which any resulting intervention must be judged; and the Caregiver Coping framework reminds us that the quality of that intervention is itself contingent on the wellbeing and capability of the workforce delivering it. A purely biomedical reading of BPSD, focused </w:t>
      </w:r>
      <w:r w:rsidRPr="3225C199">
        <w:rPr>
          <w:rFonts w:ascii="Arial" w:hAnsi="Arial" w:cs="Arial"/>
          <w:sz w:val="22"/>
          <w:szCs w:val="22"/>
        </w:rPr>
        <w:lastRenderedPageBreak/>
        <w:t>narrowly on neurological decline, risks pathologising behaviour that may in fact be a rational response to an inadequately supportive environment, while a purely relational reading that ignores the physical and organisational conditions of care risks placing unsustainable expectations on individual staff members without addressing the systemic conditions that shape their capacity to deliver person-centred care. Taken together, these four frameworks suggest that effective management of BPSD requires simultaneous attention to the resident's biological and psychological state, their unmet needs, the person-centred quality of the caring relationship, and the capacity of the workforce delivering that care, a multidimensional perspective that structures the analysis presented in Chapter 4.</w:t>
      </w:r>
    </w:p>
    <w:p w14:paraId="15971379" w14:textId="77777777" w:rsidR="00DF51AF" w:rsidRPr="004176F7" w:rsidRDefault="00DD5BEE" w:rsidP="00F81ED9">
      <w:pPr>
        <w:pStyle w:val="Heading2"/>
        <w:spacing w:before="300" w:after="150" w:line="360" w:lineRule="auto"/>
        <w:rPr>
          <w:rFonts w:ascii="Arial" w:hAnsi="Arial" w:cs="Arial"/>
          <w:b/>
          <w:bCs/>
          <w:color w:val="auto"/>
          <w:sz w:val="24"/>
          <w:szCs w:val="24"/>
        </w:rPr>
      </w:pPr>
      <w:r w:rsidRPr="004176F7">
        <w:rPr>
          <w:rFonts w:ascii="Arial" w:hAnsi="Arial" w:cs="Arial"/>
          <w:b/>
          <w:bCs/>
          <w:color w:val="auto"/>
          <w:sz w:val="24"/>
          <w:szCs w:val="24"/>
        </w:rPr>
        <w:t>2.3 International Context</w:t>
      </w:r>
    </w:p>
    <w:p w14:paraId="5FD2BF47"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BPSD are recognised as a global phenomenon, affecting an estimated 55 million people living with dementia worldwide (World Health Organization, 2025), and international literature confirms that they are not unique to the UK care home sector. A recent systematic review and meta-analysis found that behavioural and psychological symptoms are highly prevalent among people with dementia across acute and residential care settings internationally, underscoring that the underlying neurological and psychological processes that give rise to these behaviours are largely consistent across national and cultural boundaries (Anantapong et al., 2025).</w:t>
      </w:r>
    </w:p>
    <w:p w14:paraId="3300FB15"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However, while the underlying prevalence of BPSD may be broadly comparable across countries, the management strategies applied to address them vary considerably, shaped by differences in resourcing, workforce training, regulatory frameworks, and cultural attitudes towards ageing, dementia, and institutional care. In many higher-income countries with well-established dementia strategies, there has been a discernible policy shift towards non-pharmacological, person-centred approaches broadly </w:t>
      </w:r>
      <w:proofErr w:type="gramStart"/>
      <w:r w:rsidRPr="3225C199">
        <w:rPr>
          <w:rFonts w:ascii="Arial" w:hAnsi="Arial" w:cs="Arial"/>
          <w:sz w:val="22"/>
          <w:szCs w:val="22"/>
        </w:rPr>
        <w:t>similar to</w:t>
      </w:r>
      <w:proofErr w:type="gramEnd"/>
      <w:r w:rsidRPr="3225C199">
        <w:rPr>
          <w:rFonts w:ascii="Arial" w:hAnsi="Arial" w:cs="Arial"/>
          <w:sz w:val="22"/>
          <w:szCs w:val="22"/>
        </w:rPr>
        <w:t xml:space="preserve"> that seen in the UK, often accompanied by structured staff training programmes and dedicated dementia care environments. In lower-resourced health and social care systems, by contrast, workforce shortages and limited access to specialist dementia training can result in a greater reliance on pharmacological management or on informal family caregiving arrangements that may lack the structured support available in institutional settings.</w:t>
      </w:r>
    </w:p>
    <w:p w14:paraId="47AD2ADF"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Cultural attitudes towards dementia and towards residential care more broadly also shape international variation in practice. In some cultural contexts, strong norms of filial responsibility mean that residential care is used only as a last resort, and BPSD are more often managed within extended family networks; in others, including much of the UK, residential care homes </w:t>
      </w:r>
      <w:r w:rsidRPr="3225C199">
        <w:rPr>
          <w:rFonts w:ascii="Arial" w:hAnsi="Arial" w:cs="Arial"/>
          <w:sz w:val="22"/>
          <w:szCs w:val="22"/>
        </w:rPr>
        <w:lastRenderedPageBreak/>
        <w:t>represent a mainstream and normalised part of the care pathway for people with advanced dementia, placing correspondingly greater emphasis on the quality of institutional practice.</w:t>
      </w:r>
    </w:p>
    <w:p w14:paraId="59528979" w14:textId="77777777" w:rsidR="00DF51AF" w:rsidRPr="00F81ED9" w:rsidRDefault="0D1F849A" w:rsidP="3225C199">
      <w:pPr>
        <w:spacing w:after="200" w:line="360" w:lineRule="auto"/>
        <w:jc w:val="both"/>
        <w:rPr>
          <w:rFonts w:ascii="Arial" w:hAnsi="Arial" w:cs="Arial"/>
        </w:rPr>
      </w:pPr>
      <w:r w:rsidRPr="3225C199">
        <w:rPr>
          <w:rFonts w:ascii="Arial" w:hAnsi="Arial" w:cs="Arial"/>
          <w:sz w:val="22"/>
          <w:szCs w:val="22"/>
        </w:rPr>
        <w:t>Internationally, a number of health systems have also experimented with dedicated dementia-friendly environmental design as a management strategy in its own right, ranging from small-scale, domestic-style care units intended to reduce the institutional feel of residential settings to more ambitious dementia villages, such as the Netherlands' Hogeweyk model, that allow residents greater freedom of movement within a secure, purpose-built environment (Vinick, 2019). While such models fall outside the scope of the UK-focused literature synthesised in this dissertation, they illustrate a broader international trend towards treating the physical and social environment as an active therapeutic tool rather than a passive backdrop to care, a principle that resonates strongly with the environmental causal factors and management strategies identified in the UK evidence discussed in Chapter 4. Persistent global stigma surrounding dementia, documented in international survey data spanning more than 40,000 respondents across 166 countries, further shapes how BPSD are understood and responded to across different care systems (Alzheimer's Disease International, 2024). These international comparisons are instructive for the present study because they suggest that improvements in UK practice are unlikely to be achieved through clinical or pharmacological innovation alone; rather, as the international evidence base implies, sustained improvement depends on system-level factors such as funding, workforce development, and the embedding of person-centred values within institutional culture, all of which are considered further in the national and local context that follows.</w:t>
      </w:r>
    </w:p>
    <w:p w14:paraId="4E70C657" w14:textId="77777777" w:rsidR="00DF51AF" w:rsidRPr="0078680D" w:rsidRDefault="00DD5BEE" w:rsidP="00F81ED9">
      <w:pPr>
        <w:pStyle w:val="Heading2"/>
        <w:spacing w:before="300" w:after="150" w:line="360" w:lineRule="auto"/>
        <w:rPr>
          <w:rFonts w:ascii="Arial" w:hAnsi="Arial" w:cs="Arial"/>
          <w:b/>
          <w:bCs/>
          <w:color w:val="auto"/>
          <w:sz w:val="28"/>
          <w:szCs w:val="28"/>
        </w:rPr>
      </w:pPr>
      <w:r w:rsidRPr="0078680D">
        <w:rPr>
          <w:rFonts w:ascii="Arial" w:hAnsi="Arial" w:cs="Arial"/>
          <w:b/>
          <w:bCs/>
          <w:color w:val="auto"/>
          <w:sz w:val="28"/>
          <w:szCs w:val="28"/>
        </w:rPr>
        <w:t>2.4 National/Local Context</w:t>
      </w:r>
    </w:p>
    <w:p w14:paraId="5775DA36"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Within the UK, the rising number of people living with dementia has placed sustained and growing pressure on care homes and the wider health and social care system (Wittenberg et al., 2019). Care homes are increasingly caring for residents with more advanced dementia and more complex needs, including higher rates of BPSD, than</w:t>
      </w:r>
      <w:r w:rsidRPr="3225C199">
        <w:rPr>
          <w:rFonts w:ascii="Arial" w:hAnsi="Arial" w:cs="Arial"/>
        </w:rPr>
        <w:t xml:space="preserve"> </w:t>
      </w:r>
      <w:r w:rsidRPr="3225C199">
        <w:rPr>
          <w:rFonts w:ascii="Arial" w:hAnsi="Arial" w:cs="Arial"/>
          <w:sz w:val="22"/>
          <w:szCs w:val="22"/>
        </w:rPr>
        <w:t>was historically the case, in</w:t>
      </w:r>
      <w:r w:rsidRPr="3225C199">
        <w:rPr>
          <w:rFonts w:ascii="Arial" w:hAnsi="Arial" w:cs="Arial"/>
        </w:rPr>
        <w:t xml:space="preserve"> </w:t>
      </w:r>
      <w:r w:rsidRPr="3225C199">
        <w:rPr>
          <w:rFonts w:ascii="Arial" w:hAnsi="Arial" w:cs="Arial"/>
          <w:sz w:val="22"/>
          <w:szCs w:val="22"/>
        </w:rPr>
        <w:t>part because improvements in earlier diagnosis and community support have extended the period during which people with milder dementia remain at home, meaning that admission to residential care now more often coincides with a later, more challenging stage of the condition.</w:t>
      </w:r>
    </w:p>
    <w:p w14:paraId="5F4124F4"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National guidelines, most notably those issued by NICE (2018), advocate clearly for person-centred, non-pharmacological approaches as the first-line response to BPSD, recommending that care providers undertake structured assessment to identify triggers and unmet needs before considering pharmacological intervention, and that antipsychotic medication be reserved for situations of severe risk where non-pharmacological approaches have proven </w:t>
      </w:r>
      <w:r w:rsidRPr="3225C199">
        <w:rPr>
          <w:rFonts w:ascii="Arial" w:hAnsi="Arial" w:cs="Arial"/>
          <w:sz w:val="22"/>
          <w:szCs w:val="22"/>
        </w:rPr>
        <w:lastRenderedPageBreak/>
        <w:t>insufficient. In principle, this guidance is well aligned with the theoretical frameworks discussed in Section 2.2 and provides a clear, evidence-based mandate for practice.</w:t>
      </w:r>
    </w:p>
    <w:p w14:paraId="61338E96"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In practice, however, implementation across the UK care home sector remains markedly inconsistent (Gray, Brooker and Tucker, 2022), with national longitudinal data confirming that psychotropic prescribing in English care homes frequently falls outside NICE recommendations (La Frenais et al., 2021). Persistent staffing shortages across the adult social care workforce, with vacancy rates still around three times higher than the wider economy (Skills for Care, 2026), mean that many care homes operate with staff-to-resident ratios that leave little time for the kind of individualised, relational care that person-centred approaches require. Training gaps compound this problem: while some care providers invest heavily in dementia-specific training for their workforce, others rely on minimal, generic induction training that leaves staff poorly equipped to recognise the early signs of unmet need or to apply de-escalation techniques effectively. Regional inequalities in service provision add a further layer of variation, with the availability of specialist dementia support, admiral nurses, and behavioural specialist input differing considerably between local authority areas, often correlating with broader patterns of social and economic disadvantage.</w:t>
      </w:r>
    </w:p>
    <w:p w14:paraId="11F20A8E" w14:textId="77777777" w:rsidR="00DF51AF" w:rsidRPr="00F81ED9" w:rsidRDefault="0D1F849A" w:rsidP="3225C199">
      <w:pPr>
        <w:spacing w:after="200" w:line="360" w:lineRule="auto"/>
        <w:jc w:val="both"/>
      </w:pPr>
      <w:r w:rsidRPr="3225C199">
        <w:rPr>
          <w:rFonts w:ascii="Arial" w:hAnsi="Arial" w:cs="Arial"/>
          <w:sz w:val="22"/>
          <w:szCs w:val="22"/>
        </w:rPr>
        <w:t>Local authorities and care providers therefore face an ongoing and multifaceted challenge in translating national guidance into consistent, high-quality practice at the level of the individual care home. This gap between national policy ambition and local operational reality forms an important part of the context against which the findings presented in Chapter 4 should be understood, since it suggests that the barriers to effective BPSD management identified in the literature are rarely attributable to a lack of evidence or guidance, but rather to the structural and resourcing conditions under which that guidance must be implemented.</w:t>
      </w:r>
    </w:p>
    <w:p w14:paraId="549EE9DF" w14:textId="29C8C738" w:rsidR="3225C199" w:rsidRDefault="3225C199" w:rsidP="3225C199">
      <w:pPr>
        <w:spacing w:after="200" w:line="360" w:lineRule="auto"/>
        <w:jc w:val="both"/>
        <w:rPr>
          <w:rFonts w:ascii="Arial" w:hAnsi="Arial" w:cs="Arial"/>
          <w:sz w:val="22"/>
          <w:szCs w:val="22"/>
        </w:rPr>
      </w:pPr>
    </w:p>
    <w:p w14:paraId="6CF4C05D" w14:textId="77777777" w:rsidR="00C5548A" w:rsidRDefault="6CD35636" w:rsidP="00C5548A">
      <w:pPr>
        <w:spacing w:after="200" w:line="360" w:lineRule="auto"/>
        <w:jc w:val="both"/>
        <w:rPr>
          <w:rFonts w:ascii="Arial" w:hAnsi="Arial" w:cs="Arial"/>
          <w:b/>
          <w:bCs/>
          <w:sz w:val="28"/>
          <w:szCs w:val="28"/>
        </w:rPr>
      </w:pPr>
      <w:r w:rsidRPr="3225C199">
        <w:rPr>
          <w:rFonts w:ascii="Arial" w:hAnsi="Arial" w:cs="Arial"/>
          <w:b/>
          <w:bCs/>
          <w:sz w:val="28"/>
          <w:szCs w:val="28"/>
        </w:rPr>
        <w:t>Summary</w:t>
      </w:r>
    </w:p>
    <w:p w14:paraId="093148D8" w14:textId="7C79EFE3" w:rsidR="00C5548A" w:rsidRPr="00C5548A" w:rsidRDefault="00C5548A" w:rsidP="00C5548A">
      <w:pPr>
        <w:spacing w:after="200" w:line="360" w:lineRule="auto"/>
        <w:jc w:val="both"/>
      </w:pPr>
      <w:r w:rsidRPr="00C5548A">
        <w:rPr>
          <w:rFonts w:ascii="Arial" w:hAnsi="Arial" w:cs="Arial"/>
          <w:sz w:val="22"/>
          <w:szCs w:val="22"/>
        </w:rPr>
        <w:t xml:space="preserve">This chapter reviewed the historical, theoretical, and policy background of dementia care. It highlighted the shift towards person-centred care and explained the main theories used to understand challenging behaviour. The chapter also discussed UK policies and the challenges of implementing best practice in care homes. </w:t>
      </w:r>
    </w:p>
    <w:p w14:paraId="01513B0A" w14:textId="0031326D" w:rsidR="3225C199" w:rsidRDefault="3225C199" w:rsidP="3225C199">
      <w:pPr>
        <w:spacing w:after="200" w:line="360" w:lineRule="auto"/>
        <w:jc w:val="both"/>
        <w:rPr>
          <w:rFonts w:ascii="Arial" w:hAnsi="Arial" w:cs="Arial"/>
          <w:b/>
          <w:bCs/>
          <w:sz w:val="28"/>
          <w:szCs w:val="28"/>
        </w:rPr>
      </w:pPr>
    </w:p>
    <w:p w14:paraId="63823886" w14:textId="5E4F7F60" w:rsidR="3225C199" w:rsidRDefault="3225C199" w:rsidP="3225C199">
      <w:pPr>
        <w:spacing w:after="200" w:line="360" w:lineRule="auto"/>
        <w:jc w:val="both"/>
        <w:rPr>
          <w:rFonts w:ascii="Arial" w:hAnsi="Arial" w:cs="Arial"/>
          <w:b/>
          <w:bCs/>
          <w:sz w:val="28"/>
          <w:szCs w:val="28"/>
        </w:rPr>
      </w:pPr>
    </w:p>
    <w:p w14:paraId="07B8D483" w14:textId="5404BCEA" w:rsidR="3225C199" w:rsidRPr="004C13F2" w:rsidRDefault="0D1F849A" w:rsidP="004C13F2">
      <w:pPr>
        <w:pStyle w:val="Heading1"/>
        <w:spacing w:before="400" w:after="200" w:line="360" w:lineRule="auto"/>
        <w:ind w:left="2160" w:firstLine="720"/>
      </w:pPr>
      <w:r w:rsidRPr="3225C199">
        <w:rPr>
          <w:rFonts w:ascii="Arial" w:hAnsi="Arial" w:cs="Arial"/>
          <w:b/>
          <w:bCs/>
          <w:color w:val="auto"/>
        </w:rPr>
        <w:lastRenderedPageBreak/>
        <w:t>Chapter 3: Methods</w:t>
      </w:r>
    </w:p>
    <w:p w14:paraId="42E15AFF" w14:textId="602B12F9" w:rsidR="00F81ED9" w:rsidRPr="004176F7" w:rsidRDefault="17851EF7" w:rsidP="3225C1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8"/>
          <w:szCs w:val="28"/>
        </w:rPr>
      </w:pPr>
      <w:r w:rsidRPr="3225C199">
        <w:rPr>
          <w:rFonts w:ascii="Arial" w:eastAsia="Arial Unicode MS" w:hAnsi="Arial" w:cs="Arial"/>
          <w:b/>
          <w:bCs/>
          <w:sz w:val="28"/>
          <w:szCs w:val="28"/>
        </w:rPr>
        <w:t>Introduction</w:t>
      </w:r>
    </w:p>
    <w:p w14:paraId="18064429" w14:textId="10557202" w:rsidR="00F81ED9" w:rsidRPr="004C13F2" w:rsidRDefault="004C13F2" w:rsidP="004C13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2"/>
          <w:szCs w:val="22"/>
        </w:rPr>
      </w:pPr>
      <w:r w:rsidRPr="004C13F2">
        <w:rPr>
          <w:rFonts w:ascii="Arial" w:eastAsia="Arial Unicode MS" w:hAnsi="Arial" w:cs="Arial"/>
          <w:sz w:val="22"/>
          <w:szCs w:val="22"/>
        </w:rPr>
        <w:t xml:space="preserve">This chapter explains the methodology used to conduct the systematic literature review. It describes the search strategy, inclusion and exclusion criteria, data collection process, thematic analysis, and the ethical considerations that ensured the study was conducted in a rigorous and transparent manner. </w:t>
      </w:r>
    </w:p>
    <w:p w14:paraId="43719C55" w14:textId="77777777" w:rsidR="00F81ED9" w:rsidRDefault="00F81ED9" w:rsidP="00F81ED9"/>
    <w:p w14:paraId="78872EA2" w14:textId="77777777" w:rsidR="00F81ED9" w:rsidRDefault="00F81ED9" w:rsidP="00F81ED9"/>
    <w:p w14:paraId="7515012C" w14:textId="77777777" w:rsidR="00F81ED9" w:rsidRDefault="00F81ED9" w:rsidP="00F81ED9">
      <w:r>
        <w:rPr>
          <w:noProof/>
        </w:rPr>
        <mc:AlternateContent>
          <mc:Choice Requires="wps">
            <w:drawing>
              <wp:anchor distT="0" distB="0" distL="114300" distR="114300" simplePos="0" relativeHeight="251660288" behindDoc="0" locked="0" layoutInCell="1" allowOverlap="1" wp14:anchorId="6137FE8C" wp14:editId="3C2D34D9">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9193D40"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84F99CA"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p w14:paraId="50CBB68B"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Records marked as ineligible by automation tools (n </w:t>
                            </w:r>
                            <w:proofErr w:type="gramStart"/>
                            <w:r>
                              <w:rPr>
                                <w:rFonts w:ascii="Arial" w:hAnsi="Arial" w:cs="Arial"/>
                                <w:color w:val="000000" w:themeColor="text1"/>
                                <w:sz w:val="18"/>
                                <w:szCs w:val="20"/>
                              </w:rPr>
                              <w:t>= )</w:t>
                            </w:r>
                            <w:proofErr w:type="gramEnd"/>
                          </w:p>
                          <w:p w14:paraId="3226DC5F" w14:textId="77777777" w:rsidR="00F81ED9" w:rsidRPr="0056060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w:t>
                            </w:r>
                            <w:proofErr w:type="gramStart"/>
                            <w:r>
                              <w:rPr>
                                <w:rFonts w:ascii="Arial" w:hAnsi="Arial" w:cs="Arial"/>
                                <w:color w:val="000000" w:themeColor="text1"/>
                                <w:sz w:val="18"/>
                                <w:szCs w:val="20"/>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7FE8C" id="Rectangle 2" o:spid="_x0000_s1026" style="position:absolute;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" filled="f" strokecolor="black [3213]" strokeweight="1.5pt">
                <v:textbox>
                  <w:txbxContent>
                    <w:p w14:paraId="49193D40"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removed </w:t>
                      </w:r>
                      <w:r w:rsidRPr="00A85C0A">
                        <w:rPr>
                          <w:rFonts w:ascii="Arial" w:hAnsi="Arial" w:cs="Arial"/>
                          <w:i/>
                          <w:iCs/>
                          <w:color w:val="000000" w:themeColor="text1"/>
                          <w:sz w:val="18"/>
                          <w:szCs w:val="20"/>
                        </w:rPr>
                        <w:t>before screening</w:t>
                      </w:r>
                      <w:r>
                        <w:rPr>
                          <w:rFonts w:ascii="Arial" w:hAnsi="Arial" w:cs="Arial"/>
                          <w:color w:val="000000" w:themeColor="text1"/>
                          <w:sz w:val="18"/>
                          <w:szCs w:val="20"/>
                        </w:rPr>
                        <w:t>:</w:t>
                      </w:r>
                    </w:p>
                    <w:p w14:paraId="684F99CA"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Duplicate records </w:t>
                      </w:r>
                      <w:proofErr w:type="gramStart"/>
                      <w:r>
                        <w:rPr>
                          <w:rFonts w:ascii="Arial" w:hAnsi="Arial" w:cs="Arial"/>
                          <w:color w:val="000000" w:themeColor="text1"/>
                          <w:sz w:val="18"/>
                          <w:szCs w:val="20"/>
                        </w:rPr>
                        <w:t>removed  (</w:t>
                      </w:r>
                      <w:proofErr w:type="gramEnd"/>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p w14:paraId="50CBB68B"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Records marked as ineligible by automation tools (n </w:t>
                      </w:r>
                      <w:proofErr w:type="gramStart"/>
                      <w:r>
                        <w:rPr>
                          <w:rFonts w:ascii="Arial" w:hAnsi="Arial" w:cs="Arial"/>
                          <w:color w:val="000000" w:themeColor="text1"/>
                          <w:sz w:val="18"/>
                          <w:szCs w:val="20"/>
                        </w:rPr>
                        <w:t>= )</w:t>
                      </w:r>
                      <w:proofErr w:type="gramEnd"/>
                    </w:p>
                    <w:p w14:paraId="3226DC5F" w14:textId="77777777" w:rsidR="00F81ED9" w:rsidRPr="0056060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Records removed for other reasons (n </w:t>
                      </w:r>
                      <w:proofErr w:type="gramStart"/>
                      <w:r>
                        <w:rPr>
                          <w:rFonts w:ascii="Arial" w:hAnsi="Arial" w:cs="Arial"/>
                          <w:color w:val="000000" w:themeColor="text1"/>
                          <w:sz w:val="18"/>
                          <w:szCs w:val="20"/>
                        </w:rPr>
                        <w:t>= )</w:t>
                      </w:r>
                      <w:proofErr w:type="gramEnd"/>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2D514991" wp14:editId="22800643">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2CFF00"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53F74AC"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Databases (n </w:t>
                            </w:r>
                            <w:proofErr w:type="gramStart"/>
                            <w:r>
                              <w:rPr>
                                <w:rFonts w:ascii="Arial" w:hAnsi="Arial" w:cs="Arial"/>
                                <w:color w:val="000000" w:themeColor="text1"/>
                                <w:sz w:val="18"/>
                                <w:szCs w:val="20"/>
                              </w:rPr>
                              <w:t>= )</w:t>
                            </w:r>
                            <w:proofErr w:type="gramEnd"/>
                          </w:p>
                          <w:p w14:paraId="7E6BC3DF" w14:textId="77777777" w:rsidR="00F81ED9" w:rsidRPr="0056060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Registers (n </w:t>
                            </w:r>
                            <w:proofErr w:type="gramStart"/>
                            <w:r>
                              <w:rPr>
                                <w:rFonts w:ascii="Arial" w:hAnsi="Arial" w:cs="Arial"/>
                                <w:color w:val="000000" w:themeColor="text1"/>
                                <w:sz w:val="18"/>
                                <w:szCs w:val="20"/>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514991" id="Rectangle 1" o:spid="_x0000_s1027" style="position:absolute;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" filled="f" strokecolor="black [3213]" strokeweight="1.5pt">
                <v:textbox>
                  <w:txbxContent>
                    <w:p w14:paraId="2C2CFF00"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identified from*:</w:t>
                      </w:r>
                    </w:p>
                    <w:p w14:paraId="553F74AC"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Databases (n </w:t>
                      </w:r>
                      <w:proofErr w:type="gramStart"/>
                      <w:r>
                        <w:rPr>
                          <w:rFonts w:ascii="Arial" w:hAnsi="Arial" w:cs="Arial"/>
                          <w:color w:val="000000" w:themeColor="text1"/>
                          <w:sz w:val="18"/>
                          <w:szCs w:val="20"/>
                        </w:rPr>
                        <w:t>= )</w:t>
                      </w:r>
                      <w:proofErr w:type="gramEnd"/>
                    </w:p>
                    <w:p w14:paraId="7E6BC3DF" w14:textId="77777777" w:rsidR="00F81ED9" w:rsidRPr="0056060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Registers (n </w:t>
                      </w:r>
                      <w:proofErr w:type="gramStart"/>
                      <w:r>
                        <w:rPr>
                          <w:rFonts w:ascii="Arial" w:hAnsi="Arial" w:cs="Arial"/>
                          <w:color w:val="000000" w:themeColor="text1"/>
                          <w:sz w:val="18"/>
                          <w:szCs w:val="20"/>
                        </w:rPr>
                        <w:t>= )</w:t>
                      </w:r>
                      <w:proofErr w:type="gramEnd"/>
                    </w:p>
                  </w:txbxContent>
                </v:textbox>
              </v:rect>
            </w:pict>
          </mc:Fallback>
        </mc:AlternateContent>
      </w:r>
    </w:p>
    <w:p w14:paraId="41DAECCC" w14:textId="77777777" w:rsidR="00F81ED9" w:rsidRDefault="00F81ED9" w:rsidP="00F81ED9"/>
    <w:p w14:paraId="06BB12AC" w14:textId="77777777" w:rsidR="00F81ED9" w:rsidRDefault="00F81ED9" w:rsidP="00F81ED9">
      <w:r>
        <w:rPr>
          <w:noProof/>
        </w:rPr>
        <mc:AlternateContent>
          <mc:Choice Requires="wps">
            <w:drawing>
              <wp:anchor distT="0" distB="0" distL="114300" distR="114300" simplePos="0" relativeHeight="251672576" behindDoc="0" locked="0" layoutInCell="1" allowOverlap="1" wp14:anchorId="247CEFDD" wp14:editId="680ABB9D">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2BA97DB3" w14:textId="77777777" w:rsidR="00F81ED9" w:rsidRPr="001502CF" w:rsidRDefault="00F81ED9" w:rsidP="00F81ED9">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47CEFDD"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31" o:spid="_x0000_s1028" type="#_x0000_t176" style="position:absolute;margin-left:-31.8pt;margin-top:17.5pt;width:100.55pt;height:20.7pt;rotation:-90;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" fillcolor="#d86dcb [1944]" strokecolor="black [3213]" strokeweight="1.5pt">
                <v:textbox>
                  <w:txbxContent>
                    <w:p w14:paraId="2BA97DB3" w14:textId="77777777" w:rsidR="00F81ED9" w:rsidRPr="001502CF" w:rsidRDefault="00F81ED9" w:rsidP="00F81ED9">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51C80BAD" w14:textId="77777777" w:rsidR="00F81ED9" w:rsidRDefault="00F81ED9" w:rsidP="00F81ED9"/>
    <w:p w14:paraId="0274D8B9" w14:textId="77777777" w:rsidR="00F81ED9" w:rsidRDefault="00F81ED9" w:rsidP="00F81ED9">
      <w:r>
        <w:rPr>
          <w:noProof/>
        </w:rPr>
        <mc:AlternateContent>
          <mc:Choice Requires="wps">
            <w:drawing>
              <wp:anchor distT="0" distB="0" distL="114300" distR="114300" simplePos="0" relativeHeight="251668480" behindDoc="0" locked="0" layoutInCell="1" allowOverlap="1" wp14:anchorId="7ECC5710" wp14:editId="003509A3">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type w14:anchorId="605BDD1E"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" strokecolor="black [3213]" strokeweight="1pt">
                <v:stroke endarrow="block" joinstyle="miter"/>
              </v:shape>
            </w:pict>
          </mc:Fallback>
        </mc:AlternateContent>
      </w:r>
    </w:p>
    <w:p w14:paraId="57AAE1C2" w14:textId="77777777" w:rsidR="00F81ED9" w:rsidRDefault="00F81ED9" w:rsidP="00F81ED9"/>
    <w:p w14:paraId="51A3C44B" w14:textId="77777777" w:rsidR="00F81ED9" w:rsidRDefault="00F81ED9" w:rsidP="00F81ED9"/>
    <w:p w14:paraId="12AE428C" w14:textId="77777777" w:rsidR="00F81ED9" w:rsidRDefault="00F81ED9" w:rsidP="00F81ED9">
      <w:r>
        <w:rPr>
          <w:noProof/>
        </w:rPr>
        <mc:AlternateContent>
          <mc:Choice Requires="wps">
            <w:drawing>
              <wp:anchor distT="0" distB="0" distL="114300" distR="114300" simplePos="0" relativeHeight="251675648" behindDoc="0" locked="0" layoutInCell="1" allowOverlap="1" wp14:anchorId="0DBF5968" wp14:editId="00D59E30">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3AAF5EB4" id="Straight Arrow Connector 27" o:spid="_x0000_s1026" type="#_x0000_t32" style="position:absolute;margin-left:110.25pt;margin-top:10.15pt;width:0;height:22.15pt;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" strokecolor="black [3213]" strokeweight="1pt">
                <v:stroke endarrow="block" joinstyle="miter"/>
              </v:shape>
            </w:pict>
          </mc:Fallback>
        </mc:AlternateContent>
      </w:r>
    </w:p>
    <w:p w14:paraId="423BAB68" w14:textId="77777777" w:rsidR="00F81ED9" w:rsidRDefault="00F81ED9" w:rsidP="00F81ED9"/>
    <w:p w14:paraId="062B979E" w14:textId="77777777" w:rsidR="00F81ED9" w:rsidRDefault="00F81ED9" w:rsidP="00F81ED9">
      <w:r>
        <w:rPr>
          <w:noProof/>
        </w:rPr>
        <mc:AlternateContent>
          <mc:Choice Requires="wps">
            <w:drawing>
              <wp:anchor distT="0" distB="0" distL="114300" distR="114300" simplePos="0" relativeHeight="251669504" behindDoc="0" locked="0" layoutInCell="1" allowOverlap="1" wp14:anchorId="1E224A26" wp14:editId="24834E02">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6D207D12"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" strokecolor="black [3213]" strokeweight="1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5C546EB4" wp14:editId="2E27D046">
                <wp:simplePos x="0" y="0"/>
                <wp:positionH relativeFrom="column">
                  <wp:posOffset>559435</wp:posOffset>
                </wp:positionH>
                <wp:positionV relativeFrom="paragraph">
                  <wp:posOffset>74930</wp:posOffset>
                </wp:positionV>
                <wp:extent cx="1887220" cy="526415"/>
                <wp:effectExtent l="0" t="0" r="17780" b="26035"/>
                <wp:wrapNone/>
                <wp:docPr id="1714131250" name="Rectangle 1714131250"/>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667EF40"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5C521868"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546EB4" id="Rectangle 1714131250" o:spid="_x0000_s1029" style="position:absolute;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" filled="f" strokecolor="black [3213]" strokeweight="1.5pt">
                <v:textbox>
                  <w:txbxContent>
                    <w:p w14:paraId="0667EF40"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screened</w:t>
                      </w:r>
                    </w:p>
                    <w:p w14:paraId="5C521868"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486DE1F3" wp14:editId="3A81FCEC">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7ED7AD"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1924E1D7"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86DE1F3" id="Rectangle 4" o:spid="_x0000_s1030" style="position:absolute;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" filled="f" strokecolor="black [3213]" strokeweight="1.5pt">
                <v:textbox>
                  <w:txbxContent>
                    <w:p w14:paraId="2C7ED7AD"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Records</w:t>
                      </w:r>
                      <w:r>
                        <w:rPr>
                          <w:rFonts w:ascii="Arial" w:hAnsi="Arial" w:cs="Arial"/>
                          <w:color w:val="000000" w:themeColor="text1"/>
                          <w:sz w:val="18"/>
                          <w:szCs w:val="20"/>
                        </w:rPr>
                        <w:t xml:space="preserve"> excluded**</w:t>
                      </w:r>
                    </w:p>
                    <w:p w14:paraId="1924E1D7"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v:textbox>
              </v:rect>
            </w:pict>
          </mc:Fallback>
        </mc:AlternateContent>
      </w:r>
    </w:p>
    <w:p w14:paraId="51642BEA" w14:textId="77777777" w:rsidR="00F81ED9" w:rsidRDefault="00F81ED9" w:rsidP="00F81ED9"/>
    <w:p w14:paraId="0AF58D99" w14:textId="77777777" w:rsidR="00F81ED9" w:rsidRDefault="00F81ED9" w:rsidP="00F81ED9"/>
    <w:p w14:paraId="0945D50B" w14:textId="77777777" w:rsidR="00F81ED9" w:rsidRDefault="00F81ED9" w:rsidP="00F81ED9">
      <w:r>
        <w:rPr>
          <w:noProof/>
        </w:rPr>
        <mc:AlternateContent>
          <mc:Choice Requires="wps">
            <w:drawing>
              <wp:anchor distT="0" distB="0" distL="114300" distR="114300" simplePos="0" relativeHeight="251676672" behindDoc="0" locked="0" layoutInCell="1" allowOverlap="1" wp14:anchorId="27D0B4D0" wp14:editId="0CB5698E">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3AEAF341" id="Straight Arrow Connector 35" o:spid="_x0000_s1026" type="#_x0000_t32" style="position:absolute;margin-left:110.25pt;margin-top:7.8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" strokecolor="black [3213]" strokeweight="1pt">
                <v:stroke endarrow="block" joinstyle="miter"/>
              </v:shape>
            </w:pict>
          </mc:Fallback>
        </mc:AlternateContent>
      </w:r>
    </w:p>
    <w:p w14:paraId="570AABC9" w14:textId="77777777" w:rsidR="00F81ED9" w:rsidRDefault="00F81ED9" w:rsidP="00F81ED9"/>
    <w:p w14:paraId="4F6D1EFA" w14:textId="77777777" w:rsidR="00F81ED9" w:rsidRDefault="00F81ED9" w:rsidP="00F81ED9">
      <w:r w:rsidRPr="00560609">
        <w:rPr>
          <w:noProof/>
        </w:rPr>
        <mc:AlternateContent>
          <mc:Choice Requires="wps">
            <w:drawing>
              <wp:anchor distT="0" distB="0" distL="114300" distR="114300" simplePos="0" relativeHeight="251663360" behindDoc="0" locked="0" layoutInCell="1" allowOverlap="1" wp14:anchorId="269F25D5" wp14:editId="427B2D87">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D4583D7"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6EDFC471"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9F25D5" id="Rectangle 5" o:spid="_x0000_s1031" style="position:absolute;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" filled="f" strokecolor="black [3213]" strokeweight="1.5pt">
                <v:textbox>
                  <w:txbxContent>
                    <w:p w14:paraId="7D4583D7"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sought for retrieval</w:t>
                      </w:r>
                    </w:p>
                    <w:p w14:paraId="6EDFC471"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0A8E6305" wp14:editId="13797B87">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5B7C8A09"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" strokecolor="black [3213]" strokeweight="1pt">
                <v:stroke endarrow="block" joinstyle="miter"/>
              </v:shape>
            </w:pict>
          </mc:Fallback>
        </mc:AlternateContent>
      </w:r>
      <w:r w:rsidRPr="00560609">
        <w:rPr>
          <w:noProof/>
        </w:rPr>
        <mc:AlternateContent>
          <mc:Choice Requires="wps">
            <w:drawing>
              <wp:anchor distT="0" distB="0" distL="114300" distR="114300" simplePos="0" relativeHeight="251664384" behindDoc="0" locked="0" layoutInCell="1" allowOverlap="1" wp14:anchorId="3684B32D" wp14:editId="1BDA839E">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0B06A92"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AF54664"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4B32D" id="Rectangle 6" o:spid="_x0000_s1032" style="position:absolute;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" filled="f" strokecolor="black [3213]" strokeweight="1.5pt">
                <v:textbox>
                  <w:txbxContent>
                    <w:p w14:paraId="60B06A92"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not retrieved</w:t>
                      </w:r>
                    </w:p>
                    <w:p w14:paraId="6AF54664"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v:textbox>
              </v:rect>
            </w:pict>
          </mc:Fallback>
        </mc:AlternateContent>
      </w:r>
    </w:p>
    <w:p w14:paraId="284A384F" w14:textId="77777777" w:rsidR="00F81ED9" w:rsidRDefault="00F81ED9" w:rsidP="00F81ED9"/>
    <w:p w14:paraId="425F0039" w14:textId="77777777" w:rsidR="00F81ED9" w:rsidRDefault="00F81ED9" w:rsidP="00F81ED9">
      <w:r>
        <w:rPr>
          <w:noProof/>
        </w:rPr>
        <mc:AlternateContent>
          <mc:Choice Requires="wps">
            <w:drawing>
              <wp:anchor distT="0" distB="0" distL="114300" distR="114300" simplePos="0" relativeHeight="251673600" behindDoc="0" locked="0" layoutInCell="1" allowOverlap="1" wp14:anchorId="28F7F5B4" wp14:editId="4B99C1CC">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6420FEB9" w14:textId="77777777" w:rsidR="00F81ED9" w:rsidRDefault="00F81ED9" w:rsidP="00F81ED9">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60D8DD9D" w14:textId="77777777" w:rsidR="00F81ED9" w:rsidRPr="001502CF" w:rsidRDefault="00F81ED9" w:rsidP="00F81ED9">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F7F5B4" id="Flowchart: Alternate Process 32" o:spid="_x0000_s1033" type="#_x0000_t176" style="position:absolute;margin-left:-91.4pt;margin-top:11.05pt;width:219.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" fillcolor="#d86dcb [1944]" strokecolor="black [3213]" strokeweight="1.5pt">
                <v:textbox>
                  <w:txbxContent>
                    <w:p w14:paraId="6420FEB9" w14:textId="77777777" w:rsidR="00F81ED9" w:rsidRDefault="00F81ED9" w:rsidP="00F81ED9">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60D8DD9D" w14:textId="77777777" w:rsidR="00F81ED9" w:rsidRPr="001502CF" w:rsidRDefault="00F81ED9" w:rsidP="00F81ED9">
                      <w:pPr>
                        <w:rPr>
                          <w:rFonts w:ascii="Arial" w:hAnsi="Arial" w:cs="Arial"/>
                          <w:b/>
                          <w:color w:val="000000" w:themeColor="text1"/>
                          <w:sz w:val="18"/>
                          <w:szCs w:val="18"/>
                        </w:rPr>
                      </w:pPr>
                    </w:p>
                  </w:txbxContent>
                </v:textbox>
              </v:shape>
            </w:pict>
          </mc:Fallback>
        </mc:AlternateContent>
      </w:r>
    </w:p>
    <w:p w14:paraId="51985629" w14:textId="77777777" w:rsidR="00F81ED9" w:rsidRDefault="00F81ED9" w:rsidP="00F81ED9">
      <w:r>
        <w:rPr>
          <w:noProof/>
        </w:rPr>
        <mc:AlternateContent>
          <mc:Choice Requires="wps">
            <w:drawing>
              <wp:anchor distT="0" distB="0" distL="114300" distR="114300" simplePos="0" relativeHeight="251677696" behindDoc="0" locked="0" layoutInCell="1" allowOverlap="1" wp14:anchorId="64AC8CEB" wp14:editId="4AA6FD18">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38F33281" id="Straight Arrow Connector 36" o:spid="_x0000_s1026" type="#_x0000_t32" style="position:absolute;margin-left:111pt;margin-top:4.4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" strokecolor="black [3213]" strokeweight="1pt">
                <v:stroke endarrow="block" joinstyle="miter"/>
              </v:shape>
            </w:pict>
          </mc:Fallback>
        </mc:AlternateContent>
      </w:r>
    </w:p>
    <w:p w14:paraId="5C2E395C" w14:textId="77777777" w:rsidR="00F81ED9" w:rsidRDefault="00F81ED9" w:rsidP="00F81ED9"/>
    <w:p w14:paraId="745B6FC9" w14:textId="77777777" w:rsidR="00F81ED9" w:rsidRDefault="00F81ED9" w:rsidP="00F81ED9">
      <w:r>
        <w:rPr>
          <w:noProof/>
        </w:rPr>
        <mc:AlternateContent>
          <mc:Choice Requires="wps">
            <w:drawing>
              <wp:anchor distT="0" distB="0" distL="114300" distR="114300" simplePos="0" relativeHeight="251671552" behindDoc="0" locked="0" layoutInCell="1" allowOverlap="1" wp14:anchorId="034866E0" wp14:editId="0B9F5B19">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2BD3DE45"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" strokecolor="black [3213]" strokeweight="1pt">
                <v:stroke endarrow="block" joinstyle="miter"/>
              </v:shape>
            </w:pict>
          </mc:Fallback>
        </mc:AlternateContent>
      </w:r>
      <w:r w:rsidRPr="00560609">
        <w:rPr>
          <w:noProof/>
        </w:rPr>
        <mc:AlternateContent>
          <mc:Choice Requires="wps">
            <w:drawing>
              <wp:anchor distT="0" distB="0" distL="114300" distR="114300" simplePos="0" relativeHeight="251665408" behindDoc="0" locked="0" layoutInCell="1" allowOverlap="1" wp14:anchorId="7B7678A4" wp14:editId="0AFF2302">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B100EA0"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620DF55A"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B7678A4" id="Rectangle 8" o:spid="_x0000_s1034" style="position:absolute;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" filled="f" strokecolor="black [3213]" strokeweight="1.5pt">
                <v:textbox>
                  <w:txbxContent>
                    <w:p w14:paraId="6B100EA0"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assessed for eligibility</w:t>
                      </w:r>
                    </w:p>
                    <w:p w14:paraId="620DF55A"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v:textbox>
              </v:rect>
            </w:pict>
          </mc:Fallback>
        </mc:AlternateContent>
      </w:r>
      <w:r w:rsidRPr="00560609">
        <w:rPr>
          <w:noProof/>
        </w:rPr>
        <mc:AlternateContent>
          <mc:Choice Requires="wps">
            <w:drawing>
              <wp:anchor distT="0" distB="0" distL="114300" distR="114300" simplePos="0" relativeHeight="251666432" behindDoc="0" locked="0" layoutInCell="1" allowOverlap="1" wp14:anchorId="78EEBC98" wp14:editId="79C60E3F">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74975A0E"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6D66CE22"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Reason 1 (n </w:t>
                            </w:r>
                            <w:proofErr w:type="gramStart"/>
                            <w:r>
                              <w:rPr>
                                <w:rFonts w:ascii="Arial" w:hAnsi="Arial" w:cs="Arial"/>
                                <w:color w:val="000000" w:themeColor="text1"/>
                                <w:sz w:val="18"/>
                                <w:szCs w:val="20"/>
                              </w:rPr>
                              <w:t>= )</w:t>
                            </w:r>
                            <w:proofErr w:type="gramEnd"/>
                          </w:p>
                          <w:p w14:paraId="1BFEE2B8"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Reason 2 (n </w:t>
                            </w:r>
                            <w:proofErr w:type="gramStart"/>
                            <w:r>
                              <w:rPr>
                                <w:rFonts w:ascii="Arial" w:hAnsi="Arial" w:cs="Arial"/>
                                <w:color w:val="000000" w:themeColor="text1"/>
                                <w:sz w:val="18"/>
                                <w:szCs w:val="20"/>
                              </w:rPr>
                              <w:t>= )</w:t>
                            </w:r>
                            <w:proofErr w:type="gramEnd"/>
                          </w:p>
                          <w:p w14:paraId="1C4C63C5"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Reason 3 (n </w:t>
                            </w:r>
                            <w:proofErr w:type="gramStart"/>
                            <w:r>
                              <w:rPr>
                                <w:rFonts w:ascii="Arial" w:hAnsi="Arial" w:cs="Arial"/>
                                <w:color w:val="000000" w:themeColor="text1"/>
                                <w:sz w:val="18"/>
                                <w:szCs w:val="20"/>
                              </w:rPr>
                              <w:t>= )</w:t>
                            </w:r>
                            <w:proofErr w:type="gramEnd"/>
                          </w:p>
                          <w:p w14:paraId="399C3583" w14:textId="77777777" w:rsidR="00F81ED9" w:rsidRPr="0056060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etc.</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EEBC98" id="Rectangle 9" o:spid="_x0000_s1035" style="position:absolute;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" filled="f" strokecolor="black [3213]" strokeweight="1.5pt">
                <v:textbox>
                  <w:txbxContent>
                    <w:p w14:paraId="74975A0E" w14:textId="77777777" w:rsidR="00F81ED9" w:rsidRDefault="00F81ED9" w:rsidP="00F81ED9">
                      <w:pPr>
                        <w:rPr>
                          <w:rFonts w:ascii="Arial" w:hAnsi="Arial" w:cs="Arial"/>
                          <w:color w:val="000000" w:themeColor="text1"/>
                          <w:sz w:val="18"/>
                          <w:szCs w:val="20"/>
                        </w:rPr>
                      </w:pPr>
                      <w:r w:rsidRPr="00560609">
                        <w:rPr>
                          <w:rFonts w:ascii="Arial" w:hAnsi="Arial" w:cs="Arial"/>
                          <w:color w:val="000000" w:themeColor="text1"/>
                          <w:sz w:val="18"/>
                          <w:szCs w:val="20"/>
                        </w:rPr>
                        <w:t>Re</w:t>
                      </w:r>
                      <w:r>
                        <w:rPr>
                          <w:rFonts w:ascii="Arial" w:hAnsi="Arial" w:cs="Arial"/>
                          <w:color w:val="000000" w:themeColor="text1"/>
                          <w:sz w:val="18"/>
                          <w:szCs w:val="20"/>
                        </w:rPr>
                        <w:t>p</w:t>
                      </w:r>
                      <w:r w:rsidRPr="00560609">
                        <w:rPr>
                          <w:rFonts w:ascii="Arial" w:hAnsi="Arial" w:cs="Arial"/>
                          <w:color w:val="000000" w:themeColor="text1"/>
                          <w:sz w:val="18"/>
                          <w:szCs w:val="20"/>
                        </w:rPr>
                        <w:t>or</w:t>
                      </w:r>
                      <w:r>
                        <w:rPr>
                          <w:rFonts w:ascii="Arial" w:hAnsi="Arial" w:cs="Arial"/>
                          <w:color w:val="000000" w:themeColor="text1"/>
                          <w:sz w:val="18"/>
                          <w:szCs w:val="20"/>
                        </w:rPr>
                        <w:t>t</w:t>
                      </w:r>
                      <w:r w:rsidRPr="00560609">
                        <w:rPr>
                          <w:rFonts w:ascii="Arial" w:hAnsi="Arial" w:cs="Arial"/>
                          <w:color w:val="000000" w:themeColor="text1"/>
                          <w:sz w:val="18"/>
                          <w:szCs w:val="20"/>
                        </w:rPr>
                        <w:t>s</w:t>
                      </w:r>
                      <w:r>
                        <w:rPr>
                          <w:rFonts w:ascii="Arial" w:hAnsi="Arial" w:cs="Arial"/>
                          <w:color w:val="000000" w:themeColor="text1"/>
                          <w:sz w:val="18"/>
                          <w:szCs w:val="20"/>
                        </w:rPr>
                        <w:t xml:space="preserve"> excluded:</w:t>
                      </w:r>
                    </w:p>
                    <w:p w14:paraId="6D66CE22"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Reason 1 (n </w:t>
                      </w:r>
                      <w:proofErr w:type="gramStart"/>
                      <w:r>
                        <w:rPr>
                          <w:rFonts w:ascii="Arial" w:hAnsi="Arial" w:cs="Arial"/>
                          <w:color w:val="000000" w:themeColor="text1"/>
                          <w:sz w:val="18"/>
                          <w:szCs w:val="20"/>
                        </w:rPr>
                        <w:t>= )</w:t>
                      </w:r>
                      <w:proofErr w:type="gramEnd"/>
                    </w:p>
                    <w:p w14:paraId="1BFEE2B8"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Reason 2 (n </w:t>
                      </w:r>
                      <w:proofErr w:type="gramStart"/>
                      <w:r>
                        <w:rPr>
                          <w:rFonts w:ascii="Arial" w:hAnsi="Arial" w:cs="Arial"/>
                          <w:color w:val="000000" w:themeColor="text1"/>
                          <w:sz w:val="18"/>
                          <w:szCs w:val="20"/>
                        </w:rPr>
                        <w:t>= )</w:t>
                      </w:r>
                      <w:proofErr w:type="gramEnd"/>
                    </w:p>
                    <w:p w14:paraId="1C4C63C5" w14:textId="77777777" w:rsidR="00F81ED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 xml:space="preserve">Reason 3 (n </w:t>
                      </w:r>
                      <w:proofErr w:type="gramStart"/>
                      <w:r>
                        <w:rPr>
                          <w:rFonts w:ascii="Arial" w:hAnsi="Arial" w:cs="Arial"/>
                          <w:color w:val="000000" w:themeColor="text1"/>
                          <w:sz w:val="18"/>
                          <w:szCs w:val="20"/>
                        </w:rPr>
                        <w:t>= )</w:t>
                      </w:r>
                      <w:proofErr w:type="gramEnd"/>
                    </w:p>
                    <w:p w14:paraId="399C3583" w14:textId="77777777" w:rsidR="00F81ED9" w:rsidRPr="00560609" w:rsidRDefault="00F81ED9" w:rsidP="00F81ED9">
                      <w:pPr>
                        <w:ind w:left="284"/>
                        <w:rPr>
                          <w:rFonts w:ascii="Arial" w:hAnsi="Arial" w:cs="Arial"/>
                          <w:color w:val="000000" w:themeColor="text1"/>
                          <w:sz w:val="18"/>
                          <w:szCs w:val="20"/>
                        </w:rPr>
                      </w:pPr>
                      <w:r>
                        <w:rPr>
                          <w:rFonts w:ascii="Arial" w:hAnsi="Arial" w:cs="Arial"/>
                          <w:color w:val="000000" w:themeColor="text1"/>
                          <w:sz w:val="18"/>
                          <w:szCs w:val="20"/>
                        </w:rPr>
                        <w:t>etc.</w:t>
                      </w:r>
                    </w:p>
                  </w:txbxContent>
                </v:textbox>
              </v:rect>
            </w:pict>
          </mc:Fallback>
        </mc:AlternateContent>
      </w:r>
    </w:p>
    <w:p w14:paraId="72DC6B67" w14:textId="77777777" w:rsidR="00F81ED9" w:rsidRDefault="00F81ED9" w:rsidP="00F81ED9"/>
    <w:p w14:paraId="0D113227" w14:textId="77777777" w:rsidR="00F81ED9" w:rsidRDefault="00F81ED9" w:rsidP="00F81ED9"/>
    <w:p w14:paraId="67BDACA6" w14:textId="77777777" w:rsidR="00F81ED9" w:rsidRDefault="00F81ED9" w:rsidP="00F81ED9">
      <w:r>
        <w:rPr>
          <w:noProof/>
        </w:rPr>
        <mc:AlternateContent>
          <mc:Choice Requires="wps">
            <w:drawing>
              <wp:anchor distT="0" distB="0" distL="114300" distR="114300" simplePos="0" relativeHeight="251678720" behindDoc="0" locked="0" layoutInCell="1" allowOverlap="1" wp14:anchorId="3E1D90FB" wp14:editId="0F4FBE09">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w16cei="http://schemas.microsoft.com/office/word/2026/wordml/cei">
            <w:pict>
              <v:shape w14:anchorId="09EEEEF4" id="Straight Arrow Connector 19" o:spid="_x0000_s1026" type="#_x0000_t32" style="position:absolute;margin-left:110.3pt;margin-top:2.35pt;width:0;height:58.7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" strokecolor="black [3213]" strokeweight="1pt">
                <v:stroke endarrow="block" joinstyle="miter"/>
              </v:shape>
            </w:pict>
          </mc:Fallback>
        </mc:AlternateContent>
      </w:r>
    </w:p>
    <w:p w14:paraId="72955C21" w14:textId="77777777" w:rsidR="00F81ED9" w:rsidRDefault="00F81ED9" w:rsidP="00F81ED9"/>
    <w:p w14:paraId="66FC598B" w14:textId="77777777" w:rsidR="00F81ED9" w:rsidRDefault="00F81ED9" w:rsidP="00F81ED9"/>
    <w:p w14:paraId="7A041790" w14:textId="77777777" w:rsidR="00F81ED9" w:rsidRDefault="00F81ED9" w:rsidP="00F81ED9"/>
    <w:p w14:paraId="0A08E900" w14:textId="77777777" w:rsidR="00F81ED9" w:rsidRDefault="00F81ED9" w:rsidP="00F81ED9">
      <w:r w:rsidRPr="00560609">
        <w:rPr>
          <w:noProof/>
        </w:rPr>
        <mc:AlternateContent>
          <mc:Choice Requires="wps">
            <w:drawing>
              <wp:anchor distT="0" distB="0" distL="114300" distR="114300" simplePos="0" relativeHeight="251667456" behindDoc="0" locked="0" layoutInCell="1" allowOverlap="1" wp14:anchorId="013A1260" wp14:editId="2BDF9BB5">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379687" w14:textId="77777777" w:rsidR="00F81ED9" w:rsidRDefault="00F81ED9" w:rsidP="00F81ED9">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0996A29F" w14:textId="77777777" w:rsidR="00F81ED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p w14:paraId="72E95E9D" w14:textId="77777777" w:rsidR="00F81ED9" w:rsidRDefault="00F81ED9" w:rsidP="00F81ED9">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7DDF975B"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13A1260" id="Rectangle 13" o:spid="_x0000_s1036" style="position:absolute;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CEzh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" filled="f" strokecolor="black [3213]" strokeweight="1.5pt">
                <v:textbox>
                  <w:txbxContent>
                    <w:p w14:paraId="62379687" w14:textId="77777777" w:rsidR="00F81ED9" w:rsidRDefault="00F81ED9" w:rsidP="00F81ED9">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0996A29F" w14:textId="77777777" w:rsidR="00F81ED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p w14:paraId="72E95E9D" w14:textId="77777777" w:rsidR="00F81ED9" w:rsidRDefault="00F81ED9" w:rsidP="00F81ED9">
                      <w:pPr>
                        <w:rPr>
                          <w:rFonts w:ascii="Arial" w:hAnsi="Arial" w:cs="Arial"/>
                          <w:color w:val="000000" w:themeColor="text1"/>
                          <w:sz w:val="18"/>
                          <w:szCs w:val="20"/>
                        </w:rPr>
                      </w:pPr>
                      <w:r>
                        <w:rPr>
                          <w:rFonts w:ascii="Arial" w:hAnsi="Arial" w:cs="Arial"/>
                          <w:color w:val="000000" w:themeColor="text1"/>
                          <w:sz w:val="18"/>
                          <w:szCs w:val="20"/>
                        </w:rPr>
                        <w:t>Reports of included studies</w:t>
                      </w:r>
                    </w:p>
                    <w:p w14:paraId="7DDF975B" w14:textId="77777777" w:rsidR="00F81ED9" w:rsidRPr="00560609" w:rsidRDefault="00F81ED9" w:rsidP="00F81ED9">
                      <w:pPr>
                        <w:rPr>
                          <w:rFonts w:ascii="Arial" w:hAnsi="Arial" w:cs="Arial"/>
                          <w:color w:val="000000" w:themeColor="text1"/>
                          <w:sz w:val="18"/>
                          <w:szCs w:val="20"/>
                        </w:rPr>
                      </w:pPr>
                      <w:r>
                        <w:rPr>
                          <w:rFonts w:ascii="Arial" w:hAnsi="Arial" w:cs="Arial"/>
                          <w:color w:val="000000" w:themeColor="text1"/>
                          <w:sz w:val="18"/>
                          <w:szCs w:val="20"/>
                        </w:rPr>
                        <w:t xml:space="preserve">(n </w:t>
                      </w:r>
                      <w:proofErr w:type="gramStart"/>
                      <w:r>
                        <w:rPr>
                          <w:rFonts w:ascii="Arial" w:hAnsi="Arial" w:cs="Arial"/>
                          <w:color w:val="000000" w:themeColor="text1"/>
                          <w:sz w:val="18"/>
                          <w:szCs w:val="20"/>
                        </w:rPr>
                        <w:t>= )</w:t>
                      </w:r>
                      <w:proofErr w:type="gramEnd"/>
                    </w:p>
                  </w:txbxContent>
                </v:textbox>
              </v:rect>
            </w:pict>
          </mc:Fallback>
        </mc:AlternateContent>
      </w:r>
    </w:p>
    <w:p w14:paraId="12DF57E1" w14:textId="77777777" w:rsidR="00F81ED9" w:rsidRDefault="00F81ED9" w:rsidP="00F81ED9">
      <w:r>
        <w:rPr>
          <w:noProof/>
        </w:rPr>
        <mc:AlternateContent>
          <mc:Choice Requires="wps">
            <w:drawing>
              <wp:anchor distT="0" distB="0" distL="114300" distR="114300" simplePos="0" relativeHeight="251674624" behindDoc="0" locked="0" layoutInCell="1" allowOverlap="1" wp14:anchorId="3C653663" wp14:editId="11E44BD2">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768EB2A3" w14:textId="77777777" w:rsidR="00F81ED9" w:rsidRPr="001502CF" w:rsidRDefault="00F81ED9" w:rsidP="00F81ED9">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653663" id="Flowchart: Alternate Process 33" o:spid="_x0000_s1037" type="#_x0000_t176" style="position:absolute;margin-left:-10.5pt;margin-top:13.45pt;width:60.2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" fillcolor="#d86dcb [1944]" strokecolor="black [3213]" strokeweight="1.5pt">
                <v:textbox>
                  <w:txbxContent>
                    <w:p w14:paraId="768EB2A3" w14:textId="77777777" w:rsidR="00F81ED9" w:rsidRPr="001502CF" w:rsidRDefault="00F81ED9" w:rsidP="00F81ED9">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1D3B1307" w14:textId="77777777" w:rsidR="00F81ED9" w:rsidRDefault="00F81ED9" w:rsidP="00F81ED9"/>
    <w:p w14:paraId="7E55C789" w14:textId="77777777" w:rsidR="00F81ED9" w:rsidRDefault="00F81ED9" w:rsidP="00F81ED9"/>
    <w:p w14:paraId="3BD4C45D" w14:textId="77777777" w:rsidR="00F81ED9" w:rsidRDefault="00F81ED9" w:rsidP="00F81ED9"/>
    <w:p w14:paraId="6C7DE558" w14:textId="77777777" w:rsidR="00F81ED9" w:rsidRDefault="00F81ED9" w:rsidP="00F81ED9"/>
    <w:p w14:paraId="34D45EB3" w14:textId="77777777" w:rsidR="00F81ED9" w:rsidRDefault="00F81ED9" w:rsidP="00F81E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6D557D36" w14:textId="77777777" w:rsidR="00C5548A" w:rsidRPr="00141A69" w:rsidRDefault="00C5548A" w:rsidP="00F81ED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p>
    <w:p w14:paraId="2224C0A8" w14:textId="48E26556" w:rsidR="00F81ED9" w:rsidRPr="00F81ED9" w:rsidRDefault="00F81ED9" w:rsidP="3225C1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before="400" w:after="200" w:line="360" w:lineRule="auto"/>
        <w:rPr>
          <w:rFonts w:ascii="Arial" w:eastAsia="Arial Unicode MS" w:hAnsi="Arial" w:cs="Arial"/>
        </w:rPr>
      </w:pPr>
    </w:p>
    <w:p w14:paraId="3F772799" w14:textId="77777777" w:rsidR="00DF51AF" w:rsidRPr="004176F7" w:rsidRDefault="00DD5BEE" w:rsidP="00F81ED9">
      <w:pPr>
        <w:pStyle w:val="Heading2"/>
        <w:spacing w:before="300" w:after="150" w:line="360" w:lineRule="auto"/>
        <w:rPr>
          <w:rFonts w:ascii="Arial" w:hAnsi="Arial" w:cs="Arial"/>
          <w:b/>
          <w:bCs/>
          <w:color w:val="auto"/>
          <w:sz w:val="24"/>
          <w:szCs w:val="24"/>
        </w:rPr>
      </w:pPr>
      <w:r w:rsidRPr="004176F7">
        <w:rPr>
          <w:rFonts w:ascii="Arial" w:hAnsi="Arial" w:cs="Arial"/>
          <w:b/>
          <w:bCs/>
          <w:color w:val="auto"/>
          <w:sz w:val="24"/>
          <w:szCs w:val="24"/>
        </w:rPr>
        <w:lastRenderedPageBreak/>
        <w:t>3.1 Data Collection</w:t>
      </w:r>
    </w:p>
    <w:p w14:paraId="5936EE73"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A systematic literature review was undertaken to identify recent, UK-based research addressing the causes, impacts, and management of challenging behaviour among care home residents with dementia. A systematic approach was selected over a narrative or scoping review because it allows for a transparent, replicable, and comprehensive search strategy, reducing the risk of selective or unrepresentative sampling of the available evidence base, which is particularly important in a field where findings can vary considerably depending on study setting, population, and methodology.</w:t>
      </w:r>
    </w:p>
    <w:p w14:paraId="2B6691C3"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Searches were conducted across four databases selected for their relevance to health and social care research: PubMed, CINAHL, Scopus, and Google Scholar. This combination was chosen to maximise coverage across biomedical, nursing, and multidisciplinary social science literature, since BPSD is a topic that spans clinical, psychological, and organisational domains and is therefore unlikely to be comprehensively captured by any single database. Search terms included</w:t>
      </w:r>
      <w:r w:rsidRPr="3225C199">
        <w:rPr>
          <w:rFonts w:ascii="Arial" w:hAnsi="Arial" w:cs="Arial"/>
        </w:rPr>
        <w:t xml:space="preserve"> </w:t>
      </w:r>
      <w:r w:rsidRPr="3225C199">
        <w:rPr>
          <w:rFonts w:ascii="Arial" w:hAnsi="Arial" w:cs="Arial"/>
          <w:sz w:val="22"/>
          <w:szCs w:val="22"/>
        </w:rPr>
        <w:t>combinations of "dementia," "BPSD," "behavioural and psychological symptoms," "challenging behaviour," "care homes," "nursing homes," and "UK," combined using Boolean operators to maximise sensitivity while retaining relevance to the UK context.</w:t>
      </w:r>
    </w:p>
    <w:p w14:paraId="18F2B378"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Inclusion criteria were deliberately narrow </w:t>
      </w:r>
      <w:proofErr w:type="gramStart"/>
      <w:r w:rsidRPr="3225C199">
        <w:rPr>
          <w:rFonts w:ascii="Arial" w:hAnsi="Arial" w:cs="Arial"/>
          <w:sz w:val="22"/>
          <w:szCs w:val="22"/>
        </w:rPr>
        <w:t>in order to</w:t>
      </w:r>
      <w:proofErr w:type="gramEnd"/>
      <w:r w:rsidRPr="3225C199">
        <w:rPr>
          <w:rFonts w:ascii="Arial" w:hAnsi="Arial" w:cs="Arial"/>
          <w:sz w:val="22"/>
          <w:szCs w:val="22"/>
        </w:rPr>
        <w:t xml:space="preserve"> ensure the currency and applicability of the evidence synthesised. Only peer-reviewed studies published between 2019 and 2024 were included, a five-year window chosen to reflect the most recent evidence available while still allowing sufficient literature to be captured for meaningful synthesis. Studies were required to focus on individuals aged 65 and over residing in UK care homes, reflecting the population and setting of direct relevance to the dissertation's aim. Grey literature, including unpublished reports, conference abstracts, and non-peer-reviewed sources, was excluded in order to maintain a consistent standard of methodological quality across the evidence base, and studies conducted outside the UK were also excluded, given the dissertation's specific focus on the policy, regulatory, and workforce context of UK care homes, which differs meaningfully from international settings in ways that could otherwise confound the synthesis.</w:t>
      </w:r>
    </w:p>
    <w:p w14:paraId="31DBBCF7" w14:textId="77777777" w:rsidR="00DF51AF" w:rsidRDefault="0D1F849A" w:rsidP="3225C199">
      <w:pPr>
        <w:spacing w:after="200" w:line="360" w:lineRule="auto"/>
        <w:jc w:val="both"/>
        <w:rPr>
          <w:rFonts w:ascii="Arial" w:hAnsi="Arial" w:cs="Arial"/>
          <w:sz w:val="22"/>
          <w:szCs w:val="22"/>
        </w:rPr>
      </w:pPr>
      <w:r w:rsidRPr="3225C199">
        <w:rPr>
          <w:rFonts w:ascii="Arial" w:hAnsi="Arial" w:cs="Arial"/>
          <w:sz w:val="22"/>
          <w:szCs w:val="22"/>
        </w:rPr>
        <w:t>Where earlier, seminal studies were essential to establishing the theoretical or historical context of the review, such as Kitwood's (1997) foundational work on person-centred care or Cohen-Mansfield's (2000) unmet needs model, these were retained as background literature outside the primary 2019–2024 search window, on the basis that their theoretical contribution remains foundational to the field regardless of publication date.</w:t>
      </w:r>
    </w:p>
    <w:p w14:paraId="715778A1" w14:textId="77777777" w:rsidR="00C5548A" w:rsidRPr="00F81ED9" w:rsidRDefault="00C5548A" w:rsidP="3225C199">
      <w:pPr>
        <w:spacing w:after="200" w:line="360" w:lineRule="auto"/>
        <w:jc w:val="both"/>
        <w:rPr>
          <w:rFonts w:ascii="Arial" w:hAnsi="Arial" w:cs="Arial"/>
          <w:sz w:val="22"/>
          <w:szCs w:val="22"/>
        </w:rPr>
      </w:pPr>
    </w:p>
    <w:p w14:paraId="55ED1650" w14:textId="77777777" w:rsidR="00DF51AF" w:rsidRPr="004176F7" w:rsidRDefault="00DD5BEE" w:rsidP="00F81ED9">
      <w:pPr>
        <w:pStyle w:val="Heading2"/>
        <w:spacing w:before="300" w:after="150" w:line="360" w:lineRule="auto"/>
        <w:rPr>
          <w:rFonts w:ascii="Arial" w:hAnsi="Arial" w:cs="Arial"/>
          <w:b/>
          <w:bCs/>
          <w:color w:val="auto"/>
          <w:sz w:val="24"/>
          <w:szCs w:val="24"/>
        </w:rPr>
      </w:pPr>
      <w:r w:rsidRPr="004176F7">
        <w:rPr>
          <w:rFonts w:ascii="Arial" w:hAnsi="Arial" w:cs="Arial"/>
          <w:b/>
          <w:bCs/>
          <w:color w:val="auto"/>
          <w:sz w:val="24"/>
          <w:szCs w:val="24"/>
        </w:rPr>
        <w:lastRenderedPageBreak/>
        <w:t>3.2 Data Analysis</w:t>
      </w:r>
    </w:p>
    <w:p w14:paraId="037DD8F4"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Once the literature search had been completed and duplicate records removed, studies meeting the inclusion criteria were screened for quality and relevance based on their methodological rigour, sample size, and direct applicability to the dissertation's research aim and objectives. Studies employing a range of methodologies were retained, including cross-sectional surveys, mixed-methods evaluations, ethnographic case studies, and systematic reviews, reflecting the genuinely interdisciplinary nature of the BPSD literature and allowing the synthesis to draw on both quantitative measures of prevalence and impact and qualitative insights into lived experience and organisational practice.</w:t>
      </w:r>
    </w:p>
    <w:p w14:paraId="0DF8AC9C"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Thematic analysis was selected as the method of synthesis, following Braun and Clarke's (2006) widely used six-phase approach: familiarisation with the data, generation of initial codes, searching for themes, reviewing themes, defining and naming themes, and producing the final synthesis. This method was chosen because of its flexibility across study designs and its suitability for identifying recurring patterns across a heterogeneous body of literature that could not easily be synthesised through meta-analytic techniques given the variation in outcome measures and study populations.</w:t>
      </w:r>
    </w:p>
    <w:p w14:paraId="212CC7B1" w14:textId="0DC4911D" w:rsidR="3225C199" w:rsidRPr="004C13F2" w:rsidRDefault="0D1F849A" w:rsidP="3225C199">
      <w:pPr>
        <w:spacing w:after="200" w:line="360" w:lineRule="auto"/>
        <w:jc w:val="both"/>
      </w:pPr>
      <w:r w:rsidRPr="3225C199">
        <w:rPr>
          <w:rFonts w:ascii="Arial" w:hAnsi="Arial" w:cs="Arial"/>
          <w:sz w:val="22"/>
          <w:szCs w:val="22"/>
        </w:rPr>
        <w:t>In practice, this involved a close reading of each included study, with attention paid to reported causes of BPSD, the impacts described on residents, staff, and families, and the management strategies evaluated or discussed. Recurring concepts were coded and grouped into candidate themes, which were then iteratively refined through comparison against the full data set to ensure they accurately represented the range of findings rather than being driven by any single study. This process ultimately produced three overarching themes, corresponding to the causes, impacts, and management strategies associated with BPSD in UK care homes, which structure the presentation of findings in Chapter 4. Braun and Clarke's emphasis on reflexivity throughout the coding process was also applied, with ongoing consideration given to how the researcher's own assumptions about person-centred care might shape the interpretation of findings, in order to guard against confirmation bias in the identification of themes.</w:t>
      </w:r>
    </w:p>
    <w:p w14:paraId="3674C710" w14:textId="77777777" w:rsidR="00DF51AF" w:rsidRPr="004176F7" w:rsidRDefault="00DD5BEE" w:rsidP="00F81ED9">
      <w:pPr>
        <w:pStyle w:val="Heading2"/>
        <w:spacing w:before="300" w:after="150" w:line="360" w:lineRule="auto"/>
        <w:rPr>
          <w:rFonts w:ascii="Arial" w:hAnsi="Arial" w:cs="Arial"/>
          <w:b/>
          <w:bCs/>
          <w:color w:val="auto"/>
          <w:sz w:val="24"/>
          <w:szCs w:val="24"/>
        </w:rPr>
      </w:pPr>
      <w:r w:rsidRPr="004176F7">
        <w:rPr>
          <w:rFonts w:ascii="Arial" w:hAnsi="Arial" w:cs="Arial"/>
          <w:b/>
          <w:bCs/>
          <w:color w:val="auto"/>
          <w:sz w:val="24"/>
          <w:szCs w:val="24"/>
        </w:rPr>
        <w:t>3.3 Ethical Considerations</w:t>
      </w:r>
    </w:p>
    <w:p w14:paraId="39057E37"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As this dissertation is based on a secondary review of previously published literature, it did not involve any direct contact with people with dementia, care home staff, or family carers, and therefore did not require formal ethical approval from an institutional review board. Nonetheless, secondary research of this kind raises its own set of ethical considerations that were carefully addressed throughout the review process.</w:t>
      </w:r>
    </w:p>
    <w:p w14:paraId="22C7CFCF"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lastRenderedPageBreak/>
        <w:t xml:space="preserve">First, particular attention was paid to the use of respectful, non-stigmatising language when describing people with dementia and their behaviours (Warren, 2022). Where possible, person-first language was used throughout, and behaviours were framed, consistent with the theoretical position adopted in Chapter 2, as meaningful expressions of unmet need rather than as inherently problematic or disruptive conduct, </w:t>
      </w:r>
      <w:proofErr w:type="gramStart"/>
      <w:r w:rsidRPr="3225C199">
        <w:rPr>
          <w:rFonts w:ascii="Arial" w:hAnsi="Arial" w:cs="Arial"/>
          <w:sz w:val="22"/>
          <w:szCs w:val="22"/>
        </w:rPr>
        <w:t>in order to</w:t>
      </w:r>
      <w:proofErr w:type="gramEnd"/>
      <w:r w:rsidRPr="3225C199">
        <w:rPr>
          <w:rFonts w:ascii="Arial" w:hAnsi="Arial" w:cs="Arial"/>
          <w:sz w:val="22"/>
          <w:szCs w:val="22"/>
        </w:rPr>
        <w:t xml:space="preserve"> avoid reinforcing stigmatising narratives about people living with dementia.</w:t>
      </w:r>
    </w:p>
    <w:p w14:paraId="667C0B25" w14:textId="6DAF8393"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Second, care was taken to ensure the accurate and proportionate representation of findings from the included studies, avoiding selective emphasis on results that might support a predetermined conclusion and instead reflecting, where relevant, conflicting or inconclusive findings within the literature. This is particularly important given the vulnerability of the population under discussion and the potential for misrepresented evidence to inform policy or practice decisions that directly affect people with dementia and their </w:t>
      </w:r>
      <w:r w:rsidR="708A5FEB" w:rsidRPr="3225C199">
        <w:rPr>
          <w:rFonts w:ascii="Arial" w:hAnsi="Arial" w:cs="Arial"/>
          <w:sz w:val="22"/>
          <w:szCs w:val="22"/>
        </w:rPr>
        <w:t>careers</w:t>
      </w:r>
      <w:r w:rsidRPr="3225C199">
        <w:rPr>
          <w:rFonts w:ascii="Arial" w:hAnsi="Arial" w:cs="Arial"/>
          <w:sz w:val="22"/>
          <w:szCs w:val="22"/>
        </w:rPr>
        <w:t>.</w:t>
      </w:r>
    </w:p>
    <w:p w14:paraId="3FC46734"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Third, the review acknowledged and respected the ethical approvals obtained by the original researchers whose work was synthesised, recognising that each included study had itself been subject to appropriate ethical scrutiny at the point of primary data collection, and that the responsibility of a secondary reviewer is to represent that work faithfully rather than to re-interpret it in ways that might distort its original ethical framing or informed consent parameters. Finally, in synthesising evidence relating to a population frequently characterised by significant power imbalances relative to those who care for them, the review maintained a consistent orientation towards the dignity and rights of people with dementia as the primary consideration underpinning all subsequent recommendations.</w:t>
      </w:r>
    </w:p>
    <w:p w14:paraId="13A27BD6" w14:textId="362549F1" w:rsidR="3225C199" w:rsidRDefault="3225C199" w:rsidP="3225C199">
      <w:pPr>
        <w:pStyle w:val="Heading1"/>
        <w:spacing w:before="400" w:after="200" w:line="360" w:lineRule="auto"/>
        <w:ind w:left="720" w:firstLine="720"/>
        <w:rPr>
          <w:rFonts w:ascii="Arial" w:hAnsi="Arial" w:cs="Arial"/>
          <w:b/>
          <w:bCs/>
          <w:color w:val="auto"/>
        </w:rPr>
      </w:pPr>
    </w:p>
    <w:p w14:paraId="6BC6430E" w14:textId="6BEBC979" w:rsidR="00C5548A" w:rsidRDefault="6C47E773" w:rsidP="3225C199">
      <w:pPr>
        <w:pStyle w:val="Heading1"/>
        <w:spacing w:before="400" w:after="200" w:line="360" w:lineRule="auto"/>
        <w:rPr>
          <w:rFonts w:ascii="Arial" w:hAnsi="Arial" w:cs="Arial"/>
          <w:b/>
          <w:bCs/>
          <w:color w:val="auto"/>
          <w:sz w:val="28"/>
          <w:szCs w:val="28"/>
        </w:rPr>
      </w:pPr>
      <w:r w:rsidRPr="3225C199">
        <w:rPr>
          <w:rFonts w:ascii="Arial" w:hAnsi="Arial" w:cs="Arial"/>
          <w:b/>
          <w:bCs/>
          <w:color w:val="auto"/>
          <w:sz w:val="28"/>
          <w:szCs w:val="28"/>
        </w:rPr>
        <w:t>Summary</w:t>
      </w:r>
    </w:p>
    <w:p w14:paraId="28ECF2BD" w14:textId="28FF79AE" w:rsidR="00C5548A" w:rsidRPr="00C5548A" w:rsidRDefault="00C5548A" w:rsidP="00C5548A">
      <w:pPr>
        <w:pStyle w:val="Heading1"/>
        <w:spacing w:before="400" w:after="200" w:line="360" w:lineRule="auto"/>
        <w:jc w:val="both"/>
        <w:rPr>
          <w:rFonts w:ascii="Arial" w:hAnsi="Arial" w:cs="Arial"/>
          <w:color w:val="auto"/>
          <w:sz w:val="22"/>
          <w:szCs w:val="22"/>
        </w:rPr>
      </w:pPr>
      <w:r w:rsidRPr="00C5548A">
        <w:rPr>
          <w:rFonts w:ascii="Arial" w:hAnsi="Arial" w:cs="Arial"/>
          <w:color w:val="auto"/>
          <w:sz w:val="22"/>
          <w:szCs w:val="22"/>
        </w:rPr>
        <w:t xml:space="preserve">This chapter described the research methods used in the study. A systematic literature review of UK-based studies was conducted, and thematic analysis was used to identify key themes. Ethical considerations were also discussed to ensure the review was conducted responsibly. </w:t>
      </w:r>
    </w:p>
    <w:p w14:paraId="2F74562C" w14:textId="77777777" w:rsidR="00C5548A" w:rsidRDefault="00C5548A" w:rsidP="3225C199">
      <w:pPr>
        <w:pStyle w:val="Heading1"/>
        <w:spacing w:before="400" w:after="200" w:line="360" w:lineRule="auto"/>
        <w:rPr>
          <w:rFonts w:ascii="Arial" w:hAnsi="Arial" w:cs="Arial"/>
          <w:b/>
          <w:bCs/>
          <w:color w:val="auto"/>
          <w:sz w:val="28"/>
          <w:szCs w:val="28"/>
        </w:rPr>
      </w:pPr>
    </w:p>
    <w:p w14:paraId="5667F618" w14:textId="77777777" w:rsidR="00C5548A" w:rsidRDefault="00C5548A" w:rsidP="3225C199">
      <w:pPr>
        <w:pStyle w:val="Heading1"/>
        <w:spacing w:before="400" w:after="200" w:line="360" w:lineRule="auto"/>
        <w:rPr>
          <w:rFonts w:ascii="Arial" w:hAnsi="Arial" w:cs="Arial"/>
          <w:b/>
          <w:bCs/>
          <w:color w:val="auto"/>
          <w:sz w:val="28"/>
          <w:szCs w:val="28"/>
        </w:rPr>
      </w:pPr>
    </w:p>
    <w:p w14:paraId="6CB80AC8" w14:textId="77777777" w:rsidR="00DF51AF" w:rsidRPr="0078680D" w:rsidRDefault="0D1F849A" w:rsidP="3225C199">
      <w:pPr>
        <w:pStyle w:val="Heading1"/>
        <w:spacing w:before="400" w:after="200" w:line="360" w:lineRule="auto"/>
        <w:ind w:left="720" w:firstLine="720"/>
      </w:pPr>
      <w:r w:rsidRPr="3225C199">
        <w:rPr>
          <w:rFonts w:ascii="Arial" w:hAnsi="Arial" w:cs="Arial"/>
          <w:b/>
          <w:bCs/>
          <w:color w:val="auto"/>
        </w:rPr>
        <w:lastRenderedPageBreak/>
        <w:t>Chapter 4: Results and Discussion</w:t>
      </w:r>
    </w:p>
    <w:p w14:paraId="7F52E5A1" w14:textId="67C0DB9C" w:rsidR="6593B0A0" w:rsidRDefault="6593B0A0" w:rsidP="3225C199">
      <w:pPr>
        <w:pStyle w:val="Heading1"/>
        <w:spacing w:before="400" w:after="200" w:line="360" w:lineRule="auto"/>
        <w:rPr>
          <w:rFonts w:ascii="Arial" w:hAnsi="Arial" w:cs="Arial"/>
          <w:b/>
          <w:bCs/>
          <w:color w:val="auto"/>
          <w:sz w:val="28"/>
          <w:szCs w:val="28"/>
        </w:rPr>
      </w:pPr>
      <w:r w:rsidRPr="3225C199">
        <w:rPr>
          <w:rFonts w:ascii="Arial" w:hAnsi="Arial" w:cs="Arial"/>
          <w:b/>
          <w:bCs/>
          <w:color w:val="auto"/>
          <w:sz w:val="28"/>
          <w:szCs w:val="28"/>
        </w:rPr>
        <w:t>Introduction</w:t>
      </w:r>
    </w:p>
    <w:p w14:paraId="4A10A3B5" w14:textId="45DE92DE" w:rsidR="00C5548A" w:rsidRPr="00C5548A" w:rsidRDefault="00C5548A" w:rsidP="00C5548A">
      <w:pPr>
        <w:pStyle w:val="Heading1"/>
        <w:spacing w:before="400" w:after="200" w:line="360" w:lineRule="auto"/>
        <w:jc w:val="both"/>
        <w:rPr>
          <w:rFonts w:ascii="Arial" w:hAnsi="Arial" w:cs="Arial"/>
          <w:color w:val="auto"/>
          <w:sz w:val="22"/>
          <w:szCs w:val="22"/>
        </w:rPr>
      </w:pPr>
      <w:r w:rsidRPr="00C5548A">
        <w:rPr>
          <w:rFonts w:ascii="Arial" w:hAnsi="Arial" w:cs="Arial"/>
          <w:color w:val="auto"/>
          <w:sz w:val="22"/>
          <w:szCs w:val="22"/>
        </w:rPr>
        <w:t xml:space="preserve">This chapter presents and discusses the findings from the literature review. The evidence is organised into key themes exploring the causes of challenging behaviour, its impact on residents, staff, and families, and the management strategies used in UK care homes. The findings are critically discussed in relation to existing evidence and current practice. </w:t>
      </w:r>
    </w:p>
    <w:p w14:paraId="6B829323" w14:textId="77777777" w:rsidR="00DF51AF" w:rsidRPr="004176F7" w:rsidRDefault="00DD5BEE" w:rsidP="00F81ED9">
      <w:pPr>
        <w:pStyle w:val="Heading2"/>
        <w:spacing w:before="300" w:after="150" w:line="360" w:lineRule="auto"/>
        <w:rPr>
          <w:rFonts w:ascii="Arial" w:hAnsi="Arial" w:cs="Arial"/>
          <w:b/>
          <w:bCs/>
          <w:color w:val="auto"/>
          <w:sz w:val="24"/>
          <w:szCs w:val="24"/>
        </w:rPr>
      </w:pPr>
      <w:r w:rsidRPr="004176F7">
        <w:rPr>
          <w:rFonts w:ascii="Arial" w:hAnsi="Arial" w:cs="Arial"/>
          <w:b/>
          <w:bCs/>
          <w:color w:val="auto"/>
          <w:sz w:val="24"/>
          <w:szCs w:val="24"/>
        </w:rPr>
        <w:t>4.1 Characteristics of the Literature</w:t>
      </w:r>
    </w:p>
    <w:p w14:paraId="0B53A8EB" w14:textId="18D418FD"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The eleven studies included in the final synthesis reflect a genuinely diverse body of literature drawn from UK care home settings, spanning quantitative, qualitative, and </w:t>
      </w:r>
      <w:r w:rsidR="708A5FEB" w:rsidRPr="3225C199">
        <w:rPr>
          <w:rFonts w:ascii="Arial" w:hAnsi="Arial" w:cs="Arial"/>
          <w:sz w:val="22"/>
          <w:szCs w:val="22"/>
        </w:rPr>
        <w:t>mixed methods</w:t>
      </w:r>
      <w:r w:rsidRPr="3225C199">
        <w:rPr>
          <w:rFonts w:ascii="Arial" w:hAnsi="Arial" w:cs="Arial"/>
          <w:sz w:val="22"/>
          <w:szCs w:val="22"/>
        </w:rPr>
        <w:t xml:space="preserve"> designs. This methodological diversity was a deliberate outcome of the inclusion criteria set out in Chapter 3, and it strengthens the review by allowing findings to be triangulated across different types of evidence rather than relying on a single methodological tradition.</w:t>
      </w:r>
    </w:p>
    <w:p w14:paraId="2383F4F2"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Quantitative and epidemiological studies, such as the MARQUE cross-sectional study conducted by Livingston et al. (2017) and the </w:t>
      </w:r>
      <w:proofErr w:type="gramStart"/>
      <w:r w:rsidRPr="3225C199">
        <w:rPr>
          <w:rFonts w:ascii="Arial" w:hAnsi="Arial" w:cs="Arial"/>
          <w:sz w:val="22"/>
          <w:szCs w:val="22"/>
        </w:rPr>
        <w:t>South East</w:t>
      </w:r>
      <w:proofErr w:type="gramEnd"/>
      <w:r w:rsidRPr="3225C199">
        <w:rPr>
          <w:rFonts w:ascii="Arial" w:hAnsi="Arial" w:cs="Arial"/>
          <w:sz w:val="22"/>
          <w:szCs w:val="22"/>
        </w:rPr>
        <w:t xml:space="preserve"> London Care Home Survey (Stewart et al., 2014), provide robust prevalence data and statistical associations between environmental and organisational factors and the occurrence of agitation, offering a population-level picture of the scale of the challenge across care homes. Survey-based studies, including Gray, Brooker and Tucker's (2022) e-survey of professional perspectives on guideline application and Shah et al.'s (2024) survey of family members, provide complementary insight into the perceptions and experiences of those directly involved in care, capturing dimensions of the issue, such as staff confidence and family emotional burden, that are not easily measured through observational or clinical data alone.</w:t>
      </w:r>
    </w:p>
    <w:p w14:paraId="1858BCE3"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Qualitative and ethnographic studies, most notably Smith et al.'s (2024) four-site ethnographic case study of non-pharmacological interventions, offer a depth of contextual understanding that complements the broader but shallower picture provided by survey and cross-sectional designs, illustrating in granular detail how person-centred interventions are actually implemented, adapted, and sometimes undermined within the day-to-day reality of care home practice. Mixed-methods research, exemplified by Campbell et al.'s (2020) evaluation of staff preparedness, bridges these traditions by combining quantitative measures of training outcomes with qualitative accounts of staff experience.</w:t>
      </w:r>
    </w:p>
    <w:p w14:paraId="1F530332"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lastRenderedPageBreak/>
        <w:t>Finally, systematic reviews and reviews of reviews, including Toot et al. (2017) on the causes of nursing home placement, Meyer and O'Keefe (2020) on the comparative effectiveness of different intervention types, and Testad et al. (2014) on personalised psychosocial interventions, provide a further layer of synthesis, aggregating findings across multiple primary studies to identify the most consistently</w:t>
      </w:r>
      <w:r w:rsidRPr="3225C199">
        <w:rPr>
          <w:rFonts w:ascii="Arial" w:hAnsi="Arial" w:cs="Arial"/>
        </w:rPr>
        <w:t xml:space="preserve"> </w:t>
      </w:r>
      <w:r w:rsidRPr="3225C199">
        <w:rPr>
          <w:rFonts w:ascii="Arial" w:hAnsi="Arial" w:cs="Arial"/>
          <w:sz w:val="22"/>
          <w:szCs w:val="22"/>
        </w:rPr>
        <w:t>supported conclusions in the field.</w:t>
      </w:r>
    </w:p>
    <w:p w14:paraId="4EAE4784" w14:textId="77777777" w:rsidR="00DF51AF" w:rsidRPr="00F81ED9" w:rsidRDefault="0D1F849A" w:rsidP="3225C199">
      <w:pPr>
        <w:spacing w:after="200" w:line="360" w:lineRule="auto"/>
        <w:jc w:val="both"/>
        <w:rPr>
          <w:rFonts w:ascii="Arial" w:hAnsi="Arial" w:cs="Arial"/>
        </w:rPr>
      </w:pPr>
      <w:r w:rsidRPr="3225C199">
        <w:rPr>
          <w:rFonts w:ascii="Arial" w:hAnsi="Arial" w:cs="Arial"/>
          <w:sz w:val="22"/>
          <w:szCs w:val="22"/>
        </w:rPr>
        <w:t>Sample sizes across the included studies varied considerably, from Livingston et al.'s (2017) MARQUE study of 86 residents to Shah et al.'s (2024) considerably larger survey of 300 families, a range that reflects the differing purposes and designs of the studies concerned rather than any inconsistency in methodological quality. Smaller, in-depth studies such as Smith et al.'s (2024) four-home ethnography necessarily sacrifice statistical generalisability in favour of contextual richness, while larger survey-based studies such as Gray, Brooker and Tucker's (2022) 200-respondent e-survey offer greater confidence in the generalisability of reported associations but correspondingly less insight into the mechanisms underlying them. Notably, none of the included studies employed a longitudinal design tracking the same cohort of residents over an extended period, meaning that the evidence base, while robust in identifying cross-sectional associations between causes, impacts, and management strategies, offers comparatively limited insight into how these relationships evolve over the course of an individual's residential care journey, a gap that is returned to in the discussion of limitations in Section 4.3. Taken together, this combination of study designs, sample sizes, and methodological approaches provides a comprehensive and reasonably robust evidence base from which to draw the thematic findings presented in the sections that follow.</w:t>
      </w:r>
    </w:p>
    <w:p w14:paraId="0EFA6F31" w14:textId="77777777" w:rsidR="00DF51AF" w:rsidRPr="0078680D" w:rsidRDefault="00DD5BEE" w:rsidP="00F81ED9">
      <w:pPr>
        <w:pStyle w:val="Heading2"/>
        <w:spacing w:before="300" w:after="150" w:line="360" w:lineRule="auto"/>
        <w:rPr>
          <w:rFonts w:ascii="Arial" w:hAnsi="Arial" w:cs="Arial"/>
          <w:b/>
          <w:bCs/>
          <w:color w:val="auto"/>
          <w:sz w:val="32"/>
          <w:szCs w:val="32"/>
        </w:rPr>
      </w:pPr>
      <w:r w:rsidRPr="0078680D">
        <w:rPr>
          <w:rFonts w:ascii="Arial" w:hAnsi="Arial" w:cs="Arial"/>
          <w:b/>
          <w:bCs/>
          <w:color w:val="auto"/>
          <w:sz w:val="32"/>
          <w:szCs w:val="32"/>
        </w:rPr>
        <w:t>4.2 Analysis of Results / Themes</w:t>
      </w:r>
    </w:p>
    <w:p w14:paraId="38887548" w14:textId="77777777" w:rsidR="00DF51AF" w:rsidRPr="004176F7" w:rsidRDefault="0D1F849A" w:rsidP="3225C199">
      <w:pPr>
        <w:pStyle w:val="Heading3"/>
        <w:spacing w:before="200" w:after="100" w:line="360" w:lineRule="auto"/>
        <w:rPr>
          <w:rFonts w:ascii="Arial" w:eastAsia="Arial" w:hAnsi="Arial" w:cs="Arial"/>
          <w:b/>
          <w:bCs/>
          <w:color w:val="auto"/>
          <w:sz w:val="22"/>
          <w:szCs w:val="22"/>
        </w:rPr>
      </w:pPr>
      <w:r w:rsidRPr="3225C199">
        <w:rPr>
          <w:rFonts w:ascii="Arial" w:eastAsia="Arial" w:hAnsi="Arial" w:cs="Arial"/>
          <w:b/>
          <w:bCs/>
          <w:color w:val="auto"/>
          <w:sz w:val="22"/>
          <w:szCs w:val="22"/>
        </w:rPr>
        <w:t>Causes of Challenging Behaviour</w:t>
      </w:r>
    </w:p>
    <w:p w14:paraId="660813C3"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The literature identifies a consistent and interconnected set of causes underlying BPSD in UK care homes, broadly aligning with the theoretical frameworks discussed in Chapter 2. Environmental triggers emerged as a particularly prominent theme. Excessive noise, overcrowding, poor lighting, and unfamiliar or frequently changing physical surroundings were repeatedly identified as precipitating factors for agitation and distress, consistent with the biopsychosocial understanding that environmental context is not a peripheral consideration but a direct contributor to behavioural presentation. Livingston et al.'s (2017) MARQUE study provides robust cross-sectional evidence for this relationship, finding that high levels of agitation among care home residents were significantly linked to features of the care environment, lending empirical weight to earlier observational findings that agitated </w:t>
      </w:r>
      <w:r w:rsidRPr="3225C199">
        <w:rPr>
          <w:rFonts w:ascii="Arial" w:hAnsi="Arial" w:cs="Arial"/>
          <w:sz w:val="22"/>
          <w:szCs w:val="22"/>
        </w:rPr>
        <w:lastRenderedPageBreak/>
        <w:t>behaviours increase when residents are physically restrained, inactive, or left alone (Cohen-Mansfield and Werner, 1995).</w:t>
      </w:r>
    </w:p>
    <w:p w14:paraId="5EEAFA0D"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Unmet physical and emotional needs constitute a second major causal theme, directly reflecting Cohen-Mansfield's (2000) unmet needs model discussed in Section 2.2. Undiagnosed or poorly managed pain emerged repeatedly across the literature as a frequently overlooked driver of agitation and aggression, particularly among residents with more advanced dementia who are less able to verbally report physical discomfort; a cluster randomised trial in Norwegian nursing homes found that a structured pain-treatment protocol produced a significant reduction in agitation relative to usual care, providing strong causal evidence for this relationship (Husebo et al., 2011). Similarly, unmet emotional needs, including boredom, loneliness, and a lack of meaningful occupation or social contact, were consistently associated with increased BPSD, suggesting that the absence of positive stimulation may be as significant a causal factor as the presence of negative environmental triggers.</w:t>
      </w:r>
    </w:p>
    <w:p w14:paraId="7787B93C"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Changes in routine represent a related and compounding cause, with residents frequently displaying heightened distress and disorientation in response to disruptions to established patterns of daily activity, whether arising from staff rotas, mealtime scheduling, or transitions between care settings. Given the cognitive difficulty that people with dementia typically experience in adapting to novel or unpredictable circumstances, even relatively minor disruptions to routine can function as significant triggers for behavioural escalation.</w:t>
      </w:r>
    </w:p>
    <w:p w14:paraId="2CDA1DF2"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Finally, staff knowledge, attitudes, and interactional style emerged as a further, and arguably underappreciated, causal factor. Gray, Brooker and Tucker's (2022) e-survey found that professional understanding and application of national guidance on managing BPSD varied considerably, and that gaps in staff knowledge were directly associated with less effective, and in some cases counterproductive, responses to challenging behaviour. This finding is consistent with the Caregiver Coping framework (Leocadie et al., 2020) discussed in Chapter 2, which emphasises that the behaviour of care staff is not simply a response to, but can also be a contributory cause of, escalating BPSD, particularly where staff lack the training or emotional resilience to respond calmly and consistently to distressed residents.</w:t>
      </w:r>
    </w:p>
    <w:p w14:paraId="46BB9D2A" w14:textId="77777777" w:rsidR="00DF51AF" w:rsidRPr="00F81ED9" w:rsidRDefault="0D1F849A" w:rsidP="3225C199">
      <w:pPr>
        <w:spacing w:after="200" w:line="360" w:lineRule="auto"/>
        <w:jc w:val="both"/>
        <w:rPr>
          <w:rFonts w:ascii="Arial" w:hAnsi="Arial" w:cs="Arial"/>
        </w:rPr>
      </w:pPr>
      <w:r w:rsidRPr="3225C199">
        <w:rPr>
          <w:rFonts w:ascii="Arial" w:hAnsi="Arial" w:cs="Arial"/>
          <w:sz w:val="22"/>
          <w:szCs w:val="22"/>
        </w:rPr>
        <w:t xml:space="preserve">Beyond these primary themes, the literature also points to </w:t>
      </w:r>
      <w:proofErr w:type="gramStart"/>
      <w:r w:rsidRPr="3225C199">
        <w:rPr>
          <w:rFonts w:ascii="Arial" w:hAnsi="Arial" w:cs="Arial"/>
          <w:sz w:val="22"/>
          <w:szCs w:val="22"/>
        </w:rPr>
        <w:t>a number of</w:t>
      </w:r>
      <w:proofErr w:type="gramEnd"/>
      <w:r w:rsidRPr="3225C199">
        <w:rPr>
          <w:rFonts w:ascii="Arial" w:hAnsi="Arial" w:cs="Arial"/>
          <w:sz w:val="22"/>
          <w:szCs w:val="22"/>
        </w:rPr>
        <w:t xml:space="preserve"> interacting biological and sensory contributors that frequently compound the causal picture. Undetected sensory impairment, particularly uncorrected hearing or visual loss, was repeatedly noted as a factor that can amplify confusion and disorientation, since residents unable to clearly see or hear their surroundings may misinterpret ordinary care activities, such as being approached for personal care, as threatening, precipitating a defensive or aggressive response that is more </w:t>
      </w:r>
      <w:r w:rsidRPr="3225C199">
        <w:rPr>
          <w:rFonts w:ascii="Arial" w:hAnsi="Arial" w:cs="Arial"/>
          <w:sz w:val="22"/>
          <w:szCs w:val="22"/>
        </w:rPr>
        <w:lastRenderedPageBreak/>
        <w:t>accurately understood as a consequence of sensory misperception than of the underlying dementia itself. Polypharmacy and adverse medication effects were similarly identified as an underlying contributor in a subset of cases, with certain medications prescribed for unrelated physical health conditions capable of inducing confusion, drowsiness, or paradoxical agitation that can be mistakenly attributed solely to the progression of dementia rather than to a reviewable medication side effect. Finally, several studies noted that unfamiliar staff, high staff turnover, and inconsistency in the caregiving relationship itself could function as a causal trigger, since residents with dementia often rely heavily on the recognition of familiar faces, voices, and routines to feel secure, meaning that a workforce characterised by high turnover may inadvertently generate the very unfamiliarity and unpredictability that the Unmet Needs Model identifies as a driver of distress.</w:t>
      </w:r>
    </w:p>
    <w:p w14:paraId="26891C57" w14:textId="77777777" w:rsidR="00DF51AF" w:rsidRPr="004176F7" w:rsidRDefault="00DD5BEE" w:rsidP="00F81ED9">
      <w:pPr>
        <w:pStyle w:val="Heading3"/>
        <w:spacing w:before="200" w:after="100" w:line="360" w:lineRule="auto"/>
        <w:rPr>
          <w:rFonts w:ascii="Arial" w:hAnsi="Arial" w:cs="Arial"/>
          <w:b/>
          <w:bCs/>
          <w:color w:val="auto"/>
        </w:rPr>
      </w:pPr>
      <w:r w:rsidRPr="004176F7">
        <w:rPr>
          <w:rFonts w:ascii="Arial" w:hAnsi="Arial" w:cs="Arial"/>
          <w:b/>
          <w:bCs/>
          <w:i/>
          <w:iCs/>
          <w:color w:val="auto"/>
        </w:rPr>
        <w:t>Impacts on Residents, Staff, and Families</w:t>
      </w:r>
    </w:p>
    <w:p w14:paraId="75110567"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The impacts of BPSD identified across the literature are substantial and extend well beyond the individual resident to encompass the wider care ecosystem of staff and family carers. For residents themselves, BPSD were consistently associated with reduced quality of life, encompassing both the direct distress experienced during episodes of agitation or aggression and the indirect consequences of behaviours that can result in social isolation, restricted mobility, or increased use of restrictive practices by care staff seeking to manage risk. Toot et al.'s (2017) systematic review further demonstrates that BPSD constitute a major factor precipitating transitions into higher levels of institutional care, a finding corroborated by the large-scale WHELD trial, which similarly identified BPSD severity as a key driver of poor quality of life and care disruption among care home residents (Ballard et al., 2017), indicating that the consequences of poorly managed behavioural symptoms extend beyond day-to-day wellbeing to shape the overall trajectory of a person's care pathway, often resulting in placement disruption at a point of already heightened vulnerability.</w:t>
      </w:r>
    </w:p>
    <w:p w14:paraId="29092B6B"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For care home staff, the literature documents a clear and consistent association between exposure to BPSD and increased stress, emotional exhaustion, and burnout. Leocadie et al.'s (2020) observational research demonstrates that caregiver skill and psychological resilience directly shape both the frequency and severity of resident behaviours and the degree of strain experienced by staff, suggesting a bidirectional relationship in which under-supported staff are both more likely to encounter escalating behaviour and</w:t>
      </w:r>
      <w:r w:rsidRPr="3225C199">
        <w:rPr>
          <w:rFonts w:ascii="Arial" w:hAnsi="Arial" w:cs="Arial"/>
        </w:rPr>
        <w:t xml:space="preserve"> </w:t>
      </w:r>
      <w:r w:rsidRPr="3225C199">
        <w:rPr>
          <w:rFonts w:ascii="Arial" w:hAnsi="Arial" w:cs="Arial"/>
          <w:sz w:val="22"/>
          <w:szCs w:val="22"/>
        </w:rPr>
        <w:t xml:space="preserve">less equipped to manage it without experiencing significant personal cost. This has clear implications for workforce retention in a sector already characterised by high turnover, since staff who experience repeated, poorly supported exposure to challenging behaviour may be more likely to leave the profession </w:t>
      </w:r>
      <w:r w:rsidRPr="3225C199">
        <w:rPr>
          <w:rFonts w:ascii="Arial" w:hAnsi="Arial" w:cs="Arial"/>
          <w:sz w:val="22"/>
          <w:szCs w:val="22"/>
        </w:rPr>
        <w:lastRenderedPageBreak/>
        <w:t>altogether, further depleting the skilled, experienced workforce needed to manage BPSD effectively.</w:t>
      </w:r>
    </w:p>
    <w:p w14:paraId="5FD36A08"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Families, too, experience significant and often underappreciated impacts. Shah et al.'s (2024) survey of 300 families found that BPSD generate substantial emotional and financial strain, encompassing feelings of guilt, grief, and helplessness as family members witness changes in a relative's behaviour and personality, alongside practical financial pressures associated with increased care fees, private additional support, or reduced capacity to remain in paid employment while managing caregiving responsibilities. Family carers frequently report feeling excluded from decision-making around the management of a relative's BPSD, echoing a wider systematic review finding that carers often struggle with BPSD because they experience them as a form of bereavement and a transgression of previously understood social norms (Feast et al., 2016), a finding that has direct implications for the recommendations developed in Chapter 5 regarding the meaningful involvement of families in care planning.</w:t>
      </w:r>
    </w:p>
    <w:p w14:paraId="4C979DA8"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A further, closely related impact concerns the use of restrictive practices as a reactive response to BPSD. Where staff lack the time, training, or environmental resources to identify and address the underlying cause of a behaviour, the literature suggests a heightened risk of resort to restrictive measures, including physical restriction of movement, increased use of as-required sedative medication, or informal restriction of a resident's access to communal areas, each of which risks compounding rather than resolving the resident's original distress and can itself become a further precipitant of agitation, creating a self-reinforcing cycle that is difficult to interrupt once established. This dynamic illustrates why the causes and impacts of BPSD cannot be treated as wholly separate categories: a poorly managed impact, such as an inappropriate restrictive response, can itself become a new cause of further behavioural escalation.</w:t>
      </w:r>
    </w:p>
    <w:p w14:paraId="6F880D52"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For the workforce, the consequences of sustained exposure to unsupported BPSD extend beyond individual staff wellbeing to the operational stability of care homes themselves. The adult social care sector in the UK has long experienced high staff turnover relative to other parts of the health and social care system, and the literature reviewed here suggests that unsupported exposure to challenging behaviour is likely to be a contributory, if not the sole, driver of this pattern, since staff who repeatedly experience distressing incidents without adequate debriefing, supervision, or training support may reasonably be expected to seek employment elsewhere. This creates a further compounding cycle at the organisational level, since high staff turnover itself constitutes one of the environmental and relational causal factors for BPSD identified earlier in this chapter, meaning that workforce instability and </w:t>
      </w:r>
      <w:r w:rsidRPr="3225C199">
        <w:rPr>
          <w:rFonts w:ascii="Arial" w:hAnsi="Arial" w:cs="Arial"/>
          <w:sz w:val="22"/>
          <w:szCs w:val="22"/>
        </w:rPr>
        <w:lastRenderedPageBreak/>
        <w:t>behavioural escalation may sustain and reinforce one another over time within a poorly supported care setting.</w:t>
      </w:r>
    </w:p>
    <w:p w14:paraId="5173F414"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Taken together, these findings underscore that BPSD should not be understood as a problem localised to the individual resident but as a systemic issue with consequences that ripple outward across the entire care relationship, reinforcing the argument, developed further in the discussion below, that effective management strategies must address the wellbeing of staff and families alongside that of residents themselves.</w:t>
      </w:r>
    </w:p>
    <w:p w14:paraId="686795AE" w14:textId="77777777" w:rsidR="00DF51AF" w:rsidRPr="004176F7" w:rsidRDefault="00DD5BEE" w:rsidP="00F81ED9">
      <w:pPr>
        <w:pStyle w:val="Heading3"/>
        <w:spacing w:before="200" w:after="100" w:line="360" w:lineRule="auto"/>
        <w:rPr>
          <w:rFonts w:ascii="Arial" w:hAnsi="Arial" w:cs="Arial"/>
          <w:b/>
          <w:bCs/>
          <w:color w:val="auto"/>
        </w:rPr>
      </w:pPr>
      <w:r w:rsidRPr="004176F7">
        <w:rPr>
          <w:rFonts w:ascii="Arial" w:hAnsi="Arial" w:cs="Arial"/>
          <w:b/>
          <w:bCs/>
          <w:i/>
          <w:iCs/>
          <w:color w:val="auto"/>
        </w:rPr>
        <w:t>Management Strategies</w:t>
      </w:r>
    </w:p>
    <w:p w14:paraId="68E61C0F"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The literature provides strong and consistent support for person-centred, non-pharmacological approaches as the most effective means of managing BPSD, while also highlighting significant barriers to their consistent implementation. Meaningful activity-based interventions, tailored to a resident's individual history, preferences, and remaining capabilities, were identified by Meyer and O'Keefe's (2020) review of reviews as the most consistently effective category of non-pharmacological intervention, outperforming more generic or standardised approaches precisely because of their alignment with the person-centred principle that interventions must be individualised to be effective.</w:t>
      </w:r>
    </w:p>
    <w:p w14:paraId="5ECF6236"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Music therapy emerged as a particularly well-evidenced specific intervention, with McDermott et al.'s (2013) narrative synthesis systematic review finding consistent evidence that music-based interventions reduce agitation among people with dementia, likely operating through mechanisms including emotional regulation, the evocation of positive autobiographical memory, and the provision of meaningful, non-verbal engagement that does not rely on cognitive capacities compromised by dementia. Environmental adaptations, including improved lighting, noise reduction,</w:t>
      </w:r>
      <w:r w:rsidRPr="3225C199">
        <w:rPr>
          <w:rFonts w:ascii="Arial" w:hAnsi="Arial" w:cs="Arial"/>
        </w:rPr>
        <w:t xml:space="preserve"> </w:t>
      </w:r>
      <w:r w:rsidRPr="3225C199">
        <w:rPr>
          <w:rFonts w:ascii="Arial" w:hAnsi="Arial" w:cs="Arial"/>
          <w:sz w:val="22"/>
          <w:szCs w:val="22"/>
        </w:rPr>
        <w:t>and the creation of calm, dementia-friendly physical spaces, were similarly identified as effective, directly addressing the environmental causal factors identified in the causes theme above and illustrating the close conceptual relationship between the causes and management of BPSD within a biopsychosocial framework.</w:t>
      </w:r>
    </w:p>
    <w:p w14:paraId="54F787A2"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Smith et al.'s (2024) four-site ethnographic study provides valuable qualitative depth on the practical implementation of person-centred, non-pharmacological approaches, finding that consistent application of such interventions was associated with reduced reliance on psychotropic medication, a finding consistent with an earlier cluster randomised trial demonstrating that enhanced psychosocial care significantly reduced antipsychotic use among nursing home residents with severe dementia without any corresponding increase in behavioural symptoms (Fossey et al., 2006), but also illustrating the significant staff time, organisational commitment, and cultural buy-in required to sustain these approaches in </w:t>
      </w:r>
      <w:r w:rsidRPr="3225C199">
        <w:rPr>
          <w:rFonts w:ascii="Arial" w:hAnsi="Arial" w:cs="Arial"/>
          <w:sz w:val="22"/>
          <w:szCs w:val="22"/>
        </w:rPr>
        <w:lastRenderedPageBreak/>
        <w:t>everyday practice, factors that are not always well captured in more quantitative evaluations of intervention effectiveness.</w:t>
      </w:r>
    </w:p>
    <w:p w14:paraId="371B3FC6"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Staff training emerged as a critical enabling factor across multiple studies. Campbell et al.'s (2020) mixed-methods evaluation found that structured training programmes significantly improved staff confidence and coping skills in managing BPSD, suggesting that investment in workforce development functions not merely as a supplementary measure but as a foundational precondition for the effective delivery of person-centred, non-pharmacological care. Despite this positive evidence base, however, Gray, Brooker and Tucker's (2022) e-survey found that the application of national guidance remained markedly inconsistent across care settings, with continued reliance on medication persisting in some homes even where evidence-based non-pharmacological alternatives were, in principle, available. This inconsistency, as explored further in the discussion below, appears to be driven less by a lack of awareness of effective interventions than by structural and organisational barriers that constrain their consistent application.</w:t>
      </w:r>
    </w:p>
    <w:p w14:paraId="2B6A5451"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Consistent staffing models, in which residents are cared for by a small, familiar team of named staff rather than a rotating pool of carers, were also associated with more effective management of BPSD across several of the included studies, directly addressing the causal contribution of staff unfamiliarity identified earlier in this chapter and reflecting the person-centred emphasis on the therapeutic value of consistent, trusting relationships. Such models, sometimes described as "key worker" or "named nurse" approaches, allow individual staff members to develop a detailed, cumulative understanding of a specific resident's history, preferences, and early warning signs of distress, in turn enabling earlier and more accurately targeted intervention than is possible where staff are unfamiliar with the resident in front of them.</w:t>
      </w:r>
    </w:p>
    <w:p w14:paraId="2931628C"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Reminiscence-based approaches, drawing on a resident's personal history and long-term autobiographical memory, which typically remains more intact than short-term memory in the earlier and middle stages of dementia, were similarly identified as effective, offering residents a sense of continuity of identity that directly addresses the psychological dimension of the Unmet Needs Model; a Cochrane systematic review of randomised controlled trials found modest but consistent benefits of reminiscence therapy for communication and mood, particularly in care home settings (Woods et al., 2018). Where such approaches were combined with input from family members, who are often best placed to supply the biographical detail needed to make reminiscence activities genuinely personalised, the reported benefits appeared more pronounced, reinforcing the case, developed further in Chapter 5, for the meaningful involvement of families in day-to-day care planning rather than </w:t>
      </w:r>
      <w:r w:rsidRPr="3225C199">
        <w:rPr>
          <w:rFonts w:ascii="Arial" w:hAnsi="Arial" w:cs="Arial"/>
          <w:sz w:val="22"/>
          <w:szCs w:val="22"/>
        </w:rPr>
        <w:lastRenderedPageBreak/>
        <w:t>their being treated solely as recipients of information about decisions already made. Similarly, structured pain assessment tools designed specifically for use with people who have limited verbal communication were highlighted as a practical means of addressing the frequently overlooked contribution of undiagnosed pain to BPSD, allowing staff to systematically screen for and address a treatable physical cause before assuming that a behaviour is solely attributable to the progression of dementia itself.</w:t>
      </w:r>
    </w:p>
    <w:p w14:paraId="669E5466" w14:textId="4B926E3D" w:rsidR="00DF51AF" w:rsidRPr="00F81ED9" w:rsidRDefault="0D1F849A" w:rsidP="3225C199">
      <w:pPr>
        <w:spacing w:after="200" w:line="360" w:lineRule="auto"/>
        <w:jc w:val="both"/>
      </w:pPr>
      <w:r w:rsidRPr="3225C199">
        <w:rPr>
          <w:rFonts w:ascii="Arial" w:hAnsi="Arial" w:cs="Arial"/>
          <w:sz w:val="22"/>
          <w:szCs w:val="22"/>
        </w:rPr>
        <w:t xml:space="preserve">Nonetheless, the literature is consistent in identifying that the barriers to implementing these strategies are rarely technical or evidential in nature. Staff shortages mean that even well-trained staff may lack the time required to deliver individualised, relationship-based care consistently across an entire shift; high staff turnover undermines the consistency of staffing models shown to be protective; and the financial pressures facing much of the care home sector limit the capacity of providers to invest in the physical environmental adaptations, additional activity staff, or protected training time that effective non-pharmacological management requires. These structural barriers, rather than any deficiency in the underlying evidence base, </w:t>
      </w:r>
      <w:r w:rsidR="708A5FEB" w:rsidRPr="3225C199">
        <w:rPr>
          <w:rFonts w:ascii="Arial" w:hAnsi="Arial" w:cs="Arial"/>
          <w:sz w:val="22"/>
          <w:szCs w:val="22"/>
        </w:rPr>
        <w:t>therefore,</w:t>
      </w:r>
      <w:r w:rsidRPr="3225C199">
        <w:rPr>
          <w:rFonts w:ascii="Arial" w:hAnsi="Arial" w:cs="Arial"/>
          <w:sz w:val="22"/>
          <w:szCs w:val="22"/>
        </w:rPr>
        <w:t xml:space="preserve"> represent the primary obstacle to the more consistent implementation of the management strategies identified in this section, a conclusion that carries direct implications for the recommendations developed in Chapter 5.</w:t>
      </w:r>
    </w:p>
    <w:p w14:paraId="593CEA59" w14:textId="1B45E5CE" w:rsidR="3225C199" w:rsidRDefault="3225C199" w:rsidP="3225C199">
      <w:pPr>
        <w:spacing w:after="200" w:line="360" w:lineRule="auto"/>
        <w:jc w:val="both"/>
        <w:rPr>
          <w:rFonts w:ascii="Arial" w:hAnsi="Arial" w:cs="Arial"/>
          <w:sz w:val="22"/>
          <w:szCs w:val="22"/>
        </w:rPr>
      </w:pPr>
    </w:p>
    <w:p w14:paraId="34645482" w14:textId="76E11DE0" w:rsidR="3225C199" w:rsidRDefault="3225C199" w:rsidP="3225C199">
      <w:pPr>
        <w:spacing w:after="200" w:line="360" w:lineRule="auto"/>
        <w:jc w:val="both"/>
        <w:rPr>
          <w:rFonts w:ascii="Arial" w:hAnsi="Arial" w:cs="Arial"/>
          <w:sz w:val="22"/>
          <w:szCs w:val="22"/>
        </w:rPr>
      </w:pPr>
    </w:p>
    <w:p w14:paraId="6318A817" w14:textId="77777777" w:rsidR="00DF51AF" w:rsidRPr="004176F7" w:rsidRDefault="00DD5BEE" w:rsidP="00F81ED9">
      <w:pPr>
        <w:pStyle w:val="Heading2"/>
        <w:spacing w:before="300" w:after="150" w:line="360" w:lineRule="auto"/>
        <w:rPr>
          <w:rFonts w:ascii="Arial" w:hAnsi="Arial" w:cs="Arial"/>
          <w:b/>
          <w:bCs/>
          <w:color w:val="auto"/>
          <w:sz w:val="24"/>
          <w:szCs w:val="24"/>
        </w:rPr>
      </w:pPr>
      <w:r w:rsidRPr="004176F7">
        <w:rPr>
          <w:rFonts w:ascii="Arial" w:hAnsi="Arial" w:cs="Arial"/>
          <w:b/>
          <w:bCs/>
          <w:color w:val="auto"/>
          <w:sz w:val="24"/>
          <w:szCs w:val="24"/>
        </w:rPr>
        <w:t>4.3 Discussion</w:t>
      </w:r>
    </w:p>
    <w:p w14:paraId="43F56ECB"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Taken together, the findings presented above confirm the considerable complexity of challenging behaviour in dementia care and lend strong support to the continued shift towards person-centred, non-pharmacological management endorsed by both theoretical scholarship and national policy (Kitwood, 1997; NICE, 2018). The consistency with which effective staff training (Campbell et al., 2020) and supportive physical and social environments emerge as critical enabling factors across studies employing markedly different methodologies is particularly notable, since convergent findings across quantitative, qualitative, and mixed-methods research design strengthen confidence that these are genuine, generalisable features of effective BPSD management rather than artefacts of any single study's design or sample.</w:t>
      </w:r>
    </w:p>
    <w:p w14:paraId="39A845ED"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At the same time, the review highlights a persistent and troubling gap between what the evidence identifies as effective and what is consistently delivered in practice, a disconnect also identified in a systematic review of person-centred training manuals for care home staff, </w:t>
      </w:r>
      <w:r w:rsidRPr="3225C199">
        <w:rPr>
          <w:rFonts w:ascii="Arial" w:hAnsi="Arial" w:cs="Arial"/>
          <w:sz w:val="22"/>
          <w:szCs w:val="22"/>
        </w:rPr>
        <w:lastRenderedPageBreak/>
        <w:t>which found that much available training material was poorly aligned with the underlying evidence base (Fossey et al., 2014). This gap cannot straightforwardly be attributed to a lack of awareness among care home staff or leadership; rather, the literature points towards structural barriers, including staffing shortages, resource constraints, and organisational culture, as the principal obstacles to implementation (Gray, Brooker and Tucker, 2022). This distinction matters significantly for the recommendations developed in Chapter 5, since it suggests that interventions focused narrowly on raising awareness or disseminating further guidance are unlikely to be sufficient on their own; addressing the identified barriers will instead require attention to workforce capacity, funding, and the embedding of person-centred values within organisational culture at a systemic level.</w:t>
      </w:r>
    </w:p>
    <w:p w14:paraId="078F6952"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These findings carry direct implications for care home leadership and commissioning practice, beyond the level of the individual staff member. Where commissioning arrangements and fee structures are set primarily with reference to basic safety and personal care requirements, they may fail to adequately fund the staffing ratios, protected training time, and environmental adaptations that the evidence in this chapter identifies as prerequisites for effective non-pharmacological management, meaning that individual care homes, however well-intentioned, may face a structural mismatch between what they are funded to deliver and what the evidence indicates is required. This observation reinforces the argument that the gap between policy and practice identified throughout this dissertation is not simply a matter of individual staff or provider performance, but reflects, at least in part, the terms on which residential dementia care is commissioned and funded across the sector.</w:t>
      </w:r>
    </w:p>
    <w:p w14:paraId="23C82890"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The findings also illustrate the interconnected nature of the causes, impacts, and management of BPSD identified through this review. Environmental and unmet-needs-based causes align closely with environmental and activity-based management strategies, suggesting a coherent underlying logic in which effective intervention depends on the accurate identification of the specific unmet need or environmental trigger driving a given behaviour, rather than the application of generic, one-size-fits-all protocols. Similarly, the bidirectional relationship identified between staff wellbeing and resident behaviour indicates that interventions targeting staff support and training are likely to yield benefits not only for staff themselves but, indirectly, for residents and families as well, reinforcing the case for a holistic, whole-system approach to BPSD management rather than one focused narrowly on the resident in isolation.</w:t>
      </w:r>
    </w:p>
    <w:p w14:paraId="50C8D183"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Several strengths and limitations of this review should be acknowledged. Among its principal strengths, the review adopted a systematic and transparent search strategy across four relevant databases, applied clearly defined inclusion criteria, and focused specifically on recent, UK-based evidence, ensuring that the findings are directly applicable to the policy and </w:t>
      </w:r>
      <w:r w:rsidRPr="3225C199">
        <w:rPr>
          <w:rFonts w:ascii="Arial" w:hAnsi="Arial" w:cs="Arial"/>
          <w:sz w:val="22"/>
          <w:szCs w:val="22"/>
        </w:rPr>
        <w:lastRenderedPageBreak/>
        <w:t>practice context under consideration. The use of Braun and Clarke's (2006) established thematic analysis framework further supports the rigour and replicability of the synthesis process.</w:t>
      </w:r>
    </w:p>
    <w:p w14:paraId="431A6715"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Nonetheless, several limitations warrant acknowledgement. The relatively small number of studies meeting the inclusion criteria, a consequence of the deliberately narrow five-year, UK-specific search parameters, means that the review may not capture the full breadth of relevant international or historical evidence, some of which, as noted in Section 2.3, offers valuable comparative insight. The exclusion of non-English language studies introduces a further potential source of bias, particularly given that international evidence suggests culturally specific approaches to dementia care that may not be well represented within an English-language evidence base. Publication bias represents an additional limitation common to all literature reviews, given the tendency for studies reporting positive or statistically significant findings to be more likely to achieve publication than those reporting null or inconclusive results, potentially inflating the apparent effectiveness of the non-pharmacological interventions identified. Finally, as a review of secondary literature, this dissertation is necessarily constrained by the methodological quality and reporting practices of the original included studies, several of which employed relatively modest sample sizes that limit the statistical generalisability of their findings.</w:t>
      </w:r>
    </w:p>
    <w:p w14:paraId="66F157F5"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The absence of longitudinal research within the included literature, noted in Section 4.1, represents a particularly significant gap. Cross-sectional and short-term evaluative studies can establish that person-centred interventions are associated with reduced BPSD and reduced medication use at a single point in time, but they cannot fully answer whether these benefits are sustained over the course of a resident's residential care journey, nor how the causes and management needs of an individual resident might change as their dementia progresses. Future primary research employing longitudinal, cohort-based designs, following residents and staff over an extended period, would substantially strengthen the evidence base in this respect, and would allow researchers to examine more directly the bidirectional relationship between staff wellbeing and resident behaviour that this review has identified as a recurring but largely inferential theme across the existing literature.</w:t>
      </w:r>
    </w:p>
    <w:p w14:paraId="53C84F35" w14:textId="388ABA12"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A further gap concerns the relative absence of cost-effectiveness research within the reviewed studies. While the clinical and wellbeing case for person-centred, non-pharmacological approaches is well evidenced, comparatively little of the included literature directly quantifies the financial costs and benefits of implementing such approaches relative to the costs associated with continued reliance on medication or reactive management, including the downstream costs associated with staff turnover, premature care transitions, and </w:t>
      </w:r>
      <w:r w:rsidRPr="3225C199">
        <w:rPr>
          <w:rFonts w:ascii="Arial" w:hAnsi="Arial" w:cs="Arial"/>
          <w:sz w:val="22"/>
          <w:szCs w:val="22"/>
        </w:rPr>
        <w:lastRenderedPageBreak/>
        <w:t xml:space="preserve">safeguarding incidents linked to poorly managed BPSD. Given that the barriers identified throughout this review are substantially structural and resource-related, robust economic evidence of this kind would strengthen the case presented to policymakers and care providers </w:t>
      </w:r>
      <w:r w:rsidR="708A5FEB" w:rsidRPr="3225C199">
        <w:rPr>
          <w:rFonts w:ascii="Arial" w:hAnsi="Arial" w:cs="Arial"/>
          <w:sz w:val="22"/>
          <w:szCs w:val="22"/>
        </w:rPr>
        <w:t>considerably and</w:t>
      </w:r>
      <w:r w:rsidRPr="3225C199">
        <w:rPr>
          <w:rFonts w:ascii="Arial" w:hAnsi="Arial" w:cs="Arial"/>
          <w:sz w:val="22"/>
          <w:szCs w:val="22"/>
        </w:rPr>
        <w:t xml:space="preserve"> represents a valuable direction for future research building on the findings of this dissertation.</w:t>
      </w:r>
    </w:p>
    <w:p w14:paraId="46939219"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Notwithstanding these limitations, the overall pattern of findings across the reviewed literature is sufficiently consistent, both across differing methodologies and in relation to the established theoretical frameworks discussed in Chapter 2, to support the central conclusion of this review: that the causes, impacts, and management of BPSD in UK care homes are best understood not as separate, isolated phenomena but as interconnected elements of a single system, in which meaningful improvement requires coordinated attention to residents, staff, families, and the organisational structures that shape the care they give and receive. This systemic understanding directly informs the recommendations developed in the following chapter.</w:t>
      </w:r>
    </w:p>
    <w:p w14:paraId="2658ADDD" w14:textId="77777777" w:rsidR="00DF51AF" w:rsidRPr="004176F7" w:rsidRDefault="0D1F849A" w:rsidP="3225C199">
      <w:pPr>
        <w:pStyle w:val="Heading2"/>
        <w:spacing w:before="300" w:after="150" w:line="360" w:lineRule="auto"/>
        <w:jc w:val="both"/>
        <w:rPr>
          <w:rFonts w:ascii="Arial" w:hAnsi="Arial" w:cs="Arial"/>
          <w:b/>
          <w:bCs/>
          <w:color w:val="auto"/>
          <w:sz w:val="28"/>
          <w:szCs w:val="28"/>
        </w:rPr>
      </w:pPr>
      <w:r w:rsidRPr="3225C199">
        <w:rPr>
          <w:rFonts w:ascii="Arial" w:hAnsi="Arial" w:cs="Arial"/>
          <w:b/>
          <w:bCs/>
          <w:color w:val="auto"/>
          <w:sz w:val="28"/>
          <w:szCs w:val="28"/>
        </w:rPr>
        <w:t>4.4 Table of Findings</w:t>
      </w:r>
    </w:p>
    <w:tbl>
      <w:tblPr>
        <w:tblStyle w:val="TableGrid"/>
        <w:tblW w:w="10000" w:type="dxa"/>
        <w:tblLook w:val="04A0" w:firstRow="1" w:lastRow="0" w:firstColumn="1" w:lastColumn="0" w:noHBand="0" w:noVBand="1"/>
      </w:tblPr>
      <w:tblGrid>
        <w:gridCol w:w="2500"/>
        <w:gridCol w:w="2500"/>
        <w:gridCol w:w="2500"/>
        <w:gridCol w:w="2500"/>
      </w:tblGrid>
      <w:tr w:rsidR="00DF51AF" w:rsidRPr="004176F7" w14:paraId="67D00192" w14:textId="77777777" w:rsidTr="3225C199">
        <w:tc>
          <w:tcPr>
            <w:tcW w:w="2500" w:type="dxa"/>
            <w:shd w:val="clear" w:color="auto" w:fill="D86DCB" w:themeFill="accent5" w:themeFillTint="99"/>
          </w:tcPr>
          <w:p w14:paraId="3312B687"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b/>
                <w:bCs/>
                <w:sz w:val="22"/>
                <w:szCs w:val="22"/>
              </w:rPr>
              <w:t>Author(s) &amp; Year</w:t>
            </w:r>
          </w:p>
        </w:tc>
        <w:tc>
          <w:tcPr>
            <w:tcW w:w="2500" w:type="dxa"/>
            <w:shd w:val="clear" w:color="auto" w:fill="D86DCB" w:themeFill="accent5" w:themeFillTint="99"/>
          </w:tcPr>
          <w:p w14:paraId="6FF11834"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b/>
                <w:bCs/>
                <w:sz w:val="22"/>
                <w:szCs w:val="22"/>
              </w:rPr>
              <w:t>Aim</w:t>
            </w:r>
          </w:p>
        </w:tc>
        <w:tc>
          <w:tcPr>
            <w:tcW w:w="2500" w:type="dxa"/>
            <w:shd w:val="clear" w:color="auto" w:fill="D86DCB" w:themeFill="accent5" w:themeFillTint="99"/>
          </w:tcPr>
          <w:p w14:paraId="0F3A87D1"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b/>
                <w:bCs/>
                <w:sz w:val="22"/>
                <w:szCs w:val="22"/>
              </w:rPr>
              <w:t>Methodology &amp; Sample Size</w:t>
            </w:r>
          </w:p>
        </w:tc>
        <w:tc>
          <w:tcPr>
            <w:tcW w:w="2500" w:type="dxa"/>
            <w:shd w:val="clear" w:color="auto" w:fill="D86DCB" w:themeFill="accent5" w:themeFillTint="99"/>
          </w:tcPr>
          <w:p w14:paraId="53791964"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b/>
                <w:bCs/>
                <w:sz w:val="22"/>
                <w:szCs w:val="22"/>
              </w:rPr>
              <w:t>Key Findings</w:t>
            </w:r>
          </w:p>
        </w:tc>
      </w:tr>
      <w:tr w:rsidR="00DF51AF" w:rsidRPr="00F81ED9" w14:paraId="7B3944C8" w14:textId="77777777" w:rsidTr="3225C199">
        <w:tc>
          <w:tcPr>
            <w:tcW w:w="2500" w:type="dxa"/>
          </w:tcPr>
          <w:p w14:paraId="31D91BA0"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sz w:val="22"/>
                <w:szCs w:val="22"/>
              </w:rPr>
              <w:t>Livingston et al. (2017)</w:t>
            </w:r>
          </w:p>
        </w:tc>
        <w:tc>
          <w:tcPr>
            <w:tcW w:w="2500" w:type="dxa"/>
          </w:tcPr>
          <w:p w14:paraId="71059DF1"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sz w:val="22"/>
                <w:szCs w:val="22"/>
              </w:rPr>
              <w:t>Prevalence of agitation in care homes</w:t>
            </w:r>
          </w:p>
        </w:tc>
        <w:tc>
          <w:tcPr>
            <w:tcW w:w="2500" w:type="dxa"/>
          </w:tcPr>
          <w:p w14:paraId="7F891810"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sz w:val="22"/>
                <w:szCs w:val="22"/>
              </w:rPr>
              <w:t>Cross-sectional, n=86</w:t>
            </w:r>
          </w:p>
        </w:tc>
        <w:tc>
          <w:tcPr>
            <w:tcW w:w="2500" w:type="dxa"/>
          </w:tcPr>
          <w:p w14:paraId="496D2535"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sz w:val="22"/>
                <w:szCs w:val="22"/>
              </w:rPr>
              <w:t>High levels of agitation linked to environment</w:t>
            </w:r>
          </w:p>
        </w:tc>
      </w:tr>
      <w:tr w:rsidR="00DF51AF" w:rsidRPr="004176F7" w14:paraId="3EB928C7" w14:textId="77777777" w:rsidTr="3225C199">
        <w:tc>
          <w:tcPr>
            <w:tcW w:w="2500" w:type="dxa"/>
            <w:shd w:val="clear" w:color="auto" w:fill="F2CEED" w:themeFill="accent5" w:themeFillTint="33"/>
          </w:tcPr>
          <w:p w14:paraId="5F10A763"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sz w:val="22"/>
                <w:szCs w:val="22"/>
              </w:rPr>
              <w:t>Campbell et al. (2020)</w:t>
            </w:r>
          </w:p>
        </w:tc>
        <w:tc>
          <w:tcPr>
            <w:tcW w:w="2500" w:type="dxa"/>
            <w:shd w:val="clear" w:color="auto" w:fill="F2CEED" w:themeFill="accent5" w:themeFillTint="33"/>
          </w:tcPr>
          <w:p w14:paraId="1CF26F30"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sz w:val="22"/>
                <w:szCs w:val="22"/>
              </w:rPr>
              <w:t>Staff preparedness for BPSD</w:t>
            </w:r>
          </w:p>
        </w:tc>
        <w:tc>
          <w:tcPr>
            <w:tcW w:w="2500" w:type="dxa"/>
            <w:shd w:val="clear" w:color="auto" w:fill="F2CEED" w:themeFill="accent5" w:themeFillTint="33"/>
          </w:tcPr>
          <w:p w14:paraId="1BA03F55"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sz w:val="22"/>
                <w:szCs w:val="22"/>
              </w:rPr>
              <w:t>Mixed-methods, n=150</w:t>
            </w:r>
          </w:p>
        </w:tc>
        <w:tc>
          <w:tcPr>
            <w:tcW w:w="2500" w:type="dxa"/>
            <w:shd w:val="clear" w:color="auto" w:fill="F2CEED" w:themeFill="accent5" w:themeFillTint="33"/>
          </w:tcPr>
          <w:p w14:paraId="6DAA70E0" w14:textId="77777777" w:rsidR="00DF51AF" w:rsidRPr="00FB3ADA" w:rsidRDefault="0D1F849A" w:rsidP="3225C199">
            <w:pPr>
              <w:spacing w:line="360" w:lineRule="auto"/>
              <w:jc w:val="both"/>
              <w:rPr>
                <w:rFonts w:ascii="Arial" w:hAnsi="Arial" w:cs="Arial"/>
                <w:sz w:val="22"/>
                <w:szCs w:val="22"/>
              </w:rPr>
            </w:pPr>
            <w:r w:rsidRPr="3225C199">
              <w:rPr>
                <w:rFonts w:ascii="Arial" w:hAnsi="Arial" w:cs="Arial"/>
                <w:sz w:val="22"/>
                <w:szCs w:val="22"/>
              </w:rPr>
              <w:t>Training improves staff confidence</w:t>
            </w:r>
          </w:p>
        </w:tc>
      </w:tr>
      <w:tr w:rsidR="00DF51AF" w:rsidRPr="00F81ED9" w14:paraId="0565D8FE" w14:textId="77777777" w:rsidTr="3225C199">
        <w:tc>
          <w:tcPr>
            <w:tcW w:w="2500" w:type="dxa"/>
          </w:tcPr>
          <w:p w14:paraId="605E273E"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Smith et al. (2024)</w:t>
            </w:r>
          </w:p>
        </w:tc>
        <w:tc>
          <w:tcPr>
            <w:tcW w:w="2500" w:type="dxa"/>
          </w:tcPr>
          <w:p w14:paraId="17146445"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Non-pharmacological interventions</w:t>
            </w:r>
          </w:p>
        </w:tc>
        <w:tc>
          <w:tcPr>
            <w:tcW w:w="2500" w:type="dxa"/>
          </w:tcPr>
          <w:p w14:paraId="04577061"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Ethnographic, n=4 homes</w:t>
            </w:r>
          </w:p>
        </w:tc>
        <w:tc>
          <w:tcPr>
            <w:tcW w:w="2500" w:type="dxa"/>
          </w:tcPr>
          <w:p w14:paraId="297EED64"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Person-centred care reduces medication use</w:t>
            </w:r>
          </w:p>
        </w:tc>
      </w:tr>
      <w:tr w:rsidR="00DF51AF" w:rsidRPr="004176F7" w14:paraId="7C5A9781" w14:textId="77777777" w:rsidTr="3225C199">
        <w:tc>
          <w:tcPr>
            <w:tcW w:w="2500" w:type="dxa"/>
            <w:shd w:val="clear" w:color="auto" w:fill="F2CEED" w:themeFill="accent5" w:themeFillTint="33"/>
          </w:tcPr>
          <w:p w14:paraId="2F423C93"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Gray et al. (2022)</w:t>
            </w:r>
          </w:p>
        </w:tc>
        <w:tc>
          <w:tcPr>
            <w:tcW w:w="2500" w:type="dxa"/>
            <w:shd w:val="clear" w:color="auto" w:fill="F2CEED" w:themeFill="accent5" w:themeFillTint="33"/>
          </w:tcPr>
          <w:p w14:paraId="1B1AA500"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Application of NICE guidelines</w:t>
            </w:r>
          </w:p>
        </w:tc>
        <w:tc>
          <w:tcPr>
            <w:tcW w:w="2500" w:type="dxa"/>
            <w:shd w:val="clear" w:color="auto" w:fill="F2CEED" w:themeFill="accent5" w:themeFillTint="33"/>
          </w:tcPr>
          <w:p w14:paraId="6838C36B"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e-Survey, n=200</w:t>
            </w:r>
          </w:p>
        </w:tc>
        <w:tc>
          <w:tcPr>
            <w:tcW w:w="2500" w:type="dxa"/>
            <w:shd w:val="clear" w:color="auto" w:fill="F2CEED" w:themeFill="accent5" w:themeFillTint="33"/>
          </w:tcPr>
          <w:p w14:paraId="64ADD894"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Inconsistent guideline implementation</w:t>
            </w:r>
          </w:p>
        </w:tc>
      </w:tr>
      <w:tr w:rsidR="00DF51AF" w:rsidRPr="00F81ED9" w14:paraId="43ED9ADC" w14:textId="77777777" w:rsidTr="3225C199">
        <w:tc>
          <w:tcPr>
            <w:tcW w:w="2500" w:type="dxa"/>
          </w:tcPr>
          <w:p w14:paraId="3A7325BA"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Shah et al. (2024)</w:t>
            </w:r>
          </w:p>
        </w:tc>
        <w:tc>
          <w:tcPr>
            <w:tcW w:w="2500" w:type="dxa"/>
          </w:tcPr>
          <w:p w14:paraId="6E7B1FC4"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Family impact of BPSD</w:t>
            </w:r>
          </w:p>
        </w:tc>
        <w:tc>
          <w:tcPr>
            <w:tcW w:w="2500" w:type="dxa"/>
          </w:tcPr>
          <w:p w14:paraId="047EA22F"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Survey, n=300 families</w:t>
            </w:r>
          </w:p>
        </w:tc>
        <w:tc>
          <w:tcPr>
            <w:tcW w:w="2500" w:type="dxa"/>
          </w:tcPr>
          <w:p w14:paraId="0920A1D8"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BPSD causes emotional/financial strain</w:t>
            </w:r>
          </w:p>
        </w:tc>
      </w:tr>
      <w:tr w:rsidR="00DF51AF" w:rsidRPr="00F81ED9" w14:paraId="4745711D" w14:textId="77777777" w:rsidTr="3225C199">
        <w:tc>
          <w:tcPr>
            <w:tcW w:w="2500" w:type="dxa"/>
            <w:shd w:val="clear" w:color="auto" w:fill="F2CEED" w:themeFill="accent5" w:themeFillTint="33"/>
          </w:tcPr>
          <w:p w14:paraId="0D5AB707"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McDermott et al. (2013)</w:t>
            </w:r>
          </w:p>
        </w:tc>
        <w:tc>
          <w:tcPr>
            <w:tcW w:w="2500" w:type="dxa"/>
            <w:shd w:val="clear" w:color="auto" w:fill="F2CEED" w:themeFill="accent5" w:themeFillTint="33"/>
          </w:tcPr>
          <w:p w14:paraId="6C2C377F"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Music therapy benefits</w:t>
            </w:r>
          </w:p>
        </w:tc>
        <w:tc>
          <w:tcPr>
            <w:tcW w:w="2500" w:type="dxa"/>
            <w:shd w:val="clear" w:color="auto" w:fill="F2CEED" w:themeFill="accent5" w:themeFillTint="33"/>
          </w:tcPr>
          <w:p w14:paraId="7759E690"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Narrative review</w:t>
            </w:r>
          </w:p>
        </w:tc>
        <w:tc>
          <w:tcPr>
            <w:tcW w:w="2500" w:type="dxa"/>
            <w:shd w:val="clear" w:color="auto" w:fill="F2CEED" w:themeFill="accent5" w:themeFillTint="33"/>
          </w:tcPr>
          <w:p w14:paraId="4EEF2403"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Music therapy reduces agitation</w:t>
            </w:r>
          </w:p>
        </w:tc>
      </w:tr>
      <w:tr w:rsidR="00DF51AF" w:rsidRPr="00F81ED9" w14:paraId="31D1ED22" w14:textId="77777777" w:rsidTr="3225C199">
        <w:tc>
          <w:tcPr>
            <w:tcW w:w="2500" w:type="dxa"/>
          </w:tcPr>
          <w:p w14:paraId="4E114033"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Anantapong et al. (2025)</w:t>
            </w:r>
          </w:p>
        </w:tc>
        <w:tc>
          <w:tcPr>
            <w:tcW w:w="2500" w:type="dxa"/>
          </w:tcPr>
          <w:p w14:paraId="06D8B621"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International prevalence of BPSD</w:t>
            </w:r>
          </w:p>
        </w:tc>
        <w:tc>
          <w:tcPr>
            <w:tcW w:w="2500" w:type="dxa"/>
          </w:tcPr>
          <w:p w14:paraId="42CFBC0C"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Systematic review</w:t>
            </w:r>
          </w:p>
        </w:tc>
        <w:tc>
          <w:tcPr>
            <w:tcW w:w="2500" w:type="dxa"/>
          </w:tcPr>
          <w:p w14:paraId="366DEAB5"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High prevalence in acute/residential settings</w:t>
            </w:r>
          </w:p>
        </w:tc>
      </w:tr>
      <w:tr w:rsidR="00DF51AF" w:rsidRPr="00F81ED9" w14:paraId="35BD0FC8" w14:textId="77777777" w:rsidTr="3225C199">
        <w:tc>
          <w:tcPr>
            <w:tcW w:w="2500" w:type="dxa"/>
            <w:shd w:val="clear" w:color="auto" w:fill="F2CEED" w:themeFill="accent5" w:themeFillTint="33"/>
          </w:tcPr>
          <w:p w14:paraId="5D8300D9"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Leocadie et al. (2020)</w:t>
            </w:r>
          </w:p>
        </w:tc>
        <w:tc>
          <w:tcPr>
            <w:tcW w:w="2500" w:type="dxa"/>
            <w:shd w:val="clear" w:color="auto" w:fill="F2CEED" w:themeFill="accent5" w:themeFillTint="33"/>
          </w:tcPr>
          <w:p w14:paraId="05C47A53"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Caregiver skills and outcomes</w:t>
            </w:r>
          </w:p>
        </w:tc>
        <w:tc>
          <w:tcPr>
            <w:tcW w:w="2500" w:type="dxa"/>
            <w:shd w:val="clear" w:color="auto" w:fill="F2CEED" w:themeFill="accent5" w:themeFillTint="33"/>
          </w:tcPr>
          <w:p w14:paraId="5D956E6F"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Observational, n=120</w:t>
            </w:r>
          </w:p>
        </w:tc>
        <w:tc>
          <w:tcPr>
            <w:tcW w:w="2500" w:type="dxa"/>
            <w:shd w:val="clear" w:color="auto" w:fill="F2CEED" w:themeFill="accent5" w:themeFillTint="33"/>
          </w:tcPr>
          <w:p w14:paraId="48BA7F93"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Caregiver skill impacts resident behaviour</w:t>
            </w:r>
          </w:p>
        </w:tc>
      </w:tr>
      <w:tr w:rsidR="00DF51AF" w:rsidRPr="00F81ED9" w14:paraId="1A1EAA13" w14:textId="77777777" w:rsidTr="3225C199">
        <w:tc>
          <w:tcPr>
            <w:tcW w:w="2500" w:type="dxa"/>
          </w:tcPr>
          <w:p w14:paraId="31133C48"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Toot et al. (2017)</w:t>
            </w:r>
          </w:p>
        </w:tc>
        <w:tc>
          <w:tcPr>
            <w:tcW w:w="2500" w:type="dxa"/>
          </w:tcPr>
          <w:p w14:paraId="49FC5AB7"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Causes of nursing home placement</w:t>
            </w:r>
          </w:p>
        </w:tc>
        <w:tc>
          <w:tcPr>
            <w:tcW w:w="2500" w:type="dxa"/>
          </w:tcPr>
          <w:p w14:paraId="71310009"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Systematic review</w:t>
            </w:r>
          </w:p>
        </w:tc>
        <w:tc>
          <w:tcPr>
            <w:tcW w:w="2500" w:type="dxa"/>
          </w:tcPr>
          <w:p w14:paraId="7FDB4623"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BPSD a major factor in care transitions</w:t>
            </w:r>
          </w:p>
        </w:tc>
      </w:tr>
      <w:tr w:rsidR="00DF51AF" w:rsidRPr="00F81ED9" w14:paraId="0CEB877E" w14:textId="77777777" w:rsidTr="3225C199">
        <w:tc>
          <w:tcPr>
            <w:tcW w:w="2500" w:type="dxa"/>
            <w:shd w:val="clear" w:color="auto" w:fill="F2CEED" w:themeFill="accent5" w:themeFillTint="33"/>
          </w:tcPr>
          <w:p w14:paraId="256F4A09"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lastRenderedPageBreak/>
              <w:t>Meyer &amp; O'Keefe (2020)</w:t>
            </w:r>
          </w:p>
        </w:tc>
        <w:tc>
          <w:tcPr>
            <w:tcW w:w="2500" w:type="dxa"/>
            <w:shd w:val="clear" w:color="auto" w:fill="F2CEED" w:themeFill="accent5" w:themeFillTint="33"/>
          </w:tcPr>
          <w:p w14:paraId="3977F869"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Review of reviews on interventions</w:t>
            </w:r>
          </w:p>
        </w:tc>
        <w:tc>
          <w:tcPr>
            <w:tcW w:w="2500" w:type="dxa"/>
            <w:shd w:val="clear" w:color="auto" w:fill="F2CEED" w:themeFill="accent5" w:themeFillTint="33"/>
          </w:tcPr>
          <w:p w14:paraId="4A81B660"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Systematic review</w:t>
            </w:r>
          </w:p>
        </w:tc>
        <w:tc>
          <w:tcPr>
            <w:tcW w:w="2500" w:type="dxa"/>
            <w:shd w:val="clear" w:color="auto" w:fill="F2CEED" w:themeFill="accent5" w:themeFillTint="33"/>
          </w:tcPr>
          <w:p w14:paraId="6D3E5FBB" w14:textId="77777777" w:rsidR="00DF51AF" w:rsidRPr="00FB3ADA" w:rsidRDefault="00DD5BEE" w:rsidP="00F81ED9">
            <w:pPr>
              <w:spacing w:line="360" w:lineRule="auto"/>
              <w:rPr>
                <w:rFonts w:ascii="Arial" w:hAnsi="Arial" w:cs="Arial"/>
                <w:sz w:val="20"/>
                <w:szCs w:val="20"/>
              </w:rPr>
            </w:pPr>
            <w:r w:rsidRPr="00FB3ADA">
              <w:rPr>
                <w:rFonts w:ascii="Arial" w:hAnsi="Arial" w:cs="Arial"/>
                <w:sz w:val="20"/>
                <w:szCs w:val="20"/>
              </w:rPr>
              <w:t>Activity-based interventions most effective</w:t>
            </w:r>
          </w:p>
        </w:tc>
      </w:tr>
    </w:tbl>
    <w:p w14:paraId="3E1B4FB6" w14:textId="1E985504" w:rsidR="63F0656D" w:rsidRDefault="63F0656D" w:rsidP="3225C199">
      <w:pPr>
        <w:pStyle w:val="Heading1"/>
        <w:spacing w:before="400" w:after="200" w:line="360" w:lineRule="auto"/>
        <w:rPr>
          <w:rFonts w:ascii="Arial" w:hAnsi="Arial" w:cs="Arial"/>
          <w:b/>
          <w:bCs/>
          <w:color w:val="auto"/>
          <w:sz w:val="28"/>
          <w:szCs w:val="28"/>
        </w:rPr>
      </w:pPr>
      <w:r w:rsidRPr="3225C199">
        <w:rPr>
          <w:rFonts w:ascii="Arial" w:hAnsi="Arial" w:cs="Arial"/>
          <w:b/>
          <w:bCs/>
          <w:color w:val="auto"/>
          <w:sz w:val="28"/>
          <w:szCs w:val="28"/>
        </w:rPr>
        <w:t>Summary</w:t>
      </w:r>
    </w:p>
    <w:p w14:paraId="2C3A7717" w14:textId="6E06FD32" w:rsidR="3225C199" w:rsidRPr="00C5548A" w:rsidRDefault="00C5548A" w:rsidP="00C5548A">
      <w:pPr>
        <w:pStyle w:val="Heading1"/>
        <w:spacing w:before="400" w:after="200" w:line="360" w:lineRule="auto"/>
        <w:jc w:val="both"/>
        <w:rPr>
          <w:rFonts w:ascii="Arial" w:hAnsi="Arial" w:cs="Arial"/>
          <w:color w:val="auto"/>
          <w:sz w:val="22"/>
          <w:szCs w:val="22"/>
        </w:rPr>
      </w:pPr>
      <w:r w:rsidRPr="00C5548A">
        <w:rPr>
          <w:rFonts w:ascii="Arial" w:hAnsi="Arial" w:cs="Arial"/>
          <w:color w:val="auto"/>
          <w:sz w:val="22"/>
          <w:szCs w:val="22"/>
        </w:rPr>
        <w:t>This chapter presented the findings of the literature review. It found that challenging behaviour is influenced by unmet needs, environmental factors, and staff practices. The evidence showed that person-centred care, staff training, and non-pharmacological interventions are the most effective ways to improve outcomes for residents with dementia.</w:t>
      </w:r>
    </w:p>
    <w:p w14:paraId="6514D6A1" w14:textId="77777777" w:rsidR="00DF51AF" w:rsidRPr="00FB3ADA" w:rsidRDefault="0D1F849A" w:rsidP="3225C199">
      <w:pPr>
        <w:pStyle w:val="Heading1"/>
        <w:spacing w:before="400" w:after="200" w:line="360" w:lineRule="auto"/>
        <w:ind w:left="720"/>
        <w:rPr>
          <w:rFonts w:ascii="Arial" w:hAnsi="Arial" w:cs="Arial"/>
          <w:b/>
          <w:bCs/>
          <w:color w:val="auto"/>
        </w:rPr>
      </w:pPr>
      <w:r w:rsidRPr="3225C199">
        <w:rPr>
          <w:rFonts w:ascii="Arial" w:hAnsi="Arial" w:cs="Arial"/>
          <w:b/>
          <w:bCs/>
          <w:color w:val="auto"/>
        </w:rPr>
        <w:t>Chapter 5: Recommendations and Conclusion</w:t>
      </w:r>
    </w:p>
    <w:p w14:paraId="6B7AC6B6" w14:textId="77777777" w:rsidR="00DF51AF" w:rsidRPr="00FB3ADA" w:rsidRDefault="00DD5BEE" w:rsidP="00F81ED9">
      <w:pPr>
        <w:pStyle w:val="Heading2"/>
        <w:spacing w:before="300" w:after="150" w:line="360" w:lineRule="auto"/>
        <w:rPr>
          <w:rFonts w:ascii="Arial" w:hAnsi="Arial" w:cs="Arial"/>
          <w:b/>
          <w:bCs/>
          <w:color w:val="auto"/>
          <w:sz w:val="28"/>
          <w:szCs w:val="28"/>
        </w:rPr>
      </w:pPr>
      <w:r w:rsidRPr="00FB3ADA">
        <w:rPr>
          <w:rFonts w:ascii="Arial" w:hAnsi="Arial" w:cs="Arial"/>
          <w:b/>
          <w:bCs/>
          <w:color w:val="auto"/>
          <w:sz w:val="28"/>
          <w:szCs w:val="28"/>
        </w:rPr>
        <w:t>5.1 Recommendations</w:t>
      </w:r>
    </w:p>
    <w:p w14:paraId="6026275B"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The findings of this review point towards six interconnected recommendations for improving the management of challenging behaviour among older adults with dementia in UK care homes. These recommendations are deliberately framed to be realistic and implementable within the resourcing constraints that characterise much of the sector, while remaining firmly grounded in the evidence synthesised in Chapter 4.</w:t>
      </w:r>
    </w:p>
    <w:p w14:paraId="32C0B5FC"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Enhance Staff Training: Regular, mandatory training focused on BPSD recognition, person-centred care, and non-pharmacological interventions should be implemented in all care homes, rather than relying on the ad hoc or minimal induction training that currently characterises much of the sector (Campbell et al., 2020). Training should be structured to build both technical knowledge, such as the ability to identify common environmental and physical triggers for BPSD, and relational skills,</w:t>
      </w:r>
      <w:r w:rsidRPr="3225C199">
        <w:rPr>
          <w:rFonts w:ascii="Arial" w:hAnsi="Arial" w:cs="Arial"/>
        </w:rPr>
        <w:t xml:space="preserve"> </w:t>
      </w:r>
      <w:r w:rsidRPr="3225C199">
        <w:rPr>
          <w:rFonts w:ascii="Arial" w:hAnsi="Arial" w:cs="Arial"/>
          <w:sz w:val="22"/>
          <w:szCs w:val="22"/>
        </w:rPr>
        <w:t>including de-escalation techniques and communication strategies appropriate to residents with varying degrees of cognitive impairment. Given the evidence that staff confidence and coping skills are directly improved by structured training, investment in this area should be regarded not as a discretionary add-on but as a core operational priority, with regular refresher training built into ongoing staff development rather than delivered as a single, one-off induction event.</w:t>
      </w:r>
    </w:p>
    <w:p w14:paraId="26125BEA"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 xml:space="preserve">Prioritise Individualised Interventions: Care plans should be tailored to residents' individual histories, preferences, and remaining capabilities, incorporating activities such as music (McDermott et al., 2013), art, and reminiscence therapy (Meyer and O'Keefe, 2020), rather than the application of generic activity programmes applied uniformly across all residents. This </w:t>
      </w:r>
      <w:r w:rsidRPr="3225C199">
        <w:rPr>
          <w:rFonts w:ascii="Arial" w:hAnsi="Arial" w:cs="Arial"/>
          <w:sz w:val="22"/>
          <w:szCs w:val="22"/>
        </w:rPr>
        <w:lastRenderedPageBreak/>
        <w:t>requires care homes to invest time in gathering detailed biographical and preference information for each resident, ideally in</w:t>
      </w:r>
      <w:r w:rsidRPr="3225C199">
        <w:rPr>
          <w:rFonts w:ascii="Arial" w:hAnsi="Arial" w:cs="Arial"/>
        </w:rPr>
        <w:t xml:space="preserve"> </w:t>
      </w:r>
      <w:r w:rsidRPr="3225C199">
        <w:rPr>
          <w:rFonts w:ascii="Arial" w:hAnsi="Arial" w:cs="Arial"/>
          <w:sz w:val="22"/>
          <w:szCs w:val="22"/>
        </w:rPr>
        <w:t>collaboration with family members, and to build sufficiently flexible staffing and activity schedules to allow genuinely individualised interventions to be delivered consistently, rather than only when staffing levels happen to permit additional discretionary time.</w:t>
      </w:r>
    </w:p>
    <w:p w14:paraId="295CF1E8"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Support for Family Carers: Families should be included in care planning and provided with information and emotional support (Shah et al., 2024), addressing the finding that family carers frequently feel excluded from decisions relating to the management of a relative's BPSD. Practical steps might include structured, regular communication between care staff and families regarding behavioural changes and the rationale for particular management approaches, alongside the provision of accessible information about BPSD as a form of communication rather than a sign of decline, in order to reduce the guilt, distress, and helplessness that many families report experiencing.</w:t>
      </w:r>
    </w:p>
    <w:p w14:paraId="6DB91936"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Improve Organisational Culture: Care home leadership should actively promote a culture of respect, reflection, and continuous improvement, consistent with the values-based emphasis of person-centred care (Kitwood, 1997). This includes creating structured opportunities for staff to reflect on and learn from challenging incidents without fear of blame, embedding person-centred values into staff appraisal and supervision processes, and ensuring that senior leadership visibly models and reinforces these values in day-to-day practice, since organisational culture has been identified as a significant barrier where it is not actively and deliberately cultivated.</w:t>
      </w:r>
    </w:p>
    <w:p w14:paraId="710914D7"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Monitor Environmental Factors: Regular, structured assessment of the physical and social environment can help identify and address triggers for challenging behaviour before they escalate (Livingston et al., 2017). This might include periodic environmental audits examining noise levels, lighting, and the availability of calm, low-stimulation spaces, alongside routine review of scheduling and routine to identify and minimise unnecessary disruption to residents' established patterns of daily life.</w:t>
      </w:r>
    </w:p>
    <w:p w14:paraId="04716F6D"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Policy and Funding: Policymakers should ensure adequate funding and resources to support workforce development and the consistent implementation of best practice guidelines across the care home sector (NICE, 2018). Given that the barriers to effective BPSD management identified throughout this review are predominantly structural rather than attitudinal, meaningful improvement is unlikely to be achieved through further guidance alone; sustained investment in staffing levels, training infrastructure, and regional equity of access to specialist dementia support will be required if the ambitions set out in national policy are to be consistently realised at the level of individual care homes.</w:t>
      </w:r>
    </w:p>
    <w:p w14:paraId="0ECC4AB2" w14:textId="77777777" w:rsidR="00DF51AF" w:rsidRPr="00FB3ADA" w:rsidRDefault="00DD5BEE" w:rsidP="00F81ED9">
      <w:pPr>
        <w:pStyle w:val="Heading2"/>
        <w:spacing w:before="300" w:after="150" w:line="360" w:lineRule="auto"/>
        <w:rPr>
          <w:rFonts w:ascii="Arial" w:hAnsi="Arial" w:cs="Arial"/>
          <w:b/>
          <w:bCs/>
          <w:color w:val="000000" w:themeColor="text1"/>
          <w:sz w:val="28"/>
          <w:szCs w:val="28"/>
        </w:rPr>
      </w:pPr>
      <w:r w:rsidRPr="00FB3ADA">
        <w:rPr>
          <w:rFonts w:ascii="Arial" w:hAnsi="Arial" w:cs="Arial"/>
          <w:b/>
          <w:bCs/>
          <w:color w:val="000000" w:themeColor="text1"/>
          <w:sz w:val="28"/>
          <w:szCs w:val="28"/>
        </w:rPr>
        <w:lastRenderedPageBreak/>
        <w:t>5.2 Conclusion</w:t>
      </w:r>
    </w:p>
    <w:p w14:paraId="4E5A3494"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This dissertation has critically examined the causes, impacts, and management strategies for challenging behaviour among older people with dementia in UK care homes. The review confirms that BPSD are complex and multifactorial, arising from the interaction of environmental, physical, psychological, and organisational factors, with significant and far-reaching effects on residents, staff, and families alike (Toot et al., 2017; Shah et al., 2024).</w:t>
      </w:r>
    </w:p>
    <w:p w14:paraId="759FE828" w14:textId="77777777" w:rsidR="00DF51AF" w:rsidRPr="00F81ED9" w:rsidRDefault="0D1F849A" w:rsidP="3225C199">
      <w:pPr>
        <w:spacing w:after="200" w:line="360" w:lineRule="auto"/>
        <w:jc w:val="both"/>
        <w:rPr>
          <w:rFonts w:ascii="Arial" w:hAnsi="Arial" w:cs="Arial"/>
          <w:sz w:val="22"/>
          <w:szCs w:val="22"/>
        </w:rPr>
      </w:pPr>
      <w:r w:rsidRPr="3225C199">
        <w:rPr>
          <w:rFonts w:ascii="Arial" w:hAnsi="Arial" w:cs="Arial"/>
          <w:sz w:val="22"/>
          <w:szCs w:val="22"/>
        </w:rPr>
        <w:t>Person-centred, non-pharmacological approaches, supported by effective staff training and genuine organisational commitment, offer the most promising means of improving outcomes across all three groups affected by BPSD (Kitwood, 1997; NICE, 2018). However, this review has also demonstrated that persistent barriers at the system and service level, principally staffing shortages, training gaps, and inconsistent organisational culture, must be addressed if evidence-based practice is to be consistently delivered rather than remaining aspirational.</w:t>
      </w:r>
    </w:p>
    <w:p w14:paraId="129A30EF" w14:textId="77777777" w:rsidR="00DF51AF" w:rsidRPr="00F81ED9" w:rsidRDefault="0D1F849A" w:rsidP="3225C199">
      <w:pPr>
        <w:spacing w:after="200" w:line="360" w:lineRule="auto"/>
        <w:jc w:val="both"/>
        <w:rPr>
          <w:rFonts w:ascii="Arial" w:hAnsi="Arial" w:cs="Arial"/>
        </w:rPr>
      </w:pPr>
      <w:r w:rsidRPr="3225C199">
        <w:rPr>
          <w:rFonts w:ascii="Arial" w:hAnsi="Arial" w:cs="Arial"/>
          <w:sz w:val="22"/>
          <w:szCs w:val="22"/>
        </w:rPr>
        <w:t>The recommendations set out in this chapter, spanning staff training, individualised care planning, family involvement, organisational culture, environmental monitoring, and policy and funding, are intended to provide a coherent and realistic framework through which the gap between policy and practice identified throughout this dissertation might begin to be closed. By staying focused on the study's original aim and objectives, this work provides a foundation for future improvements in dementia care, while also highlighting the need for further primary research, particularly research examining the long-term, real-world implementation of person-centred interventions within the operational constraints of the UK care home sector, in order to build a more robust evidence base for the policy and funding decisions that will ultimately determine whether the gains identified in this review can be realised at scale. Ultimately, the evidence gathered here suggests that closing the gap between what is known to work and what is consistently delivered is less a matter of further clinical discovery than of sustained investment in the people and systems responsible for delivering care to some of the most vulnerable members of society</w:t>
      </w:r>
      <w:r w:rsidRPr="3225C199">
        <w:rPr>
          <w:rFonts w:ascii="Arial" w:hAnsi="Arial" w:cs="Arial"/>
        </w:rPr>
        <w:t>.</w:t>
      </w:r>
    </w:p>
    <w:p w14:paraId="4053F19A" w14:textId="77777777" w:rsidR="00DF51AF" w:rsidRPr="00F81ED9" w:rsidRDefault="00DD5BEE" w:rsidP="00F81ED9">
      <w:pPr>
        <w:spacing w:line="360" w:lineRule="auto"/>
        <w:rPr>
          <w:rFonts w:ascii="Arial" w:hAnsi="Arial" w:cs="Arial"/>
        </w:rPr>
      </w:pPr>
      <w:r w:rsidRPr="00F81ED9">
        <w:rPr>
          <w:rFonts w:ascii="Arial" w:hAnsi="Arial" w:cs="Arial"/>
        </w:rPr>
        <w:br w:type="page"/>
      </w:r>
    </w:p>
    <w:p w14:paraId="6F68844C" w14:textId="77777777" w:rsidR="00DF51AF" w:rsidRPr="00FB3ADA" w:rsidRDefault="00DD5BEE" w:rsidP="00F81ED9">
      <w:pPr>
        <w:pStyle w:val="Heading1"/>
        <w:spacing w:before="400" w:after="200" w:line="360" w:lineRule="auto"/>
        <w:rPr>
          <w:rFonts w:ascii="Arial" w:hAnsi="Arial" w:cs="Arial"/>
          <w:b/>
          <w:bCs/>
          <w:color w:val="000000" w:themeColor="text1"/>
        </w:rPr>
      </w:pPr>
      <w:r w:rsidRPr="00FB3ADA">
        <w:rPr>
          <w:rFonts w:ascii="Arial" w:hAnsi="Arial" w:cs="Arial"/>
          <w:b/>
          <w:bCs/>
          <w:color w:val="000000" w:themeColor="text1"/>
        </w:rPr>
        <w:lastRenderedPageBreak/>
        <w:t>References</w:t>
      </w:r>
    </w:p>
    <w:p w14:paraId="17A85245"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Abbey, J., Piller, N., De Bellis, A., Esterman, A., Parker, D., Giles, L. and Lowcay, B. (2004) 'The Abbey pain scale: a 1-minute numerical indicator for people with end-stage dementia,' International Journal of Palliative Nursing, 10(1), pp. 6–13.</w:t>
      </w:r>
    </w:p>
    <w:p w14:paraId="2F68E1E1"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Alzheimer's Disease International (2024) World Alzheimer Report 2024: Global Changes in Attitudes to Dementia. London: Alzheimer's Disease International.</w:t>
      </w:r>
    </w:p>
    <w:p w14:paraId="65AE5325" w14:textId="4593253D"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 xml:space="preserve">Alzheimer's Society (2024) What are the costs of dementia diagnosis and care in the UK? Available at: https://www.alzheimers.org.uk/what-we-do/policy-and-influencing/dementia-scale-impact-numbers (Accessed: </w:t>
      </w:r>
      <w:r w:rsidR="00FB3ADA">
        <w:rPr>
          <w:rFonts w:ascii="Arial" w:hAnsi="Arial" w:cs="Arial"/>
          <w:sz w:val="22"/>
          <w:szCs w:val="22"/>
        </w:rPr>
        <w:t>31</w:t>
      </w:r>
      <w:r w:rsidRPr="004176F7">
        <w:rPr>
          <w:rFonts w:ascii="Arial" w:hAnsi="Arial" w:cs="Arial"/>
          <w:sz w:val="22"/>
          <w:szCs w:val="22"/>
        </w:rPr>
        <w:t xml:space="preserve"> July 2026).</w:t>
      </w:r>
    </w:p>
    <w:p w14:paraId="6BB8AD8C"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Anantapong, K., et al. (2025) 'Behavioural and psychological symptoms of people with dementia in acute hospital settings: a systematic review and meta-analysis,' Age and Ageing, 54(1), afaf013.</w:t>
      </w:r>
    </w:p>
    <w:p w14:paraId="26E6BE69"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Ballard, C., Orrell, M., Sun, Y., Moniz-Cook, E., Stafford, J., Whitaker, R., Woods, B., Corbett, A., Banerjee, S., Testad, I., Garrod, L., Khan, Z., Wenborn, J. and Fossey, J. (2017) 'Impact of antipsychotic review and non-pharmacological intervention on health-related quality of life in people with dementia living in care homes: WHELD—a factorial cluster randomised controlled trial,' International Journal of Geriatric Psychiatry, 32(10), pp. 1094–1103.</w:t>
      </w:r>
    </w:p>
    <w:p w14:paraId="7D238102"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Banerjee, S. (2009) The Use of Antipsychotic Medication for People with Dementia: Time for Action. London: Department of Health.</w:t>
      </w:r>
    </w:p>
    <w:p w14:paraId="561912C6"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Braun, V. and Clarke, V. (2006) 'Using thematic analysis in psychology,' Qualitative Research in Psychology, 3(2), pp. 77–101.</w:t>
      </w:r>
    </w:p>
    <w:p w14:paraId="1AF2293F"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Campbell, N., et al. (2020) 'Preparing care home staff to manage challenging behaviours among residents living with dementia: A mixed-methods evaluation,' Dementia, 19(8), pp. 2615–2633.</w:t>
      </w:r>
    </w:p>
    <w:p w14:paraId="57251E44"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Care Quality Commission (2025a) Health and Social Care Support for People with Dementia. Newcastle upon Tyne: CQC.</w:t>
      </w:r>
    </w:p>
    <w:p w14:paraId="46070260"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Care Quality Commission (2025b) State of Care 2024/25: Focus on Dementia. Newcastle upon Tyne: CQC.</w:t>
      </w:r>
    </w:p>
    <w:p w14:paraId="15F2F764"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Cohen-Mansfield, J. (2000) 'The unmet needs model of behavioural symptoms in dementia,' International Psychogeriatrics, 12(3), pp. 373–385.</w:t>
      </w:r>
    </w:p>
    <w:p w14:paraId="25097AFE"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lastRenderedPageBreak/>
        <w:t>Cohen-Mansfield, J. and Werner, P. (1995) 'Environmental influences on agitation: an integrative summary of an observational study,' American Journal of Alzheimer's Disease and Other Dementias, 10(1), pp. 32–39.</w:t>
      </w:r>
    </w:p>
    <w:p w14:paraId="77C01692" w14:textId="60433D9D"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 xml:space="preserve">Cohen-Mansfield, J., Dakheel-Ali, M., Marx, M.S., Thein, K. and Regier, N.G. (2015) 'Which unmet needs contribute to </w:t>
      </w:r>
      <w:r w:rsidR="00F81ED9" w:rsidRPr="004176F7">
        <w:rPr>
          <w:rFonts w:ascii="Arial" w:hAnsi="Arial" w:cs="Arial"/>
          <w:sz w:val="22"/>
          <w:szCs w:val="22"/>
        </w:rPr>
        <w:t>behaviour</w:t>
      </w:r>
      <w:r w:rsidRPr="004176F7">
        <w:rPr>
          <w:rFonts w:ascii="Arial" w:hAnsi="Arial" w:cs="Arial"/>
          <w:sz w:val="22"/>
          <w:szCs w:val="22"/>
        </w:rPr>
        <w:t xml:space="preserve"> problems in persons with advanced </w:t>
      </w:r>
      <w:proofErr w:type="gramStart"/>
      <w:r w:rsidRPr="004176F7">
        <w:rPr>
          <w:rFonts w:ascii="Arial" w:hAnsi="Arial" w:cs="Arial"/>
          <w:sz w:val="22"/>
          <w:szCs w:val="22"/>
        </w:rPr>
        <w:t>dementia?,</w:t>
      </w:r>
      <w:proofErr w:type="gramEnd"/>
      <w:r w:rsidRPr="004176F7">
        <w:rPr>
          <w:rFonts w:ascii="Arial" w:hAnsi="Arial" w:cs="Arial"/>
          <w:sz w:val="22"/>
          <w:szCs w:val="22"/>
        </w:rPr>
        <w:t>' Psychiatry Research, 228(1), pp. 59–64.</w:t>
      </w:r>
    </w:p>
    <w:p w14:paraId="1F2ED700"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Corner, J., Penhale, B. and Arthur, A. (2023) 'A personhood and citizenship training workshop for care home staff to potentially increase wellbeing of residents with dementia: intervention development and feasibility testing of a cluster randomised controlled trial,' Pilot and Feasibility Studies, 9, 5.</w:t>
      </w:r>
    </w:p>
    <w:p w14:paraId="62FAED7F"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De Poli, C. (2025) 'Explaining the unmet information needs of family carers of people with dementia: a theoretical model of information behaviour,' BMC Geriatrics, 25, 233.</w:t>
      </w:r>
    </w:p>
    <w:p w14:paraId="4F75FA73"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Department of Health (2009) Living Well with Dementia: A National Dementia Strategy. London: Department of Health.</w:t>
      </w:r>
    </w:p>
    <w:p w14:paraId="7C15FB65"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Engel, G.L. (1977) 'The need for a new medical model: a challenge for biomedicine,' Science, 196(4286), pp. 129–136.</w:t>
      </w:r>
    </w:p>
    <w:p w14:paraId="725A47ED"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Feast, A., Orrell, M., Charlesworth, G., Melunsky, N., Poland, F. and Moniz-Cook, E. (2016) 'Behavioural and psychological symptoms in dementia and the challenges for family carers: systematic review,' British Journal of Psychiatry, 208(5), pp. 429–434.</w:t>
      </w:r>
    </w:p>
    <w:p w14:paraId="0C864138"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 xml:space="preserve">Fleming, R., Bennett, K., Preece, T. and Phillipson, L. (2017) 'The development and testing of the dementia friendly </w:t>
      </w:r>
      <w:proofErr w:type="gramStart"/>
      <w:r w:rsidRPr="004176F7">
        <w:rPr>
          <w:rFonts w:ascii="Arial" w:hAnsi="Arial" w:cs="Arial"/>
          <w:sz w:val="22"/>
          <w:szCs w:val="22"/>
        </w:rPr>
        <w:t>communities</w:t>
      </w:r>
      <w:proofErr w:type="gramEnd"/>
      <w:r w:rsidRPr="004176F7">
        <w:rPr>
          <w:rFonts w:ascii="Arial" w:hAnsi="Arial" w:cs="Arial"/>
          <w:sz w:val="22"/>
          <w:szCs w:val="22"/>
        </w:rPr>
        <w:t xml:space="preserve"> environment assessment tool (DFC EAT),' International Psychogeriatrics, 29(2), pp. 303–311.</w:t>
      </w:r>
    </w:p>
    <w:p w14:paraId="1580A709"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Fossey, J., Ballard, C., Juszczak, E., James, I., Alder, N., Jacoby, R. and Howard, R. (2006) 'Effect of enhanced psychosocial care on antipsychotic use in nursing home residents with severe dementia: cluster randomised trial,' BMJ, 332, pp. 756–761.</w:t>
      </w:r>
    </w:p>
    <w:p w14:paraId="0394C5C3"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Fossey, J., Masson, S., Stafford, J., Lawrence, V., Corbett, A. and Ballard, C. (2014) 'The disconnect between evidence and practice: a systematic review of person-centred interventions and training manuals for care home staff working with people with dementia,' International Journal of Geriatric Psychiatry, 29(8), pp. 797–807.</w:t>
      </w:r>
    </w:p>
    <w:p w14:paraId="7D7373DF"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Gray, R., Brooker, D. and Tucker, R. (2022) 'Professional perspectives on applying the NICE and British Psychological Society guidelines for the management of behaviours that challenge in dementia care: an e-survey,' British Journal of Clinical Psychology, 61(3), pp. 779–796.</w:t>
      </w:r>
    </w:p>
    <w:p w14:paraId="51312E64"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lang w:val="fr-FR"/>
        </w:rPr>
        <w:lastRenderedPageBreak/>
        <w:t xml:space="preserve">Harrison, S.L., et al. </w:t>
      </w:r>
      <w:r w:rsidRPr="004176F7">
        <w:rPr>
          <w:rFonts w:ascii="Arial" w:hAnsi="Arial" w:cs="Arial"/>
          <w:sz w:val="22"/>
          <w:szCs w:val="22"/>
        </w:rPr>
        <w:t>(2022) 'Physical environmental designs in residential care to improve quality of life of older people,' Cochrane Database of Systematic Reviews, Issue 3, CD012892.</w:t>
      </w:r>
    </w:p>
    <w:p w14:paraId="66CDA03F" w14:textId="6D6A6EE0"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 xml:space="preserve">Husebo, B.S., Ballard, C., Cohen-Mansfield, J., Seifert, R. and Aarsland, D. (2014) 'The response of agitated </w:t>
      </w:r>
      <w:r w:rsidR="00F81ED9" w:rsidRPr="004176F7">
        <w:rPr>
          <w:rFonts w:ascii="Arial" w:hAnsi="Arial" w:cs="Arial"/>
          <w:sz w:val="22"/>
          <w:szCs w:val="22"/>
        </w:rPr>
        <w:t>behaviour</w:t>
      </w:r>
      <w:r w:rsidRPr="004176F7">
        <w:rPr>
          <w:rFonts w:ascii="Arial" w:hAnsi="Arial" w:cs="Arial"/>
          <w:sz w:val="22"/>
          <w:szCs w:val="22"/>
        </w:rPr>
        <w:t xml:space="preserve"> to pain management in persons with dementia,' American Journal of Geriatric Psychiatry, 22(7), pp. 708–717.</w:t>
      </w:r>
    </w:p>
    <w:p w14:paraId="79897CA1"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Husebo, B.S., Ballard, C., Sandvik, R., Nilsen, O.B. and Aarsland, D. (2011) 'Efficacy of treating pain to reduce behavioural disturbances in residents of nursing homes with dementia: cluster randomised clinical trial,' BMJ, 343, d4065.</w:t>
      </w:r>
    </w:p>
    <w:p w14:paraId="2A7F3456"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Kitwood, T. (1997) Dementia Reconsidered: The Person Comes First. Buckingham: Open University Press.</w:t>
      </w:r>
    </w:p>
    <w:p w14:paraId="6D0786DB"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Kitwood, T. and Bredin, K. (1992) 'Towards a theory of dementia care: personhood and well-being,' Ageing and Society, 12(3), pp. 269–287.</w:t>
      </w:r>
    </w:p>
    <w:p w14:paraId="54CD6190"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La Frenais, F., Vickerstaff, V., Cooper, C., Livingston, G., Stone, P. and Sampson, E.L. (2021) 'Psychotropic prescribing for English care home residents with dementia compared with national guidance: findings from the MARQUE national longitudinal study,' BJPsych Open, 7(5), e169.</w:t>
      </w:r>
    </w:p>
    <w:p w14:paraId="6624C1A1"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Leocadie, M.C., Morvillers, J.M., Pautex, S. and Rothan-Tondeur, M. (2020) 'Characteristics of the skills of caregivers of people with dementia: observational study,' BMC Family Practice, 21, 149.</w:t>
      </w:r>
    </w:p>
    <w:p w14:paraId="2B25220B"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Lichtner, V., Dowding, D., Esterhuizen, P., Closs, S.J., Long, A.F., Corbett, A. and Briggs, M. (2014) 'Pain assessment for people with dementia: a systematic review of systematic reviews of pain assessment tools,' BMC Geriatrics, 14, 138.</w:t>
      </w:r>
    </w:p>
    <w:p w14:paraId="4A97D0B2"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Livingston, G., et al. (2017) 'Prevalence of and associations with agitation in residents with dementia living in care homes: MARQUE cross-sectional study,' BJPsych Open, 3(4), pp. 171–178.</w:t>
      </w:r>
    </w:p>
    <w:p w14:paraId="3D2E0831"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Livingston, G., Kelly, L., Lewis-Holmes, E., Baio, G., Morris, S., Patel, N., Omar, R.Z., Katona, C. and Cooper, C. (2014) 'Non-pharmacological interventions for agitation in dementia: systematic review of randomised controlled trials,' British Journal of Psychiatry, 205(6), pp. 436–442.</w:t>
      </w:r>
    </w:p>
    <w:p w14:paraId="29FD1D3D"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McDermott, O., et al. (2013) 'Music therapy in dementia: a narrative synthesis systematic review,' International Journal of Geriatric Psychiatry, 28(8), pp. 781–794.</w:t>
      </w:r>
    </w:p>
    <w:p w14:paraId="6E57740A"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lastRenderedPageBreak/>
        <w:t>Meyer, C. and O'Keefe, F. (2020) 'Non-pharmacological interventions for people with dementia: a review of reviews,' Dementia, 19(6), pp. 1927–1954.</w:t>
      </w:r>
    </w:p>
    <w:p w14:paraId="2C0B9D65"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Mitchell, L. and Burton, E.J. (2010) 'Designing dementia-friendly neighbourhoods: helping people with dementia to get out and about,' Journal of Integrated Care, 18(6), pp. 11–18.</w:t>
      </w:r>
    </w:p>
    <w:p w14:paraId="54A1E59C"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NICE (2018) Dementia: assessment, management and support for people living with dementia and their carers (NG97). London: NICE.</w:t>
      </w:r>
    </w:p>
    <w:p w14:paraId="61F27B2B"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O'Donnell, E., Holland, C. and Swarbrick, C. (2022) 'Strategies used by care home staff to manage behaviour that challenges in dementia: a systematic review of qualitative studies,' International Journal of Nursing Studies, 133, 104260.</w:t>
      </w:r>
    </w:p>
    <w:p w14:paraId="2E6C173C"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Restraint Reduction Network (2019) Training Standards. Leeds: Health Education England / Restraint Reduction Network.</w:t>
      </w:r>
    </w:p>
    <w:p w14:paraId="03C420E2"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Shah, R., et al. (2024) 'Dementia and Its Profound Impact on Family Members and Partners,' Alzheimer Disease &amp; Associated Disorders, 38(4), pp. 338–343.</w:t>
      </w:r>
    </w:p>
    <w:p w14:paraId="162E278A" w14:textId="1CE2A4A8"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 xml:space="preserve">Siegelaar, A., Mobach, M.P., Janus, S. and Zuidema, S.U. (2025) 'The physical environment and the quality of life and </w:t>
      </w:r>
      <w:r w:rsidR="00F81ED9" w:rsidRPr="004176F7">
        <w:rPr>
          <w:rFonts w:ascii="Arial" w:hAnsi="Arial" w:cs="Arial"/>
          <w:sz w:val="22"/>
          <w:szCs w:val="22"/>
        </w:rPr>
        <w:t>behaviour</w:t>
      </w:r>
      <w:r w:rsidRPr="004176F7">
        <w:rPr>
          <w:rFonts w:ascii="Arial" w:hAnsi="Arial" w:cs="Arial"/>
          <w:sz w:val="22"/>
          <w:szCs w:val="22"/>
        </w:rPr>
        <w:t xml:space="preserve"> in people with dementia: a systematic meta-review,' SAGE Open Aging.</w:t>
      </w:r>
    </w:p>
    <w:p w14:paraId="03AF9DC5"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Skills for Care (2026) The Size and Structure of the Adult Social Care Sector and Workforce in England. Leeds: Skills for Care.</w:t>
      </w:r>
    </w:p>
    <w:p w14:paraId="034450BB"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Smith, R., et al. (2024) 'Use of non-pharmacological interventions for dementia behaviours in care homes: findings from four in-depth, ethnographic case studies,' Age and Ageing, 45(6), pp. 856–861.</w:t>
      </w:r>
    </w:p>
    <w:p w14:paraId="6ED9D851"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 xml:space="preserve">Stewart, R., Hotopf, M., Dewey, M., Ballard, C., Bisla, J., Calem, M., Fahmy, V., Hockley, J., Kinley, J., Pearce, H., Saraf, A. and Begum, A. (2014) 'Current prevalence of dementia, depression and behavioural problems in the older adult care home sector: the </w:t>
      </w:r>
      <w:proofErr w:type="gramStart"/>
      <w:r w:rsidRPr="004176F7">
        <w:rPr>
          <w:rFonts w:ascii="Arial" w:hAnsi="Arial" w:cs="Arial"/>
          <w:sz w:val="22"/>
          <w:szCs w:val="22"/>
        </w:rPr>
        <w:t>South East</w:t>
      </w:r>
      <w:proofErr w:type="gramEnd"/>
      <w:r w:rsidRPr="004176F7">
        <w:rPr>
          <w:rFonts w:ascii="Arial" w:hAnsi="Arial" w:cs="Arial"/>
          <w:sz w:val="22"/>
          <w:szCs w:val="22"/>
        </w:rPr>
        <w:t xml:space="preserve"> London Care Home Survey,' Age and Ageing, 43(4), pp. 562–567.</w:t>
      </w:r>
    </w:p>
    <w:p w14:paraId="364C9915" w14:textId="197C629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 xml:space="preserve">Testad, I., Corbett, A., Aarsland, D., Lexow, K.O., Fossey, J., Woods, B. and Ballard, C. (2014) 'The value of personalized psychosocial interventions to address </w:t>
      </w:r>
      <w:r w:rsidR="00F81ED9" w:rsidRPr="004176F7">
        <w:rPr>
          <w:rFonts w:ascii="Arial" w:hAnsi="Arial" w:cs="Arial"/>
          <w:sz w:val="22"/>
          <w:szCs w:val="22"/>
        </w:rPr>
        <w:t>behavioural</w:t>
      </w:r>
      <w:r w:rsidRPr="004176F7">
        <w:rPr>
          <w:rFonts w:ascii="Arial" w:hAnsi="Arial" w:cs="Arial"/>
          <w:sz w:val="22"/>
          <w:szCs w:val="22"/>
        </w:rPr>
        <w:t xml:space="preserve"> and psychological symptoms in people with dementia living in care home settings: a systematic review,' International Psychogeriatrics, 26(7), pp. 1083–1098.</w:t>
      </w:r>
    </w:p>
    <w:p w14:paraId="33999C90"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lastRenderedPageBreak/>
        <w:t>Toot, S., et al. (2017) 'Causes of nursing home placement for older people with dementia: a systematic review and meta-analysis,' International Psychogeriatrics, 29(2), pp. 195–208.</w:t>
      </w:r>
    </w:p>
    <w:p w14:paraId="2718034D"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Vinick, D. (2019) 'Dementia-friendly design: Hogeweyk and beyond,' British Journal of General Practice, 69(683), p. 300.</w:t>
      </w:r>
    </w:p>
    <w:p w14:paraId="5F436348"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Warren, A. (2022) 'Behavioural and Psychological Symptoms of Dementia as a Means of Communication: Considerations for Reducing Stigma and Promoting Person-Centered Care,' Frontiers in Psychology, 13, 875246.</w:t>
      </w:r>
    </w:p>
    <w:p w14:paraId="3744B7D8"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Wittenberg, R., et al. (2019) Projections of older people with dementia and costs of dementia care in the United Kingdom, 2019–2040. Care Policy and Evaluation Centre Report, London School of Economics.</w:t>
      </w:r>
    </w:p>
    <w:p w14:paraId="624DA884" w14:textId="77777777" w:rsidR="00DF51AF" w:rsidRPr="004176F7" w:rsidRDefault="00DD5BEE" w:rsidP="00F81ED9">
      <w:pPr>
        <w:spacing w:after="150" w:line="360" w:lineRule="auto"/>
        <w:ind w:left="720" w:hanging="720"/>
        <w:rPr>
          <w:rFonts w:ascii="Arial" w:hAnsi="Arial" w:cs="Arial"/>
          <w:sz w:val="22"/>
          <w:szCs w:val="22"/>
        </w:rPr>
      </w:pPr>
      <w:r w:rsidRPr="004176F7">
        <w:rPr>
          <w:rFonts w:ascii="Arial" w:hAnsi="Arial" w:cs="Arial"/>
          <w:sz w:val="22"/>
          <w:szCs w:val="22"/>
        </w:rPr>
        <w:t>Woods, B., O'Philbin, L., Farrell, E.M., Spector, A.E. and Orrell, M. (2018) 'Reminiscence therapy for dementia,' Cochrane Database of Systematic Reviews, Issue 3, CD001120.</w:t>
      </w:r>
    </w:p>
    <w:p w14:paraId="5846C1FE" w14:textId="77777777" w:rsidR="00DF51AF" w:rsidRPr="004176F7" w:rsidRDefault="00DD5BEE" w:rsidP="00F81ED9">
      <w:pPr>
        <w:spacing w:after="150" w:line="360" w:lineRule="auto"/>
        <w:ind w:left="720" w:hanging="720"/>
        <w:rPr>
          <w:sz w:val="22"/>
          <w:szCs w:val="22"/>
        </w:rPr>
      </w:pPr>
      <w:r w:rsidRPr="004176F7">
        <w:rPr>
          <w:rFonts w:ascii="Arial" w:hAnsi="Arial" w:cs="Arial"/>
          <w:sz w:val="22"/>
          <w:szCs w:val="22"/>
        </w:rPr>
        <w:t>World Health Organization (2025) Dementia. Fact sheet. Geneva</w:t>
      </w:r>
      <w:r w:rsidRPr="004176F7">
        <w:rPr>
          <w:sz w:val="22"/>
          <w:szCs w:val="22"/>
        </w:rPr>
        <w:t>: WHO.</w:t>
      </w:r>
    </w:p>
    <w:sectPr w:rsidR="00DF51AF" w:rsidRPr="004176F7">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0E5314" w14:textId="77777777" w:rsidR="00D6618F" w:rsidRDefault="00D6618F" w:rsidP="004176F7">
      <w:r>
        <w:separator/>
      </w:r>
    </w:p>
  </w:endnote>
  <w:endnote w:type="continuationSeparator" w:id="0">
    <w:p w14:paraId="132504CC" w14:textId="77777777" w:rsidR="00D6618F" w:rsidRDefault="00D6618F" w:rsidP="004176F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A8E1C1" w14:textId="77777777" w:rsidR="00D6618F" w:rsidRDefault="00D6618F" w:rsidP="004176F7">
      <w:r>
        <w:separator/>
      </w:r>
    </w:p>
  </w:footnote>
  <w:footnote w:type="continuationSeparator" w:id="0">
    <w:p w14:paraId="59115A2C" w14:textId="77777777" w:rsidR="00D6618F" w:rsidRDefault="00D6618F" w:rsidP="004176F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82E4A2"/>
    <w:multiLevelType w:val="hybridMultilevel"/>
    <w:tmpl w:val="E44A6BB4"/>
    <w:lvl w:ilvl="0" w:tplc="539CE52E">
      <w:start w:val="1"/>
      <w:numFmt w:val="upperLetter"/>
      <w:lvlText w:val="%1."/>
      <w:lvlJc w:val="left"/>
      <w:pPr>
        <w:ind w:left="720" w:hanging="360"/>
      </w:pPr>
    </w:lvl>
    <w:lvl w:ilvl="1" w:tplc="D968F7BC">
      <w:start w:val="1"/>
      <w:numFmt w:val="lowerLetter"/>
      <w:lvlText w:val="%2."/>
      <w:lvlJc w:val="left"/>
      <w:pPr>
        <w:ind w:left="1440" w:hanging="360"/>
      </w:pPr>
    </w:lvl>
    <w:lvl w:ilvl="2" w:tplc="8E2E1EFC">
      <w:start w:val="1"/>
      <w:numFmt w:val="lowerRoman"/>
      <w:lvlText w:val="%3."/>
      <w:lvlJc w:val="right"/>
      <w:pPr>
        <w:ind w:left="2160" w:hanging="180"/>
      </w:pPr>
    </w:lvl>
    <w:lvl w:ilvl="3" w:tplc="FF96AC74">
      <w:start w:val="1"/>
      <w:numFmt w:val="decimal"/>
      <w:lvlText w:val="%4."/>
      <w:lvlJc w:val="left"/>
      <w:pPr>
        <w:ind w:left="2880" w:hanging="360"/>
      </w:pPr>
    </w:lvl>
    <w:lvl w:ilvl="4" w:tplc="9084B55E">
      <w:start w:val="1"/>
      <w:numFmt w:val="lowerLetter"/>
      <w:lvlText w:val="%5."/>
      <w:lvlJc w:val="left"/>
      <w:pPr>
        <w:ind w:left="3600" w:hanging="360"/>
      </w:pPr>
    </w:lvl>
    <w:lvl w:ilvl="5" w:tplc="7736C57C">
      <w:start w:val="1"/>
      <w:numFmt w:val="lowerRoman"/>
      <w:lvlText w:val="%6."/>
      <w:lvlJc w:val="right"/>
      <w:pPr>
        <w:ind w:left="4320" w:hanging="180"/>
      </w:pPr>
    </w:lvl>
    <w:lvl w:ilvl="6" w:tplc="9B28E5BC">
      <w:start w:val="1"/>
      <w:numFmt w:val="decimal"/>
      <w:lvlText w:val="%7."/>
      <w:lvlJc w:val="left"/>
      <w:pPr>
        <w:ind w:left="5040" w:hanging="360"/>
      </w:pPr>
    </w:lvl>
    <w:lvl w:ilvl="7" w:tplc="F392E47A">
      <w:start w:val="1"/>
      <w:numFmt w:val="lowerLetter"/>
      <w:lvlText w:val="%8."/>
      <w:lvlJc w:val="left"/>
      <w:pPr>
        <w:ind w:left="5760" w:hanging="360"/>
      </w:pPr>
    </w:lvl>
    <w:lvl w:ilvl="8" w:tplc="B920884C">
      <w:start w:val="1"/>
      <w:numFmt w:val="lowerRoman"/>
      <w:lvlText w:val="%9."/>
      <w:lvlJc w:val="right"/>
      <w:pPr>
        <w:ind w:left="6480" w:hanging="180"/>
      </w:pPr>
    </w:lvl>
  </w:abstractNum>
  <w:abstractNum w:abstractNumId="1" w15:restartNumberingAfterBreak="0">
    <w:nsid w:val="2654A038"/>
    <w:multiLevelType w:val="hybridMultilevel"/>
    <w:tmpl w:val="B010DE4C"/>
    <w:lvl w:ilvl="0" w:tplc="C8202084">
      <w:start w:val="1"/>
      <w:numFmt w:val="lowerLetter"/>
      <w:lvlText w:val="(%1)"/>
      <w:lvlJc w:val="left"/>
      <w:pPr>
        <w:ind w:left="720" w:hanging="360"/>
      </w:pPr>
    </w:lvl>
    <w:lvl w:ilvl="1" w:tplc="F16A03E0">
      <w:start w:val="1"/>
      <w:numFmt w:val="lowerLetter"/>
      <w:lvlText w:val="%2."/>
      <w:lvlJc w:val="left"/>
      <w:pPr>
        <w:ind w:left="1440" w:hanging="360"/>
      </w:pPr>
    </w:lvl>
    <w:lvl w:ilvl="2" w:tplc="2AFA3E26">
      <w:start w:val="1"/>
      <w:numFmt w:val="lowerRoman"/>
      <w:lvlText w:val="%3."/>
      <w:lvlJc w:val="right"/>
      <w:pPr>
        <w:ind w:left="2160" w:hanging="180"/>
      </w:pPr>
    </w:lvl>
    <w:lvl w:ilvl="3" w:tplc="8B663F0A">
      <w:start w:val="1"/>
      <w:numFmt w:val="decimal"/>
      <w:lvlText w:val="%4."/>
      <w:lvlJc w:val="left"/>
      <w:pPr>
        <w:ind w:left="2880" w:hanging="360"/>
      </w:pPr>
    </w:lvl>
    <w:lvl w:ilvl="4" w:tplc="B71A0C94">
      <w:start w:val="1"/>
      <w:numFmt w:val="lowerLetter"/>
      <w:lvlText w:val="%5."/>
      <w:lvlJc w:val="left"/>
      <w:pPr>
        <w:ind w:left="3600" w:hanging="360"/>
      </w:pPr>
    </w:lvl>
    <w:lvl w:ilvl="5" w:tplc="F0DE3E4A">
      <w:start w:val="1"/>
      <w:numFmt w:val="lowerRoman"/>
      <w:lvlText w:val="%6."/>
      <w:lvlJc w:val="right"/>
      <w:pPr>
        <w:ind w:left="4320" w:hanging="180"/>
      </w:pPr>
    </w:lvl>
    <w:lvl w:ilvl="6" w:tplc="310E4854">
      <w:start w:val="1"/>
      <w:numFmt w:val="decimal"/>
      <w:lvlText w:val="%7."/>
      <w:lvlJc w:val="left"/>
      <w:pPr>
        <w:ind w:left="5040" w:hanging="360"/>
      </w:pPr>
    </w:lvl>
    <w:lvl w:ilvl="7" w:tplc="3A729A62">
      <w:start w:val="1"/>
      <w:numFmt w:val="lowerLetter"/>
      <w:lvlText w:val="%8."/>
      <w:lvlJc w:val="left"/>
      <w:pPr>
        <w:ind w:left="5760" w:hanging="360"/>
      </w:pPr>
    </w:lvl>
    <w:lvl w:ilvl="8" w:tplc="280E2020">
      <w:start w:val="1"/>
      <w:numFmt w:val="lowerRoman"/>
      <w:lvlText w:val="%9."/>
      <w:lvlJc w:val="right"/>
      <w:pPr>
        <w:ind w:left="6480" w:hanging="180"/>
      </w:pPr>
    </w:lvl>
  </w:abstractNum>
  <w:abstractNum w:abstractNumId="2" w15:restartNumberingAfterBreak="0">
    <w:nsid w:val="53512102"/>
    <w:multiLevelType w:val="hybridMultilevel"/>
    <w:tmpl w:val="1942610A"/>
    <w:lvl w:ilvl="0" w:tplc="19D695DA">
      <w:start w:val="1"/>
      <w:numFmt w:val="bullet"/>
      <w:lvlText w:val="●"/>
      <w:lvlJc w:val="left"/>
      <w:pPr>
        <w:ind w:left="720" w:hanging="360"/>
      </w:pPr>
    </w:lvl>
    <w:lvl w:ilvl="1" w:tplc="56986B8C">
      <w:start w:val="1"/>
      <w:numFmt w:val="bullet"/>
      <w:lvlText w:val="○"/>
      <w:lvlJc w:val="left"/>
      <w:pPr>
        <w:ind w:left="1440" w:hanging="360"/>
      </w:pPr>
    </w:lvl>
    <w:lvl w:ilvl="2" w:tplc="6936D55E">
      <w:start w:val="1"/>
      <w:numFmt w:val="bullet"/>
      <w:lvlText w:val="■"/>
      <w:lvlJc w:val="left"/>
      <w:pPr>
        <w:ind w:left="2160" w:hanging="360"/>
      </w:pPr>
    </w:lvl>
    <w:lvl w:ilvl="3" w:tplc="202EFEAA">
      <w:start w:val="1"/>
      <w:numFmt w:val="bullet"/>
      <w:lvlText w:val="●"/>
      <w:lvlJc w:val="left"/>
      <w:pPr>
        <w:ind w:left="2880" w:hanging="360"/>
      </w:pPr>
    </w:lvl>
    <w:lvl w:ilvl="4" w:tplc="702A9852">
      <w:start w:val="1"/>
      <w:numFmt w:val="bullet"/>
      <w:lvlText w:val="○"/>
      <w:lvlJc w:val="left"/>
      <w:pPr>
        <w:ind w:left="3600" w:hanging="360"/>
      </w:pPr>
    </w:lvl>
    <w:lvl w:ilvl="5" w:tplc="151AC608">
      <w:start w:val="1"/>
      <w:numFmt w:val="bullet"/>
      <w:lvlText w:val="■"/>
      <w:lvlJc w:val="left"/>
      <w:pPr>
        <w:ind w:left="4320" w:hanging="360"/>
      </w:pPr>
    </w:lvl>
    <w:lvl w:ilvl="6" w:tplc="D772E26C">
      <w:start w:val="1"/>
      <w:numFmt w:val="bullet"/>
      <w:lvlText w:val="●"/>
      <w:lvlJc w:val="left"/>
      <w:pPr>
        <w:ind w:left="5040" w:hanging="360"/>
      </w:pPr>
    </w:lvl>
    <w:lvl w:ilvl="7" w:tplc="E5F0AC7C">
      <w:start w:val="1"/>
      <w:numFmt w:val="bullet"/>
      <w:lvlText w:val="●"/>
      <w:lvlJc w:val="left"/>
      <w:pPr>
        <w:ind w:left="5760" w:hanging="360"/>
      </w:pPr>
    </w:lvl>
    <w:lvl w:ilvl="8" w:tplc="88F0C6D8">
      <w:start w:val="1"/>
      <w:numFmt w:val="bullet"/>
      <w:lvlText w:val="●"/>
      <w:lvlJc w:val="left"/>
      <w:pPr>
        <w:ind w:left="6480" w:hanging="360"/>
      </w:pPr>
    </w:lvl>
  </w:abstractNum>
  <w:abstractNum w:abstractNumId="3" w15:restartNumberingAfterBreak="0">
    <w:nsid w:val="7B0F4B06"/>
    <w:multiLevelType w:val="hybridMultilevel"/>
    <w:tmpl w:val="CF6AA940"/>
    <w:lvl w:ilvl="0" w:tplc="AAC24410">
      <w:start w:val="1"/>
      <w:numFmt w:val="decimal"/>
      <w:lvlText w:val="%1."/>
      <w:lvlJc w:val="left"/>
      <w:pPr>
        <w:ind w:left="720" w:hanging="360"/>
      </w:pPr>
    </w:lvl>
    <w:lvl w:ilvl="1" w:tplc="9EEA13B0">
      <w:start w:val="1"/>
      <w:numFmt w:val="lowerLetter"/>
      <w:lvlText w:val="%2."/>
      <w:lvlJc w:val="left"/>
      <w:pPr>
        <w:ind w:left="1440" w:hanging="360"/>
      </w:pPr>
    </w:lvl>
    <w:lvl w:ilvl="2" w:tplc="A682715C">
      <w:start w:val="1"/>
      <w:numFmt w:val="lowerRoman"/>
      <w:lvlText w:val="%3."/>
      <w:lvlJc w:val="right"/>
      <w:pPr>
        <w:ind w:left="2160" w:hanging="180"/>
      </w:pPr>
    </w:lvl>
    <w:lvl w:ilvl="3" w:tplc="4356A074">
      <w:start w:val="1"/>
      <w:numFmt w:val="decimal"/>
      <w:lvlText w:val="%4."/>
      <w:lvlJc w:val="left"/>
      <w:pPr>
        <w:ind w:left="2880" w:hanging="360"/>
      </w:pPr>
    </w:lvl>
    <w:lvl w:ilvl="4" w:tplc="00ECDAB0">
      <w:start w:val="1"/>
      <w:numFmt w:val="lowerLetter"/>
      <w:lvlText w:val="%5."/>
      <w:lvlJc w:val="left"/>
      <w:pPr>
        <w:ind w:left="3600" w:hanging="360"/>
      </w:pPr>
    </w:lvl>
    <w:lvl w:ilvl="5" w:tplc="54C6A122">
      <w:start w:val="1"/>
      <w:numFmt w:val="lowerRoman"/>
      <w:lvlText w:val="%6."/>
      <w:lvlJc w:val="right"/>
      <w:pPr>
        <w:ind w:left="4320" w:hanging="180"/>
      </w:pPr>
    </w:lvl>
    <w:lvl w:ilvl="6" w:tplc="04EA015A">
      <w:start w:val="1"/>
      <w:numFmt w:val="decimal"/>
      <w:lvlText w:val="%7."/>
      <w:lvlJc w:val="left"/>
      <w:pPr>
        <w:ind w:left="5040" w:hanging="360"/>
      </w:pPr>
    </w:lvl>
    <w:lvl w:ilvl="7" w:tplc="466E4358">
      <w:start w:val="1"/>
      <w:numFmt w:val="lowerLetter"/>
      <w:lvlText w:val="%8."/>
      <w:lvlJc w:val="left"/>
      <w:pPr>
        <w:ind w:left="5760" w:hanging="360"/>
      </w:pPr>
    </w:lvl>
    <w:lvl w:ilvl="8" w:tplc="153289E2">
      <w:start w:val="1"/>
      <w:numFmt w:val="lowerRoman"/>
      <w:lvlText w:val="%9."/>
      <w:lvlJc w:val="right"/>
      <w:pPr>
        <w:ind w:left="6480" w:hanging="180"/>
      </w:pPr>
    </w:lvl>
  </w:abstractNum>
  <w:num w:numId="1" w16cid:durableId="1098791221">
    <w:abstractNumId w:val="1"/>
  </w:num>
  <w:num w:numId="2" w16cid:durableId="1067843697">
    <w:abstractNumId w:val="3"/>
  </w:num>
  <w:num w:numId="3" w16cid:durableId="804389237">
    <w:abstractNumId w:val="0"/>
  </w:num>
  <w:num w:numId="4" w16cid:durableId="848447230">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F51AF"/>
    <w:rsid w:val="00085B35"/>
    <w:rsid w:val="002270DA"/>
    <w:rsid w:val="00300DD7"/>
    <w:rsid w:val="00396824"/>
    <w:rsid w:val="004176F7"/>
    <w:rsid w:val="004C13F2"/>
    <w:rsid w:val="005D6BB2"/>
    <w:rsid w:val="00602C40"/>
    <w:rsid w:val="0063448E"/>
    <w:rsid w:val="00680CC5"/>
    <w:rsid w:val="0078680D"/>
    <w:rsid w:val="00797976"/>
    <w:rsid w:val="0081AD61"/>
    <w:rsid w:val="009774E5"/>
    <w:rsid w:val="00C5548A"/>
    <w:rsid w:val="00C71782"/>
    <w:rsid w:val="00D526EE"/>
    <w:rsid w:val="00D6618F"/>
    <w:rsid w:val="00DD5BEE"/>
    <w:rsid w:val="00DF51AF"/>
    <w:rsid w:val="00F81ED9"/>
    <w:rsid w:val="00FB3ADA"/>
    <w:rsid w:val="02FEB261"/>
    <w:rsid w:val="0594DCD1"/>
    <w:rsid w:val="071795B9"/>
    <w:rsid w:val="075623F6"/>
    <w:rsid w:val="076DCB83"/>
    <w:rsid w:val="08E6C81E"/>
    <w:rsid w:val="08EFBADD"/>
    <w:rsid w:val="0A2F1251"/>
    <w:rsid w:val="0CF6C6E5"/>
    <w:rsid w:val="0D1F849A"/>
    <w:rsid w:val="0D58F811"/>
    <w:rsid w:val="0ED6E2A5"/>
    <w:rsid w:val="13405F46"/>
    <w:rsid w:val="13B20FA7"/>
    <w:rsid w:val="157B1456"/>
    <w:rsid w:val="158E1FFC"/>
    <w:rsid w:val="15CF6B93"/>
    <w:rsid w:val="16D164BA"/>
    <w:rsid w:val="17851EF7"/>
    <w:rsid w:val="18EB3C0C"/>
    <w:rsid w:val="1A306627"/>
    <w:rsid w:val="1A5BB9A3"/>
    <w:rsid w:val="1A84475F"/>
    <w:rsid w:val="1AB91A09"/>
    <w:rsid w:val="1B08C508"/>
    <w:rsid w:val="1CA46E48"/>
    <w:rsid w:val="1CDE2FA3"/>
    <w:rsid w:val="1ECAF148"/>
    <w:rsid w:val="1F09F5BE"/>
    <w:rsid w:val="1F36F5CB"/>
    <w:rsid w:val="1FB6D8CF"/>
    <w:rsid w:val="1FF41480"/>
    <w:rsid w:val="23060DF9"/>
    <w:rsid w:val="248C72DD"/>
    <w:rsid w:val="270DCF25"/>
    <w:rsid w:val="2992BE28"/>
    <w:rsid w:val="29CEFEC2"/>
    <w:rsid w:val="2B125DF8"/>
    <w:rsid w:val="2B47AF92"/>
    <w:rsid w:val="2C68CD1C"/>
    <w:rsid w:val="2CA9F7AB"/>
    <w:rsid w:val="2CF790E6"/>
    <w:rsid w:val="2D84A502"/>
    <w:rsid w:val="2DC0AF5A"/>
    <w:rsid w:val="2E3F6832"/>
    <w:rsid w:val="317CBAD9"/>
    <w:rsid w:val="3225C199"/>
    <w:rsid w:val="324ED618"/>
    <w:rsid w:val="349EF463"/>
    <w:rsid w:val="35AB76A0"/>
    <w:rsid w:val="35E620AA"/>
    <w:rsid w:val="37ADACBE"/>
    <w:rsid w:val="39B6F671"/>
    <w:rsid w:val="3AE2A72E"/>
    <w:rsid w:val="3B0BADC2"/>
    <w:rsid w:val="3B6D3226"/>
    <w:rsid w:val="3BADB680"/>
    <w:rsid w:val="3D5FD484"/>
    <w:rsid w:val="3DC6A5A4"/>
    <w:rsid w:val="3DFC733E"/>
    <w:rsid w:val="3F79B032"/>
    <w:rsid w:val="3FCF5F98"/>
    <w:rsid w:val="40C9707D"/>
    <w:rsid w:val="41C3886D"/>
    <w:rsid w:val="43257C93"/>
    <w:rsid w:val="45D63BD4"/>
    <w:rsid w:val="4627B0EA"/>
    <w:rsid w:val="479B261A"/>
    <w:rsid w:val="47DA349F"/>
    <w:rsid w:val="48EE1663"/>
    <w:rsid w:val="495C6C3B"/>
    <w:rsid w:val="49ADCA92"/>
    <w:rsid w:val="4C0D7ADE"/>
    <w:rsid w:val="556B9ECB"/>
    <w:rsid w:val="560C9FEF"/>
    <w:rsid w:val="566B86FB"/>
    <w:rsid w:val="5689A035"/>
    <w:rsid w:val="596B5848"/>
    <w:rsid w:val="5A22B47F"/>
    <w:rsid w:val="5A473FE4"/>
    <w:rsid w:val="5A93709B"/>
    <w:rsid w:val="5B9CD2B7"/>
    <w:rsid w:val="5BB18EEF"/>
    <w:rsid w:val="5C4A0431"/>
    <w:rsid w:val="5E46D026"/>
    <w:rsid w:val="62774074"/>
    <w:rsid w:val="62CE1FE9"/>
    <w:rsid w:val="62D6F2FC"/>
    <w:rsid w:val="63D66270"/>
    <w:rsid w:val="63F0656D"/>
    <w:rsid w:val="64002E30"/>
    <w:rsid w:val="6554623F"/>
    <w:rsid w:val="6593B0A0"/>
    <w:rsid w:val="6593B94E"/>
    <w:rsid w:val="66BD8048"/>
    <w:rsid w:val="681BDE42"/>
    <w:rsid w:val="6A010272"/>
    <w:rsid w:val="6B5480FF"/>
    <w:rsid w:val="6C47E773"/>
    <w:rsid w:val="6CD35636"/>
    <w:rsid w:val="6E021AE5"/>
    <w:rsid w:val="6EF2F0CB"/>
    <w:rsid w:val="6F899E10"/>
    <w:rsid w:val="708A5FEB"/>
    <w:rsid w:val="7309CF37"/>
    <w:rsid w:val="76697E41"/>
    <w:rsid w:val="77170A8C"/>
    <w:rsid w:val="7782F0AD"/>
    <w:rsid w:val="785B9A5C"/>
    <w:rsid w:val="787EFAE0"/>
    <w:rsid w:val="7A8377E4"/>
    <w:rsid w:val="7B4811BD"/>
    <w:rsid w:val="7C4066AD"/>
    <w:rsid w:val="7E99BC76"/>
    <w:rsid w:val="7F72FA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25569E"/>
  <w15:docId w15:val="{E66F2400-33DA-4A12-B5EA-6562C59156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BodyText">
    <w:name w:val="Body Text"/>
    <w:basedOn w:val="Normal"/>
    <w:link w:val="BodyTextChar"/>
    <w:uiPriority w:val="1"/>
    <w:qFormat/>
    <w:rsid w:val="00F81ED9"/>
    <w:pPr>
      <w:widowControl w:val="0"/>
      <w:autoSpaceDE w:val="0"/>
      <w:autoSpaceDN w:val="0"/>
    </w:pPr>
    <w:rPr>
      <w:rFonts w:ascii="Calibri Light" w:eastAsia="Calibri Light" w:hAnsi="Calibri Light" w:cs="Calibri Light"/>
      <w:sz w:val="22"/>
      <w:szCs w:val="22"/>
      <w:lang w:bidi="en-GB"/>
    </w:rPr>
  </w:style>
  <w:style w:type="character" w:customStyle="1" w:styleId="BodyTextChar">
    <w:name w:val="Body Text Char"/>
    <w:basedOn w:val="DefaultParagraphFont"/>
    <w:link w:val="BodyText"/>
    <w:uiPriority w:val="1"/>
    <w:rsid w:val="00F81ED9"/>
    <w:rPr>
      <w:rFonts w:ascii="Calibri Light" w:eastAsia="Calibri Light" w:hAnsi="Calibri Light" w:cs="Calibri Light"/>
      <w:sz w:val="22"/>
      <w:szCs w:val="22"/>
      <w:lang w:bidi="en-GB"/>
    </w:rPr>
  </w:style>
  <w:style w:type="table" w:styleId="TableGrid">
    <w:name w:val="Table Grid"/>
    <w:basedOn w:val="TableNormal"/>
    <w:uiPriority w:val="39"/>
    <w:rsid w:val="004176F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4176F7"/>
    <w:pPr>
      <w:tabs>
        <w:tab w:val="center" w:pos="4513"/>
        <w:tab w:val="right" w:pos="9026"/>
      </w:tabs>
    </w:pPr>
  </w:style>
  <w:style w:type="character" w:customStyle="1" w:styleId="HeaderChar">
    <w:name w:val="Header Char"/>
    <w:basedOn w:val="DefaultParagraphFont"/>
    <w:link w:val="Header"/>
    <w:uiPriority w:val="99"/>
    <w:rsid w:val="004176F7"/>
  </w:style>
  <w:style w:type="paragraph" w:styleId="Footer">
    <w:name w:val="footer"/>
    <w:basedOn w:val="Normal"/>
    <w:link w:val="FooterChar"/>
    <w:uiPriority w:val="99"/>
    <w:unhideWhenUsed/>
    <w:rsid w:val="004176F7"/>
    <w:pPr>
      <w:tabs>
        <w:tab w:val="center" w:pos="4513"/>
        <w:tab w:val="right" w:pos="9026"/>
      </w:tabs>
    </w:pPr>
  </w:style>
  <w:style w:type="character" w:customStyle="1" w:styleId="FooterChar">
    <w:name w:val="Footer Char"/>
    <w:basedOn w:val="DefaultParagraphFont"/>
    <w:link w:val="Footer"/>
    <w:uiPriority w:val="99"/>
    <w:rsid w:val="004176F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39</Pages>
  <Words>12608</Words>
  <Characters>71868</Characters>
  <Application>Microsoft Office Word</Application>
  <DocSecurity>0</DocSecurity>
  <Lines>598</Lines>
  <Paragraphs>168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Un-named</dc:creator>
  <cp:lastModifiedBy>selma pacheco</cp:lastModifiedBy>
  <cp:revision>2</cp:revision>
  <dcterms:created xsi:type="dcterms:W3CDTF">2026-08-03T11:49:00Z</dcterms:created>
  <dcterms:modified xsi:type="dcterms:W3CDTF">2026-08-03T11:49:00Z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f7db3cad-7fba-4a05-9253-88f028cf86b5</vt:lpwstr>
  </property>
</Properties>
</file>