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Type 2 Diabetes Mellitus: Physiology, Lifestyle Factors, Monitoring, and Evidence</w:t>
      </w:r>
      <w:r w:rsidRPr="006C2F8D">
        <w:rPr>
          <w:rFonts w:ascii="Times New Roman" w:eastAsia="Times New Roman" w:hAnsi="Times New Roman" w:cs="Times New Roman"/>
          <w:b/>
          <w:bCs/>
          <w:kern w:val="0"/>
          <w:sz w:val="24"/>
          <w:szCs w:val="24"/>
          <w:lang w:eastAsia="en-GB"/>
          <w14:ligatures w14:val="none"/>
        </w:rPr>
        <w:noBreakHyphen/>
        <w:t>Based Management</w:t>
      </w:r>
      <w:r w:rsidRPr="006C2F8D">
        <w:rPr>
          <w:rFonts w:ascii="Times New Roman" w:eastAsia="Times New Roman" w:hAnsi="Times New Roman" w:cs="Times New Roman"/>
          <w:kern w:val="0"/>
          <w:sz w:val="24"/>
          <w:szCs w:val="24"/>
          <w:lang w:eastAsia="en-GB"/>
          <w14:ligatures w14:val="none"/>
        </w:rPr>
        <w:t xml:space="preserve"> </w:t>
      </w:r>
      <w:r w:rsidRPr="006C2F8D">
        <w:rPr>
          <w:rFonts w:ascii="Times New Roman" w:eastAsia="Times New Roman" w:hAnsi="Times New Roman" w:cs="Times New Roman"/>
          <w:b/>
          <w:bCs/>
          <w:kern w:val="0"/>
          <w:sz w:val="24"/>
          <w:szCs w:val="24"/>
          <w:lang w:eastAsia="en-GB"/>
          <w14:ligatures w14:val="none"/>
        </w:rPr>
        <w:t>Module:</w:t>
      </w:r>
      <w:r w:rsidRPr="006C2F8D">
        <w:rPr>
          <w:rFonts w:ascii="Times New Roman" w:eastAsia="Times New Roman" w:hAnsi="Times New Roman" w:cs="Times New Roman"/>
          <w:kern w:val="0"/>
          <w:sz w:val="24"/>
          <w:szCs w:val="24"/>
          <w:lang w:eastAsia="en-GB"/>
          <w14:ligatures w14:val="none"/>
        </w:rPr>
        <w:t xml:space="preserve"> </w:t>
      </w:r>
    </w:p>
    <w:p w:rsidR="006C2F8D" w:rsidRPr="006C2F8D" w:rsidRDefault="006C2F8D" w:rsidP="006C2F8D">
      <w:pPr>
        <w:pStyle w:val="paragraph"/>
        <w:spacing w:before="0" w:beforeAutospacing="0" w:after="0" w:afterAutospacing="0"/>
        <w:textAlignment w:val="baseline"/>
        <w:rPr>
          <w:rFonts w:ascii="Segoe UI" w:hAnsi="Segoe UI" w:cs="Segoe UI"/>
        </w:rPr>
      </w:pPr>
      <w:r w:rsidRPr="006C2F8D">
        <w:rPr>
          <w:rStyle w:val="normaltextrun"/>
          <w:rFonts w:ascii="Aptos" w:hAnsi="Aptos" w:cs="Segoe UI"/>
          <w:lang w:val="en-US"/>
        </w:rPr>
        <w:t>BMHP5023</w:t>
      </w:r>
      <w:r w:rsidRPr="006C2F8D">
        <w:rPr>
          <w:rStyle w:val="eop"/>
          <w:rFonts w:ascii="Aptos" w:hAnsi="Aptos" w:cs="Segoe UI"/>
        </w:rPr>
        <w:t> </w:t>
      </w:r>
    </w:p>
    <w:p w:rsidR="006C2F8D" w:rsidRPr="006C2F8D" w:rsidRDefault="006C2F8D" w:rsidP="006C2F8D">
      <w:pPr>
        <w:pStyle w:val="paragraph"/>
        <w:spacing w:before="0" w:beforeAutospacing="0" w:after="0" w:afterAutospacing="0"/>
        <w:textAlignment w:val="baseline"/>
        <w:rPr>
          <w:rFonts w:ascii="Segoe UI" w:hAnsi="Segoe UI" w:cs="Segoe UI"/>
        </w:rPr>
      </w:pPr>
      <w:r w:rsidRPr="006C2F8D">
        <w:rPr>
          <w:rStyle w:val="normaltextrun"/>
          <w:rFonts w:ascii="Aptos" w:hAnsi="Aptos" w:cs="Segoe UI"/>
          <w:lang w:val="en-US"/>
        </w:rPr>
        <w:t xml:space="preserve">CASE STUDY </w:t>
      </w:r>
      <w:proofErr w:type="gramStart"/>
      <w:r w:rsidRPr="006C2F8D">
        <w:rPr>
          <w:rStyle w:val="normaltextrun"/>
          <w:rFonts w:ascii="Aptos" w:hAnsi="Aptos" w:cs="Segoe UI"/>
          <w:lang w:val="en-US"/>
        </w:rPr>
        <w:t>1  REPORT</w:t>
      </w:r>
      <w:proofErr w:type="gramEnd"/>
      <w:r w:rsidRPr="006C2F8D">
        <w:rPr>
          <w:rStyle w:val="normaltextrun"/>
          <w:rFonts w:ascii="Aptos" w:hAnsi="Aptos" w:cs="Segoe UI"/>
          <w:lang w:val="en-US"/>
        </w:rPr>
        <w:t xml:space="preserve"> :</w:t>
      </w:r>
      <w:r w:rsidRPr="006C2F8D">
        <w:rPr>
          <w:rStyle w:val="eop"/>
          <w:rFonts w:ascii="Aptos" w:hAnsi="Aptos" w:cs="Segoe UI"/>
        </w:rPr>
        <w:t> </w:t>
      </w:r>
    </w:p>
    <w:p w:rsidR="006C2F8D" w:rsidRPr="006C2F8D" w:rsidRDefault="006C2F8D" w:rsidP="006C2F8D">
      <w:pPr>
        <w:pStyle w:val="paragraph"/>
        <w:spacing w:before="0" w:beforeAutospacing="0" w:after="0" w:afterAutospacing="0"/>
        <w:textAlignment w:val="baseline"/>
        <w:rPr>
          <w:rStyle w:val="eop"/>
          <w:rFonts w:ascii="Aptos" w:hAnsi="Aptos" w:cs="Segoe UI"/>
        </w:rPr>
      </w:pPr>
      <w:r w:rsidRPr="006C2F8D">
        <w:rPr>
          <w:rStyle w:val="normaltextrun"/>
          <w:rFonts w:ascii="Aptos" w:hAnsi="Aptos" w:cs="Segoe UI"/>
          <w:lang w:val="en-US"/>
        </w:rPr>
        <w:t>TYPE </w:t>
      </w:r>
      <w:proofErr w:type="gramStart"/>
      <w:r w:rsidRPr="006C2F8D">
        <w:rPr>
          <w:rStyle w:val="normaltextrun"/>
          <w:rFonts w:ascii="Aptos" w:hAnsi="Aptos" w:cs="Segoe UI"/>
          <w:lang w:val="en-US"/>
        </w:rPr>
        <w:t>2 DIABETES</w:t>
      </w:r>
      <w:proofErr w:type="gramEnd"/>
      <w:r w:rsidRPr="006C2F8D">
        <w:rPr>
          <w:rStyle w:val="normaltextrun"/>
          <w:rFonts w:ascii="Aptos" w:hAnsi="Aptos" w:cs="Segoe UI"/>
          <w:lang w:val="en-US"/>
        </w:rPr>
        <w:t> </w:t>
      </w:r>
      <w:r w:rsidRPr="006C2F8D">
        <w:rPr>
          <w:rStyle w:val="eop"/>
          <w:rFonts w:ascii="Aptos" w:hAnsi="Aptos" w:cs="Segoe UI"/>
        </w:rPr>
        <w:t> </w:t>
      </w:r>
    </w:p>
    <w:p w:rsidR="006C2F8D" w:rsidRDefault="006C2F8D" w:rsidP="006C2F8D">
      <w:pPr>
        <w:pStyle w:val="paragraph"/>
        <w:spacing w:before="0" w:beforeAutospacing="0" w:after="0" w:afterAutospacing="0"/>
        <w:textAlignment w:val="baseline"/>
        <w:rPr>
          <w:b/>
          <w:bCs/>
        </w:rPr>
      </w:pPr>
      <w:r>
        <w:rPr>
          <w:b/>
          <w:bCs/>
        </w:rPr>
        <w:t xml:space="preserve">Student </w:t>
      </w:r>
      <w:proofErr w:type="spellStart"/>
      <w:r>
        <w:rPr>
          <w:b/>
          <w:bCs/>
        </w:rPr>
        <w:t>Name</w:t>
      </w:r>
      <w:proofErr w:type="gramStart"/>
      <w:r>
        <w:rPr>
          <w:b/>
          <w:bCs/>
        </w:rPr>
        <w:t>:Summiyah</w:t>
      </w:r>
      <w:proofErr w:type="spellEnd"/>
      <w:proofErr w:type="gramEnd"/>
      <w:r>
        <w:rPr>
          <w:b/>
          <w:bCs/>
        </w:rPr>
        <w:t xml:space="preserve"> kousar </w:t>
      </w:r>
    </w:p>
    <w:p w:rsidR="006C2F8D" w:rsidRPr="006C2F8D" w:rsidRDefault="006C2F8D" w:rsidP="006C2F8D">
      <w:pPr>
        <w:pStyle w:val="paragraph"/>
        <w:spacing w:before="0" w:beforeAutospacing="0" w:after="0" w:afterAutospacing="0"/>
        <w:textAlignment w:val="baseline"/>
        <w:rPr>
          <w:rFonts w:ascii="Aptos" w:hAnsi="Aptos" w:cs="Segoe UI"/>
          <w:sz w:val="10"/>
          <w:szCs w:val="56"/>
        </w:rPr>
      </w:pPr>
      <w:r>
        <w:rPr>
          <w:b/>
          <w:bCs/>
        </w:rPr>
        <w:t>Student number: 2330601</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Word Count:</w:t>
      </w:r>
      <w:r>
        <w:rPr>
          <w:rFonts w:ascii="Times New Roman" w:eastAsia="Times New Roman" w:hAnsi="Times New Roman" w:cs="Times New Roman"/>
          <w:kern w:val="0"/>
          <w:sz w:val="24"/>
          <w:szCs w:val="24"/>
          <w:lang w:eastAsia="en-GB"/>
          <w14:ligatures w14:val="none"/>
        </w:rPr>
        <w:t xml:space="preserve"> ~2000 words</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Contents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Introduction</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Anatomy and Physiology of Blood Glucose Regulation</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Pathophysiology of Type 2 Diabetes Mellitus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Blood Sugar </w:t>
      </w:r>
      <w:proofErr w:type="spellStart"/>
      <w:r w:rsidRPr="006C2F8D">
        <w:rPr>
          <w:rFonts w:ascii="Times New Roman" w:eastAsia="Times New Roman" w:hAnsi="Times New Roman" w:cs="Times New Roman"/>
          <w:kern w:val="0"/>
          <w:sz w:val="24"/>
          <w:szCs w:val="24"/>
          <w:lang w:eastAsia="en-GB"/>
          <w14:ligatures w14:val="none"/>
        </w:rPr>
        <w:t>Dysregulation</w:t>
      </w:r>
      <w:proofErr w:type="spellEnd"/>
      <w:r w:rsidRPr="006C2F8D">
        <w:rPr>
          <w:rFonts w:ascii="Times New Roman" w:eastAsia="Times New Roman" w:hAnsi="Times New Roman" w:cs="Times New Roman"/>
          <w:kern w:val="0"/>
          <w:sz w:val="24"/>
          <w:szCs w:val="24"/>
          <w:lang w:eastAsia="en-GB"/>
          <w14:ligatures w14:val="none"/>
        </w:rPr>
        <w:t xml:space="preserve"> and Lifestyle Factors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Monitoring and Data Tracking</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Evidence</w:t>
      </w:r>
      <w:r w:rsidRPr="006C2F8D">
        <w:rPr>
          <w:rFonts w:ascii="Times New Roman" w:eastAsia="Times New Roman" w:hAnsi="Times New Roman" w:cs="Times New Roman"/>
          <w:kern w:val="0"/>
          <w:sz w:val="24"/>
          <w:szCs w:val="24"/>
          <w:lang w:eastAsia="en-GB"/>
          <w14:ligatures w14:val="none"/>
        </w:rPr>
        <w:noBreakHyphen/>
        <w:t>Based Lifestyle Recommendations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Conclusion</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Reference List</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1. Introduction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Type 2 diabetes mellitus (T2DM) is a chronic metabolic disorder characterised by persistent hyperglycaemia caused by insulin resistance, impaired insulin secretion, or both (NICE, 2023). It is a major global health concern due to rising prevalence linked to obesity, sedentary lifestyles, and population ageing (ADA, 2022). Long</w:t>
      </w:r>
      <w:r w:rsidRPr="006C2F8D">
        <w:rPr>
          <w:rFonts w:ascii="Times New Roman" w:eastAsia="Times New Roman" w:hAnsi="Times New Roman" w:cs="Times New Roman"/>
          <w:kern w:val="0"/>
          <w:sz w:val="24"/>
          <w:szCs w:val="24"/>
          <w:lang w:eastAsia="en-GB"/>
          <w14:ligatures w14:val="none"/>
        </w:rPr>
        <w:noBreakHyphen/>
        <w:t xml:space="preserve">term hyperglycaemia contributes to </w:t>
      </w:r>
      <w:proofErr w:type="spellStart"/>
      <w:r w:rsidRPr="006C2F8D">
        <w:rPr>
          <w:rFonts w:ascii="Times New Roman" w:eastAsia="Times New Roman" w:hAnsi="Times New Roman" w:cs="Times New Roman"/>
          <w:kern w:val="0"/>
          <w:sz w:val="24"/>
          <w:szCs w:val="24"/>
          <w:lang w:eastAsia="en-GB"/>
          <w14:ligatures w14:val="none"/>
        </w:rPr>
        <w:t>microvascular</w:t>
      </w:r>
      <w:proofErr w:type="spellEnd"/>
      <w:r w:rsidRPr="006C2F8D">
        <w:rPr>
          <w:rFonts w:ascii="Times New Roman" w:eastAsia="Times New Roman" w:hAnsi="Times New Roman" w:cs="Times New Roman"/>
          <w:kern w:val="0"/>
          <w:sz w:val="24"/>
          <w:szCs w:val="24"/>
          <w:lang w:eastAsia="en-GB"/>
          <w14:ligatures w14:val="none"/>
        </w:rPr>
        <w:t xml:space="preserve"> complications such as retinopathy, nephropathy, and neuropathy, as well as </w:t>
      </w:r>
      <w:proofErr w:type="spellStart"/>
      <w:r w:rsidRPr="006C2F8D">
        <w:rPr>
          <w:rFonts w:ascii="Times New Roman" w:eastAsia="Times New Roman" w:hAnsi="Times New Roman" w:cs="Times New Roman"/>
          <w:kern w:val="0"/>
          <w:sz w:val="24"/>
          <w:szCs w:val="24"/>
          <w:lang w:eastAsia="en-GB"/>
          <w14:ligatures w14:val="none"/>
        </w:rPr>
        <w:t>macrovascular</w:t>
      </w:r>
      <w:proofErr w:type="spellEnd"/>
      <w:r w:rsidRPr="006C2F8D">
        <w:rPr>
          <w:rFonts w:ascii="Times New Roman" w:eastAsia="Times New Roman" w:hAnsi="Times New Roman" w:cs="Times New Roman"/>
          <w:kern w:val="0"/>
          <w:sz w:val="24"/>
          <w:szCs w:val="24"/>
          <w:lang w:eastAsia="en-GB"/>
          <w14:ligatures w14:val="none"/>
        </w:rPr>
        <w:t xml:space="preserve"> complications including cardiovascular disease and stroke (Diabetes UK, 2023). Effective management requires understanding the underlying physiology of glucose regulation, the mechanisms leading to T2DM, and the influence of lifestyle behaviours on metabolic control (Hall &amp; Guyton, 2021). Monitoring technologies and evidence</w:t>
      </w:r>
      <w:r w:rsidRPr="006C2F8D">
        <w:rPr>
          <w:rFonts w:ascii="Times New Roman" w:eastAsia="Times New Roman" w:hAnsi="Times New Roman" w:cs="Times New Roman"/>
          <w:kern w:val="0"/>
          <w:sz w:val="24"/>
          <w:szCs w:val="24"/>
          <w:lang w:eastAsia="en-GB"/>
          <w14:ligatures w14:val="none"/>
        </w:rPr>
        <w:noBreakHyphen/>
        <w:t>based lifestyle interventions are essential for preventing disease progression and reducing morbidity (NHS, 2024).</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2. Anatomy and Physiology of Blood Glucose Regulation</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Pancreatic Anatomy</w:t>
      </w:r>
    </w:p>
    <w:p w:rsid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The pancreas is a mixed endocrine and exocrine organ located in the upper abdomen (Hall &amp; Guyton, 2021). Its endocrine function is performed by the islets of Langerhans, which contain beta cells that secrete insulin, alpha cells that produce glucagon, delta cells that release </w:t>
      </w:r>
      <w:proofErr w:type="spellStart"/>
      <w:r w:rsidRPr="006C2F8D">
        <w:rPr>
          <w:rFonts w:ascii="Times New Roman" w:eastAsia="Times New Roman" w:hAnsi="Times New Roman" w:cs="Times New Roman"/>
          <w:kern w:val="0"/>
          <w:sz w:val="24"/>
          <w:szCs w:val="24"/>
          <w:lang w:eastAsia="en-GB"/>
          <w14:ligatures w14:val="none"/>
        </w:rPr>
        <w:t>somatostatin</w:t>
      </w:r>
      <w:proofErr w:type="spellEnd"/>
      <w:r w:rsidRPr="006C2F8D">
        <w:rPr>
          <w:rFonts w:ascii="Times New Roman" w:eastAsia="Times New Roman" w:hAnsi="Times New Roman" w:cs="Times New Roman"/>
          <w:kern w:val="0"/>
          <w:sz w:val="24"/>
          <w:szCs w:val="24"/>
          <w:lang w:eastAsia="en-GB"/>
          <w14:ligatures w14:val="none"/>
        </w:rPr>
        <w:t>, and PP cells that secrete pancreatic polypeptide (Nelson &amp; Cox, 2021). Insulin and glucagon are the primary hormones responsible for maintaining glucose homeostasis (ADA, 2022).</w:t>
      </w:r>
    </w:p>
    <w:p w:rsidR="006C2F8D" w:rsidRP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7"/>
          <w:szCs w:val="27"/>
          <w:lang w:eastAsia="en-GB"/>
          <w14:ligatures w14:val="none"/>
        </w:rPr>
        <w:t>Insulin Function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lastRenderedPageBreak/>
        <w:t>Insulin lowers blood glucose by facilitating glucose uptake into skeletal muscle and adipose tissue through the translocation of GLUT4 transporters to the cell membrane (Nelson &amp; Cox, 2021). It promotes glycogen synthesis in the liver, inhibits hepatic glucose production, enhances lipid storage, and supports protein synthesis (Hall &amp; Guyton, 2021). These actions are essential for maintaining normal cellular metabolism and energy balance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Glucagon Function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Glucagon acts antagonistically to insulin by increasing blood glucose levels through stimulation of </w:t>
      </w:r>
      <w:proofErr w:type="spellStart"/>
      <w:r w:rsidRPr="006C2F8D">
        <w:rPr>
          <w:rFonts w:ascii="Times New Roman" w:eastAsia="Times New Roman" w:hAnsi="Times New Roman" w:cs="Times New Roman"/>
          <w:kern w:val="0"/>
          <w:sz w:val="24"/>
          <w:szCs w:val="24"/>
          <w:lang w:eastAsia="en-GB"/>
          <w14:ligatures w14:val="none"/>
        </w:rPr>
        <w:t>glycogenolysis</w:t>
      </w:r>
      <w:proofErr w:type="spellEnd"/>
      <w:r w:rsidRPr="006C2F8D">
        <w:rPr>
          <w:rFonts w:ascii="Times New Roman" w:eastAsia="Times New Roman" w:hAnsi="Times New Roman" w:cs="Times New Roman"/>
          <w:kern w:val="0"/>
          <w:sz w:val="24"/>
          <w:szCs w:val="24"/>
          <w:lang w:eastAsia="en-GB"/>
          <w14:ligatures w14:val="none"/>
        </w:rPr>
        <w:t xml:space="preserve"> and gluconeogenesis in the liver (Hall &amp; Guyton, 2021). This ensures glucose availability during fasting or periods of increased energy demand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Cellular Metabolism</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Glucose metabolism involves glycolysis, the citric acid cycle, and oxidative phosphorylation, which collectively generate ATP for cellular function (Nelson &amp; Cox, 2021). Efficient glucose uptake is therefore essential for maintaining normal metabolic processes (</w:t>
      </w:r>
      <w:proofErr w:type="spellStart"/>
      <w:r w:rsidRPr="006C2F8D">
        <w:rPr>
          <w:rFonts w:ascii="Times New Roman" w:eastAsia="Times New Roman" w:hAnsi="Times New Roman" w:cs="Times New Roman"/>
          <w:kern w:val="0"/>
          <w:sz w:val="24"/>
          <w:szCs w:val="24"/>
          <w:lang w:eastAsia="en-GB"/>
          <w14:ligatures w14:val="none"/>
        </w:rPr>
        <w:t>Besedovsky</w:t>
      </w:r>
      <w:proofErr w:type="spellEnd"/>
      <w:r w:rsidRPr="006C2F8D">
        <w:rPr>
          <w:rFonts w:ascii="Times New Roman" w:eastAsia="Times New Roman" w:hAnsi="Times New Roman" w:cs="Times New Roman"/>
          <w:kern w:val="0"/>
          <w:sz w:val="24"/>
          <w:szCs w:val="24"/>
          <w:lang w:eastAsia="en-GB"/>
          <w14:ligatures w14:val="none"/>
        </w:rPr>
        <w:t xml:space="preserve"> et al., 2012).</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3. Pathophysiology of Type 2 Diabetes Mellitus</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T2DM develops through a combination of insulin resistance and progressive beta</w:t>
      </w:r>
      <w:r w:rsidRPr="006C2F8D">
        <w:rPr>
          <w:rFonts w:ascii="Times New Roman" w:eastAsia="Times New Roman" w:hAnsi="Times New Roman" w:cs="Times New Roman"/>
          <w:kern w:val="0"/>
          <w:sz w:val="24"/>
          <w:szCs w:val="24"/>
          <w:lang w:eastAsia="en-GB"/>
          <w14:ligatures w14:val="none"/>
        </w:rPr>
        <w:noBreakHyphen/>
        <w:t>cell dysfunction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Insulin Resistance</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Insulin resistance occurs when peripheral tissues become less responsive to insulin, reducing glucose uptake and increasing circulating glucose levels (ADA, 2022). Contributing factors include obesity, chronic inflammation, physical inactivity, and genetic predisposition (</w:t>
      </w: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et al., 2011). Visceral adipose tissue releases inflammatory cytokines such as TNF</w:t>
      </w:r>
      <w:r w:rsidRPr="006C2F8D">
        <w:rPr>
          <w:rFonts w:ascii="Times New Roman" w:eastAsia="Times New Roman" w:hAnsi="Times New Roman" w:cs="Times New Roman"/>
          <w:kern w:val="0"/>
          <w:sz w:val="24"/>
          <w:szCs w:val="24"/>
          <w:lang w:eastAsia="en-GB"/>
          <w14:ligatures w14:val="none"/>
        </w:rPr>
        <w:noBreakHyphen/>
        <w:t>α and IL</w:t>
      </w:r>
      <w:r w:rsidRPr="006C2F8D">
        <w:rPr>
          <w:rFonts w:ascii="Times New Roman" w:eastAsia="Times New Roman" w:hAnsi="Times New Roman" w:cs="Times New Roman"/>
          <w:kern w:val="0"/>
          <w:sz w:val="24"/>
          <w:szCs w:val="24"/>
          <w:lang w:eastAsia="en-GB"/>
          <w14:ligatures w14:val="none"/>
        </w:rPr>
        <w:noBreakHyphen/>
        <w:t>6, which impair insulin signalling pathways and disrupt GLUT4 translocation (Irwin,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Beta</w:t>
      </w:r>
      <w:r w:rsidRPr="006C2F8D">
        <w:rPr>
          <w:rFonts w:ascii="Times New Roman" w:eastAsia="Times New Roman" w:hAnsi="Times New Roman" w:cs="Times New Roman"/>
          <w:b/>
          <w:bCs/>
          <w:kern w:val="0"/>
          <w:sz w:val="27"/>
          <w:szCs w:val="27"/>
          <w:lang w:eastAsia="en-GB"/>
          <w14:ligatures w14:val="none"/>
        </w:rPr>
        <w:noBreakHyphen/>
        <w:t>Cell Dysfunction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Initially, the pancreas compensates for insulin resistance by increasing insulin secretion. Over time, beta cells become exhausted, leading to reduced insulin production and worsening hyperglycaemia (NICE, 2023). Beta</w:t>
      </w:r>
      <w:r w:rsidRPr="006C2F8D">
        <w:rPr>
          <w:rFonts w:ascii="Times New Roman" w:eastAsia="Times New Roman" w:hAnsi="Times New Roman" w:cs="Times New Roman"/>
          <w:kern w:val="0"/>
          <w:sz w:val="24"/>
          <w:szCs w:val="24"/>
          <w:lang w:eastAsia="en-GB"/>
          <w14:ligatures w14:val="none"/>
        </w:rPr>
        <w:noBreakHyphen/>
        <w:t>cell dysfunction is a hallmark of T2DM progression and contributes to long</w:t>
      </w:r>
      <w:r w:rsidRPr="006C2F8D">
        <w:rPr>
          <w:rFonts w:ascii="Times New Roman" w:eastAsia="Times New Roman" w:hAnsi="Times New Roman" w:cs="Times New Roman"/>
          <w:kern w:val="0"/>
          <w:sz w:val="24"/>
          <w:szCs w:val="24"/>
          <w:lang w:eastAsia="en-GB"/>
          <w14:ligatures w14:val="none"/>
        </w:rPr>
        <w:noBreakHyphen/>
        <w:t>term metabolic instability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Disruption of Cellular Metabolism</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Impaired insulin signalling prevents glucose from entering cells efficiently, forcing cells to rely on fatty acids for energy (Nelson &amp; Cox, 2021). This shift leads to accumulation of toxic metabolic by</w:t>
      </w:r>
      <w:r w:rsidRPr="006C2F8D">
        <w:rPr>
          <w:rFonts w:ascii="Times New Roman" w:eastAsia="Times New Roman" w:hAnsi="Times New Roman" w:cs="Times New Roman"/>
          <w:kern w:val="0"/>
          <w:sz w:val="24"/>
          <w:szCs w:val="24"/>
          <w:lang w:eastAsia="en-GB"/>
          <w14:ligatures w14:val="none"/>
        </w:rPr>
        <w:noBreakHyphen/>
        <w:t>products, mitochondrial dysfunction, and oxidative stress (</w:t>
      </w:r>
      <w:proofErr w:type="spellStart"/>
      <w:r w:rsidRPr="006C2F8D">
        <w:rPr>
          <w:rFonts w:ascii="Times New Roman" w:eastAsia="Times New Roman" w:hAnsi="Times New Roman" w:cs="Times New Roman"/>
          <w:kern w:val="0"/>
          <w:sz w:val="24"/>
          <w:szCs w:val="24"/>
          <w:lang w:eastAsia="en-GB"/>
          <w14:ligatures w14:val="none"/>
        </w:rPr>
        <w:t>Besedovsky</w:t>
      </w:r>
      <w:proofErr w:type="spellEnd"/>
      <w:r w:rsidRPr="006C2F8D">
        <w:rPr>
          <w:rFonts w:ascii="Times New Roman" w:eastAsia="Times New Roman" w:hAnsi="Times New Roman" w:cs="Times New Roman"/>
          <w:kern w:val="0"/>
          <w:sz w:val="24"/>
          <w:szCs w:val="24"/>
          <w:lang w:eastAsia="en-GB"/>
          <w14:ligatures w14:val="none"/>
        </w:rPr>
        <w:t xml:space="preserve"> et al., 2012). These disruptions contribute to fatigue, impaired wound healing, and long</w:t>
      </w:r>
      <w:r w:rsidRPr="006C2F8D">
        <w:rPr>
          <w:rFonts w:ascii="Times New Roman" w:eastAsia="Times New Roman" w:hAnsi="Times New Roman" w:cs="Times New Roman"/>
          <w:kern w:val="0"/>
          <w:sz w:val="24"/>
          <w:szCs w:val="24"/>
          <w:lang w:eastAsia="en-GB"/>
          <w14:ligatures w14:val="none"/>
        </w:rPr>
        <w:noBreakHyphen/>
        <w:t>term organ damage (Diabetes UK, 2023).</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lastRenderedPageBreak/>
        <w:t xml:space="preserve">4. Blood Sugar </w:t>
      </w:r>
      <w:proofErr w:type="spellStart"/>
      <w:r w:rsidRPr="006C2F8D">
        <w:rPr>
          <w:rFonts w:ascii="Times New Roman" w:eastAsia="Times New Roman" w:hAnsi="Times New Roman" w:cs="Times New Roman"/>
          <w:b/>
          <w:bCs/>
          <w:kern w:val="0"/>
          <w:sz w:val="36"/>
          <w:szCs w:val="36"/>
          <w:lang w:eastAsia="en-GB"/>
          <w14:ligatures w14:val="none"/>
        </w:rPr>
        <w:t>Dysregulation</w:t>
      </w:r>
      <w:proofErr w:type="spellEnd"/>
      <w:r w:rsidRPr="006C2F8D">
        <w:rPr>
          <w:rFonts w:ascii="Times New Roman" w:eastAsia="Times New Roman" w:hAnsi="Times New Roman" w:cs="Times New Roman"/>
          <w:b/>
          <w:bCs/>
          <w:kern w:val="0"/>
          <w:sz w:val="36"/>
          <w:szCs w:val="36"/>
          <w:lang w:eastAsia="en-GB"/>
          <w14:ligatures w14:val="none"/>
        </w:rPr>
        <w:t xml:space="preserve"> and Lifestyle Factors</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Hyperglycaemia</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Hyperglycaemia occurs when insulin is insufficient or ineffective (NICE, 2023). Symptoms include excessive thirst, frequent urination, fatigue, and blurred vision (NHS, 2024). Chronic hyperglycaemia damages blood vessels and nerves, increasing the risk of cardiovascular disease, kidney failure, and neuropathy (Diabetes UK,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Hypoglycaemia</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Hypoglycaemia may occur due to excessive insulin, skipped meals, or intense physical activity (NHS, 2024). Symptoms include sweating, confusion, dizziness, and in severe cases, seizures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Lifestyle Factors Affecting Glycaemic Control</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Diet, physical activity, sleep, stress, smoking, and alcohol consumption significantly influence blood glucose regulation (Public Health England, 2021).</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Diet:</w:t>
      </w:r>
      <w:r w:rsidRPr="006C2F8D">
        <w:rPr>
          <w:rFonts w:ascii="Times New Roman" w:eastAsia="Times New Roman" w:hAnsi="Times New Roman" w:cs="Times New Roman"/>
          <w:kern w:val="0"/>
          <w:sz w:val="24"/>
          <w:szCs w:val="24"/>
          <w:lang w:eastAsia="en-GB"/>
          <w14:ligatures w14:val="none"/>
        </w:rPr>
        <w:t xml:space="preserve"> High</w:t>
      </w:r>
      <w:r w:rsidRPr="006C2F8D">
        <w:rPr>
          <w:rFonts w:ascii="Times New Roman" w:eastAsia="Times New Roman" w:hAnsi="Times New Roman" w:cs="Times New Roman"/>
          <w:kern w:val="0"/>
          <w:sz w:val="24"/>
          <w:szCs w:val="24"/>
          <w:lang w:eastAsia="en-GB"/>
          <w14:ligatures w14:val="none"/>
        </w:rPr>
        <w:noBreakHyphen/>
        <w:t>fibre foods, whole grains, and low</w:t>
      </w:r>
      <w:r w:rsidRPr="006C2F8D">
        <w:rPr>
          <w:rFonts w:ascii="Times New Roman" w:eastAsia="Times New Roman" w:hAnsi="Times New Roman" w:cs="Times New Roman"/>
          <w:kern w:val="0"/>
          <w:sz w:val="24"/>
          <w:szCs w:val="24"/>
          <w:lang w:eastAsia="en-GB"/>
          <w14:ligatures w14:val="none"/>
        </w:rPr>
        <w:noBreakHyphen/>
        <w:t>glycaemic</w:t>
      </w:r>
      <w:r w:rsidRPr="006C2F8D">
        <w:rPr>
          <w:rFonts w:ascii="Times New Roman" w:eastAsia="Times New Roman" w:hAnsi="Times New Roman" w:cs="Times New Roman"/>
          <w:kern w:val="0"/>
          <w:sz w:val="24"/>
          <w:szCs w:val="24"/>
          <w:lang w:eastAsia="en-GB"/>
          <w14:ligatures w14:val="none"/>
        </w:rPr>
        <w:noBreakHyphen/>
        <w:t>index carbohydrates improve glycaemic stability, while processed foods and sugary drinks worsen glucose control (ADA, 2022).</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Physical Activity:</w:t>
      </w:r>
      <w:r w:rsidRPr="006C2F8D">
        <w:rPr>
          <w:rFonts w:ascii="Times New Roman" w:eastAsia="Times New Roman" w:hAnsi="Times New Roman" w:cs="Times New Roman"/>
          <w:kern w:val="0"/>
          <w:sz w:val="24"/>
          <w:szCs w:val="24"/>
          <w:lang w:eastAsia="en-GB"/>
          <w14:ligatures w14:val="none"/>
        </w:rPr>
        <w:t xml:space="preserve"> Exercise increases insulin sensitivity and enhances glucose uptake by muscles (Public Health England, 2021).</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Sleep:</w:t>
      </w:r>
      <w:r w:rsidRPr="006C2F8D">
        <w:rPr>
          <w:rFonts w:ascii="Times New Roman" w:eastAsia="Times New Roman" w:hAnsi="Times New Roman" w:cs="Times New Roman"/>
          <w:kern w:val="0"/>
          <w:sz w:val="24"/>
          <w:szCs w:val="24"/>
          <w:lang w:eastAsia="en-GB"/>
          <w14:ligatures w14:val="none"/>
        </w:rPr>
        <w:t xml:space="preserve"> Insufficient sleep elevates cortisol, increasing insulin resistance (</w:t>
      </w:r>
      <w:proofErr w:type="spellStart"/>
      <w:r w:rsidRPr="006C2F8D">
        <w:rPr>
          <w:rFonts w:ascii="Times New Roman" w:eastAsia="Times New Roman" w:hAnsi="Times New Roman" w:cs="Times New Roman"/>
          <w:kern w:val="0"/>
          <w:sz w:val="24"/>
          <w:szCs w:val="24"/>
          <w:lang w:eastAsia="en-GB"/>
          <w14:ligatures w14:val="none"/>
        </w:rPr>
        <w:t>Leproult</w:t>
      </w:r>
      <w:proofErr w:type="spellEnd"/>
      <w:r w:rsidRPr="006C2F8D">
        <w:rPr>
          <w:rFonts w:ascii="Times New Roman" w:eastAsia="Times New Roman" w:hAnsi="Times New Roman" w:cs="Times New Roman"/>
          <w:kern w:val="0"/>
          <w:sz w:val="24"/>
          <w:szCs w:val="24"/>
          <w:lang w:eastAsia="en-GB"/>
          <w14:ligatures w14:val="none"/>
        </w:rPr>
        <w:t xml:space="preserve"> et al., 2015).</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Stress:</w:t>
      </w:r>
      <w:r w:rsidRPr="006C2F8D">
        <w:rPr>
          <w:rFonts w:ascii="Times New Roman" w:eastAsia="Times New Roman" w:hAnsi="Times New Roman" w:cs="Times New Roman"/>
          <w:kern w:val="0"/>
          <w:sz w:val="24"/>
          <w:szCs w:val="24"/>
          <w:lang w:eastAsia="en-GB"/>
          <w14:ligatures w14:val="none"/>
        </w:rPr>
        <w:t xml:space="preserve"> Chronic stress raises cortisol and adrenaline, contributing to hyperglycaemia (Irwin, 2015).</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Smoking and Alcohol:</w:t>
      </w:r>
      <w:r w:rsidRPr="006C2F8D">
        <w:rPr>
          <w:rFonts w:ascii="Times New Roman" w:eastAsia="Times New Roman" w:hAnsi="Times New Roman" w:cs="Times New Roman"/>
          <w:kern w:val="0"/>
          <w:sz w:val="24"/>
          <w:szCs w:val="24"/>
          <w:lang w:eastAsia="en-GB"/>
          <w14:ligatures w14:val="none"/>
        </w:rPr>
        <w:t xml:space="preserve"> Smoking increases insulin resistance, while excessive alcohol causes unpredictable glucose fluctuations (</w:t>
      </w: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et al., 2011).</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5. Monitoring and Data Tracking</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Monitoring is essential for assessing glycaemic control and preventing complications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Self</w:t>
      </w:r>
      <w:r w:rsidRPr="006C2F8D">
        <w:rPr>
          <w:rFonts w:ascii="Times New Roman" w:eastAsia="Times New Roman" w:hAnsi="Times New Roman" w:cs="Times New Roman"/>
          <w:b/>
          <w:bCs/>
          <w:kern w:val="0"/>
          <w:sz w:val="27"/>
          <w:szCs w:val="27"/>
          <w:lang w:eastAsia="en-GB"/>
          <w14:ligatures w14:val="none"/>
        </w:rPr>
        <w:noBreakHyphen/>
        <w:t>Monitoring of Blood Glucose (SMBG)</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Finger</w:t>
      </w:r>
      <w:r w:rsidRPr="006C2F8D">
        <w:rPr>
          <w:rFonts w:ascii="Times New Roman" w:eastAsia="Times New Roman" w:hAnsi="Times New Roman" w:cs="Times New Roman"/>
          <w:kern w:val="0"/>
          <w:sz w:val="24"/>
          <w:szCs w:val="24"/>
          <w:lang w:eastAsia="en-GB"/>
          <w14:ligatures w14:val="none"/>
        </w:rPr>
        <w:noBreakHyphen/>
        <w:t>prick testing provides immediate glucose readings and helps individuals understand how diet, activity, and medication affect glucose levels (NHS, 2024).</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Continuous Glucose Monitoring (CGM)</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CGM devices measure interstitial glucose every few minutes using a sensor worn on the skin (Diabetes UK, 2023). They provide real</w:t>
      </w:r>
      <w:r w:rsidRPr="006C2F8D">
        <w:rPr>
          <w:rFonts w:ascii="Times New Roman" w:eastAsia="Times New Roman" w:hAnsi="Times New Roman" w:cs="Times New Roman"/>
          <w:kern w:val="0"/>
          <w:sz w:val="24"/>
          <w:szCs w:val="24"/>
          <w:lang w:eastAsia="en-GB"/>
          <w14:ligatures w14:val="none"/>
        </w:rPr>
        <w:noBreakHyphen/>
        <w:t>time glucose trends, alerts for hypo</w:t>
      </w:r>
      <w:r w:rsidRPr="006C2F8D">
        <w:rPr>
          <w:rFonts w:ascii="Times New Roman" w:eastAsia="Times New Roman" w:hAnsi="Times New Roman" w:cs="Times New Roman"/>
          <w:kern w:val="0"/>
          <w:sz w:val="24"/>
          <w:szCs w:val="24"/>
          <w:lang w:eastAsia="en-GB"/>
          <w14:ligatures w14:val="none"/>
        </w:rPr>
        <w:noBreakHyphen/>
        <w:t xml:space="preserve"> or hyperglycaemia, and improved treatment decisions (NHS, 2024).</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lastRenderedPageBreak/>
        <w:t xml:space="preserve"> HbA1c Testing</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HbA1c reflects average blood glucose over 2–3 months and is used to assess long</w:t>
      </w:r>
      <w:r w:rsidRPr="006C2F8D">
        <w:rPr>
          <w:rFonts w:ascii="Times New Roman" w:eastAsia="Times New Roman" w:hAnsi="Times New Roman" w:cs="Times New Roman"/>
          <w:kern w:val="0"/>
          <w:sz w:val="24"/>
          <w:szCs w:val="24"/>
          <w:lang w:eastAsia="en-GB"/>
          <w14:ligatures w14:val="none"/>
        </w:rPr>
        <w:noBreakHyphen/>
        <w:t>term glycaemic control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Digital Tools</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Mobile apps and wearable devices support food logging, activity tracking, medication reminders, and data sharing with clinicians (Public Health England, 2021). Digital monitoring enhances self</w:t>
      </w:r>
      <w:r w:rsidRPr="006C2F8D">
        <w:rPr>
          <w:rFonts w:ascii="Times New Roman" w:eastAsia="Times New Roman" w:hAnsi="Times New Roman" w:cs="Times New Roman"/>
          <w:kern w:val="0"/>
          <w:sz w:val="24"/>
          <w:szCs w:val="24"/>
          <w:lang w:eastAsia="en-GB"/>
          <w14:ligatures w14:val="none"/>
        </w:rPr>
        <w:noBreakHyphen/>
        <w:t>management and improves adherence (NICE, 2023).</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6. Evidence</w:t>
      </w:r>
      <w:r w:rsidRPr="006C2F8D">
        <w:rPr>
          <w:rFonts w:ascii="Times New Roman" w:eastAsia="Times New Roman" w:hAnsi="Times New Roman" w:cs="Times New Roman"/>
          <w:b/>
          <w:bCs/>
          <w:kern w:val="0"/>
          <w:sz w:val="36"/>
          <w:szCs w:val="36"/>
          <w:lang w:eastAsia="en-GB"/>
          <w14:ligatures w14:val="none"/>
        </w:rPr>
        <w:noBreakHyphen/>
        <w:t>Based Lifestyle Recommendations</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Diet</w:t>
      </w:r>
    </w:p>
    <w:p w:rsid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Evidence supports increased intake of fruits, vegetables, whole grains, and lean proteins, and reduced consumption of refined carbohydrates and sugary drinks (ADA, 2022). Low</w:t>
      </w:r>
      <w:r w:rsidRPr="006C2F8D">
        <w:rPr>
          <w:rFonts w:ascii="Times New Roman" w:eastAsia="Times New Roman" w:hAnsi="Times New Roman" w:cs="Times New Roman"/>
          <w:kern w:val="0"/>
          <w:sz w:val="24"/>
          <w:szCs w:val="24"/>
          <w:lang w:eastAsia="en-GB"/>
          <w14:ligatures w14:val="none"/>
        </w:rPr>
        <w:noBreakHyphen/>
        <w:t>glycaemic</w:t>
      </w:r>
      <w:r w:rsidRPr="006C2F8D">
        <w:rPr>
          <w:rFonts w:ascii="Times New Roman" w:eastAsia="Times New Roman" w:hAnsi="Times New Roman" w:cs="Times New Roman"/>
          <w:kern w:val="0"/>
          <w:sz w:val="24"/>
          <w:szCs w:val="24"/>
          <w:lang w:eastAsia="en-GB"/>
          <w14:ligatures w14:val="none"/>
        </w:rPr>
        <w:noBreakHyphen/>
        <w:t>index foods help stabilise glucose levels (Diabetes UK, 2023).</w:t>
      </w:r>
    </w:p>
    <w:p w:rsidR="006C2F8D" w:rsidRP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Physical Activity</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Recommendations include at least 150 minutes of moderate activity per week, strength training twice weekly, and reducing sedentary time (Public Health England, 2021). Exercise improves glucose uptake and reduces inflammation (Irwin,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Sleep</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Adults should aim for 7–9 hours of sleep. Consistent sleep patterns improve hormonal regulation and metabolic health (</w:t>
      </w:r>
      <w:proofErr w:type="spellStart"/>
      <w:r w:rsidRPr="006C2F8D">
        <w:rPr>
          <w:rFonts w:ascii="Times New Roman" w:eastAsia="Times New Roman" w:hAnsi="Times New Roman" w:cs="Times New Roman"/>
          <w:kern w:val="0"/>
          <w:sz w:val="24"/>
          <w:szCs w:val="24"/>
          <w:lang w:eastAsia="en-GB"/>
          <w14:ligatures w14:val="none"/>
        </w:rPr>
        <w:t>Leproult</w:t>
      </w:r>
      <w:proofErr w:type="spellEnd"/>
      <w:r w:rsidRPr="006C2F8D">
        <w:rPr>
          <w:rFonts w:ascii="Times New Roman" w:eastAsia="Times New Roman" w:hAnsi="Times New Roman" w:cs="Times New Roman"/>
          <w:kern w:val="0"/>
          <w:sz w:val="24"/>
          <w:szCs w:val="24"/>
          <w:lang w:eastAsia="en-GB"/>
          <w14:ligatures w14:val="none"/>
        </w:rPr>
        <w:t xml:space="preserve"> et al.,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Stress Management</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Mindfulness, relaxation techniques, and social support reduce cortisol levels and improve glycaemic control (Irwin,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Hydration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Adequate water intake supports kidney function and glucose regulation (NHS, 2024).</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Weight Management</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Losing 5–10% of body weight significantly improves insulin sensitivity and reduces disease progression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Smoking and Alcohol</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Smoking cessation and moderate alcohol intake reduce cardiovascular and metabolic risks (</w:t>
      </w: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et al., 2011).</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lastRenderedPageBreak/>
        <w:t>7. Conclusion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T2DM is a complex metabolic disorder with significant long</w:t>
      </w:r>
      <w:r w:rsidRPr="006C2F8D">
        <w:rPr>
          <w:rFonts w:ascii="Times New Roman" w:eastAsia="Times New Roman" w:hAnsi="Times New Roman" w:cs="Times New Roman"/>
          <w:kern w:val="0"/>
          <w:sz w:val="24"/>
          <w:szCs w:val="24"/>
          <w:lang w:eastAsia="en-GB"/>
          <w14:ligatures w14:val="none"/>
        </w:rPr>
        <w:noBreakHyphen/>
        <w:t>term health implications (NICE, 2023). Understanding the anatomy and physiology of glucose regulation provides essential context for recognising how insulin resistance and beta</w:t>
      </w:r>
      <w:r w:rsidRPr="006C2F8D">
        <w:rPr>
          <w:rFonts w:ascii="Times New Roman" w:eastAsia="Times New Roman" w:hAnsi="Times New Roman" w:cs="Times New Roman"/>
          <w:kern w:val="0"/>
          <w:sz w:val="24"/>
          <w:szCs w:val="24"/>
          <w:lang w:eastAsia="en-GB"/>
          <w14:ligatures w14:val="none"/>
        </w:rPr>
        <w:noBreakHyphen/>
        <w:t>cell dysfunction develop (Hall &amp; Guyton, 2021). Lifestyle factors play a critical role in both the onset and management of T2DM, and evidence</w:t>
      </w:r>
      <w:r w:rsidRPr="006C2F8D">
        <w:rPr>
          <w:rFonts w:ascii="Times New Roman" w:eastAsia="Times New Roman" w:hAnsi="Times New Roman" w:cs="Times New Roman"/>
          <w:kern w:val="0"/>
          <w:sz w:val="24"/>
          <w:szCs w:val="24"/>
          <w:lang w:eastAsia="en-GB"/>
          <w14:ligatures w14:val="none"/>
        </w:rPr>
        <w:noBreakHyphen/>
        <w:t>based interventions such as dietary modification, physical activity, sleep optimisation, and stress reduction can substantially improve outcomes (ADA, 2022). Monitoring tools, including SMBG, CGM, and HbA1c testing, support effective self</w:t>
      </w:r>
      <w:r w:rsidRPr="006C2F8D">
        <w:rPr>
          <w:rFonts w:ascii="Times New Roman" w:eastAsia="Times New Roman" w:hAnsi="Times New Roman" w:cs="Times New Roman"/>
          <w:kern w:val="0"/>
          <w:sz w:val="24"/>
          <w:szCs w:val="24"/>
          <w:lang w:eastAsia="en-GB"/>
          <w14:ligatures w14:val="none"/>
        </w:rPr>
        <w:noBreakHyphen/>
        <w:t>management and early detection of complications (Diabetes UK, 2023). A comprehensive approach combining education, lifestyle change, and regular monitoring is essential for improving quality of life and reducing the burden of T2DM (NHS, 2024).</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Reference List</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Ackermann, S. &amp; </w:t>
      </w:r>
      <w:proofErr w:type="spellStart"/>
      <w:r w:rsidRPr="006C2F8D">
        <w:rPr>
          <w:rFonts w:ascii="Times New Roman" w:eastAsia="Times New Roman" w:hAnsi="Times New Roman" w:cs="Times New Roman"/>
          <w:kern w:val="0"/>
          <w:sz w:val="24"/>
          <w:szCs w:val="24"/>
          <w:lang w:eastAsia="en-GB"/>
          <w14:ligatures w14:val="none"/>
        </w:rPr>
        <w:t>Rasch</w:t>
      </w:r>
      <w:proofErr w:type="spellEnd"/>
      <w:r w:rsidRPr="006C2F8D">
        <w:rPr>
          <w:rFonts w:ascii="Times New Roman" w:eastAsia="Times New Roman" w:hAnsi="Times New Roman" w:cs="Times New Roman"/>
          <w:kern w:val="0"/>
          <w:sz w:val="24"/>
          <w:szCs w:val="24"/>
          <w:lang w:eastAsia="en-GB"/>
          <w14:ligatures w14:val="none"/>
        </w:rPr>
        <w:t>, B. (2014) ‘Differential effects of non</w:t>
      </w:r>
      <w:r w:rsidRPr="006C2F8D">
        <w:rPr>
          <w:rFonts w:ascii="Times New Roman" w:eastAsia="Times New Roman" w:hAnsi="Times New Roman" w:cs="Times New Roman"/>
          <w:kern w:val="0"/>
          <w:sz w:val="24"/>
          <w:szCs w:val="24"/>
          <w:lang w:eastAsia="en-GB"/>
          <w14:ligatures w14:val="none"/>
        </w:rPr>
        <w:noBreakHyphen/>
        <w:t xml:space="preserve">REM and REM sleep on memory consolidation’, </w:t>
      </w:r>
      <w:r w:rsidRPr="006C2F8D">
        <w:rPr>
          <w:rFonts w:ascii="Times New Roman" w:eastAsia="Times New Roman" w:hAnsi="Times New Roman" w:cs="Times New Roman"/>
          <w:i/>
          <w:iCs/>
          <w:kern w:val="0"/>
          <w:sz w:val="24"/>
          <w:szCs w:val="24"/>
          <w:lang w:eastAsia="en-GB"/>
          <w14:ligatures w14:val="none"/>
        </w:rPr>
        <w:t>Current Neurology and Neuroscience Reports</w:t>
      </w:r>
      <w:r w:rsidRPr="006C2F8D">
        <w:rPr>
          <w:rFonts w:ascii="Times New Roman" w:eastAsia="Times New Roman" w:hAnsi="Times New Roman" w:cs="Times New Roman"/>
          <w:kern w:val="0"/>
          <w:sz w:val="24"/>
          <w:szCs w:val="24"/>
          <w:lang w:eastAsia="en-GB"/>
          <w14:ligatures w14:val="none"/>
        </w:rPr>
        <w:t>, 14(2), pp. 1–10.</w:t>
      </w:r>
      <w:proofErr w:type="gramEnd"/>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American Diabetes Association (2022) </w:t>
      </w:r>
      <w:r w:rsidRPr="006C2F8D">
        <w:rPr>
          <w:rFonts w:ascii="Times New Roman" w:eastAsia="Times New Roman" w:hAnsi="Times New Roman" w:cs="Times New Roman"/>
          <w:i/>
          <w:iCs/>
          <w:kern w:val="0"/>
          <w:sz w:val="24"/>
          <w:szCs w:val="24"/>
          <w:lang w:eastAsia="en-GB"/>
          <w14:ligatures w14:val="none"/>
        </w:rPr>
        <w:t>Standards of Medical Care in Diabetes</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Washington, DC: ADA.</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C2F8D">
        <w:rPr>
          <w:rFonts w:ascii="Times New Roman" w:eastAsia="Times New Roman" w:hAnsi="Times New Roman" w:cs="Times New Roman"/>
          <w:kern w:val="0"/>
          <w:sz w:val="24"/>
          <w:szCs w:val="24"/>
          <w:lang w:eastAsia="en-GB"/>
          <w14:ligatures w14:val="none"/>
        </w:rPr>
        <w:t>Besedovsky</w:t>
      </w:r>
      <w:proofErr w:type="spellEnd"/>
      <w:r w:rsidRPr="006C2F8D">
        <w:rPr>
          <w:rFonts w:ascii="Times New Roman" w:eastAsia="Times New Roman" w:hAnsi="Times New Roman" w:cs="Times New Roman"/>
          <w:kern w:val="0"/>
          <w:sz w:val="24"/>
          <w:szCs w:val="24"/>
          <w:lang w:eastAsia="en-GB"/>
          <w14:ligatures w14:val="none"/>
        </w:rPr>
        <w:t xml:space="preserve">, L., Lange, T. &amp; Born, J. (2012) ‘Sleep and immune function’, </w:t>
      </w:r>
      <w:proofErr w:type="spellStart"/>
      <w:r w:rsidRPr="006C2F8D">
        <w:rPr>
          <w:rFonts w:ascii="Times New Roman" w:eastAsia="Times New Roman" w:hAnsi="Times New Roman" w:cs="Times New Roman"/>
          <w:i/>
          <w:iCs/>
          <w:kern w:val="0"/>
          <w:sz w:val="24"/>
          <w:szCs w:val="24"/>
          <w:lang w:eastAsia="en-GB"/>
          <w14:ligatures w14:val="none"/>
        </w:rPr>
        <w:t>Pflügers</w:t>
      </w:r>
      <w:proofErr w:type="spellEnd"/>
      <w:r w:rsidRPr="006C2F8D">
        <w:rPr>
          <w:rFonts w:ascii="Times New Roman" w:eastAsia="Times New Roman" w:hAnsi="Times New Roman" w:cs="Times New Roman"/>
          <w:i/>
          <w:iCs/>
          <w:kern w:val="0"/>
          <w:sz w:val="24"/>
          <w:szCs w:val="24"/>
          <w:lang w:eastAsia="en-GB"/>
          <w14:ligatures w14:val="none"/>
        </w:rPr>
        <w:t xml:space="preserve"> </w:t>
      </w:r>
      <w:proofErr w:type="spellStart"/>
      <w:r w:rsidRPr="006C2F8D">
        <w:rPr>
          <w:rFonts w:ascii="Times New Roman" w:eastAsia="Times New Roman" w:hAnsi="Times New Roman" w:cs="Times New Roman"/>
          <w:i/>
          <w:iCs/>
          <w:kern w:val="0"/>
          <w:sz w:val="24"/>
          <w:szCs w:val="24"/>
          <w:lang w:eastAsia="en-GB"/>
          <w14:ligatures w14:val="none"/>
        </w:rPr>
        <w:t>Archiv</w:t>
      </w:r>
      <w:proofErr w:type="spellEnd"/>
      <w:r w:rsidRPr="006C2F8D">
        <w:rPr>
          <w:rFonts w:ascii="Times New Roman" w:eastAsia="Times New Roman" w:hAnsi="Times New Roman" w:cs="Times New Roman"/>
          <w:kern w:val="0"/>
          <w:sz w:val="24"/>
          <w:szCs w:val="24"/>
          <w:lang w:eastAsia="en-GB"/>
          <w14:ligatures w14:val="none"/>
        </w:rPr>
        <w:t>, 463(1), pp. 121–137.</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F.P., Cooper, D., </w:t>
      </w:r>
      <w:proofErr w:type="spellStart"/>
      <w:r w:rsidRPr="006C2F8D">
        <w:rPr>
          <w:rFonts w:ascii="Times New Roman" w:eastAsia="Times New Roman" w:hAnsi="Times New Roman" w:cs="Times New Roman"/>
          <w:kern w:val="0"/>
          <w:sz w:val="24"/>
          <w:szCs w:val="24"/>
          <w:lang w:eastAsia="en-GB"/>
          <w14:ligatures w14:val="none"/>
        </w:rPr>
        <w:t>D’Elia</w:t>
      </w:r>
      <w:proofErr w:type="spellEnd"/>
      <w:r w:rsidRPr="006C2F8D">
        <w:rPr>
          <w:rFonts w:ascii="Times New Roman" w:eastAsia="Times New Roman" w:hAnsi="Times New Roman" w:cs="Times New Roman"/>
          <w:kern w:val="0"/>
          <w:sz w:val="24"/>
          <w:szCs w:val="24"/>
          <w:lang w:eastAsia="en-GB"/>
          <w14:ligatures w14:val="none"/>
        </w:rPr>
        <w:t xml:space="preserve">, L., </w:t>
      </w:r>
      <w:proofErr w:type="spellStart"/>
      <w:r w:rsidRPr="006C2F8D">
        <w:rPr>
          <w:rFonts w:ascii="Times New Roman" w:eastAsia="Times New Roman" w:hAnsi="Times New Roman" w:cs="Times New Roman"/>
          <w:kern w:val="0"/>
          <w:sz w:val="24"/>
          <w:szCs w:val="24"/>
          <w:lang w:eastAsia="en-GB"/>
          <w14:ligatures w14:val="none"/>
        </w:rPr>
        <w:t>Strazzullo</w:t>
      </w:r>
      <w:proofErr w:type="spellEnd"/>
      <w:r w:rsidRPr="006C2F8D">
        <w:rPr>
          <w:rFonts w:ascii="Times New Roman" w:eastAsia="Times New Roman" w:hAnsi="Times New Roman" w:cs="Times New Roman"/>
          <w:kern w:val="0"/>
          <w:sz w:val="24"/>
          <w:szCs w:val="24"/>
          <w:lang w:eastAsia="en-GB"/>
          <w14:ligatures w14:val="none"/>
        </w:rPr>
        <w:t>, P. &amp; Miller, M.A. (2011) ‘Sleep duration and cardiovascular outcomes: A systematic review and meta</w:t>
      </w:r>
      <w:r w:rsidRPr="006C2F8D">
        <w:rPr>
          <w:rFonts w:ascii="Times New Roman" w:eastAsia="Times New Roman" w:hAnsi="Times New Roman" w:cs="Times New Roman"/>
          <w:kern w:val="0"/>
          <w:sz w:val="24"/>
          <w:szCs w:val="24"/>
          <w:lang w:eastAsia="en-GB"/>
          <w14:ligatures w14:val="none"/>
        </w:rPr>
        <w:noBreakHyphen/>
        <w:t xml:space="preserve">analysis’, </w:t>
      </w:r>
      <w:r w:rsidRPr="006C2F8D">
        <w:rPr>
          <w:rFonts w:ascii="Times New Roman" w:eastAsia="Times New Roman" w:hAnsi="Times New Roman" w:cs="Times New Roman"/>
          <w:i/>
          <w:iCs/>
          <w:kern w:val="0"/>
          <w:sz w:val="24"/>
          <w:szCs w:val="24"/>
          <w:lang w:eastAsia="en-GB"/>
          <w14:ligatures w14:val="none"/>
        </w:rPr>
        <w:t>European Heart Journal</w:t>
      </w:r>
      <w:r w:rsidRPr="006C2F8D">
        <w:rPr>
          <w:rFonts w:ascii="Times New Roman" w:eastAsia="Times New Roman" w:hAnsi="Times New Roman" w:cs="Times New Roman"/>
          <w:kern w:val="0"/>
          <w:sz w:val="24"/>
          <w:szCs w:val="24"/>
          <w:lang w:eastAsia="en-GB"/>
          <w14:ligatures w14:val="none"/>
        </w:rPr>
        <w:t>, 32(12), pp. 1484–1492.</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Diabetes UK (2023) </w:t>
      </w:r>
      <w:r w:rsidRPr="006C2F8D">
        <w:rPr>
          <w:rFonts w:ascii="Times New Roman" w:eastAsia="Times New Roman" w:hAnsi="Times New Roman" w:cs="Times New Roman"/>
          <w:i/>
          <w:iCs/>
          <w:kern w:val="0"/>
          <w:sz w:val="24"/>
          <w:szCs w:val="24"/>
          <w:lang w:eastAsia="en-GB"/>
          <w14:ligatures w14:val="none"/>
        </w:rPr>
        <w:t>Type 2 Diabetes: Prevention and Management</w:t>
      </w:r>
      <w:r w:rsidRPr="006C2F8D">
        <w:rPr>
          <w:rFonts w:ascii="Times New Roman" w:eastAsia="Times New Roman" w:hAnsi="Times New Roman" w:cs="Times New Roman"/>
          <w:kern w:val="0"/>
          <w:sz w:val="24"/>
          <w:szCs w:val="24"/>
          <w:lang w:eastAsia="en-GB"/>
          <w14:ligatures w14:val="none"/>
        </w:rPr>
        <w:t>. Available at: https://www.diabetes.org.uk</w:t>
      </w:r>
      <w:proofErr w:type="gramStart"/>
      <w:r w:rsidRPr="006C2F8D">
        <w:rPr>
          <w:rFonts w:ascii="Times New Roman" w:eastAsia="Times New Roman" w:hAnsi="Times New Roman" w:cs="Times New Roman"/>
          <w:kern w:val="0"/>
          <w:sz w:val="24"/>
          <w:szCs w:val="24"/>
          <w:lang w:eastAsia="en-GB"/>
          <w14:ligatures w14:val="none"/>
        </w:rPr>
        <w:t>..</w:t>
      </w:r>
      <w:proofErr w:type="gramEnd"/>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Hall, J.E. &amp; Guyton, A.C. (2021) </w:t>
      </w:r>
      <w:r w:rsidRPr="006C2F8D">
        <w:rPr>
          <w:rFonts w:ascii="Times New Roman" w:eastAsia="Times New Roman" w:hAnsi="Times New Roman" w:cs="Times New Roman"/>
          <w:i/>
          <w:iCs/>
          <w:kern w:val="0"/>
          <w:sz w:val="24"/>
          <w:szCs w:val="24"/>
          <w:lang w:eastAsia="en-GB"/>
          <w14:ligatures w14:val="none"/>
        </w:rPr>
        <w:t>Textbook of Medical Physiology</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w:t>
      </w:r>
      <w:proofErr w:type="gramStart"/>
      <w:r w:rsidRPr="006C2F8D">
        <w:rPr>
          <w:rFonts w:ascii="Times New Roman" w:eastAsia="Times New Roman" w:hAnsi="Times New Roman" w:cs="Times New Roman"/>
          <w:kern w:val="0"/>
          <w:sz w:val="24"/>
          <w:szCs w:val="24"/>
          <w:lang w:eastAsia="en-GB"/>
          <w14:ligatures w14:val="none"/>
        </w:rPr>
        <w:t xml:space="preserve">14th </w:t>
      </w:r>
      <w:proofErr w:type="spellStart"/>
      <w:r w:rsidRPr="006C2F8D">
        <w:rPr>
          <w:rFonts w:ascii="Times New Roman" w:eastAsia="Times New Roman" w:hAnsi="Times New Roman" w:cs="Times New Roman"/>
          <w:kern w:val="0"/>
          <w:sz w:val="24"/>
          <w:szCs w:val="24"/>
          <w:lang w:eastAsia="en-GB"/>
          <w14:ligatures w14:val="none"/>
        </w:rPr>
        <w:t>edn</w:t>
      </w:r>
      <w:proofErr w:type="spellEnd"/>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Philadelphia: Elsevier.</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Irwin, M.R. (2015) ‘Why sleep is important for health: A psychoneuroimmunology perspective’, </w:t>
      </w:r>
      <w:r w:rsidRPr="006C2F8D">
        <w:rPr>
          <w:rFonts w:ascii="Times New Roman" w:eastAsia="Times New Roman" w:hAnsi="Times New Roman" w:cs="Times New Roman"/>
          <w:i/>
          <w:iCs/>
          <w:kern w:val="0"/>
          <w:sz w:val="24"/>
          <w:szCs w:val="24"/>
          <w:lang w:eastAsia="en-GB"/>
          <w14:ligatures w14:val="none"/>
        </w:rPr>
        <w:t>Annual Review of Psychology</w:t>
      </w:r>
      <w:r w:rsidRPr="006C2F8D">
        <w:rPr>
          <w:rFonts w:ascii="Times New Roman" w:eastAsia="Times New Roman" w:hAnsi="Times New Roman" w:cs="Times New Roman"/>
          <w:kern w:val="0"/>
          <w:sz w:val="24"/>
          <w:szCs w:val="24"/>
          <w:lang w:eastAsia="en-GB"/>
          <w14:ligatures w14:val="none"/>
        </w:rPr>
        <w:t>, 66, pp. 143–172.</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C2F8D">
        <w:rPr>
          <w:rFonts w:ascii="Times New Roman" w:eastAsia="Times New Roman" w:hAnsi="Times New Roman" w:cs="Times New Roman"/>
          <w:kern w:val="0"/>
          <w:sz w:val="24"/>
          <w:szCs w:val="24"/>
          <w:lang w:eastAsia="en-GB"/>
          <w14:ligatures w14:val="none"/>
        </w:rPr>
        <w:t>Leproult</w:t>
      </w:r>
      <w:proofErr w:type="spellEnd"/>
      <w:r w:rsidRPr="006C2F8D">
        <w:rPr>
          <w:rFonts w:ascii="Times New Roman" w:eastAsia="Times New Roman" w:hAnsi="Times New Roman" w:cs="Times New Roman"/>
          <w:kern w:val="0"/>
          <w:sz w:val="24"/>
          <w:szCs w:val="24"/>
          <w:lang w:eastAsia="en-GB"/>
          <w14:ligatures w14:val="none"/>
        </w:rPr>
        <w:t xml:space="preserve">, R., </w:t>
      </w:r>
      <w:proofErr w:type="spellStart"/>
      <w:r w:rsidRPr="006C2F8D">
        <w:rPr>
          <w:rFonts w:ascii="Times New Roman" w:eastAsia="Times New Roman" w:hAnsi="Times New Roman" w:cs="Times New Roman"/>
          <w:kern w:val="0"/>
          <w:sz w:val="24"/>
          <w:szCs w:val="24"/>
          <w:lang w:eastAsia="en-GB"/>
          <w14:ligatures w14:val="none"/>
        </w:rPr>
        <w:t>Holmbäck</w:t>
      </w:r>
      <w:proofErr w:type="spellEnd"/>
      <w:r w:rsidRPr="006C2F8D">
        <w:rPr>
          <w:rFonts w:ascii="Times New Roman" w:eastAsia="Times New Roman" w:hAnsi="Times New Roman" w:cs="Times New Roman"/>
          <w:kern w:val="0"/>
          <w:sz w:val="24"/>
          <w:szCs w:val="24"/>
          <w:lang w:eastAsia="en-GB"/>
          <w14:ligatures w14:val="none"/>
        </w:rPr>
        <w:t xml:space="preserve">, U. &amp; Van </w:t>
      </w:r>
      <w:proofErr w:type="spellStart"/>
      <w:r w:rsidRPr="006C2F8D">
        <w:rPr>
          <w:rFonts w:ascii="Times New Roman" w:eastAsia="Times New Roman" w:hAnsi="Times New Roman" w:cs="Times New Roman"/>
          <w:kern w:val="0"/>
          <w:sz w:val="24"/>
          <w:szCs w:val="24"/>
          <w:lang w:eastAsia="en-GB"/>
          <w14:ligatures w14:val="none"/>
        </w:rPr>
        <w:t>Cauter</w:t>
      </w:r>
      <w:proofErr w:type="spellEnd"/>
      <w:r w:rsidRPr="006C2F8D">
        <w:rPr>
          <w:rFonts w:ascii="Times New Roman" w:eastAsia="Times New Roman" w:hAnsi="Times New Roman" w:cs="Times New Roman"/>
          <w:kern w:val="0"/>
          <w:sz w:val="24"/>
          <w:szCs w:val="24"/>
          <w:lang w:eastAsia="en-GB"/>
          <w14:ligatures w14:val="none"/>
        </w:rPr>
        <w:t xml:space="preserve">, E. (2015) ‘Circadian misalignment augments markers of insulin resistance and inflammation’, </w:t>
      </w:r>
      <w:r w:rsidRPr="006C2F8D">
        <w:rPr>
          <w:rFonts w:ascii="Times New Roman" w:eastAsia="Times New Roman" w:hAnsi="Times New Roman" w:cs="Times New Roman"/>
          <w:i/>
          <w:iCs/>
          <w:kern w:val="0"/>
          <w:sz w:val="24"/>
          <w:szCs w:val="24"/>
          <w:lang w:eastAsia="en-GB"/>
          <w14:ligatures w14:val="none"/>
        </w:rPr>
        <w:t>PNAS</w:t>
      </w:r>
      <w:r w:rsidRPr="006C2F8D">
        <w:rPr>
          <w:rFonts w:ascii="Times New Roman" w:eastAsia="Times New Roman" w:hAnsi="Times New Roman" w:cs="Times New Roman"/>
          <w:kern w:val="0"/>
          <w:sz w:val="24"/>
          <w:szCs w:val="24"/>
          <w:lang w:eastAsia="en-GB"/>
          <w14:ligatures w14:val="none"/>
        </w:rPr>
        <w:t>, 111(48), pp. 17309–17314.</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NHS (2024) </w:t>
      </w:r>
      <w:r w:rsidRPr="006C2F8D">
        <w:rPr>
          <w:rFonts w:ascii="Times New Roman" w:eastAsia="Times New Roman" w:hAnsi="Times New Roman" w:cs="Times New Roman"/>
          <w:i/>
          <w:iCs/>
          <w:kern w:val="0"/>
          <w:sz w:val="24"/>
          <w:szCs w:val="24"/>
          <w:lang w:eastAsia="en-GB"/>
          <w14:ligatures w14:val="none"/>
        </w:rPr>
        <w:t>Type 2 Diabetes Overview</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Available at: https://www.nhs.uk</w:t>
      </w:r>
      <w:proofErr w:type="gramStart"/>
      <w:r w:rsidRPr="006C2F8D">
        <w:rPr>
          <w:rFonts w:ascii="Times New Roman" w:eastAsia="Times New Roman" w:hAnsi="Times New Roman" w:cs="Times New Roman"/>
          <w:kern w:val="0"/>
          <w:sz w:val="24"/>
          <w:szCs w:val="24"/>
          <w:lang w:eastAsia="en-GB"/>
          <w14:ligatures w14:val="none"/>
        </w:rPr>
        <w:t>..</w:t>
      </w:r>
      <w:proofErr w:type="gramEnd"/>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NICE (2023) </w:t>
      </w:r>
      <w:r w:rsidRPr="006C2F8D">
        <w:rPr>
          <w:rFonts w:ascii="Times New Roman" w:eastAsia="Times New Roman" w:hAnsi="Times New Roman" w:cs="Times New Roman"/>
          <w:i/>
          <w:iCs/>
          <w:kern w:val="0"/>
          <w:sz w:val="24"/>
          <w:szCs w:val="24"/>
          <w:lang w:eastAsia="en-GB"/>
          <w14:ligatures w14:val="none"/>
        </w:rPr>
        <w:t xml:space="preserve">Type </w:t>
      </w:r>
      <w:proofErr w:type="gramStart"/>
      <w:r w:rsidRPr="006C2F8D">
        <w:rPr>
          <w:rFonts w:ascii="Times New Roman" w:eastAsia="Times New Roman" w:hAnsi="Times New Roman" w:cs="Times New Roman"/>
          <w:i/>
          <w:iCs/>
          <w:kern w:val="0"/>
          <w:sz w:val="24"/>
          <w:szCs w:val="24"/>
          <w:lang w:eastAsia="en-GB"/>
          <w14:ligatures w14:val="none"/>
        </w:rPr>
        <w:t>2 Diabetes in Adults</w:t>
      </w:r>
      <w:proofErr w:type="gramEnd"/>
      <w:r w:rsidRPr="006C2F8D">
        <w:rPr>
          <w:rFonts w:ascii="Times New Roman" w:eastAsia="Times New Roman" w:hAnsi="Times New Roman" w:cs="Times New Roman"/>
          <w:i/>
          <w:iCs/>
          <w:kern w:val="0"/>
          <w:sz w:val="24"/>
          <w:szCs w:val="24"/>
          <w:lang w:eastAsia="en-GB"/>
          <w14:ligatures w14:val="none"/>
        </w:rPr>
        <w:t>: Management (NG28)</w:t>
      </w:r>
      <w:r w:rsidRPr="006C2F8D">
        <w:rPr>
          <w:rFonts w:ascii="Times New Roman" w:eastAsia="Times New Roman" w:hAnsi="Times New Roman" w:cs="Times New Roman"/>
          <w:kern w:val="0"/>
          <w:sz w:val="24"/>
          <w:szCs w:val="24"/>
          <w:lang w:eastAsia="en-GB"/>
          <w14:ligatures w14:val="none"/>
        </w:rPr>
        <w:t>. London: National Institute for Health and Care Excellence.</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Nelson, D.L. &amp; Cox, M.M. (2021) </w:t>
      </w:r>
      <w:proofErr w:type="spellStart"/>
      <w:r w:rsidRPr="006C2F8D">
        <w:rPr>
          <w:rFonts w:ascii="Times New Roman" w:eastAsia="Times New Roman" w:hAnsi="Times New Roman" w:cs="Times New Roman"/>
          <w:i/>
          <w:iCs/>
          <w:kern w:val="0"/>
          <w:sz w:val="24"/>
          <w:szCs w:val="24"/>
          <w:lang w:eastAsia="en-GB"/>
          <w14:ligatures w14:val="none"/>
        </w:rPr>
        <w:t>Lehninger</w:t>
      </w:r>
      <w:proofErr w:type="spellEnd"/>
      <w:r w:rsidRPr="006C2F8D">
        <w:rPr>
          <w:rFonts w:ascii="Times New Roman" w:eastAsia="Times New Roman" w:hAnsi="Times New Roman" w:cs="Times New Roman"/>
          <w:i/>
          <w:iCs/>
          <w:kern w:val="0"/>
          <w:sz w:val="24"/>
          <w:szCs w:val="24"/>
          <w:lang w:eastAsia="en-GB"/>
          <w14:ligatures w14:val="none"/>
        </w:rPr>
        <w:t xml:space="preserve"> Principles of Biochemistry</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w:t>
      </w:r>
      <w:proofErr w:type="gramStart"/>
      <w:r w:rsidRPr="006C2F8D">
        <w:rPr>
          <w:rFonts w:ascii="Times New Roman" w:eastAsia="Times New Roman" w:hAnsi="Times New Roman" w:cs="Times New Roman"/>
          <w:kern w:val="0"/>
          <w:sz w:val="24"/>
          <w:szCs w:val="24"/>
          <w:lang w:eastAsia="en-GB"/>
          <w14:ligatures w14:val="none"/>
        </w:rPr>
        <w:t xml:space="preserve">8th </w:t>
      </w:r>
      <w:proofErr w:type="spellStart"/>
      <w:r w:rsidRPr="006C2F8D">
        <w:rPr>
          <w:rFonts w:ascii="Times New Roman" w:eastAsia="Times New Roman" w:hAnsi="Times New Roman" w:cs="Times New Roman"/>
          <w:kern w:val="0"/>
          <w:sz w:val="24"/>
          <w:szCs w:val="24"/>
          <w:lang w:eastAsia="en-GB"/>
          <w14:ligatures w14:val="none"/>
        </w:rPr>
        <w:t>edn</w:t>
      </w:r>
      <w:proofErr w:type="spellEnd"/>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New York: W.H. Freeman.</w:t>
      </w:r>
    </w:p>
    <w:p w:rsidR="00C25496" w:rsidRP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Public Health England (2021) </w:t>
      </w:r>
      <w:r w:rsidRPr="006C2F8D">
        <w:rPr>
          <w:rFonts w:ascii="Times New Roman" w:eastAsia="Times New Roman" w:hAnsi="Times New Roman" w:cs="Times New Roman"/>
          <w:i/>
          <w:iCs/>
          <w:kern w:val="0"/>
          <w:sz w:val="24"/>
          <w:szCs w:val="24"/>
          <w:lang w:eastAsia="en-GB"/>
          <w14:ligatures w14:val="none"/>
        </w:rPr>
        <w:t>NHS Diabetes Prevention Programme</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London: PHE.</w:t>
      </w:r>
      <w:bookmarkStart w:id="0" w:name="_GoBack"/>
      <w:bookmarkEnd w:id="0"/>
    </w:p>
    <w:sectPr w:rsidR="00C25496" w:rsidRPr="00C254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F552F"/>
    <w:multiLevelType w:val="multilevel"/>
    <w:tmpl w:val="7DB2A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0A4D11"/>
    <w:multiLevelType w:val="multilevel"/>
    <w:tmpl w:val="B274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F8D"/>
    <w:rsid w:val="000C6425"/>
    <w:rsid w:val="006C2F8D"/>
    <w:rsid w:val="00AD714A"/>
    <w:rsid w:val="00C25496"/>
    <w:rsid w:val="00E86FF1"/>
    <w:rsid w:val="00F02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C2F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C2F8D"/>
  </w:style>
  <w:style w:type="character" w:customStyle="1" w:styleId="eop">
    <w:name w:val="eop"/>
    <w:basedOn w:val="DefaultParagraphFont"/>
    <w:rsid w:val="006C2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C2F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C2F8D"/>
  </w:style>
  <w:style w:type="character" w:customStyle="1" w:styleId="eop">
    <w:name w:val="eop"/>
    <w:basedOn w:val="DefaultParagraphFont"/>
    <w:rsid w:val="006C2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09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2026-03-31T13:18:00Z</dcterms:created>
  <dcterms:modified xsi:type="dcterms:W3CDTF">2026-03-31T13:18:00Z</dcterms:modified>
</cp:coreProperties>
</file>