
<file path=[Content_Types].xml><?xml version="1.0" encoding="utf-8"?>
<Types xmlns="http://schemas.openxmlformats.org/package/2006/content-types">
  <Default Extension="xlsx" ContentType="application/vnd.openxmlformats-officedocument.spreadsheetml.sheet"/>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ind w:firstLine="0"/>
        <w:jc w:val="center"/>
        <w:rPr>
          <w:rFonts w:ascii="Arial" w:hAnsi="Arial" w:cs="Arial"/>
        </w:rPr>
      </w:pPr>
    </w:p>
    <w:p>
      <w:pPr>
        <w:spacing w:line="360" w:lineRule="auto"/>
        <w:ind w:firstLine="0"/>
        <w:jc w:val="center"/>
        <w:rPr>
          <w:rFonts w:ascii="Arial" w:hAnsi="Arial" w:cs="Arial"/>
        </w:rPr>
      </w:pPr>
    </w:p>
    <w:p>
      <w:pPr>
        <w:spacing w:after="0"/>
        <w:ind w:firstLine="0"/>
        <w:jc w:val="right"/>
        <w:rPr>
          <w:rFonts w:eastAsia="Times New Roman"/>
          <w:b/>
          <w:sz w:val="44"/>
          <w:szCs w:val="44"/>
          <w:lang w:eastAsia="en-GB"/>
        </w:rPr>
      </w:pPr>
    </w:p>
    <w:p>
      <w:pPr>
        <w:spacing w:after="0"/>
        <w:ind w:firstLine="0"/>
        <w:jc w:val="right"/>
        <w:rPr>
          <w:rFonts w:eastAsia="Times New Roman"/>
          <w:b/>
          <w:sz w:val="44"/>
          <w:szCs w:val="44"/>
          <w:lang w:eastAsia="en-GB"/>
        </w:rPr>
      </w:pPr>
    </w:p>
    <w:p>
      <w:pPr>
        <w:spacing w:after="0" w:line="360" w:lineRule="auto"/>
        <w:ind w:firstLine="0"/>
        <w:jc w:val="right"/>
        <w:rPr>
          <w:rFonts w:eastAsia="Times New Roman"/>
          <w:b/>
          <w:sz w:val="44"/>
          <w:szCs w:val="44"/>
          <w:lang w:eastAsia="en-GB"/>
        </w:rPr>
      </w:pPr>
    </w:p>
    <w:p>
      <w:pPr>
        <w:spacing w:after="0" w:line="240" w:lineRule="auto"/>
        <w:ind w:firstLine="0"/>
        <w:jc w:val="center"/>
        <w:rPr>
          <w:rFonts w:eastAsia="Times New Roman"/>
          <w:b/>
          <w:iCs/>
          <w:sz w:val="56"/>
          <w:szCs w:val="48"/>
          <w:lang w:eastAsia="en-GB"/>
        </w:rPr>
      </w:pPr>
      <w:r>
        <w:rPr>
          <w:rFonts w:eastAsia="Times New Roman"/>
          <w:b/>
          <w:iCs/>
          <w:sz w:val="56"/>
          <w:szCs w:val="48"/>
          <w:lang w:eastAsia="en-GB"/>
        </w:rPr>
        <w:t>The Impact of Double Reduction Policy on Chinese Students with English Language Degrees:</w:t>
      </w:r>
    </w:p>
    <w:p>
      <w:pPr>
        <w:spacing w:after="0" w:line="240" w:lineRule="auto"/>
        <w:ind w:firstLine="0"/>
        <w:jc w:val="right"/>
        <w:rPr>
          <w:rFonts w:eastAsia="Times New Roman"/>
          <w:b/>
          <w:sz w:val="56"/>
          <w:szCs w:val="48"/>
          <w:lang w:eastAsia="en-GB"/>
        </w:rPr>
      </w:pPr>
      <w:r>
        <w:rPr>
          <w:rFonts w:eastAsia="Times New Roman"/>
          <w:b/>
          <w:iCs/>
          <w:sz w:val="56"/>
          <w:szCs w:val="48"/>
          <w:lang w:eastAsia="en-GB"/>
        </w:rPr>
        <w:t xml:space="preserve"> An Investigation on Graduates of a Particular University in Shanghai </w:t>
      </w:r>
    </w:p>
    <w:p>
      <w:pPr>
        <w:spacing w:after="0"/>
        <w:ind w:firstLine="0"/>
        <w:jc w:val="right"/>
        <w:rPr>
          <w:rFonts w:eastAsia="Times New Roman"/>
          <w:i/>
          <w:lang w:eastAsia="en-GB"/>
        </w:rPr>
      </w:pPr>
    </w:p>
    <w:p>
      <w:pPr>
        <w:spacing w:after="0"/>
        <w:ind w:firstLine="0"/>
        <w:jc w:val="right"/>
        <w:rPr>
          <w:rFonts w:eastAsia="Times New Roman"/>
          <w:i/>
          <w:lang w:eastAsia="en-GB"/>
        </w:rPr>
      </w:pPr>
    </w:p>
    <w:p>
      <w:pPr>
        <w:spacing w:after="0"/>
        <w:ind w:firstLine="0"/>
        <w:jc w:val="right"/>
        <w:rPr>
          <w:rFonts w:eastAsia="Times New Roman"/>
          <w:i/>
          <w:lang w:eastAsia="en-GB"/>
        </w:rPr>
      </w:pPr>
    </w:p>
    <w:p>
      <w:pPr>
        <w:spacing w:after="0"/>
        <w:ind w:firstLine="0"/>
        <w:jc w:val="right"/>
        <w:rPr>
          <w:rFonts w:eastAsia="Times New Roman"/>
          <w:i/>
          <w:lang w:eastAsia="en-GB"/>
        </w:rPr>
      </w:pPr>
    </w:p>
    <w:p>
      <w:pPr>
        <w:spacing w:after="0"/>
        <w:ind w:firstLine="0"/>
        <w:jc w:val="right"/>
        <w:rPr>
          <w:rFonts w:eastAsia="Times New Roman"/>
          <w:i/>
          <w:lang w:eastAsia="en-GB"/>
        </w:rPr>
      </w:pPr>
      <w:r>
        <w:rPr>
          <w:rFonts w:eastAsia="Times New Roman"/>
          <w:i/>
          <w:sz w:val="52"/>
          <w:szCs w:val="52"/>
          <w:lang w:eastAsia="en-GB"/>
        </w:rPr>
        <w:t xml:space="preserve">Huiting le </w:t>
      </w:r>
    </w:p>
    <w:p>
      <w:pPr>
        <w:spacing w:after="0"/>
        <w:ind w:firstLine="0"/>
        <w:jc w:val="right"/>
        <w:rPr>
          <w:rFonts w:eastAsia="Times New Roman"/>
          <w:b/>
          <w:i/>
          <w:sz w:val="48"/>
          <w:szCs w:val="48"/>
          <w:lang w:eastAsia="en-GB"/>
        </w:rPr>
      </w:pPr>
      <w:r>
        <w:rPr>
          <w:rFonts w:eastAsia="Times New Roman"/>
          <w:b/>
          <w:i/>
          <w:sz w:val="48"/>
          <w:szCs w:val="48"/>
          <w:lang w:eastAsia="en-GB"/>
        </w:rPr>
        <w:t>ECEG7002Q</w:t>
      </w:r>
    </w:p>
    <w:p>
      <w:pPr>
        <w:spacing w:after="0" w:line="360" w:lineRule="auto"/>
        <w:ind w:firstLine="0"/>
        <w:jc w:val="right"/>
        <w:rPr>
          <w:rFonts w:eastAsia="Times New Roman"/>
          <w:i/>
          <w:lang w:eastAsia="en-GB"/>
        </w:rPr>
      </w:pPr>
    </w:p>
    <w:p>
      <w:pPr>
        <w:spacing w:after="0" w:line="360" w:lineRule="auto"/>
        <w:ind w:firstLine="0"/>
        <w:jc w:val="right"/>
        <w:rPr>
          <w:rFonts w:eastAsia="Times New Roman"/>
          <w:i/>
          <w:sz w:val="40"/>
          <w:szCs w:val="40"/>
          <w:lang w:eastAsia="en-GB"/>
        </w:rPr>
      </w:pPr>
      <w:r>
        <w:rPr>
          <w:rFonts w:eastAsia="Times New Roman"/>
          <w:i/>
          <w:sz w:val="40"/>
          <w:szCs w:val="40"/>
          <w:lang w:eastAsia="en-GB"/>
        </w:rPr>
        <w:t>1</w:t>
      </w:r>
      <w:r>
        <w:rPr>
          <w:rFonts w:hint="eastAsia"/>
          <w:i/>
          <w:sz w:val="40"/>
          <w:szCs w:val="40"/>
          <w:lang w:val="en-US" w:eastAsia="zh-CN"/>
        </w:rPr>
        <w:t>4</w:t>
      </w:r>
      <w:r>
        <w:rPr>
          <w:rFonts w:eastAsia="Times New Roman"/>
          <w:i/>
          <w:sz w:val="40"/>
          <w:szCs w:val="40"/>
          <w:vertAlign w:val="superscript"/>
          <w:lang w:eastAsia="en-GB"/>
        </w:rPr>
        <w:t>th</w:t>
      </w:r>
      <w:r>
        <w:rPr>
          <w:rFonts w:hint="eastAsia"/>
          <w:i/>
          <w:sz w:val="40"/>
          <w:szCs w:val="40"/>
          <w:lang w:val="en-US" w:eastAsia="zh-CN"/>
        </w:rPr>
        <w:t xml:space="preserve"> March.</w:t>
      </w:r>
      <w:r>
        <w:rPr>
          <w:rFonts w:eastAsia="Times New Roman"/>
          <w:i/>
          <w:sz w:val="40"/>
          <w:szCs w:val="40"/>
          <w:lang w:eastAsia="en-GB"/>
        </w:rPr>
        <w:t>2024</w:t>
      </w:r>
    </w:p>
    <w:p>
      <w:pPr>
        <w:spacing w:after="0" w:line="360" w:lineRule="auto"/>
        <w:ind w:firstLine="0"/>
        <w:jc w:val="right"/>
        <w:rPr>
          <w:rFonts w:eastAsia="Times New Roman"/>
          <w:i/>
          <w:sz w:val="40"/>
          <w:szCs w:val="40"/>
          <w:lang w:eastAsia="en-GB"/>
        </w:rPr>
      </w:pPr>
      <w:r>
        <w:rPr>
          <w:rFonts w:eastAsia="Times New Roman"/>
          <w:i/>
          <w:sz w:val="40"/>
          <w:szCs w:val="40"/>
          <w:lang w:eastAsia="en-GB"/>
        </w:rPr>
        <w:t xml:space="preserve">Yr Athrofa: Education and Humanities </w:t>
      </w:r>
    </w:p>
    <w:p>
      <w:pPr>
        <w:spacing w:after="0" w:line="360" w:lineRule="auto"/>
        <w:ind w:firstLine="0"/>
        <w:outlineLvl w:val="0"/>
        <w:rPr>
          <w:rFonts w:eastAsia="Times New Roman"/>
          <w:sz w:val="40"/>
          <w:szCs w:val="40"/>
          <w:lang w:eastAsia="en-GB"/>
        </w:rPr>
        <w:sectPr>
          <w:footerReference r:id="rId5" w:type="default"/>
          <w:footerReference r:id="rId6" w:type="even"/>
          <w:pgSz w:w="11906" w:h="16838"/>
          <w:pgMar w:top="1440" w:right="1134" w:bottom="1440" w:left="1701" w:header="709" w:footer="709" w:gutter="0"/>
          <w:cols w:space="708" w:num="1"/>
          <w:docGrid w:linePitch="360" w:charSpace="0"/>
        </w:sectPr>
      </w:pPr>
    </w:p>
    <w:p>
      <w:pPr>
        <w:spacing w:after="0"/>
        <w:ind w:firstLine="0"/>
        <w:outlineLvl w:val="0"/>
        <w:rPr>
          <w:rFonts w:eastAsia="Times New Roman"/>
          <w:b/>
          <w:lang w:eastAsia="en-GB"/>
        </w:rPr>
      </w:pPr>
      <w:bookmarkStart w:id="0" w:name="_Toc45110249"/>
      <w:bookmarkStart w:id="1" w:name="_Toc159852101"/>
      <w:r>
        <w:rPr>
          <w:rFonts w:eastAsia="Times New Roman"/>
          <w:b/>
          <w:lang w:eastAsia="en-GB"/>
        </w:rPr>
        <w:t>DECLARATION FORM</w:t>
      </w:r>
      <w:bookmarkEnd w:id="0"/>
      <w:bookmarkEnd w:id="1"/>
    </w:p>
    <w:p>
      <w:pPr>
        <w:spacing w:after="0" w:line="240" w:lineRule="auto"/>
        <w:ind w:left="3600" w:firstLine="720"/>
        <w:rPr>
          <w:rFonts w:eastAsia="Times New Roman"/>
          <w:b/>
          <w:bCs/>
          <w:sz w:val="28"/>
          <w:szCs w:val="28"/>
          <w:u w:val="single"/>
          <w:lang w:eastAsia="en-GB"/>
        </w:rPr>
      </w:pPr>
    </w:p>
    <w:p>
      <w:pPr>
        <w:spacing w:after="0" w:line="240" w:lineRule="auto"/>
        <w:ind w:firstLine="0"/>
        <w:rPr>
          <w:rFonts w:eastAsia="Times New Roman"/>
          <w:lang w:eastAsia="en-GB"/>
        </w:rPr>
      </w:pPr>
      <w:r>
        <w:rPr>
          <w:rFonts w:eastAsia="Times New Roman"/>
          <w:lang w:val="en-US"/>
        </w:rPr>
        <w:drawing>
          <wp:inline distT="0" distB="0" distL="0" distR="0">
            <wp:extent cx="28575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857500" cy="1181100"/>
                    </a:xfrm>
                    <a:prstGeom prst="rect">
                      <a:avLst/>
                    </a:prstGeom>
                    <a:noFill/>
                    <a:ln>
                      <a:noFill/>
                    </a:ln>
                  </pic:spPr>
                </pic:pic>
              </a:graphicData>
            </a:graphic>
          </wp:inline>
        </w:drawing>
      </w:r>
    </w:p>
    <w:p>
      <w:pPr>
        <w:spacing w:after="0" w:line="240" w:lineRule="auto"/>
        <w:ind w:firstLine="0"/>
        <w:rPr>
          <w:rFonts w:eastAsia="Times New Roman"/>
          <w:b/>
          <w:bCs/>
          <w:lang w:eastAsia="en-GB"/>
        </w:rPr>
      </w:pPr>
    </w:p>
    <w:p>
      <w:pPr>
        <w:spacing w:after="0" w:line="240" w:lineRule="auto"/>
        <w:ind w:firstLine="0"/>
        <w:rPr>
          <w:rFonts w:hint="default" w:eastAsia="宋体"/>
          <w:b/>
          <w:bCs/>
          <w:lang w:val="en-US" w:eastAsia="zh-CN"/>
        </w:rPr>
      </w:pPr>
      <w:r>
        <w:rPr>
          <w:rFonts w:eastAsia="Times New Roman"/>
          <w:b/>
          <w:bCs/>
          <w:lang w:eastAsia="en-GB"/>
        </w:rPr>
        <w:t>Name of the Programme of Study:</w:t>
      </w:r>
      <w:r>
        <w:rPr>
          <w:rFonts w:hint="eastAsia"/>
          <w:b/>
          <w:bCs/>
          <w:lang w:val="en-US" w:eastAsia="zh-CN"/>
        </w:rPr>
        <w:t xml:space="preserve"> MA education studies</w:t>
      </w:r>
    </w:p>
    <w:p>
      <w:pPr>
        <w:spacing w:after="0" w:line="240" w:lineRule="auto"/>
        <w:ind w:firstLine="0"/>
        <w:rPr>
          <w:rFonts w:eastAsia="Times New Roman"/>
          <w:b/>
          <w:bCs/>
          <w:lang w:eastAsia="en-GB"/>
        </w:rPr>
      </w:pPr>
    </w:p>
    <w:p>
      <w:pPr>
        <w:spacing w:after="0" w:line="240" w:lineRule="auto"/>
        <w:ind w:firstLine="0"/>
        <w:rPr>
          <w:rFonts w:hint="default" w:eastAsia="宋体"/>
          <w:b/>
          <w:bCs/>
          <w:lang w:val="en-US" w:eastAsia="zh-CN"/>
        </w:rPr>
      </w:pPr>
      <w:r>
        <w:rPr>
          <w:rFonts w:eastAsia="Times New Roman"/>
          <w:b/>
          <w:bCs/>
          <w:lang w:eastAsia="en-GB"/>
        </w:rPr>
        <w:t>Name of Student (Capital Letters):</w:t>
      </w:r>
      <w:r>
        <w:rPr>
          <w:rFonts w:hint="eastAsia"/>
          <w:b/>
          <w:bCs/>
          <w:lang w:val="en-US" w:eastAsia="zh-CN"/>
        </w:rPr>
        <w:t xml:space="preserve"> Huiting Le</w:t>
      </w:r>
    </w:p>
    <w:p>
      <w:pPr>
        <w:spacing w:after="0" w:line="240" w:lineRule="auto"/>
        <w:ind w:firstLine="0"/>
        <w:rPr>
          <w:rFonts w:hint="default" w:eastAsia="Times New Roman"/>
          <w:b/>
          <w:bCs/>
          <w:lang w:val="en-US" w:eastAsia="zh-CN"/>
        </w:rPr>
      </w:pP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r>
        <w:rPr>
          <w:rFonts w:eastAsia="Times New Roman"/>
          <w:b/>
          <w:bCs/>
          <w:lang w:eastAsia="en-GB"/>
        </w:rPr>
        <w:t>DECLARATION</w:t>
      </w:r>
      <w:bookmarkStart w:id="85" w:name="_GoBack"/>
      <w:bookmarkEnd w:id="85"/>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r>
        <w:rPr>
          <w:rFonts w:eastAsia="Times New Roman"/>
          <w:b/>
          <w:bCs/>
          <w:lang w:eastAsia="en-GB"/>
        </w:rPr>
        <w:t>I certify that the whole of this work is the result of my individual effort, and that all sources have been acknowledged.</w:t>
      </w: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r>
        <w:rPr>
          <w:rFonts w:eastAsia="Times New Roman"/>
          <w:b/>
          <w:bCs/>
          <w:lang w:eastAsia="en-GB"/>
        </w:rPr>
        <w:t>Signed ...</w:t>
      </w:r>
      <w:r>
        <w:rPr>
          <w:rFonts w:hint="eastAsia"/>
          <w:b/>
          <w:bCs/>
          <w:lang w:val="en-US" w:eastAsia="zh-CN"/>
        </w:rPr>
        <w:t>Huiting le</w:t>
      </w:r>
      <w:r>
        <w:rPr>
          <w:rFonts w:eastAsia="Times New Roman"/>
          <w:b/>
          <w:bCs/>
          <w:lang w:eastAsia="en-GB"/>
        </w:rPr>
        <w:t>............................................................ (Student)</w:t>
      </w: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r>
        <w:rPr>
          <w:rFonts w:eastAsia="Times New Roman"/>
          <w:b/>
          <w:bCs/>
          <w:lang w:eastAsia="en-GB"/>
        </w:rPr>
        <w:t>Date     ...</w:t>
      </w:r>
      <w:r>
        <w:rPr>
          <w:rFonts w:hint="eastAsia"/>
          <w:b/>
          <w:bCs/>
          <w:lang w:val="en-US" w:eastAsia="zh-CN"/>
        </w:rPr>
        <w:t>March, 14th, 2024</w:t>
      </w:r>
      <w:r>
        <w:rPr>
          <w:rFonts w:eastAsia="Times New Roman"/>
          <w:b/>
          <w:bCs/>
          <w:lang w:eastAsia="en-GB"/>
        </w:rPr>
        <w:t>................................................</w:t>
      </w: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r>
        <w:rPr>
          <w:rFonts w:eastAsia="Times New Roman"/>
          <w:b/>
          <w:bCs/>
          <w:lang w:eastAsia="en-GB"/>
        </w:rPr>
        <w:t>DECLARATION</w:t>
      </w: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r>
        <w:rPr>
          <w:rFonts w:eastAsia="Times New Roman"/>
          <w:b/>
          <w:bCs/>
          <w:lang w:eastAsia="en-GB"/>
        </w:rPr>
        <w:t>I am satisfied that this work is the result of the Student’s effort.</w:t>
      </w: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r>
        <w:rPr>
          <w:rFonts w:eastAsia="Times New Roman"/>
          <w:b/>
          <w:bCs/>
          <w:lang w:eastAsia="en-GB"/>
        </w:rPr>
        <w:t>Signed .....</w:t>
      </w:r>
      <w:r>
        <w:rPr>
          <w:rFonts w:hint="eastAsia"/>
          <w:b/>
          <w:bCs/>
          <w:lang w:val="en-US" w:eastAsia="zh-CN"/>
        </w:rPr>
        <w:t>Yiying Jiao</w:t>
      </w:r>
      <w:r>
        <w:rPr>
          <w:rFonts w:eastAsia="Times New Roman"/>
          <w:b/>
          <w:bCs/>
          <w:lang w:eastAsia="en-GB"/>
        </w:rPr>
        <w:t>......................................................... (Lecturer)</w:t>
      </w:r>
    </w:p>
    <w:p>
      <w:pPr>
        <w:spacing w:after="0" w:line="240" w:lineRule="auto"/>
        <w:ind w:firstLine="0"/>
        <w:rPr>
          <w:rFonts w:eastAsia="Times New Roman"/>
          <w:b/>
          <w:bCs/>
          <w:lang w:eastAsia="en-GB"/>
        </w:rPr>
      </w:pPr>
    </w:p>
    <w:p>
      <w:pPr>
        <w:spacing w:after="0" w:line="240" w:lineRule="auto"/>
        <w:ind w:firstLine="0"/>
        <w:rPr>
          <w:rFonts w:eastAsia="Times New Roman"/>
          <w:b/>
          <w:bCs/>
          <w:lang w:eastAsia="en-GB"/>
        </w:rPr>
      </w:pPr>
      <w:r>
        <w:rPr>
          <w:rFonts w:eastAsia="Times New Roman"/>
          <w:b/>
          <w:bCs/>
          <w:lang w:eastAsia="en-GB"/>
        </w:rPr>
        <w:t>Date     ....</w:t>
      </w:r>
      <w:r>
        <w:rPr>
          <w:rFonts w:hint="eastAsia"/>
          <w:b/>
          <w:bCs/>
          <w:lang w:val="en-US" w:eastAsia="zh-CN"/>
        </w:rPr>
        <w:t>March 14</w:t>
      </w:r>
      <w:r>
        <w:rPr>
          <w:rFonts w:hint="eastAsia"/>
          <w:b/>
          <w:bCs/>
          <w:vertAlign w:val="superscript"/>
          <w:lang w:val="en-US" w:eastAsia="zh-CN"/>
        </w:rPr>
        <w:t>th</w:t>
      </w:r>
      <w:r>
        <w:rPr>
          <w:rFonts w:hint="eastAsia"/>
          <w:b/>
          <w:bCs/>
          <w:lang w:val="en-US" w:eastAsia="zh-CN"/>
        </w:rPr>
        <w:t>, 2024</w:t>
      </w:r>
      <w:r>
        <w:rPr>
          <w:rFonts w:eastAsia="Times New Roman"/>
          <w:b/>
          <w:bCs/>
          <w:lang w:eastAsia="en-GB"/>
        </w:rPr>
        <w:t>..........................................................</w:t>
      </w:r>
    </w:p>
    <w:p>
      <w:pPr>
        <w:spacing w:line="360" w:lineRule="auto"/>
        <w:ind w:firstLine="0"/>
        <w:jc w:val="center"/>
        <w:rPr>
          <w:rFonts w:ascii="Arial" w:hAnsi="Arial" w:cs="Arial"/>
        </w:rPr>
      </w:pPr>
    </w:p>
    <w:p>
      <w:pPr>
        <w:spacing w:line="360" w:lineRule="auto"/>
        <w:ind w:firstLine="0"/>
        <w:jc w:val="center"/>
        <w:rPr>
          <w:rFonts w:ascii="Arial" w:hAnsi="Arial" w:cs="Arial"/>
          <w:b/>
        </w:rPr>
      </w:pPr>
    </w:p>
    <w:p>
      <w:pPr>
        <w:spacing w:line="360" w:lineRule="auto"/>
        <w:ind w:firstLine="0"/>
        <w:jc w:val="center"/>
        <w:rPr>
          <w:rFonts w:ascii="Arial" w:hAnsi="Arial" w:cs="Arial"/>
          <w:b/>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sdt>
      <w:sdtPr>
        <w:rPr>
          <w:rFonts w:ascii="Times New Roman" w:hAnsi="Times New Roman" w:cs="Times New Roman" w:eastAsiaTheme="minorHAnsi"/>
          <w:color w:val="auto"/>
          <w:szCs w:val="24"/>
          <w:lang w:val="en-GB"/>
        </w:rPr>
        <w:id w:val="1102847629"/>
        <w:docPartObj>
          <w:docPartGallery w:val="Table of Contents"/>
          <w:docPartUnique/>
        </w:docPartObj>
      </w:sdtPr>
      <w:sdtEndPr>
        <w:rPr>
          <w:rFonts w:ascii="Arial" w:hAnsi="Arial" w:eastAsia="宋体" w:cs="Arial"/>
          <w:b/>
          <w:bCs/>
          <w:color w:val="auto"/>
          <w:szCs w:val="24"/>
          <w:lang w:val="en-GB"/>
        </w:rPr>
      </w:sdtEndPr>
      <w:sdtContent>
        <w:p>
          <w:pPr>
            <w:pStyle w:val="34"/>
            <w:numPr>
              <w:ilvl w:val="0"/>
              <w:numId w:val="0"/>
            </w:numPr>
            <w:ind w:left="432"/>
            <w:rPr>
              <w:b/>
              <w:bCs/>
              <w:sz w:val="44"/>
              <w:szCs w:val="44"/>
            </w:rPr>
          </w:pPr>
          <w:r>
            <w:rPr>
              <w:rFonts w:hint="eastAsia" w:eastAsia="宋体"/>
              <w:color w:val="auto"/>
              <w:szCs w:val="24"/>
              <w:lang w:eastAsia="zh-CN"/>
            </w:rPr>
            <w:t xml:space="preserve">                                              </w:t>
          </w:r>
          <w:r>
            <w:rPr>
              <w:rFonts w:hint="eastAsia" w:eastAsia="宋体"/>
              <w:b/>
              <w:bCs/>
              <w:color w:val="auto"/>
              <w:sz w:val="44"/>
              <w:szCs w:val="44"/>
              <w:lang w:eastAsia="zh-CN"/>
            </w:rPr>
            <w:t xml:space="preserve">  </w:t>
          </w:r>
          <w:r>
            <w:rPr>
              <w:b/>
              <w:bCs/>
              <w:sz w:val="44"/>
              <w:szCs w:val="44"/>
            </w:rPr>
            <w:t>Table of Contents</w:t>
          </w:r>
        </w:p>
        <w:p>
          <w:pPr>
            <w:pStyle w:val="34"/>
            <w:numPr>
              <w:ilvl w:val="0"/>
              <w:numId w:val="0"/>
            </w:numPr>
            <w:ind w:left="432"/>
            <w:rPr>
              <w:b/>
              <w:bCs/>
              <w:sz w:val="44"/>
              <w:szCs w:val="44"/>
            </w:rPr>
          </w:pPr>
        </w:p>
        <w:p>
          <w:pPr>
            <w:pStyle w:val="15"/>
            <w:tabs>
              <w:tab w:val="right" w:leader="dot" w:pos="9016"/>
            </w:tabs>
            <w:rPr>
              <w:rFonts w:asciiTheme="minorHAnsi" w:hAnsiTheme="minorHAnsi" w:eastAsiaTheme="minorEastAsia" w:cstheme="minorBidi"/>
              <w:kern w:val="2"/>
              <w:sz w:val="22"/>
              <w:szCs w:val="22"/>
              <w:lang w:val="zh-CN" w:eastAsia="zh-CN"/>
              <w14:ligatures w14:val="standardContextual"/>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"_Toc159852101" </w:instrText>
          </w:r>
          <w:r>
            <w:fldChar w:fldCharType="separate"/>
          </w:r>
          <w:r>
            <w:rPr>
              <w:rStyle w:val="22"/>
              <w:rFonts w:eastAsia="Times New Roman"/>
              <w:b/>
              <w:lang w:eastAsia="en-GB"/>
            </w:rPr>
            <w:t>DECLARATION FORM</w:t>
          </w:r>
          <w:r>
            <w:tab/>
          </w:r>
          <w:r>
            <w:fldChar w:fldCharType="begin"/>
          </w:r>
          <w:r>
            <w:instrText xml:space="preserve"> PAGEREF _Toc159852101 \h </w:instrText>
          </w:r>
          <w:r>
            <w:fldChar w:fldCharType="separate"/>
          </w:r>
          <w:r>
            <w:t>2</w:t>
          </w:r>
          <w:r>
            <w:fldChar w:fldCharType="end"/>
          </w:r>
          <w:r>
            <w:fldChar w:fldCharType="end"/>
          </w:r>
        </w:p>
        <w:p>
          <w:pPr>
            <w:pStyle w:val="15"/>
            <w:tabs>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"_Toc159852102" </w:instrText>
          </w:r>
          <w:r>
            <w:fldChar w:fldCharType="separate"/>
          </w:r>
          <w:r>
            <w:rPr>
              <w:rStyle w:val="22"/>
              <w:rFonts w:ascii="Arial" w:hAnsi="Arial" w:cs="Arial"/>
              <w:b/>
              <w:bCs/>
            </w:rPr>
            <w:t>Acronym</w:t>
          </w:r>
          <w:r>
            <w:rPr>
              <w:rFonts w:ascii="Arial" w:hAnsi="Arial" w:cs="Arial"/>
              <w:b/>
              <w:bCs/>
            </w:rPr>
            <w:tab/>
          </w:r>
          <w:r>
            <w:rPr>
              <w:rFonts w:ascii="Arial" w:hAnsi="Arial" w:cs="Arial"/>
              <w:b/>
              <w:bCs/>
            </w:rPr>
            <w:fldChar w:fldCharType="begin"/>
          </w:r>
          <w:r>
            <w:rPr>
              <w:rFonts w:ascii="Arial" w:hAnsi="Arial" w:cs="Arial"/>
              <w:b/>
              <w:bCs/>
            </w:rPr>
            <w:instrText xml:space="preserve"> PAGEREF _Toc159852102 \h </w:instrText>
          </w:r>
          <w:r>
            <w:rPr>
              <w:rFonts w:ascii="Arial" w:hAnsi="Arial" w:cs="Arial"/>
              <w:b/>
              <w:bCs/>
            </w:rPr>
            <w:fldChar w:fldCharType="separate"/>
          </w:r>
          <w:r>
            <w:rPr>
              <w:rFonts w:ascii="Arial" w:hAnsi="Arial" w:cs="Arial"/>
              <w:b/>
              <w:bCs/>
            </w:rPr>
            <w:t>6</w:t>
          </w:r>
          <w:r>
            <w:rPr>
              <w:rFonts w:ascii="Arial" w:hAnsi="Arial" w:cs="Arial"/>
              <w:b/>
              <w:bCs/>
            </w:rPr>
            <w:fldChar w:fldCharType="end"/>
          </w:r>
          <w:r>
            <w:rPr>
              <w:rFonts w:ascii="Arial" w:hAnsi="Arial" w:cs="Arial"/>
              <w:b/>
              <w:bCs/>
            </w:rPr>
            <w:fldChar w:fldCharType="end"/>
          </w:r>
        </w:p>
        <w:p>
          <w:pPr>
            <w:pStyle w:val="15"/>
            <w:tabs>
              <w:tab w:val="left" w:pos="110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"_Toc159852103" </w:instrText>
          </w:r>
          <w:r>
            <w:fldChar w:fldCharType="separate"/>
          </w:r>
          <w:r>
            <w:rPr>
              <w:rStyle w:val="22"/>
              <w:rFonts w:ascii="Arial" w:hAnsi="Arial" w:cs="Arial"/>
              <w:b/>
              <w:bCs/>
            </w:rPr>
            <w:t>1</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rPr>
            <w:t>Introduction</w:t>
          </w:r>
          <w:r>
            <w:rPr>
              <w:rFonts w:ascii="Arial" w:hAnsi="Arial" w:cs="Arial"/>
              <w:b/>
              <w:bCs/>
            </w:rPr>
            <w:tab/>
          </w:r>
          <w:r>
            <w:rPr>
              <w:rFonts w:ascii="Arial" w:hAnsi="Arial" w:cs="Arial"/>
              <w:b/>
              <w:bCs/>
            </w:rPr>
            <w:fldChar w:fldCharType="begin"/>
          </w:r>
          <w:r>
            <w:rPr>
              <w:rFonts w:ascii="Arial" w:hAnsi="Arial" w:cs="Arial"/>
              <w:b/>
              <w:bCs/>
            </w:rPr>
            <w:instrText xml:space="preserve"> PAGEREF _Toc159852103 \h </w:instrText>
          </w:r>
          <w:r>
            <w:rPr>
              <w:rFonts w:ascii="Arial" w:hAnsi="Arial" w:cs="Arial"/>
              <w:b/>
              <w:bCs/>
            </w:rPr>
            <w:fldChar w:fldCharType="separate"/>
          </w:r>
          <w:r>
            <w:rPr>
              <w:rFonts w:ascii="Arial" w:hAnsi="Arial" w:cs="Arial"/>
              <w:b/>
              <w:bCs/>
            </w:rPr>
            <w:t>7</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"_Toc159852104" </w:instrText>
          </w:r>
          <w:r>
            <w:fldChar w:fldCharType="separate"/>
          </w:r>
          <w:r>
            <w:rPr>
              <w:rStyle w:val="22"/>
              <w:rFonts w:ascii="Arial" w:hAnsi="Arial" w:cs="Arial"/>
              <w:b/>
              <w:bCs/>
            </w:rPr>
            <w:t>1.1</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rPr>
            <w:t>Purpose of Research Activity</w:t>
          </w:r>
          <w:r>
            <w:rPr>
              <w:rFonts w:ascii="Arial" w:hAnsi="Arial" w:cs="Arial"/>
              <w:b/>
              <w:bCs/>
            </w:rPr>
            <w:tab/>
          </w:r>
          <w:r>
            <w:rPr>
              <w:rFonts w:ascii="Arial" w:hAnsi="Arial" w:cs="Arial"/>
              <w:b/>
              <w:bCs/>
            </w:rPr>
            <w:fldChar w:fldCharType="begin"/>
          </w:r>
          <w:r>
            <w:rPr>
              <w:rFonts w:ascii="Arial" w:hAnsi="Arial" w:cs="Arial"/>
              <w:b/>
              <w:bCs/>
            </w:rPr>
            <w:instrText xml:space="preserve"> PAGEREF _Toc159852104 \h </w:instrText>
          </w:r>
          <w:r>
            <w:rPr>
              <w:rFonts w:ascii="Arial" w:hAnsi="Arial" w:cs="Arial"/>
              <w:b/>
              <w:bCs/>
            </w:rPr>
            <w:fldChar w:fldCharType="separate"/>
          </w:r>
          <w:r>
            <w:rPr>
              <w:rFonts w:ascii="Arial" w:hAnsi="Arial" w:cs="Arial"/>
              <w:b/>
              <w:bCs/>
            </w:rPr>
            <w:t>9</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"_Toc159852105" </w:instrText>
          </w:r>
          <w:r>
            <w:fldChar w:fldCharType="separate"/>
          </w:r>
          <w:r>
            <w:rPr>
              <w:rStyle w:val="22"/>
              <w:rFonts w:ascii="Arial" w:hAnsi="Arial" w:cs="Arial"/>
              <w:b/>
              <w:bCs/>
            </w:rPr>
            <w:t>1.1.1</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rPr>
            <w:t>Research Question</w:t>
          </w:r>
          <w:r>
            <w:rPr>
              <w:rFonts w:ascii="Arial" w:hAnsi="Arial" w:cs="Arial"/>
              <w:b/>
              <w:bCs/>
            </w:rPr>
            <w:tab/>
          </w:r>
          <w:r>
            <w:rPr>
              <w:rFonts w:ascii="Arial" w:hAnsi="Arial" w:cs="Arial"/>
              <w:b/>
              <w:bCs/>
            </w:rPr>
            <w:fldChar w:fldCharType="begin"/>
          </w:r>
          <w:r>
            <w:rPr>
              <w:rFonts w:ascii="Arial" w:hAnsi="Arial" w:cs="Arial"/>
              <w:b/>
              <w:bCs/>
            </w:rPr>
            <w:instrText xml:space="preserve"> PAGEREF _Toc159852105 \h </w:instrText>
          </w:r>
          <w:r>
            <w:rPr>
              <w:rFonts w:ascii="Arial" w:hAnsi="Arial" w:cs="Arial"/>
              <w:b/>
              <w:bCs/>
            </w:rPr>
            <w:fldChar w:fldCharType="separate"/>
          </w:r>
          <w:r>
            <w:rPr>
              <w:rFonts w:ascii="Arial" w:hAnsi="Arial" w:cs="Arial"/>
              <w:b/>
              <w:bCs/>
            </w:rPr>
            <w:t>9</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"_Toc159852106" </w:instrText>
          </w:r>
          <w:r>
            <w:fldChar w:fldCharType="separate"/>
          </w:r>
          <w:r>
            <w:rPr>
              <w:rStyle w:val="22"/>
              <w:rFonts w:ascii="Arial" w:hAnsi="Arial" w:cs="Arial"/>
              <w:b/>
              <w:bCs/>
            </w:rPr>
            <w:t>1.1.2</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rPr>
            <w:t>Aims of Research Activity</w:t>
          </w:r>
          <w:r>
            <w:rPr>
              <w:rFonts w:ascii="Arial" w:hAnsi="Arial" w:cs="Arial"/>
              <w:b/>
              <w:bCs/>
            </w:rPr>
            <w:tab/>
          </w:r>
          <w:r>
            <w:rPr>
              <w:rFonts w:ascii="Arial" w:hAnsi="Arial" w:cs="Arial"/>
              <w:b/>
              <w:bCs/>
            </w:rPr>
            <w:fldChar w:fldCharType="begin"/>
          </w:r>
          <w:r>
            <w:rPr>
              <w:rFonts w:ascii="Arial" w:hAnsi="Arial" w:cs="Arial"/>
              <w:b/>
              <w:bCs/>
            </w:rPr>
            <w:instrText xml:space="preserve"> PAGEREF _Toc159852106 \h </w:instrText>
          </w:r>
          <w:r>
            <w:rPr>
              <w:rFonts w:ascii="Arial" w:hAnsi="Arial" w:cs="Arial"/>
              <w:b/>
              <w:bCs/>
            </w:rPr>
            <w:fldChar w:fldCharType="separate"/>
          </w:r>
          <w:r>
            <w:rPr>
              <w:rFonts w:ascii="Arial" w:hAnsi="Arial" w:cs="Arial"/>
              <w:b/>
              <w:bCs/>
            </w:rPr>
            <w:t>9</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"_Toc159852107" </w:instrText>
          </w:r>
          <w:r>
            <w:fldChar w:fldCharType="separate"/>
          </w:r>
          <w:r>
            <w:rPr>
              <w:rStyle w:val="22"/>
              <w:rFonts w:ascii="Arial" w:hAnsi="Arial" w:cs="Arial"/>
              <w:b/>
              <w:bCs/>
            </w:rPr>
            <w:t>1.1.3</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rPr>
            <w:t>Objectives of Research Activity</w:t>
          </w:r>
          <w:r>
            <w:rPr>
              <w:rFonts w:ascii="Arial" w:hAnsi="Arial" w:cs="Arial"/>
              <w:b/>
              <w:bCs/>
            </w:rPr>
            <w:tab/>
          </w:r>
          <w:r>
            <w:rPr>
              <w:rFonts w:ascii="Arial" w:hAnsi="Arial" w:cs="Arial"/>
              <w:b/>
              <w:bCs/>
            </w:rPr>
            <w:fldChar w:fldCharType="begin"/>
          </w:r>
          <w:r>
            <w:rPr>
              <w:rFonts w:ascii="Arial" w:hAnsi="Arial" w:cs="Arial"/>
              <w:b/>
              <w:bCs/>
            </w:rPr>
            <w:instrText xml:space="preserve"> PAGEREF _Toc159852107 \h </w:instrText>
          </w:r>
          <w:r>
            <w:rPr>
              <w:rFonts w:ascii="Arial" w:hAnsi="Arial" w:cs="Arial"/>
              <w:b/>
              <w:bCs/>
            </w:rPr>
            <w:fldChar w:fldCharType="separate"/>
          </w:r>
          <w:r>
            <w:rPr>
              <w:rFonts w:ascii="Arial" w:hAnsi="Arial" w:cs="Arial"/>
              <w:b/>
              <w:bCs/>
            </w:rPr>
            <w:t>10</w:t>
          </w:r>
          <w:r>
            <w:rPr>
              <w:rFonts w:ascii="Arial" w:hAnsi="Arial" w:cs="Arial"/>
              <w:b/>
              <w:bCs/>
            </w:rPr>
            <w:fldChar w:fldCharType="end"/>
          </w:r>
          <w:r>
            <w:rPr>
              <w:rFonts w:ascii="Arial" w:hAnsi="Arial" w:cs="Arial"/>
              <w:b/>
              <w:bCs/>
            </w:rPr>
            <w:fldChar w:fldCharType="end"/>
          </w:r>
        </w:p>
        <w:p>
          <w:pPr>
            <w:pStyle w:val="15"/>
            <w:tabs>
              <w:tab w:val="left" w:pos="110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"_Toc159852108" </w:instrText>
          </w:r>
          <w:r>
            <w:fldChar w:fldCharType="separate"/>
          </w:r>
          <w:r>
            <w:rPr>
              <w:rStyle w:val="22"/>
              <w:rFonts w:ascii="Arial" w:hAnsi="Arial" w:eastAsia="Yu Gothic Light"/>
              <w:b/>
              <w:lang w:val="en-US"/>
            </w:rPr>
            <w:t>2</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b/>
              <w:lang w:val="en-US"/>
            </w:rPr>
            <w:t>Literature review</w:t>
          </w:r>
          <w:r>
            <w:tab/>
          </w:r>
          <w:r>
            <w:fldChar w:fldCharType="begin"/>
          </w:r>
          <w:r>
            <w:instrText xml:space="preserve"> PAGEREF _Toc159852108 \h </w:instrText>
          </w:r>
          <w:r>
            <w:fldChar w:fldCharType="separate"/>
          </w:r>
          <w:r>
            <w:t>10</w:t>
          </w:r>
          <w:r>
            <w:fldChar w:fldCharType="end"/>
          </w:r>
          <w:r>
            <w:fldChar w:fldCharType="end"/>
          </w:r>
        </w:p>
        <w:p>
          <w:pPr>
            <w:pStyle w:val="16"/>
            <w:tabs>
              <w:tab w:val="left" w:pos="154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"_Toc159852109" </w:instrText>
          </w:r>
          <w:r>
            <w:fldChar w:fldCharType="separate"/>
          </w:r>
          <w:r>
            <w:rPr>
              <w:rStyle w:val="22"/>
              <w:rFonts w:ascii="Arial" w:hAnsi="Arial" w:eastAsia="Yu Gothic Light"/>
              <w:b/>
            </w:rPr>
            <w:t>2.1</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b/>
            </w:rPr>
            <w:t>Introduction</w:t>
          </w:r>
          <w:r>
            <w:tab/>
          </w:r>
          <w:r>
            <w:fldChar w:fldCharType="begin"/>
          </w:r>
          <w:r>
            <w:instrText xml:space="preserve"> PAGEREF _Toc159852109 \h </w:instrText>
          </w:r>
          <w:r>
            <w:fldChar w:fldCharType="separate"/>
          </w:r>
          <w:r>
            <w:t>10</w:t>
          </w:r>
          <w:r>
            <w:fldChar w:fldCharType="end"/>
          </w:r>
          <w:r>
            <w:fldChar w:fldCharType="end"/>
          </w:r>
        </w:p>
        <w:p>
          <w:pPr>
            <w:pStyle w:val="16"/>
            <w:tabs>
              <w:tab w:val="left" w:pos="154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"_Toc159852110" </w:instrText>
          </w:r>
          <w:r>
            <w:fldChar w:fldCharType="separate"/>
          </w:r>
          <w:r>
            <w:rPr>
              <w:rStyle w:val="22"/>
              <w:rFonts w:ascii="Arial" w:hAnsi="Arial" w:eastAsia="Yu Gothic Light"/>
              <w:b/>
            </w:rPr>
            <w:t>2.2</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b/>
            </w:rPr>
            <w:t>Overview of Double Reduction Policy</w:t>
          </w:r>
          <w:r>
            <w:tab/>
          </w:r>
          <w:r>
            <w:fldChar w:fldCharType="begin"/>
          </w:r>
          <w:r>
            <w:instrText xml:space="preserve"> PAGEREF _Toc159852110 \h </w:instrText>
          </w:r>
          <w:r>
            <w:fldChar w:fldCharType="separate"/>
          </w:r>
          <w:r>
            <w:t>10</w:t>
          </w:r>
          <w:r>
            <w:fldChar w:fldCharType="end"/>
          </w:r>
          <w:r>
            <w:fldChar w:fldCharType="end"/>
          </w:r>
        </w:p>
        <w:p>
          <w:pPr>
            <w:pStyle w:val="16"/>
            <w:tabs>
              <w:tab w:val="left" w:pos="154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"_Toc159852111" </w:instrText>
          </w:r>
          <w:r>
            <w:fldChar w:fldCharType="separate"/>
          </w:r>
          <w:r>
            <w:rPr>
              <w:rStyle w:val="22"/>
              <w:rFonts w:ascii="Arial" w:hAnsi="Arial" w:eastAsia="Yu Gothic Light" w:cs="Arial"/>
              <w:b/>
            </w:rPr>
            <w:t>2.3</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rPr>
            <w:t>Review of Existing Literature</w:t>
          </w:r>
          <w:r>
            <w:tab/>
          </w:r>
          <w:r>
            <w:fldChar w:fldCharType="begin"/>
          </w:r>
          <w:r>
            <w:instrText xml:space="preserve"> PAGEREF _Toc159852111 \h </w:instrText>
          </w:r>
          <w:r>
            <w:fldChar w:fldCharType="separate"/>
          </w:r>
          <w:r>
            <w:t>12</w:t>
          </w:r>
          <w:r>
            <w:fldChar w:fldCharType="end"/>
          </w:r>
          <w:r>
            <w:fldChar w:fldCharType="end"/>
          </w:r>
        </w:p>
        <w:p>
          <w:pPr>
            <w:pStyle w:val="12"/>
            <w:tabs>
              <w:tab w:val="left" w:pos="176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"_Toc159852112" </w:instrText>
          </w:r>
          <w:r>
            <w:fldChar w:fldCharType="separate"/>
          </w:r>
          <w:r>
            <w:rPr>
              <w:rStyle w:val="22"/>
              <w:rFonts w:ascii="Arial" w:hAnsi="Arial" w:cs="Arial"/>
              <w:b/>
              <w:bCs/>
            </w:rPr>
            <w:t>2.3.1</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rPr>
            <w:t>Educational Institutions' Response</w:t>
          </w:r>
          <w:r>
            <w:rPr>
              <w:rFonts w:ascii="Arial" w:hAnsi="Arial" w:cs="Arial"/>
              <w:b/>
              <w:bCs/>
            </w:rPr>
            <w:tab/>
          </w:r>
          <w:r>
            <w:fldChar w:fldCharType="begin"/>
          </w:r>
          <w:r>
            <w:instrText xml:space="preserve"> PAGEREF _Toc159852112 \h </w:instrText>
          </w:r>
          <w:r>
            <w:fldChar w:fldCharType="separate"/>
          </w:r>
          <w:r>
            <w:t>12</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"_Toc159852113" </w:instrText>
          </w:r>
          <w:r>
            <w:fldChar w:fldCharType="separate"/>
          </w:r>
          <w:r>
            <w:rPr>
              <w:rStyle w:val="22"/>
              <w:rFonts w:ascii="Arial" w:hAnsi="Arial" w:eastAsia="Yu Gothic Light" w:cs="Arial"/>
              <w:b/>
              <w:i/>
            </w:rPr>
            <w:t>2.3.2</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Business Environment</w:t>
          </w:r>
          <w:r>
            <w:tab/>
          </w:r>
          <w:r>
            <w:fldChar w:fldCharType="begin"/>
          </w:r>
          <w:r>
            <w:instrText xml:space="preserve"> PAGEREF _Toc159852113 \h </w:instrText>
          </w:r>
          <w:r>
            <w:fldChar w:fldCharType="separate"/>
          </w:r>
          <w:r>
            <w:t>14</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"_Toc159852114" </w:instrText>
          </w:r>
          <w:r>
            <w:fldChar w:fldCharType="separate"/>
          </w:r>
          <w:r>
            <w:rPr>
              <w:rStyle w:val="22"/>
              <w:rFonts w:ascii="Arial" w:hAnsi="Arial" w:eastAsia="Yu Gothic Light" w:cs="Arial"/>
              <w:b/>
              <w:i/>
            </w:rPr>
            <w:t>2.3.3</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Student’s effect</w:t>
          </w:r>
          <w:r>
            <w:tab/>
          </w:r>
          <w:r>
            <w:fldChar w:fldCharType="begin"/>
          </w:r>
          <w:r>
            <w:instrText xml:space="preserve"> PAGEREF _Toc159852114 \h </w:instrText>
          </w:r>
          <w:r>
            <w:fldChar w:fldCharType="separate"/>
          </w:r>
          <w:r>
            <w:t>16</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"_Toc159852115" </w:instrText>
          </w:r>
          <w:r>
            <w:fldChar w:fldCharType="separate"/>
          </w:r>
          <w:r>
            <w:rPr>
              <w:rStyle w:val="22"/>
              <w:rFonts w:ascii="Arial" w:hAnsi="Arial" w:eastAsia="Yu Gothic Light" w:cs="Arial"/>
              <w:b/>
              <w:i/>
            </w:rPr>
            <w:t>2.3.4</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Parental Challenges</w:t>
          </w:r>
          <w:r>
            <w:tab/>
          </w:r>
          <w:r>
            <w:fldChar w:fldCharType="begin"/>
          </w:r>
          <w:r>
            <w:instrText xml:space="preserve"> PAGEREF _Toc159852115 \h </w:instrText>
          </w:r>
          <w:r>
            <w:fldChar w:fldCharType="separate"/>
          </w:r>
          <w:r>
            <w:t>18</w:t>
          </w:r>
          <w:r>
            <w:fldChar w:fldCharType="end"/>
          </w:r>
          <w:r>
            <w:fldChar w:fldCharType="end"/>
          </w:r>
        </w:p>
        <w:p>
          <w:pPr>
            <w:pStyle w:val="16"/>
            <w:tabs>
              <w:tab w:val="left" w:pos="154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"_Toc159852116" </w:instrText>
          </w:r>
          <w:r>
            <w:fldChar w:fldCharType="separate"/>
          </w:r>
          <w:r>
            <w:rPr>
              <w:rStyle w:val="22"/>
              <w:rFonts w:ascii="Arial" w:hAnsi="Arial" w:eastAsia="Yu Gothic Light" w:cs="Arial"/>
              <w:b/>
            </w:rPr>
            <w:t>2.4</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rPr>
            <w:t>Theoretical Review: Educational Decision-Making Theory</w:t>
          </w:r>
          <w:r>
            <w:tab/>
          </w:r>
          <w:r>
            <w:fldChar w:fldCharType="begin"/>
          </w:r>
          <w:r>
            <w:instrText xml:space="preserve"> PAGEREF _Toc159852116 \h </w:instrText>
          </w:r>
          <w:r>
            <w:fldChar w:fldCharType="separate"/>
          </w:r>
          <w:r>
            <w:t>21</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"_Toc159852117" </w:instrText>
          </w:r>
          <w:r>
            <w:fldChar w:fldCharType="separate"/>
          </w:r>
          <w:r>
            <w:rPr>
              <w:rStyle w:val="22"/>
              <w:rFonts w:ascii="Arial" w:hAnsi="Arial" w:eastAsia="Yu Gothic Light" w:cs="Arial"/>
              <w:b/>
              <w:i/>
            </w:rPr>
            <w:t>2.4.1</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Introduction</w:t>
          </w:r>
          <w:r>
            <w:tab/>
          </w:r>
          <w:r>
            <w:fldChar w:fldCharType="begin"/>
          </w:r>
          <w:r>
            <w:instrText xml:space="preserve"> PAGEREF _Toc159852117 \h </w:instrText>
          </w:r>
          <w:r>
            <w:fldChar w:fldCharType="separate"/>
          </w:r>
          <w:r>
            <w:t>21</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"_Toc159852118" </w:instrText>
          </w:r>
          <w:r>
            <w:fldChar w:fldCharType="separate"/>
          </w:r>
          <w:r>
            <w:rPr>
              <w:rStyle w:val="22"/>
              <w:rFonts w:ascii="Arial" w:hAnsi="Arial" w:eastAsia="Yu Gothic Light" w:cs="Arial"/>
              <w:b/>
              <w:i/>
            </w:rPr>
            <w:t>2.4.2</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Components of Educational Decision-Making Theory</w:t>
          </w:r>
          <w:r>
            <w:tab/>
          </w:r>
          <w:r>
            <w:fldChar w:fldCharType="begin"/>
          </w:r>
          <w:r>
            <w:instrText xml:space="preserve"> PAGEREF _Toc159852118 \h </w:instrText>
          </w:r>
          <w:r>
            <w:fldChar w:fldCharType="separate"/>
          </w:r>
          <w:r>
            <w:t>22</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"_Toc159852119" </w:instrText>
          </w:r>
          <w:r>
            <w:fldChar w:fldCharType="separate"/>
          </w:r>
          <w:r>
            <w:rPr>
              <w:rStyle w:val="22"/>
              <w:rFonts w:ascii="Arial" w:hAnsi="Arial" w:eastAsia="Yu Gothic Light" w:cs="Arial"/>
              <w:b/>
              <w:i/>
            </w:rPr>
            <w:t>2.4.3</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The Double Reduction Policy and Decision-Making</w:t>
          </w:r>
          <w:r>
            <w:tab/>
          </w:r>
          <w:r>
            <w:fldChar w:fldCharType="begin"/>
          </w:r>
          <w:r>
            <w:instrText xml:space="preserve"> PAGEREF _Toc159852119 \h </w:instrText>
          </w:r>
          <w:r>
            <w:fldChar w:fldCharType="separate"/>
          </w:r>
          <w:r>
            <w:t>24</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"_Toc159852120" </w:instrText>
          </w:r>
          <w:r>
            <w:fldChar w:fldCharType="separate"/>
          </w:r>
          <w:r>
            <w:rPr>
              <w:rStyle w:val="22"/>
              <w:rFonts w:ascii="Arial" w:hAnsi="Arial" w:eastAsia="Yu Gothic Light" w:cs="Arial"/>
              <w:b/>
              <w:i/>
            </w:rPr>
            <w:t>2.4.4</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Interplay of Educational Decision-Making Theory and Study</w:t>
          </w:r>
          <w:r>
            <w:tab/>
          </w:r>
          <w:r>
            <w:fldChar w:fldCharType="begin"/>
          </w:r>
          <w:r>
            <w:instrText xml:space="preserve"> PAGEREF _Toc159852120 \h </w:instrText>
          </w:r>
          <w:r>
            <w:fldChar w:fldCharType="separate"/>
          </w:r>
          <w:r>
            <w:t>25</w:t>
          </w:r>
          <w:r>
            <w:fldChar w:fldCharType="end"/>
          </w:r>
          <w:r>
            <w:fldChar w:fldCharType="end"/>
          </w:r>
        </w:p>
        <w:p>
          <w:pPr>
            <w:pStyle w:val="16"/>
            <w:tabs>
              <w:tab w:val="left" w:pos="154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"_Toc159852121" </w:instrText>
          </w:r>
          <w:r>
            <w:fldChar w:fldCharType="separate"/>
          </w:r>
          <w:r>
            <w:rPr>
              <w:rStyle w:val="22"/>
              <w:rFonts w:ascii="Arial" w:hAnsi="Arial" w:eastAsia="Yu Gothic Light" w:cs="Arial"/>
              <w:b/>
            </w:rPr>
            <w:t>2.5</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rPr>
            <w:t>Rationale for Research</w:t>
          </w:r>
          <w:r>
            <w:tab/>
          </w:r>
          <w:r>
            <w:fldChar w:fldCharType="begin"/>
          </w:r>
          <w:r>
            <w:instrText xml:space="preserve"> PAGEREF _Toc159852121 \h </w:instrText>
          </w:r>
          <w:r>
            <w:fldChar w:fldCharType="separate"/>
          </w:r>
          <w:r>
            <w:t>26</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"_Toc159852122" </w:instrText>
          </w:r>
          <w:r>
            <w:fldChar w:fldCharType="separate"/>
          </w:r>
          <w:r>
            <w:rPr>
              <w:rStyle w:val="22"/>
              <w:rFonts w:ascii="Arial" w:hAnsi="Arial" w:eastAsia="Yu Gothic Light" w:cs="Arial"/>
              <w:b/>
              <w:i/>
            </w:rPr>
            <w:t>2.5.1</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Significance</w:t>
          </w:r>
          <w:r>
            <w:tab/>
          </w:r>
          <w:r>
            <w:fldChar w:fldCharType="begin"/>
          </w:r>
          <w:r>
            <w:instrText xml:space="preserve"> PAGEREF _Toc159852122 \h </w:instrText>
          </w:r>
          <w:r>
            <w:fldChar w:fldCharType="separate"/>
          </w:r>
          <w:r>
            <w:t>26</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"_Toc159852123" </w:instrText>
          </w:r>
          <w:r>
            <w:fldChar w:fldCharType="separate"/>
          </w:r>
          <w:r>
            <w:rPr>
              <w:rStyle w:val="22"/>
              <w:rFonts w:ascii="Arial" w:hAnsi="Arial" w:eastAsia="Yu Gothic Light" w:cs="Arial"/>
              <w:b/>
              <w:i/>
            </w:rPr>
            <w:t>2.5.2</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Societal Impact</w:t>
          </w:r>
          <w:r>
            <w:tab/>
          </w:r>
          <w:r>
            <w:fldChar w:fldCharType="begin"/>
          </w:r>
          <w:r>
            <w:instrText xml:space="preserve"> PAGEREF _Toc159852123 \h </w:instrText>
          </w:r>
          <w:r>
            <w:fldChar w:fldCharType="separate"/>
          </w:r>
          <w:r>
            <w:t>27</w:t>
          </w:r>
          <w:r>
            <w:fldChar w:fldCharType="end"/>
          </w:r>
          <w:r>
            <w:fldChar w:fldCharType="end"/>
          </w:r>
        </w:p>
        <w:p>
          <w:pPr>
            <w:pStyle w:val="15"/>
            <w:tabs>
              <w:tab w:val="left" w:pos="110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"_Toc159852124" </w:instrText>
          </w:r>
          <w:r>
            <w:fldChar w:fldCharType="separate"/>
          </w:r>
          <w:r>
            <w:rPr>
              <w:rStyle w:val="22"/>
              <w:rFonts w:ascii="Arial" w:hAnsi="Arial" w:eastAsia="Yu Gothic Light"/>
              <w:b/>
              <w:lang w:val="en-US"/>
            </w:rPr>
            <w:t>3</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b/>
              <w:lang w:val="en-US"/>
            </w:rPr>
            <w:t>Methodology</w:t>
          </w:r>
          <w:r>
            <w:tab/>
          </w:r>
          <w:r>
            <w:fldChar w:fldCharType="begin"/>
          </w:r>
          <w:r>
            <w:instrText xml:space="preserve"> PAGEREF _Toc159852124 \h </w:instrText>
          </w:r>
          <w:r>
            <w:fldChar w:fldCharType="separate"/>
          </w:r>
          <w:r>
            <w:t>29</w:t>
          </w:r>
          <w:r>
            <w:fldChar w:fldCharType="end"/>
          </w:r>
          <w:r>
            <w:fldChar w:fldCharType="end"/>
          </w:r>
        </w:p>
        <w:p>
          <w:pPr>
            <w:pStyle w:val="16"/>
            <w:tabs>
              <w:tab w:val="left" w:pos="1540"/>
              <w:tab w:val="right" w:leader="dot" w:pos="9016"/>
            </w:tabs>
            <w:ind w:firstLine="806" w:firstLineChars="336"/>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"_Toc159852125" </w:instrText>
          </w:r>
          <w:r>
            <w:fldChar w:fldCharType="separate"/>
          </w:r>
          <w:r>
            <w:rPr>
              <w:rStyle w:val="22"/>
              <w:rFonts w:ascii="Arial" w:hAnsi="Arial" w:eastAsia="Yu Gothic Light" w:cs="Arial"/>
              <w:b/>
            </w:rPr>
            <w:t>3.1</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rPr>
            <w:t>Research paradigm</w:t>
          </w:r>
          <w:r>
            <w:tab/>
          </w:r>
          <w:r>
            <w:fldChar w:fldCharType="begin"/>
          </w:r>
          <w:r>
            <w:instrText xml:space="preserve"> PAGEREF _Toc159852125 \h </w:instrText>
          </w:r>
          <w:r>
            <w:fldChar w:fldCharType="separate"/>
          </w:r>
          <w:r>
            <w:t>29</w:t>
          </w:r>
          <w:r>
            <w:fldChar w:fldCharType="end"/>
          </w:r>
          <w:r>
            <w:fldChar w:fldCharType="end"/>
          </w:r>
        </w:p>
        <w:p>
          <w:pPr>
            <w:pStyle w:val="16"/>
            <w:tabs>
              <w:tab w:val="left" w:pos="1540"/>
              <w:tab w:val="right" w:leader="dot" w:pos="9016"/>
            </w:tabs>
            <w:ind w:firstLine="806" w:firstLineChars="336"/>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"_Toc159852126" </w:instrText>
          </w:r>
          <w:r>
            <w:fldChar w:fldCharType="separate"/>
          </w:r>
          <w:r>
            <w:rPr>
              <w:rStyle w:val="22"/>
              <w:rFonts w:ascii="Arial" w:hAnsi="Arial" w:eastAsia="Yu Gothic Light" w:cs="Arial"/>
              <w:b/>
            </w:rPr>
            <w:t>3.2</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rPr>
            <w:t>Data collection</w:t>
          </w:r>
          <w:r>
            <w:tab/>
          </w:r>
          <w:r>
            <w:fldChar w:fldCharType="begin"/>
          </w:r>
          <w:r>
            <w:instrText xml:space="preserve"> PAGEREF _Toc159852126 \h </w:instrText>
          </w:r>
          <w:r>
            <w:fldChar w:fldCharType="separate"/>
          </w:r>
          <w:r>
            <w:t>30</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"_Toc159852127" </w:instrText>
          </w:r>
          <w:r>
            <w:fldChar w:fldCharType="separate"/>
          </w:r>
          <w:r>
            <w:rPr>
              <w:rStyle w:val="22"/>
              <w:rFonts w:ascii="Arial" w:hAnsi="Arial" w:eastAsia="Yu Gothic Light" w:cs="Arial"/>
              <w:b/>
              <w:i/>
            </w:rPr>
            <w:t>3.2.1</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Quantitative Data Collection: Surveys</w:t>
          </w:r>
          <w:r>
            <w:tab/>
          </w:r>
          <w:r>
            <w:fldChar w:fldCharType="begin"/>
          </w:r>
          <w:r>
            <w:instrText xml:space="preserve"> PAGEREF _Toc159852127 \h </w:instrText>
          </w:r>
          <w:r>
            <w:fldChar w:fldCharType="separate"/>
          </w:r>
          <w:r>
            <w:t>30</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"_Toc159852128" </w:instrText>
          </w:r>
          <w:r>
            <w:fldChar w:fldCharType="separate"/>
          </w:r>
          <w:r>
            <w:rPr>
              <w:rStyle w:val="22"/>
              <w:rFonts w:ascii="Arial" w:hAnsi="Arial" w:eastAsia="Yu Gothic Light" w:cs="Arial"/>
              <w:b/>
              <w:i/>
            </w:rPr>
            <w:t>3.2.2</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Qualitative Data Collection: Interviews</w:t>
          </w:r>
          <w:r>
            <w:tab/>
          </w:r>
          <w:r>
            <w:fldChar w:fldCharType="begin"/>
          </w:r>
          <w:r>
            <w:instrText xml:space="preserve"> PAGEREF _Toc159852128 \h </w:instrText>
          </w:r>
          <w:r>
            <w:fldChar w:fldCharType="separate"/>
          </w:r>
          <w:r>
            <w:t>33</w:t>
          </w:r>
          <w:r>
            <w:fldChar w:fldCharType="end"/>
          </w:r>
          <w:r>
            <w:fldChar w:fldCharType="end"/>
          </w:r>
        </w:p>
        <w:p>
          <w:pPr>
            <w:pStyle w:val="12"/>
            <w:tabs>
              <w:tab w:val="left" w:pos="1801"/>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"_Toc159852129" </w:instrText>
          </w:r>
          <w:r>
            <w:fldChar w:fldCharType="separate"/>
          </w:r>
          <w:r>
            <w:rPr>
              <w:rStyle w:val="22"/>
              <w:rFonts w:ascii="Arial" w:hAnsi="Arial" w:eastAsia="Yu Gothic Light" w:cs="Arial"/>
              <w:b/>
              <w:i/>
            </w:rPr>
            <w:t>3.2.3</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i/>
            </w:rPr>
            <w:t>Participants</w:t>
          </w:r>
          <w:r>
            <w:tab/>
          </w:r>
          <w:r>
            <w:fldChar w:fldCharType="begin"/>
          </w:r>
          <w:r>
            <w:instrText xml:space="preserve"> PAGEREF _Toc159852129 \h </w:instrText>
          </w:r>
          <w:r>
            <w:fldChar w:fldCharType="separate"/>
          </w:r>
          <w:r>
            <w:t>33</w:t>
          </w:r>
          <w:r>
            <w:fldChar w:fldCharType="end"/>
          </w:r>
          <w:r>
            <w:fldChar w:fldCharType="end"/>
          </w:r>
        </w:p>
        <w:p>
          <w:pPr>
            <w:pStyle w:val="16"/>
            <w:tabs>
              <w:tab w:val="left" w:pos="154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"_Toc159852130" </w:instrText>
          </w:r>
          <w:r>
            <w:fldChar w:fldCharType="separate"/>
          </w:r>
          <w:r>
            <w:rPr>
              <w:rStyle w:val="22"/>
              <w:rFonts w:ascii="Arial" w:hAnsi="Arial" w:eastAsia="Yu Gothic Light" w:cs="Arial"/>
              <w:b/>
            </w:rPr>
            <w:t>3.3</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rPr>
            <w:t>Data Analysis</w:t>
          </w:r>
          <w:r>
            <w:tab/>
          </w:r>
          <w:r>
            <w:fldChar w:fldCharType="begin"/>
          </w:r>
          <w:r>
            <w:instrText xml:space="preserve"> PAGEREF _Toc159852130 \h </w:instrText>
          </w:r>
          <w:r>
            <w:fldChar w:fldCharType="separate"/>
          </w:r>
          <w:r>
            <w:t>34</w:t>
          </w:r>
          <w:r>
            <w:fldChar w:fldCharType="end"/>
          </w:r>
          <w:r>
            <w:fldChar w:fldCharType="end"/>
          </w:r>
        </w:p>
        <w:p>
          <w:pPr>
            <w:pStyle w:val="16"/>
            <w:tabs>
              <w:tab w:val="left" w:pos="154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"_Toc159852131" </w:instrText>
          </w:r>
          <w:r>
            <w:fldChar w:fldCharType="separate"/>
          </w:r>
          <w:r>
            <w:rPr>
              <w:rStyle w:val="22"/>
              <w:rFonts w:ascii="Arial" w:hAnsi="Arial" w:eastAsia="Yu Gothic Light" w:cs="Arial"/>
              <w:b/>
            </w:rPr>
            <w:t>3.4</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rPr>
            <w:t>Ethical Considerations</w:t>
          </w:r>
          <w:r>
            <w:tab/>
          </w:r>
          <w:r>
            <w:fldChar w:fldCharType="begin"/>
          </w:r>
          <w:r>
            <w:instrText xml:space="preserve"> PAGEREF _Toc159852131 \h </w:instrText>
          </w:r>
          <w:r>
            <w:fldChar w:fldCharType="separate"/>
          </w:r>
          <w:r>
            <w:t>35</w:t>
          </w:r>
          <w:r>
            <w:fldChar w:fldCharType="end"/>
          </w:r>
          <w:r>
            <w:fldChar w:fldCharType="end"/>
          </w:r>
        </w:p>
        <w:p>
          <w:pPr>
            <w:pStyle w:val="16"/>
            <w:tabs>
              <w:tab w:val="left" w:pos="154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"_Toc159852132" </w:instrText>
          </w:r>
          <w:r>
            <w:fldChar w:fldCharType="separate"/>
          </w:r>
          <w:r>
            <w:rPr>
              <w:rStyle w:val="22"/>
              <w:rFonts w:ascii="Arial" w:hAnsi="Arial" w:eastAsia="Yu Gothic Light" w:cs="Arial"/>
              <w:b/>
            </w:rPr>
            <w:t>3.5</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rPr>
            <w:t>Limitations of Research Methods:</w:t>
          </w:r>
          <w:r>
            <w:tab/>
          </w:r>
          <w:r>
            <w:fldChar w:fldCharType="begin"/>
          </w:r>
          <w:r>
            <w:instrText xml:space="preserve"> PAGEREF _Toc159852132 \h </w:instrText>
          </w:r>
          <w:r>
            <w:fldChar w:fldCharType="separate"/>
          </w:r>
          <w:r>
            <w:t>35</w:t>
          </w:r>
          <w:r>
            <w:fldChar w:fldCharType="end"/>
          </w:r>
          <w: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"_Toc159852133" </w:instrText>
          </w:r>
          <w:r>
            <w:fldChar w:fldCharType="separate"/>
          </w:r>
          <w:r>
            <w:rPr>
              <w:rStyle w:val="22"/>
              <w:rFonts w:ascii="Arial" w:hAnsi="Arial" w:cs="Arial"/>
              <w:b/>
              <w:bCs/>
              <w:lang w:val="en-US"/>
            </w:rPr>
            <w:t xml:space="preserve">3.6. </w:t>
          </w:r>
          <w:r>
            <w:rPr>
              <w:rStyle w:val="22"/>
              <w:rFonts w:hint="eastAsia" w:ascii="Arial" w:hAnsi="Arial" w:cs="Arial"/>
              <w:b/>
              <w:bCs/>
              <w:lang w:val="en-US" w:eastAsia="zh-CN"/>
            </w:rPr>
            <w:t xml:space="preserve">   </w:t>
          </w:r>
          <w:r>
            <w:rPr>
              <w:rStyle w:val="22"/>
              <w:rFonts w:ascii="Arial" w:hAnsi="Arial" w:cs="Arial"/>
              <w:b/>
              <w:bCs/>
              <w:lang w:val="en-US"/>
            </w:rPr>
            <w:t>Conclusion</w:t>
          </w:r>
          <w:r>
            <w:rPr>
              <w:rFonts w:ascii="Arial" w:hAnsi="Arial" w:cs="Arial"/>
              <w:b/>
              <w:bCs/>
            </w:rPr>
            <w:tab/>
          </w:r>
          <w:r>
            <w:rPr>
              <w:rFonts w:ascii="Arial" w:hAnsi="Arial" w:cs="Arial"/>
              <w:b/>
              <w:bCs/>
            </w:rPr>
            <w:fldChar w:fldCharType="begin"/>
          </w:r>
          <w:r>
            <w:rPr>
              <w:rFonts w:ascii="Arial" w:hAnsi="Arial" w:cs="Arial"/>
              <w:b/>
              <w:bCs/>
            </w:rPr>
            <w:instrText xml:space="preserve"> PAGEREF _Toc159852133 \h </w:instrText>
          </w:r>
          <w:r>
            <w:rPr>
              <w:rFonts w:ascii="Arial" w:hAnsi="Arial" w:cs="Arial"/>
              <w:b/>
              <w:bCs/>
            </w:rPr>
            <w:fldChar w:fldCharType="separate"/>
          </w:r>
          <w:r>
            <w:rPr>
              <w:rFonts w:ascii="Arial" w:hAnsi="Arial" w:cs="Arial"/>
              <w:b/>
              <w:bCs/>
            </w:rPr>
            <w:t>37</w:t>
          </w:r>
          <w:r>
            <w:rPr>
              <w:rFonts w:ascii="Arial" w:hAnsi="Arial" w:cs="Arial"/>
              <w:b/>
              <w:bCs/>
            </w:rPr>
            <w:fldChar w:fldCharType="end"/>
          </w:r>
          <w:r>
            <w:rPr>
              <w:rFonts w:ascii="Arial" w:hAnsi="Arial" w:cs="Arial"/>
              <w:b/>
              <w:bCs/>
            </w:rPr>
            <w:fldChar w:fldCharType="end"/>
          </w:r>
        </w:p>
        <w:p>
          <w:pPr>
            <w:pStyle w:val="15"/>
            <w:tabs>
              <w:tab w:val="left" w:pos="110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"_Toc159852134" </w:instrText>
          </w:r>
          <w:r>
            <w:fldChar w:fldCharType="separate"/>
          </w:r>
          <w:r>
            <w:rPr>
              <w:rStyle w:val="22"/>
              <w:rFonts w:ascii="Arial" w:hAnsi="Arial" w:cs="Arial"/>
              <w:b/>
              <w:bCs/>
            </w:rPr>
            <w:t>4</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rPr>
            <w:t>Results</w:t>
          </w:r>
          <w:r>
            <w:rPr>
              <w:rFonts w:ascii="Arial" w:hAnsi="Arial" w:cs="Arial"/>
              <w:b/>
              <w:bCs/>
            </w:rPr>
            <w:tab/>
          </w:r>
          <w:r>
            <w:rPr>
              <w:rFonts w:ascii="Arial" w:hAnsi="Arial" w:cs="Arial"/>
              <w:b/>
              <w:bCs/>
            </w:rPr>
            <w:fldChar w:fldCharType="begin"/>
          </w:r>
          <w:r>
            <w:rPr>
              <w:rFonts w:ascii="Arial" w:hAnsi="Arial" w:cs="Arial"/>
              <w:b/>
              <w:bCs/>
            </w:rPr>
            <w:instrText xml:space="preserve"> PAGEREF _Toc159852134 \h </w:instrText>
          </w:r>
          <w:r>
            <w:rPr>
              <w:rFonts w:ascii="Arial" w:hAnsi="Arial" w:cs="Arial"/>
              <w:b/>
              <w:bCs/>
            </w:rPr>
            <w:fldChar w:fldCharType="separate"/>
          </w:r>
          <w:r>
            <w:rPr>
              <w:rFonts w:ascii="Arial" w:hAnsi="Arial" w:cs="Arial"/>
              <w:b/>
              <w:bCs/>
            </w:rPr>
            <w:t>38</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"_Toc159852135" </w:instrText>
          </w:r>
          <w:r>
            <w:fldChar w:fldCharType="separate"/>
          </w:r>
          <w:r>
            <w:rPr>
              <w:rStyle w:val="22"/>
              <w:rFonts w:ascii="Arial" w:hAnsi="Arial" w:cs="Arial"/>
              <w:b/>
              <w:bCs/>
              <w:lang w:val="zh-CN"/>
            </w:rPr>
            <w:t>4.1</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Introduction</w:t>
          </w:r>
          <w:r>
            <w:rPr>
              <w:rFonts w:ascii="Arial" w:hAnsi="Arial" w:cs="Arial"/>
              <w:b/>
              <w:bCs/>
            </w:rPr>
            <w:tab/>
          </w:r>
          <w:r>
            <w:rPr>
              <w:rFonts w:ascii="Arial" w:hAnsi="Arial" w:cs="Arial"/>
              <w:b/>
              <w:bCs/>
            </w:rPr>
            <w:fldChar w:fldCharType="begin"/>
          </w:r>
          <w:r>
            <w:rPr>
              <w:rFonts w:ascii="Arial" w:hAnsi="Arial" w:cs="Arial"/>
              <w:b/>
              <w:bCs/>
            </w:rPr>
            <w:instrText xml:space="preserve"> PAGEREF _Toc159852135 \h </w:instrText>
          </w:r>
          <w:r>
            <w:rPr>
              <w:rFonts w:ascii="Arial" w:hAnsi="Arial" w:cs="Arial"/>
              <w:b/>
              <w:bCs/>
            </w:rPr>
            <w:fldChar w:fldCharType="separate"/>
          </w:r>
          <w:r>
            <w:rPr>
              <w:rFonts w:ascii="Arial" w:hAnsi="Arial" w:cs="Arial"/>
              <w:b/>
              <w:bCs/>
            </w:rPr>
            <w:t>38</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"_Toc159852136" </w:instrText>
          </w:r>
          <w:r>
            <w:fldChar w:fldCharType="separate"/>
          </w:r>
          <w:r>
            <w:rPr>
              <w:rStyle w:val="22"/>
              <w:rFonts w:ascii="Arial" w:hAnsi="Arial" w:cs="Arial"/>
              <w:b/>
              <w:bCs/>
              <w:lang w:val="en-US"/>
            </w:rPr>
            <w:t>4.2</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en-US"/>
            </w:rPr>
            <w:t>Presentation of Data</w:t>
          </w:r>
          <w:r>
            <w:rPr>
              <w:rFonts w:ascii="Arial" w:hAnsi="Arial" w:cs="Arial"/>
              <w:b/>
              <w:bCs/>
            </w:rPr>
            <w:tab/>
          </w:r>
          <w:r>
            <w:rPr>
              <w:rFonts w:ascii="Arial" w:hAnsi="Arial" w:cs="Arial"/>
              <w:b/>
              <w:bCs/>
            </w:rPr>
            <w:fldChar w:fldCharType="begin"/>
          </w:r>
          <w:r>
            <w:rPr>
              <w:rFonts w:ascii="Arial" w:hAnsi="Arial" w:cs="Arial"/>
              <w:b/>
              <w:bCs/>
            </w:rPr>
            <w:instrText xml:space="preserve"> PAGEREF _Toc159852136 \h </w:instrText>
          </w:r>
          <w:r>
            <w:rPr>
              <w:rFonts w:ascii="Arial" w:hAnsi="Arial" w:cs="Arial"/>
              <w:b/>
              <w:bCs/>
            </w:rPr>
            <w:fldChar w:fldCharType="separate"/>
          </w:r>
          <w:r>
            <w:rPr>
              <w:rFonts w:ascii="Arial" w:hAnsi="Arial" w:cs="Arial"/>
              <w:b/>
              <w:bCs/>
            </w:rPr>
            <w:t>38</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"_Toc159852137" </w:instrText>
          </w:r>
          <w:r>
            <w:fldChar w:fldCharType="separate"/>
          </w:r>
          <w:r>
            <w:rPr>
              <w:rStyle w:val="22"/>
              <w:rFonts w:ascii="Arial" w:hAnsi="Arial" w:cs="Arial"/>
              <w:b/>
              <w:bCs/>
              <w:lang w:val="en-US"/>
            </w:rPr>
            <w:t>4.2.1</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en-US"/>
            </w:rPr>
            <w:t>Quantitative data presentation</w:t>
          </w:r>
          <w:r>
            <w:rPr>
              <w:rFonts w:ascii="Arial" w:hAnsi="Arial" w:cs="Arial"/>
              <w:b/>
              <w:bCs/>
            </w:rPr>
            <w:tab/>
          </w:r>
          <w:r>
            <w:rPr>
              <w:rFonts w:ascii="Arial" w:hAnsi="Arial" w:cs="Arial"/>
              <w:b/>
              <w:bCs/>
            </w:rPr>
            <w:fldChar w:fldCharType="begin"/>
          </w:r>
          <w:r>
            <w:rPr>
              <w:rFonts w:ascii="Arial" w:hAnsi="Arial" w:cs="Arial"/>
              <w:b/>
              <w:bCs/>
            </w:rPr>
            <w:instrText xml:space="preserve"> PAGEREF _Toc159852137 \h </w:instrText>
          </w:r>
          <w:r>
            <w:rPr>
              <w:rFonts w:ascii="Arial" w:hAnsi="Arial" w:cs="Arial"/>
              <w:b/>
              <w:bCs/>
            </w:rPr>
            <w:fldChar w:fldCharType="separate"/>
          </w:r>
          <w:r>
            <w:rPr>
              <w:rFonts w:ascii="Arial" w:hAnsi="Arial" w:cs="Arial"/>
              <w:b/>
              <w:bCs/>
            </w:rPr>
            <w:t>38</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"_Toc159852138" </w:instrText>
          </w:r>
          <w:r>
            <w:fldChar w:fldCharType="separate"/>
          </w:r>
          <w:r>
            <w:rPr>
              <w:rStyle w:val="22"/>
              <w:rFonts w:ascii="Arial" w:hAnsi="Arial" w:cs="Arial"/>
              <w:b/>
              <w:bCs/>
              <w:lang w:val="zh-CN"/>
            </w:rPr>
            <w:t>4.2.2</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Impact on Academic and Career Prospects</w:t>
          </w:r>
          <w:r>
            <w:rPr>
              <w:rFonts w:ascii="Arial" w:hAnsi="Arial" w:cs="Arial"/>
              <w:b/>
              <w:bCs/>
            </w:rPr>
            <w:tab/>
          </w:r>
          <w:r>
            <w:rPr>
              <w:rFonts w:ascii="Arial" w:hAnsi="Arial" w:cs="Arial"/>
              <w:b/>
              <w:bCs/>
            </w:rPr>
            <w:fldChar w:fldCharType="begin"/>
          </w:r>
          <w:r>
            <w:rPr>
              <w:rFonts w:ascii="Arial" w:hAnsi="Arial" w:cs="Arial"/>
              <w:b/>
              <w:bCs/>
            </w:rPr>
            <w:instrText xml:space="preserve"> PAGEREF _Toc159852138 \h </w:instrText>
          </w:r>
          <w:r>
            <w:rPr>
              <w:rFonts w:ascii="Arial" w:hAnsi="Arial" w:cs="Arial"/>
              <w:b/>
              <w:bCs/>
            </w:rPr>
            <w:fldChar w:fldCharType="separate"/>
          </w:r>
          <w:r>
            <w:rPr>
              <w:rFonts w:ascii="Arial" w:hAnsi="Arial" w:cs="Arial"/>
              <w:b/>
              <w:bCs/>
            </w:rPr>
            <w:t>44</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"_Toc159852139" </w:instrText>
          </w:r>
          <w:r>
            <w:fldChar w:fldCharType="separate"/>
          </w:r>
          <w:r>
            <w:rPr>
              <w:rStyle w:val="22"/>
              <w:rFonts w:ascii="Arial" w:hAnsi="Arial" w:cs="Arial"/>
              <w:b/>
              <w:bCs/>
              <w:lang w:val="en-US"/>
            </w:rPr>
            <w:t>4.2.3</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en-US"/>
            </w:rPr>
            <w:t>Qualitative Data Presentation</w:t>
          </w:r>
          <w:r>
            <w:rPr>
              <w:rFonts w:ascii="Arial" w:hAnsi="Arial" w:cs="Arial"/>
              <w:b/>
              <w:bCs/>
            </w:rPr>
            <w:tab/>
          </w:r>
          <w:r>
            <w:rPr>
              <w:rFonts w:ascii="Arial" w:hAnsi="Arial" w:cs="Arial"/>
              <w:b/>
              <w:bCs/>
            </w:rPr>
            <w:fldChar w:fldCharType="begin"/>
          </w:r>
          <w:r>
            <w:rPr>
              <w:rFonts w:ascii="Arial" w:hAnsi="Arial" w:cs="Arial"/>
              <w:b/>
              <w:bCs/>
            </w:rPr>
            <w:instrText xml:space="preserve"> PAGEREF _Toc159852139 \h </w:instrText>
          </w:r>
          <w:r>
            <w:rPr>
              <w:rFonts w:ascii="Arial" w:hAnsi="Arial" w:cs="Arial"/>
              <w:b/>
              <w:bCs/>
            </w:rPr>
            <w:fldChar w:fldCharType="separate"/>
          </w:r>
          <w:r>
            <w:rPr>
              <w:rFonts w:ascii="Arial" w:hAnsi="Arial" w:cs="Arial"/>
              <w:b/>
              <w:bCs/>
            </w:rPr>
            <w:t>45</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"_Toc159852140" </w:instrText>
          </w:r>
          <w:r>
            <w:fldChar w:fldCharType="separate"/>
          </w:r>
          <w:r>
            <w:rPr>
              <w:rStyle w:val="22"/>
              <w:rFonts w:ascii="Arial" w:hAnsi="Arial" w:cs="Arial"/>
              <w:b/>
              <w:bCs/>
              <w:lang w:val="zh-CN"/>
            </w:rPr>
            <w:t>4.2.4</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Limited Influence of the Double Reduction Policy</w:t>
          </w:r>
          <w:r>
            <w:rPr>
              <w:rFonts w:ascii="Arial" w:hAnsi="Arial" w:cs="Arial"/>
              <w:b/>
              <w:bCs/>
            </w:rPr>
            <w:tab/>
          </w:r>
          <w:r>
            <w:rPr>
              <w:rFonts w:ascii="Arial" w:hAnsi="Arial" w:cs="Arial"/>
              <w:b/>
              <w:bCs/>
            </w:rPr>
            <w:fldChar w:fldCharType="begin"/>
          </w:r>
          <w:r>
            <w:rPr>
              <w:rFonts w:ascii="Arial" w:hAnsi="Arial" w:cs="Arial"/>
              <w:b/>
              <w:bCs/>
            </w:rPr>
            <w:instrText xml:space="preserve"> PAGEREF _Toc159852140 \h </w:instrText>
          </w:r>
          <w:r>
            <w:rPr>
              <w:rFonts w:ascii="Arial" w:hAnsi="Arial" w:cs="Arial"/>
              <w:b/>
              <w:bCs/>
            </w:rPr>
            <w:fldChar w:fldCharType="separate"/>
          </w:r>
          <w:r>
            <w:rPr>
              <w:rFonts w:ascii="Arial" w:hAnsi="Arial" w:cs="Arial"/>
              <w:b/>
              <w:bCs/>
            </w:rPr>
            <w:t>46</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"_Toc159852141" </w:instrText>
          </w:r>
          <w:r>
            <w:fldChar w:fldCharType="separate"/>
          </w:r>
          <w:r>
            <w:rPr>
              <w:rStyle w:val="22"/>
              <w:rFonts w:ascii="Arial" w:hAnsi="Arial" w:cs="Arial"/>
              <w:b/>
              <w:bCs/>
              <w:lang w:val="zh-CN"/>
            </w:rPr>
            <w:t>4.3</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Focus on Personal and Academic Preferences</w:t>
          </w:r>
          <w:r>
            <w:rPr>
              <w:rFonts w:ascii="Arial" w:hAnsi="Arial" w:cs="Arial"/>
              <w:b/>
              <w:bCs/>
            </w:rPr>
            <w:tab/>
          </w:r>
          <w:r>
            <w:rPr>
              <w:rFonts w:ascii="Arial" w:hAnsi="Arial" w:cs="Arial"/>
              <w:b/>
              <w:bCs/>
            </w:rPr>
            <w:fldChar w:fldCharType="begin"/>
          </w:r>
          <w:r>
            <w:rPr>
              <w:rFonts w:ascii="Arial" w:hAnsi="Arial" w:cs="Arial"/>
              <w:b/>
              <w:bCs/>
            </w:rPr>
            <w:instrText xml:space="preserve"> PAGEREF _Toc159852141 \h </w:instrText>
          </w:r>
          <w:r>
            <w:rPr>
              <w:rFonts w:ascii="Arial" w:hAnsi="Arial" w:cs="Arial"/>
              <w:b/>
              <w:bCs/>
            </w:rPr>
            <w:fldChar w:fldCharType="separate"/>
          </w:r>
          <w:r>
            <w:rPr>
              <w:rFonts w:ascii="Arial" w:hAnsi="Arial" w:cs="Arial"/>
              <w:b/>
              <w:bCs/>
            </w:rPr>
            <w:t>46</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"_Toc159852142" </w:instrText>
          </w:r>
          <w:r>
            <w:fldChar w:fldCharType="separate"/>
          </w:r>
          <w:r>
            <w:rPr>
              <w:rStyle w:val="22"/>
              <w:rFonts w:ascii="Arial" w:hAnsi="Arial" w:cs="Arial"/>
              <w:b/>
              <w:bCs/>
              <w:lang w:val="zh-CN"/>
            </w:rPr>
            <w:t>4.4</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Policy's Minimal Impact on Career Opportunities</w:t>
          </w:r>
          <w:r>
            <w:rPr>
              <w:rFonts w:ascii="Arial" w:hAnsi="Arial" w:cs="Arial"/>
              <w:b/>
              <w:bCs/>
            </w:rPr>
            <w:tab/>
          </w:r>
          <w:r>
            <w:rPr>
              <w:rFonts w:ascii="Arial" w:hAnsi="Arial" w:cs="Arial"/>
              <w:b/>
              <w:bCs/>
            </w:rPr>
            <w:fldChar w:fldCharType="begin"/>
          </w:r>
          <w:r>
            <w:rPr>
              <w:rFonts w:ascii="Arial" w:hAnsi="Arial" w:cs="Arial"/>
              <w:b/>
              <w:bCs/>
            </w:rPr>
            <w:instrText xml:space="preserve"> PAGEREF _Toc159852142 \h </w:instrText>
          </w:r>
          <w:r>
            <w:rPr>
              <w:rFonts w:ascii="Arial" w:hAnsi="Arial" w:cs="Arial"/>
              <w:b/>
              <w:bCs/>
            </w:rPr>
            <w:fldChar w:fldCharType="separate"/>
          </w:r>
          <w:r>
            <w:rPr>
              <w:rFonts w:ascii="Arial" w:hAnsi="Arial" w:cs="Arial"/>
              <w:b/>
              <w:bCs/>
            </w:rPr>
            <w:t>47</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"_Toc159852143" </w:instrText>
          </w:r>
          <w:r>
            <w:fldChar w:fldCharType="separate"/>
          </w:r>
          <w:r>
            <w:rPr>
              <w:rStyle w:val="22"/>
              <w:rFonts w:ascii="Arial" w:hAnsi="Arial" w:cs="Arial"/>
              <w:b/>
              <w:bCs/>
              <w:lang w:val="zh-CN"/>
            </w:rPr>
            <w:t>4.4.1</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Limited Influence on Educational Journey</w:t>
          </w:r>
          <w:r>
            <w:rPr>
              <w:rFonts w:ascii="Arial" w:hAnsi="Arial" w:cs="Arial"/>
              <w:b/>
              <w:bCs/>
            </w:rPr>
            <w:tab/>
          </w:r>
          <w:r>
            <w:rPr>
              <w:rFonts w:ascii="Arial" w:hAnsi="Arial" w:cs="Arial"/>
              <w:b/>
              <w:bCs/>
            </w:rPr>
            <w:fldChar w:fldCharType="begin"/>
          </w:r>
          <w:r>
            <w:rPr>
              <w:rFonts w:ascii="Arial" w:hAnsi="Arial" w:cs="Arial"/>
              <w:b/>
              <w:bCs/>
            </w:rPr>
            <w:instrText xml:space="preserve"> PAGEREF _Toc159852143 \h </w:instrText>
          </w:r>
          <w:r>
            <w:rPr>
              <w:rFonts w:ascii="Arial" w:hAnsi="Arial" w:cs="Arial"/>
              <w:b/>
              <w:bCs/>
            </w:rPr>
            <w:fldChar w:fldCharType="separate"/>
          </w:r>
          <w:r>
            <w:rPr>
              <w:rFonts w:ascii="Arial" w:hAnsi="Arial" w:cs="Arial"/>
              <w:b/>
              <w:bCs/>
            </w:rPr>
            <w:t>48</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"_Toc159852144" </w:instrText>
          </w:r>
          <w:r>
            <w:fldChar w:fldCharType="separate"/>
          </w:r>
          <w:r>
            <w:rPr>
              <w:rStyle w:val="22"/>
              <w:rFonts w:ascii="Arial" w:hAnsi="Arial" w:cs="Arial"/>
              <w:b/>
              <w:bCs/>
              <w:lang w:val="en-US"/>
            </w:rPr>
            <w:t>4.5</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en-US"/>
            </w:rPr>
            <w:t>Cumulative Findings</w:t>
          </w:r>
          <w:r>
            <w:rPr>
              <w:rFonts w:ascii="Arial" w:hAnsi="Arial" w:cs="Arial"/>
              <w:b/>
              <w:bCs/>
            </w:rPr>
            <w:tab/>
          </w:r>
          <w:r>
            <w:rPr>
              <w:rFonts w:ascii="Arial" w:hAnsi="Arial" w:cs="Arial"/>
              <w:b/>
              <w:bCs/>
            </w:rPr>
            <w:fldChar w:fldCharType="begin"/>
          </w:r>
          <w:r>
            <w:rPr>
              <w:rFonts w:ascii="Arial" w:hAnsi="Arial" w:cs="Arial"/>
              <w:b/>
              <w:bCs/>
            </w:rPr>
            <w:instrText xml:space="preserve"> PAGEREF _Toc159852144 \h </w:instrText>
          </w:r>
          <w:r>
            <w:rPr>
              <w:rFonts w:ascii="Arial" w:hAnsi="Arial" w:cs="Arial"/>
              <w:b/>
              <w:bCs/>
            </w:rPr>
            <w:fldChar w:fldCharType="separate"/>
          </w:r>
          <w:r>
            <w:rPr>
              <w:rFonts w:ascii="Arial" w:hAnsi="Arial" w:cs="Arial"/>
              <w:b/>
              <w:bCs/>
            </w:rPr>
            <w:t>48</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"_Toc159852145" </w:instrText>
          </w:r>
          <w:r>
            <w:fldChar w:fldCharType="separate"/>
          </w:r>
          <w:r>
            <w:rPr>
              <w:rStyle w:val="22"/>
              <w:rFonts w:ascii="Arial" w:hAnsi="Arial" w:cs="Arial"/>
              <w:b/>
              <w:bCs/>
              <w:lang w:val="zh-CN"/>
            </w:rPr>
            <w:t>4.5.1</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Influence on Educational Choices</w:t>
          </w:r>
          <w:r>
            <w:rPr>
              <w:rFonts w:ascii="Arial" w:hAnsi="Arial" w:cs="Arial"/>
              <w:b/>
              <w:bCs/>
            </w:rPr>
            <w:tab/>
          </w:r>
          <w:r>
            <w:rPr>
              <w:rFonts w:ascii="Arial" w:hAnsi="Arial" w:cs="Arial"/>
              <w:b/>
              <w:bCs/>
            </w:rPr>
            <w:fldChar w:fldCharType="begin"/>
          </w:r>
          <w:r>
            <w:rPr>
              <w:rFonts w:ascii="Arial" w:hAnsi="Arial" w:cs="Arial"/>
              <w:b/>
              <w:bCs/>
            </w:rPr>
            <w:instrText xml:space="preserve"> PAGEREF _Toc159852145 \h </w:instrText>
          </w:r>
          <w:r>
            <w:rPr>
              <w:rFonts w:ascii="Arial" w:hAnsi="Arial" w:cs="Arial"/>
              <w:b/>
              <w:bCs/>
            </w:rPr>
            <w:fldChar w:fldCharType="separate"/>
          </w:r>
          <w:r>
            <w:rPr>
              <w:rFonts w:ascii="Arial" w:hAnsi="Arial" w:cs="Arial"/>
              <w:b/>
              <w:bCs/>
            </w:rPr>
            <w:t>49</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"_Toc159852146" </w:instrText>
          </w:r>
          <w:r>
            <w:fldChar w:fldCharType="separate"/>
          </w:r>
          <w:r>
            <w:rPr>
              <w:rStyle w:val="22"/>
              <w:rFonts w:ascii="Arial" w:hAnsi="Arial" w:cs="Arial"/>
              <w:b/>
              <w:bCs/>
              <w:lang w:val="zh-CN"/>
            </w:rPr>
            <w:t>4.5.2</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Impact on Career Opportunities</w:t>
          </w:r>
          <w:r>
            <w:rPr>
              <w:rFonts w:ascii="Arial" w:hAnsi="Arial" w:cs="Arial"/>
              <w:b/>
              <w:bCs/>
            </w:rPr>
            <w:tab/>
          </w:r>
          <w:r>
            <w:rPr>
              <w:rFonts w:ascii="Arial" w:hAnsi="Arial" w:cs="Arial"/>
              <w:b/>
              <w:bCs/>
            </w:rPr>
            <w:fldChar w:fldCharType="begin"/>
          </w:r>
          <w:r>
            <w:rPr>
              <w:rFonts w:ascii="Arial" w:hAnsi="Arial" w:cs="Arial"/>
              <w:b/>
              <w:bCs/>
            </w:rPr>
            <w:instrText xml:space="preserve"> PAGEREF _Toc159852146 \h </w:instrText>
          </w:r>
          <w:r>
            <w:rPr>
              <w:rFonts w:ascii="Arial" w:hAnsi="Arial" w:cs="Arial"/>
              <w:b/>
              <w:bCs/>
            </w:rPr>
            <w:fldChar w:fldCharType="separate"/>
          </w:r>
          <w:r>
            <w:rPr>
              <w:rFonts w:ascii="Arial" w:hAnsi="Arial" w:cs="Arial"/>
              <w:b/>
              <w:bCs/>
            </w:rPr>
            <w:t>50</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"_Toc159852147" </w:instrText>
          </w:r>
          <w:r>
            <w:fldChar w:fldCharType="separate"/>
          </w:r>
          <w:r>
            <w:rPr>
              <w:rStyle w:val="22"/>
              <w:rFonts w:ascii="Arial" w:hAnsi="Arial" w:cs="Arial"/>
              <w:b/>
              <w:bCs/>
              <w:lang w:val="zh-CN"/>
            </w:rPr>
            <w:t>4.5.3</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Perceptions and Attitudes</w:t>
          </w:r>
          <w:r>
            <w:rPr>
              <w:rFonts w:ascii="Arial" w:hAnsi="Arial" w:cs="Arial"/>
              <w:b/>
              <w:bCs/>
            </w:rPr>
            <w:tab/>
          </w:r>
          <w:r>
            <w:rPr>
              <w:rFonts w:ascii="Arial" w:hAnsi="Arial" w:cs="Arial"/>
              <w:b/>
              <w:bCs/>
            </w:rPr>
            <w:fldChar w:fldCharType="begin"/>
          </w:r>
          <w:r>
            <w:rPr>
              <w:rFonts w:ascii="Arial" w:hAnsi="Arial" w:cs="Arial"/>
              <w:b/>
              <w:bCs/>
            </w:rPr>
            <w:instrText xml:space="preserve"> PAGEREF _Toc159852147 \h </w:instrText>
          </w:r>
          <w:r>
            <w:rPr>
              <w:rFonts w:ascii="Arial" w:hAnsi="Arial" w:cs="Arial"/>
              <w:b/>
              <w:bCs/>
            </w:rPr>
            <w:fldChar w:fldCharType="separate"/>
          </w:r>
          <w:r>
            <w:rPr>
              <w:rFonts w:ascii="Arial" w:hAnsi="Arial" w:cs="Arial"/>
              <w:b/>
              <w:bCs/>
            </w:rPr>
            <w:t>50</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"_Toc159852148" </w:instrText>
          </w:r>
          <w:r>
            <w:fldChar w:fldCharType="separate"/>
          </w:r>
          <w:r>
            <w:rPr>
              <w:rStyle w:val="22"/>
              <w:rFonts w:ascii="Arial" w:hAnsi="Arial" w:cs="Arial"/>
              <w:b/>
              <w:bCs/>
              <w:lang w:val="en-US"/>
            </w:rPr>
            <w:t>4.6</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en-US"/>
            </w:rPr>
            <w:t>Analysis of the findings</w:t>
          </w:r>
          <w:r>
            <w:rPr>
              <w:rFonts w:ascii="Arial" w:hAnsi="Arial" w:cs="Arial"/>
              <w:b/>
              <w:bCs/>
            </w:rPr>
            <w:tab/>
          </w:r>
          <w:r>
            <w:rPr>
              <w:rFonts w:ascii="Arial" w:hAnsi="Arial" w:cs="Arial"/>
              <w:b/>
              <w:bCs/>
            </w:rPr>
            <w:fldChar w:fldCharType="begin"/>
          </w:r>
          <w:r>
            <w:rPr>
              <w:rFonts w:ascii="Arial" w:hAnsi="Arial" w:cs="Arial"/>
              <w:b/>
              <w:bCs/>
            </w:rPr>
            <w:instrText xml:space="preserve"> PAGEREF _Toc159852148 \h </w:instrText>
          </w:r>
          <w:r>
            <w:rPr>
              <w:rFonts w:ascii="Arial" w:hAnsi="Arial" w:cs="Arial"/>
              <w:b/>
              <w:bCs/>
            </w:rPr>
            <w:fldChar w:fldCharType="separate"/>
          </w:r>
          <w:r>
            <w:rPr>
              <w:rFonts w:ascii="Arial" w:hAnsi="Arial" w:cs="Arial"/>
              <w:b/>
              <w:bCs/>
            </w:rPr>
            <w:t>52</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"_Toc159852149" </w:instrText>
          </w:r>
          <w:r>
            <w:fldChar w:fldCharType="separate"/>
          </w:r>
          <w:r>
            <w:rPr>
              <w:rStyle w:val="22"/>
              <w:rFonts w:ascii="Arial" w:hAnsi="Arial" w:cs="Arial"/>
              <w:b/>
              <w:bCs/>
              <w:lang w:val="en-US"/>
            </w:rPr>
            <w:t>4.6.1</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en-US"/>
            </w:rPr>
            <w:t>Influence on Educational Choices</w:t>
          </w:r>
          <w:r>
            <w:rPr>
              <w:rFonts w:ascii="Arial" w:hAnsi="Arial" w:cs="Arial"/>
              <w:b/>
              <w:bCs/>
            </w:rPr>
            <w:tab/>
          </w:r>
          <w:r>
            <w:rPr>
              <w:rFonts w:ascii="Arial" w:hAnsi="Arial" w:cs="Arial"/>
              <w:b/>
              <w:bCs/>
            </w:rPr>
            <w:fldChar w:fldCharType="begin"/>
          </w:r>
          <w:r>
            <w:rPr>
              <w:rFonts w:ascii="Arial" w:hAnsi="Arial" w:cs="Arial"/>
              <w:b/>
              <w:bCs/>
            </w:rPr>
            <w:instrText xml:space="preserve"> PAGEREF _Toc159852149 \h </w:instrText>
          </w:r>
          <w:r>
            <w:rPr>
              <w:rFonts w:ascii="Arial" w:hAnsi="Arial" w:cs="Arial"/>
              <w:b/>
              <w:bCs/>
            </w:rPr>
            <w:fldChar w:fldCharType="separate"/>
          </w:r>
          <w:r>
            <w:rPr>
              <w:rFonts w:ascii="Arial" w:hAnsi="Arial" w:cs="Arial"/>
              <w:b/>
              <w:bCs/>
            </w:rPr>
            <w:t>52</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"_Toc159852150" </w:instrText>
          </w:r>
          <w:r>
            <w:fldChar w:fldCharType="separate"/>
          </w:r>
          <w:r>
            <w:rPr>
              <w:rStyle w:val="22"/>
              <w:rFonts w:ascii="Arial" w:hAnsi="Arial" w:cs="Arial"/>
              <w:b/>
              <w:bCs/>
              <w:lang w:val="zh-CN"/>
            </w:rPr>
            <w:t>4.6.2</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Impact on Career Opportunities</w:t>
          </w:r>
          <w:r>
            <w:rPr>
              <w:rFonts w:ascii="Arial" w:hAnsi="Arial" w:cs="Arial"/>
              <w:b/>
              <w:bCs/>
            </w:rPr>
            <w:tab/>
          </w:r>
          <w:r>
            <w:rPr>
              <w:rFonts w:ascii="Arial" w:hAnsi="Arial" w:cs="Arial"/>
              <w:b/>
              <w:bCs/>
            </w:rPr>
            <w:fldChar w:fldCharType="begin"/>
          </w:r>
          <w:r>
            <w:rPr>
              <w:rFonts w:ascii="Arial" w:hAnsi="Arial" w:cs="Arial"/>
              <w:b/>
              <w:bCs/>
            </w:rPr>
            <w:instrText xml:space="preserve"> PAGEREF _Toc159852150 \h </w:instrText>
          </w:r>
          <w:r>
            <w:rPr>
              <w:rFonts w:ascii="Arial" w:hAnsi="Arial" w:cs="Arial"/>
              <w:b/>
              <w:bCs/>
            </w:rPr>
            <w:fldChar w:fldCharType="separate"/>
          </w:r>
          <w:r>
            <w:rPr>
              <w:rFonts w:ascii="Arial" w:hAnsi="Arial" w:cs="Arial"/>
              <w:b/>
              <w:bCs/>
            </w:rPr>
            <w:t>53</w:t>
          </w:r>
          <w:r>
            <w:rPr>
              <w:rFonts w:ascii="Arial" w:hAnsi="Arial" w:cs="Arial"/>
              <w:b/>
              <w:bCs/>
            </w:rPr>
            <w:fldChar w:fldCharType="end"/>
          </w:r>
          <w:r>
            <w:rPr>
              <w:rFonts w:ascii="Arial" w:hAnsi="Arial" w:cs="Arial"/>
              <w:b/>
              <w:bCs/>
            </w:rPr>
            <w:fldChar w:fldCharType="end"/>
          </w:r>
        </w:p>
        <w:p>
          <w:pPr>
            <w:pStyle w:val="12"/>
            <w:tabs>
              <w:tab w:val="left" w:pos="176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"_Toc159852151" </w:instrText>
          </w:r>
          <w:r>
            <w:fldChar w:fldCharType="separate"/>
          </w:r>
          <w:r>
            <w:rPr>
              <w:rStyle w:val="22"/>
              <w:rFonts w:ascii="Arial" w:hAnsi="Arial" w:cs="Arial"/>
              <w:b/>
              <w:bCs/>
              <w:lang w:val="zh-CN"/>
            </w:rPr>
            <w:t>4.6.3</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zh-CN"/>
            </w:rPr>
            <w:t>Perceptions and Attitudes</w:t>
          </w:r>
          <w:r>
            <w:rPr>
              <w:rFonts w:ascii="Arial" w:hAnsi="Arial" w:cs="Arial"/>
              <w:b/>
              <w:bCs/>
            </w:rPr>
            <w:tab/>
          </w:r>
          <w:r>
            <w:rPr>
              <w:rFonts w:ascii="Arial" w:hAnsi="Arial" w:cs="Arial"/>
              <w:b/>
              <w:bCs/>
            </w:rPr>
            <w:fldChar w:fldCharType="begin"/>
          </w:r>
          <w:r>
            <w:rPr>
              <w:rFonts w:ascii="Arial" w:hAnsi="Arial" w:cs="Arial"/>
              <w:b/>
              <w:bCs/>
            </w:rPr>
            <w:instrText xml:space="preserve"> PAGEREF _Toc159852151 \h </w:instrText>
          </w:r>
          <w:r>
            <w:rPr>
              <w:rFonts w:ascii="Arial" w:hAnsi="Arial" w:cs="Arial"/>
              <w:b/>
              <w:bCs/>
            </w:rPr>
            <w:fldChar w:fldCharType="separate"/>
          </w:r>
          <w:r>
            <w:rPr>
              <w:rFonts w:ascii="Arial" w:hAnsi="Arial" w:cs="Arial"/>
              <w:b/>
              <w:bCs/>
            </w:rPr>
            <w:t>54</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"_Toc159852152" </w:instrText>
          </w:r>
          <w:r>
            <w:fldChar w:fldCharType="separate"/>
          </w:r>
          <w:r>
            <w:rPr>
              <w:rStyle w:val="22"/>
              <w:rFonts w:ascii="Arial" w:hAnsi="Arial" w:cs="Arial"/>
              <w:b/>
              <w:bCs/>
              <w:lang w:val="en-US"/>
            </w:rPr>
            <w:t>4.7</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en-US"/>
            </w:rPr>
            <w:t>Comparison With Existing Literature</w:t>
          </w:r>
          <w:r>
            <w:rPr>
              <w:rFonts w:ascii="Arial" w:hAnsi="Arial" w:cs="Arial"/>
              <w:b/>
              <w:bCs/>
            </w:rPr>
            <w:tab/>
          </w:r>
          <w:r>
            <w:rPr>
              <w:rFonts w:ascii="Arial" w:hAnsi="Arial" w:cs="Arial"/>
              <w:b/>
              <w:bCs/>
            </w:rPr>
            <w:fldChar w:fldCharType="begin"/>
          </w:r>
          <w:r>
            <w:rPr>
              <w:rFonts w:ascii="Arial" w:hAnsi="Arial" w:cs="Arial"/>
              <w:b/>
              <w:bCs/>
            </w:rPr>
            <w:instrText xml:space="preserve"> PAGEREF _Toc159852152 \h </w:instrText>
          </w:r>
          <w:r>
            <w:rPr>
              <w:rFonts w:ascii="Arial" w:hAnsi="Arial" w:cs="Arial"/>
              <w:b/>
              <w:bCs/>
            </w:rPr>
            <w:fldChar w:fldCharType="separate"/>
          </w:r>
          <w:r>
            <w:rPr>
              <w:rFonts w:ascii="Arial" w:hAnsi="Arial" w:cs="Arial"/>
              <w:b/>
              <w:bCs/>
            </w:rPr>
            <w:t>55</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"_Toc159852153" </w:instrText>
          </w:r>
          <w:r>
            <w:fldChar w:fldCharType="separate"/>
          </w:r>
          <w:r>
            <w:rPr>
              <w:rStyle w:val="22"/>
              <w:rFonts w:ascii="Arial" w:hAnsi="Arial" w:cs="Arial"/>
              <w:b/>
              <w:bCs/>
              <w:lang w:val="en-US"/>
            </w:rPr>
            <w:t>4.8</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en-US"/>
            </w:rPr>
            <w:t>Review of the study’s Expectations</w:t>
          </w:r>
          <w:r>
            <w:rPr>
              <w:rFonts w:ascii="Arial" w:hAnsi="Arial" w:cs="Arial"/>
              <w:b/>
              <w:bCs/>
            </w:rPr>
            <w:tab/>
          </w:r>
          <w:r>
            <w:rPr>
              <w:rFonts w:ascii="Arial" w:hAnsi="Arial" w:cs="Arial"/>
              <w:b/>
              <w:bCs/>
            </w:rPr>
            <w:fldChar w:fldCharType="begin"/>
          </w:r>
          <w:r>
            <w:rPr>
              <w:rFonts w:ascii="Arial" w:hAnsi="Arial" w:cs="Arial"/>
              <w:b/>
              <w:bCs/>
            </w:rPr>
            <w:instrText xml:space="preserve"> PAGEREF _Toc159852153 \h </w:instrText>
          </w:r>
          <w:r>
            <w:rPr>
              <w:rFonts w:ascii="Arial" w:hAnsi="Arial" w:cs="Arial"/>
              <w:b/>
              <w:bCs/>
            </w:rPr>
            <w:fldChar w:fldCharType="separate"/>
          </w:r>
          <w:r>
            <w:rPr>
              <w:rFonts w:ascii="Arial" w:hAnsi="Arial" w:cs="Arial"/>
              <w:b/>
              <w:bCs/>
            </w:rPr>
            <w:t>57</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Arial" w:hAnsi="Arial" w:cs="Arial" w:eastAsiaTheme="minorEastAsia"/>
              <w:b/>
              <w:bCs/>
              <w:kern w:val="2"/>
              <w:sz w:val="22"/>
              <w:szCs w:val="22"/>
              <w:lang w:val="zh-CN" w:eastAsia="zh-CN"/>
              <w14:ligatures w14:val="standardContextual"/>
            </w:rPr>
          </w:pPr>
          <w:r>
            <w:fldChar w:fldCharType="begin"/>
          </w:r>
          <w:r>
            <w:instrText xml:space="preserve"> HYPERLINK \l "_Toc159852154" </w:instrText>
          </w:r>
          <w:r>
            <w:fldChar w:fldCharType="separate"/>
          </w:r>
          <w:r>
            <w:rPr>
              <w:rStyle w:val="22"/>
              <w:rFonts w:ascii="Arial" w:hAnsi="Arial" w:cs="Arial"/>
              <w:b/>
              <w:bCs/>
              <w:lang w:val="en-US"/>
            </w:rPr>
            <w:t>4.9</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en-US"/>
            </w:rPr>
            <w:t>Validation And Reliability</w:t>
          </w:r>
          <w:r>
            <w:rPr>
              <w:rFonts w:ascii="Arial" w:hAnsi="Arial" w:cs="Arial"/>
              <w:b/>
              <w:bCs/>
            </w:rPr>
            <w:tab/>
          </w:r>
          <w:r>
            <w:rPr>
              <w:rFonts w:ascii="Arial" w:hAnsi="Arial" w:cs="Arial"/>
              <w:b/>
              <w:bCs/>
            </w:rPr>
            <w:fldChar w:fldCharType="begin"/>
          </w:r>
          <w:r>
            <w:rPr>
              <w:rFonts w:ascii="Arial" w:hAnsi="Arial" w:cs="Arial"/>
              <w:b/>
              <w:bCs/>
            </w:rPr>
            <w:instrText xml:space="preserve"> PAGEREF _Toc159852154 \h </w:instrText>
          </w:r>
          <w:r>
            <w:rPr>
              <w:rFonts w:ascii="Arial" w:hAnsi="Arial" w:cs="Arial"/>
              <w:b/>
              <w:bCs/>
            </w:rPr>
            <w:fldChar w:fldCharType="separate"/>
          </w:r>
          <w:r>
            <w:rPr>
              <w:rFonts w:ascii="Arial" w:hAnsi="Arial" w:cs="Arial"/>
              <w:b/>
              <w:bCs/>
            </w:rPr>
            <w:t>58</w:t>
          </w:r>
          <w:r>
            <w:rPr>
              <w:rFonts w:ascii="Arial" w:hAnsi="Arial" w:cs="Arial"/>
              <w:b/>
              <w:bCs/>
            </w:rPr>
            <w:fldChar w:fldCharType="end"/>
          </w:r>
          <w:r>
            <w:rPr>
              <w:rFonts w:ascii="Arial" w:hAnsi="Arial" w:cs="Arial"/>
              <w:b/>
              <w:bCs/>
            </w:rPr>
            <w:fldChar w:fldCharType="end"/>
          </w:r>
        </w:p>
        <w:p>
          <w:pPr>
            <w:pStyle w:val="16"/>
            <w:tabs>
              <w:tab w:val="left" w:pos="154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"_Toc159852155" </w:instrText>
          </w:r>
          <w:r>
            <w:fldChar w:fldCharType="separate"/>
          </w:r>
          <w:r>
            <w:rPr>
              <w:rStyle w:val="22"/>
              <w:rFonts w:ascii="Arial" w:hAnsi="Arial" w:cs="Arial"/>
              <w:b/>
              <w:bCs/>
              <w:lang w:val="en-US"/>
            </w:rPr>
            <w:t>4.10</w:t>
          </w:r>
          <w:r>
            <w:rPr>
              <w:rFonts w:ascii="Arial" w:hAnsi="Arial" w:cs="Arial" w:eastAsiaTheme="minorEastAsia"/>
              <w:b/>
              <w:bCs/>
              <w:kern w:val="2"/>
              <w:sz w:val="22"/>
              <w:szCs w:val="22"/>
              <w:lang w:val="zh-CN" w:eastAsia="zh-CN"/>
              <w14:ligatures w14:val="standardContextual"/>
            </w:rPr>
            <w:tab/>
          </w:r>
          <w:r>
            <w:rPr>
              <w:rStyle w:val="22"/>
              <w:rFonts w:ascii="Arial" w:hAnsi="Arial" w:cs="Arial"/>
              <w:b/>
              <w:bCs/>
              <w:lang w:val="en-US"/>
            </w:rPr>
            <w:t>Conclusion</w:t>
          </w:r>
          <w:r>
            <w:rPr>
              <w:rFonts w:ascii="Arial" w:hAnsi="Arial" w:cs="Arial"/>
              <w:b/>
              <w:bCs/>
            </w:rPr>
            <w:tab/>
          </w:r>
          <w:r>
            <w:rPr>
              <w:rFonts w:ascii="Arial" w:hAnsi="Arial" w:cs="Arial"/>
              <w:b/>
              <w:bCs/>
            </w:rPr>
            <w:fldChar w:fldCharType="begin"/>
          </w:r>
          <w:r>
            <w:rPr>
              <w:rFonts w:ascii="Arial" w:hAnsi="Arial" w:cs="Arial"/>
              <w:b/>
              <w:bCs/>
            </w:rPr>
            <w:instrText xml:space="preserve"> PAGEREF _Toc159852155 \h </w:instrText>
          </w:r>
          <w:r>
            <w:rPr>
              <w:rFonts w:ascii="Arial" w:hAnsi="Arial" w:cs="Arial"/>
              <w:b/>
              <w:bCs/>
            </w:rPr>
            <w:fldChar w:fldCharType="separate"/>
          </w:r>
          <w:r>
            <w:rPr>
              <w:rFonts w:ascii="Arial" w:hAnsi="Arial" w:cs="Arial"/>
              <w:b/>
              <w:bCs/>
            </w:rPr>
            <w:t>60</w:t>
          </w:r>
          <w:r>
            <w:rPr>
              <w:rFonts w:ascii="Arial" w:hAnsi="Arial" w:cs="Arial"/>
              <w:b/>
              <w:bCs/>
            </w:rPr>
            <w:fldChar w:fldCharType="end"/>
          </w:r>
          <w:r>
            <w:rPr>
              <w:rFonts w:ascii="Arial" w:hAnsi="Arial" w:cs="Arial"/>
              <w:b/>
              <w:bCs/>
            </w:rPr>
            <w:fldChar w:fldCharType="end"/>
          </w:r>
        </w:p>
        <w:p>
          <w:pPr>
            <w:pStyle w:val="15"/>
            <w:tabs>
              <w:tab w:val="left" w:pos="1100"/>
              <w:tab w:val="right" w:leader="dot" w:pos="9016"/>
            </w:tabs>
            <w:rPr>
              <w:rFonts w:asciiTheme="minorHAnsi" w:hAnsiTheme="minorHAnsi" w:eastAsiaTheme="minorEastAsia" w:cstheme="minorBidi"/>
              <w:kern w:val="2"/>
              <w:sz w:val="22"/>
              <w:szCs w:val="22"/>
              <w:lang w:val="zh-CN" w:eastAsia="zh-CN"/>
              <w14:ligatures w14:val="standardContextual"/>
            </w:rPr>
          </w:pPr>
          <w:r>
            <w:fldChar w:fldCharType="begin"/>
          </w:r>
          <w:r>
            <w:instrText xml:space="preserve"> HYPERLINK \l "_Toc159852156" </w:instrText>
          </w:r>
          <w:r>
            <w:fldChar w:fldCharType="separate"/>
          </w:r>
          <w:r>
            <w:rPr>
              <w:rStyle w:val="22"/>
              <w:rFonts w:ascii="Arial" w:hAnsi="Arial" w:eastAsia="Yu Gothic Light" w:cs="Arial"/>
              <w:b/>
              <w:lang w:val="en-US"/>
            </w:rPr>
            <w:t>5</w:t>
          </w:r>
          <w:r>
            <w:rPr>
              <w:rFonts w:asciiTheme="minorHAnsi" w:hAnsiTheme="minorHAnsi" w:eastAsiaTheme="minorEastAsia" w:cstheme="minorBidi"/>
              <w:kern w:val="2"/>
              <w:sz w:val="22"/>
              <w:szCs w:val="22"/>
              <w:lang w:val="zh-CN" w:eastAsia="zh-CN"/>
              <w14:ligatures w14:val="standardContextual"/>
            </w:rPr>
            <w:tab/>
          </w:r>
          <w:r>
            <w:rPr>
              <w:rStyle w:val="22"/>
              <w:rFonts w:ascii="Arial" w:hAnsi="Arial" w:eastAsia="Yu Gothic Light" w:cs="Arial"/>
              <w:b/>
              <w:lang w:val="en-US"/>
            </w:rPr>
            <w:t>. References</w:t>
          </w:r>
          <w:r>
            <w:tab/>
          </w:r>
          <w:r>
            <w:fldChar w:fldCharType="begin"/>
          </w:r>
          <w:r>
            <w:instrText xml:space="preserve"> PAGEREF _Toc159852156 \h </w:instrText>
          </w:r>
          <w:r>
            <w:fldChar w:fldCharType="separate"/>
          </w:r>
          <w:r>
            <w:t>62</w:t>
          </w:r>
          <w:r>
            <w:fldChar w:fldCharType="end"/>
          </w:r>
          <w:r>
            <w:fldChar w:fldCharType="end"/>
          </w:r>
        </w:p>
        <w:p>
          <w:pPr>
            <w:spacing w:line="360" w:lineRule="auto"/>
            <w:ind w:firstLine="0"/>
            <w:rPr>
              <w:rFonts w:ascii="Arial" w:hAnsi="Arial" w:cs="Arial"/>
            </w:rPr>
          </w:pPr>
          <w:r>
            <w:rPr>
              <w:rFonts w:ascii="Arial" w:hAnsi="Arial" w:cs="Arial"/>
              <w:b/>
              <w:bCs/>
            </w:rPr>
            <w:fldChar w:fldCharType="end"/>
          </w:r>
        </w:p>
      </w:sdtContent>
    </w:sdt>
    <w:p/>
    <w:p/>
    <w:p/>
    <w:p/>
    <w:p/>
    <w:p/>
    <w:p/>
    <w:p/>
    <w:p/>
    <w:p/>
    <w:p/>
    <w:p/>
    <w:p>
      <w:pPr>
        <w:pStyle w:val="2"/>
        <w:numPr>
          <w:ilvl w:val="0"/>
          <w:numId w:val="0"/>
        </w:numPr>
        <w:ind w:left="432"/>
      </w:pPr>
      <w:bookmarkStart w:id="2" w:name="_Toc159852102"/>
      <w:r>
        <w:t>Acronym</w:t>
      </w:r>
      <w:bookmarkEnd w:id="2"/>
    </w:p>
    <w:p>
      <w:pPr>
        <w:ind w:firstLine="0"/>
      </w:pPr>
      <w:r>
        <w:t>EDMT: Educational Decision-Making Theory and the Double Reduction Policy: A Comprehensive Analysis</w:t>
      </w:r>
    </w:p>
    <w:p>
      <w:pPr>
        <w:ind w:firstLine="0"/>
      </w:pPr>
    </w:p>
    <w:p/>
    <w:p/>
    <w:p/>
    <w:p/>
    <w:p/>
    <w:p/>
    <w:p>
      <w:pPr>
        <w:ind w:firstLine="0"/>
      </w:pPr>
    </w:p>
    <w:p>
      <w:pPr>
        <w:pStyle w:val="2"/>
      </w:pPr>
      <w:bookmarkStart w:id="3" w:name="_Toc159852103"/>
      <w:r>
        <w:t>Introduction</w:t>
      </w:r>
      <w:bookmarkEnd w:id="3"/>
      <w:r>
        <w:t xml:space="preserve"> </w:t>
      </w:r>
    </w:p>
    <w:p>
      <w:pPr>
        <w:ind w:firstLine="0"/>
        <w:rPr>
          <w:rFonts w:ascii="Arial" w:hAnsi="Arial" w:cs="Arial"/>
        </w:rPr>
      </w:pPr>
      <w:r>
        <w:rPr>
          <w:rFonts w:ascii="Arial" w:hAnsi="Arial" w:cs="Arial"/>
        </w:rPr>
        <w:t>The Chinese government's implementation of the “Double Reduction Policy” has attracted wide attention due to its huge impact on the education environment in China. This policy is a full-fledged attempt to deal with the overwhelming academic load and stress that students encounter. It primarily concentrates on two key aspects: by reducing the amount of homework given and easing the stress of examinations.</w:t>
      </w:r>
    </w:p>
    <w:p>
      <w:pPr>
        <w:ind w:firstLine="0"/>
        <w:rPr>
          <w:rFonts w:ascii="Arial" w:hAnsi="Arial" w:cs="Arial"/>
        </w:rPr>
      </w:pPr>
      <w:r>
        <w:rPr>
          <w:rFonts w:ascii="Arial" w:hAnsi="Arial" w:cs="Arial"/>
        </w:rPr>
        <w:t>As far as organizational level is concerned, the policy has led to reassessment of the curricula and approaches of pedagogy used by educational institutions including both primary and university educational cent</w:t>
      </w:r>
      <w:r>
        <w:rPr>
          <w:rFonts w:hint="eastAsia" w:ascii="Arial" w:hAnsi="Arial" w:cs="Arial"/>
          <w:lang w:val="en-US" w:eastAsia="zh-CN"/>
        </w:rPr>
        <w:t>er</w:t>
      </w:r>
      <w:r>
        <w:rPr>
          <w:rFonts w:ascii="Arial" w:hAnsi="Arial" w:cs="Arial"/>
        </w:rPr>
        <w:t>s. Educational institutions have the mandate to lower the amount of homework to students while implementing changes to the examinations to decrease their intensity by a significant margin. The implication of all these results is therefore a sweeping restructuring of the educational system that places the overall holistic development of students first and not merely an unrelenting pursuit of academic success. This transformation signals a shift away from a focused approach that solely emphasizes examination results to a more holistic approach that takes into account individual development and well-being.</w:t>
      </w:r>
    </w:p>
    <w:p>
      <w:pPr>
        <w:ind w:firstLine="0"/>
        <w:rPr>
          <w:rFonts w:ascii="Arial" w:hAnsi="Arial" w:cs="Arial"/>
        </w:rPr>
      </w:pPr>
      <w:r>
        <w:rPr>
          <w:rFonts w:ascii="Arial" w:hAnsi="Arial" w:cs="Arial"/>
        </w:rPr>
        <w:t>However, the implications outside the limits of educational institutions. Tutoring companies that offer test preparation services have seen a significant drop in demand. The implementation of the policy has had a negative effect on the demand for additional education and services by students which in turn impact the business environment. As a result, people have to adapt to the changing educational environment and override their service of delivery.</w:t>
      </w:r>
    </w:p>
    <w:p>
      <w:pPr>
        <w:ind w:firstLine="0"/>
        <w:rPr>
          <w:rFonts w:ascii="Arial" w:hAnsi="Arial" w:cs="Arial"/>
        </w:rPr>
      </w:pPr>
      <w:r>
        <w:rPr>
          <w:rFonts w:ascii="Arial" w:hAnsi="Arial" w:cs="Arial"/>
        </w:rPr>
        <w:t>In terms of individual level, students are experiencing a paradigm shift in their educational encounters. With a decrease in homework assignments and a relaxed exam environment, people have more chances to participate in extracurricular activities and devote time to personal development. This transition has the ability to ameliorate stress levels and to optimize positive well-being, thus creating a fairer and more diverse path of personal development.</w:t>
      </w:r>
    </w:p>
    <w:p>
      <w:pPr>
        <w:ind w:firstLine="0"/>
        <w:rPr>
          <w:rFonts w:ascii="Arial" w:hAnsi="Arial" w:cs="Arial"/>
        </w:rPr>
      </w:pPr>
      <w:r>
        <w:rPr>
          <w:rFonts w:ascii="Arial" w:hAnsi="Arial" w:cs="Arial"/>
        </w:rPr>
        <w:t>Additionally, parents are encountering the challenge of manoeuvring the dynamic educational landscape while trying to adapt to the ever-changing educational system. The conventional ideals of pursuit of academic excellence will be replaced with a more comprehensive approach of raising and educating children, which requires the parents to reach a perfect balance between scholastic and personal achievements.</w:t>
      </w:r>
    </w:p>
    <w:p>
      <w:pPr>
        <w:ind w:firstLine="0"/>
        <w:rPr>
          <w:rFonts w:ascii="Arial" w:hAnsi="Arial" w:cs="Arial"/>
        </w:rPr>
      </w:pPr>
      <w:r>
        <w:rPr>
          <w:rFonts w:ascii="Arial" w:hAnsi="Arial" w:cs="Arial"/>
        </w:rPr>
        <w:t>The double reduction policy research is of major importance due to varied reasons. The evaluation assesses the implementation of the policy in addressing academic pressure, improving the system’s holistic quality, and establishing a fair educational approach. Furthermore, it offers beneficial vistas into the social, cultural, economic, and business manifestations of these changes within Chinese society. Besides, this article is of paramount importance in enhancing the understanding of student welfare and mental health, which are the issues of concern in all societies world over.</w:t>
      </w:r>
    </w:p>
    <w:p>
      <w:pPr>
        <w:ind w:firstLine="0"/>
        <w:rPr>
          <w:rFonts w:ascii="Arial" w:hAnsi="Arial" w:cs="Arial"/>
        </w:rPr>
      </w:pPr>
    </w:p>
    <w:p>
      <w:pPr>
        <w:pStyle w:val="3"/>
      </w:pPr>
      <w:bookmarkStart w:id="4" w:name="_Toc159852104"/>
      <w:r>
        <w:t>Purpose of Research Activity</w:t>
      </w:r>
      <w:bookmarkEnd w:id="4"/>
    </w:p>
    <w:p>
      <w:pPr>
        <w:ind w:firstLine="0"/>
        <w:rPr>
          <w:rFonts w:ascii="Arial" w:hAnsi="Arial" w:cs="Arial"/>
        </w:rPr>
      </w:pPr>
      <w:r>
        <w:rPr>
          <w:rFonts w:ascii="Arial" w:hAnsi="Arial" w:cs="Arial"/>
        </w:rPr>
        <w:t>The main aim of this study is to find out how the dual reduction policy influences Chinese students’ decision of studying abroad, returning home, or migrating to another country to further their education.</w:t>
      </w:r>
    </w:p>
    <w:p>
      <w:pPr>
        <w:pStyle w:val="4"/>
      </w:pPr>
      <w:bookmarkStart w:id="5" w:name="_Toc159852105"/>
      <w:r>
        <w:t>Research Question</w:t>
      </w:r>
      <w:bookmarkEnd w:id="5"/>
    </w:p>
    <w:p>
      <w:pPr>
        <w:ind w:firstLine="0"/>
        <w:rPr>
          <w:rFonts w:ascii="Arial" w:hAnsi="Arial" w:cs="Arial"/>
        </w:rPr>
      </w:pPr>
      <w:r>
        <w:rPr>
          <w:rFonts w:ascii="Arial" w:hAnsi="Arial" w:cs="Arial"/>
        </w:rPr>
        <w:t>How does the implementation and reform of the Dual Reduction Policy to reduce the tension between being educated versus being employed in China affect the education choices of Chinese teenagers, especially for them studying abroad, to return to China for work, or to migrate for further education?</w:t>
      </w:r>
    </w:p>
    <w:p>
      <w:pPr>
        <w:pStyle w:val="4"/>
      </w:pPr>
      <w:bookmarkStart w:id="6" w:name="_Toc159852106"/>
      <w:r>
        <w:t>Aims of Research Activity</w:t>
      </w:r>
      <w:bookmarkEnd w:id="6"/>
    </w:p>
    <w:p>
      <w:pPr>
        <w:ind w:firstLine="0"/>
        <w:rPr>
          <w:rFonts w:ascii="Arial" w:hAnsi="Arial" w:cs="Arial"/>
        </w:rPr>
      </w:pPr>
      <w:r>
        <w:rPr>
          <w:rFonts w:ascii="Arial" w:hAnsi="Arial" w:cs="Arial"/>
        </w:rPr>
        <w:t>1.To depict the development of China’s Dual Reduction Policy in history since it was implemented, highlighting the significant changes and transformations of the policy.</w:t>
      </w:r>
    </w:p>
    <w:p>
      <w:pPr>
        <w:ind w:firstLine="0"/>
        <w:rPr>
          <w:rFonts w:ascii="Arial" w:hAnsi="Arial" w:cs="Arial"/>
        </w:rPr>
      </w:pPr>
      <w:r>
        <w:rPr>
          <w:rFonts w:ascii="Arial" w:hAnsi="Arial" w:cs="Arial"/>
        </w:rPr>
        <w:t>2.To measure the extent to which policy incentives, as part of the Dual Reduction Policy, influences the educational decisions of Chinese adolescents.</w:t>
      </w:r>
    </w:p>
    <w:p>
      <w:pPr>
        <w:ind w:firstLine="0"/>
        <w:rPr>
          <w:rFonts w:ascii="Arial" w:hAnsi="Arial" w:cs="Arial"/>
        </w:rPr>
      </w:pPr>
      <w:r>
        <w:rPr>
          <w:rFonts w:ascii="Arial" w:hAnsi="Arial" w:cs="Arial"/>
        </w:rPr>
        <w:t>3.To analyze how and why the Dual Reduction Plan influences the studying abroad intentions of Chinese secondary school students.</w:t>
      </w:r>
    </w:p>
    <w:p>
      <w:pPr>
        <w:pStyle w:val="4"/>
      </w:pPr>
      <w:bookmarkStart w:id="7" w:name="_Toc159852107"/>
      <w:r>
        <w:t>Objectives of Research Activity</w:t>
      </w:r>
      <w:bookmarkEnd w:id="7"/>
    </w:p>
    <w:p>
      <w:pPr>
        <w:ind w:firstLine="0"/>
        <w:rPr>
          <w:rFonts w:ascii="Arial" w:hAnsi="Arial" w:cs="Arial"/>
        </w:rPr>
      </w:pPr>
      <w:r>
        <w:rPr>
          <w:rFonts w:ascii="Arial" w:hAnsi="Arial" w:cs="Arial"/>
        </w:rPr>
        <w:t>To trace the evolution of the Dual Reduction Policy in China since its implementation, providing a historical perspective on the policy's development and changes over time, including its key features and modifications.</w:t>
      </w:r>
    </w:p>
    <w:p>
      <w:pPr>
        <w:ind w:firstLine="0"/>
        <w:rPr>
          <w:rFonts w:ascii="Arial" w:hAnsi="Arial" w:cs="Arial"/>
        </w:rPr>
      </w:pPr>
      <w:r>
        <w:rPr>
          <w:rFonts w:ascii="Arial" w:hAnsi="Arial" w:cs="Arial"/>
        </w:rPr>
        <w:t xml:space="preserve">To assess the extent to which policy incentives, as outlined in the Dual Reduction Policy, influence the educational choices of Chinese teenagers. </w:t>
      </w:r>
    </w:p>
    <w:p>
      <w:pPr>
        <w:ind w:firstLine="0"/>
        <w:rPr>
          <w:rFonts w:ascii="Arial" w:hAnsi="Arial" w:cs="Arial"/>
        </w:rPr>
      </w:pPr>
      <w:r>
        <w:rPr>
          <w:rFonts w:ascii="Arial" w:hAnsi="Arial" w:cs="Arial"/>
        </w:rPr>
        <w:t>To investigate how and why the Dual Reduction Policy affects the educational preferences of Chinese teenagers who aspire to study abroad.</w:t>
      </w:r>
    </w:p>
    <w:p>
      <w:pPr>
        <w:ind w:firstLine="0"/>
        <w:rPr>
          <w:rFonts w:ascii="Arial" w:hAnsi="Arial" w:cs="Arial"/>
        </w:rPr>
      </w:pPr>
    </w:p>
    <w:p>
      <w:pPr>
        <w:ind w:firstLine="0"/>
        <w:rPr>
          <w:rFonts w:ascii="Arial" w:hAnsi="Arial" w:cs="Arial"/>
        </w:rPr>
      </w:pPr>
    </w:p>
    <w:p>
      <w:pPr>
        <w:keepNext/>
        <w:keepLines/>
        <w:numPr>
          <w:ilvl w:val="0"/>
          <w:numId w:val="1"/>
        </w:numPr>
        <w:spacing w:before="240" w:after="0"/>
        <w:ind w:left="432"/>
        <w:jc w:val="center"/>
        <w:outlineLvl w:val="0"/>
        <w:rPr>
          <w:rFonts w:ascii="Arial" w:hAnsi="Arial" w:eastAsia="Yu Gothic Light"/>
          <w:b/>
          <w:color w:val="2F5496"/>
          <w:szCs w:val="32"/>
          <w:lang w:val="en-US"/>
        </w:rPr>
      </w:pPr>
      <w:bookmarkStart w:id="8" w:name="_Toc159852108"/>
      <w:r>
        <w:rPr>
          <w:rFonts w:ascii="Arial" w:hAnsi="Arial" w:eastAsia="Yu Gothic Light"/>
          <w:b/>
          <w:color w:val="2F5496"/>
          <w:szCs w:val="32"/>
          <w:lang w:val="en-US"/>
        </w:rPr>
        <w:t>Literature review</w:t>
      </w:r>
      <w:bookmarkEnd w:id="8"/>
    </w:p>
    <w:p>
      <w:pPr>
        <w:keepNext/>
        <w:keepLines/>
        <w:numPr>
          <w:ilvl w:val="1"/>
          <w:numId w:val="1"/>
        </w:numPr>
        <w:spacing w:before="40" w:after="0"/>
        <w:outlineLvl w:val="1"/>
        <w:rPr>
          <w:rFonts w:ascii="Arial" w:hAnsi="Arial" w:eastAsia="Yu Gothic Light"/>
          <w:b/>
          <w:sz w:val="26"/>
          <w:szCs w:val="26"/>
        </w:rPr>
      </w:pPr>
      <w:bookmarkStart w:id="9" w:name="_Toc157508415"/>
      <w:bookmarkEnd w:id="9"/>
      <w:bookmarkStart w:id="10" w:name="_Toc159852109"/>
      <w:r>
        <w:rPr>
          <w:rFonts w:ascii="Arial" w:hAnsi="Arial" w:eastAsia="Yu Gothic Light"/>
          <w:b/>
          <w:sz w:val="26"/>
          <w:szCs w:val="26"/>
        </w:rPr>
        <w:t>Introduction</w:t>
      </w:r>
      <w:bookmarkEnd w:id="10"/>
      <w:r>
        <w:rPr>
          <w:rFonts w:ascii="Arial" w:hAnsi="Arial" w:eastAsia="Yu Gothic Light"/>
          <w:b/>
          <w:sz w:val="26"/>
          <w:szCs w:val="26"/>
        </w:rPr>
        <w:t xml:space="preserve"> </w:t>
      </w:r>
    </w:p>
    <w:p>
      <w:pPr>
        <w:ind w:firstLine="0"/>
        <w:rPr>
          <w:rFonts w:ascii="Arial" w:hAnsi="Arial" w:cs="Arial"/>
        </w:rPr>
      </w:pPr>
      <w:r>
        <w:rPr>
          <w:rFonts w:ascii="Arial" w:hAnsi="Arial" w:cs="Arial"/>
        </w:rPr>
        <w:t>This chapter serves a dual purpose, firstly, to embed this study into the context of the academic discourse and secondly, to bridge existing research gaps pinpointing fundamental aspects that have been omitted. This research will allow for the uncanny scrutiny of the academic landscape and pinpoint the research gap which will be filled with meaningful contributions aiming at disciplines where currently existing knowledge may be incomplete or insufficient.</w:t>
      </w:r>
    </w:p>
    <w:p>
      <w:pPr>
        <w:keepNext/>
        <w:keepLines/>
        <w:numPr>
          <w:ilvl w:val="1"/>
          <w:numId w:val="1"/>
        </w:numPr>
        <w:spacing w:before="40" w:after="0"/>
        <w:outlineLvl w:val="1"/>
        <w:rPr>
          <w:rFonts w:ascii="Arial" w:hAnsi="Arial" w:eastAsia="Yu Gothic Light"/>
          <w:b/>
          <w:sz w:val="26"/>
          <w:szCs w:val="26"/>
        </w:rPr>
      </w:pPr>
      <w:bookmarkStart w:id="11" w:name="_Toc159852110"/>
      <w:bookmarkStart w:id="12" w:name="_Toc157508416"/>
      <w:r>
        <w:rPr>
          <w:rFonts w:ascii="Arial" w:hAnsi="Arial" w:eastAsia="Yu Gothic Light"/>
          <w:b/>
          <w:sz w:val="26"/>
          <w:szCs w:val="26"/>
        </w:rPr>
        <w:t>Overview of Double Reduction Policy</w:t>
      </w:r>
      <w:bookmarkEnd w:id="11"/>
      <w:r>
        <w:rPr>
          <w:rFonts w:ascii="Arial" w:hAnsi="Arial" w:eastAsia="Yu Gothic Light"/>
          <w:b/>
          <w:sz w:val="26"/>
          <w:szCs w:val="26"/>
        </w:rPr>
        <w:t xml:space="preserve"> </w:t>
      </w:r>
      <w:bookmarkEnd w:id="12"/>
    </w:p>
    <w:p>
      <w:pPr>
        <w:spacing w:line="360" w:lineRule="auto"/>
        <w:ind w:firstLine="0"/>
        <w:rPr>
          <w:rFonts w:ascii="Arial" w:hAnsi="Arial" w:cs="Arial"/>
        </w:rPr>
      </w:pPr>
      <w:r>
        <w:rPr>
          <w:rFonts w:ascii="Arial" w:hAnsi="Arial" w:cs="Arial"/>
        </w:rPr>
        <w:t>The Chinese government’s Double Reduction Policy implemented over the past several years is an instance arising from increased concerns about academic burden in China ‘education system (Qian et al., 2023; She et al., 2017). This policy as proposed equals a radical departure from the previous methods of study organization because it takes into account that pupils face numerous obstacles to studying and strives to solve them all (Mikesell, 2021).</w:t>
      </w:r>
    </w:p>
    <w:p>
      <w:pPr>
        <w:spacing w:line="360" w:lineRule="auto"/>
        <w:ind w:firstLine="0"/>
        <w:rPr>
          <w:rFonts w:ascii="Arial" w:hAnsi="Arial" w:cs="Arial"/>
        </w:rPr>
      </w:pPr>
      <w:r>
        <w:rPr>
          <w:rFonts w:ascii="Arial" w:hAnsi="Arial" w:cs="Arial"/>
        </w:rPr>
        <w:t xml:space="preserve">The Double Reduction Policy aims at re-balancing of the educational landscape in reaction to overemphasis on academic achievement and a student burdened with stress. The logic of this argument rests on the recognition that excessive stress placed upon scholastic achievement may compromise students 'mental health or hinder their overall sense of well-being. According to Wang et al., (2016), Academic pressure has been a constant in the Chinese school system throughout history. As noted by Wang et al. (2022), this policy allows that the stringent academic stress imposed on the students creates immense exhaustion, fear and a narrow competition for an extra grade merely at the cost of the overall growth. It demands the significance of the policy whose purpose is to supply an education that is vocational. According to Shafiyeva (2021) research, the government believes that by reducing academic pressure, this could promote creativity and critical thinking among students, as well as stimulate a more comprehensive growth cycle. </w:t>
      </w:r>
    </w:p>
    <w:p>
      <w:pPr>
        <w:spacing w:line="360" w:lineRule="auto"/>
        <w:ind w:firstLine="0"/>
        <w:rPr>
          <w:rFonts w:ascii="Arial" w:hAnsi="Arial" w:cs="Arial"/>
        </w:rPr>
      </w:pPr>
      <w:r>
        <w:rPr>
          <w:rFonts w:ascii="Arial" w:hAnsi="Arial" w:cs="Arial"/>
        </w:rPr>
        <w:t xml:space="preserve">The shared purpose of both </w:t>
      </w:r>
      <w:bookmarkStart w:id="13" w:name="_Hlk159717791"/>
      <w:r>
        <w:rPr>
          <w:rFonts w:ascii="Arial" w:hAnsi="Arial" w:cs="Arial"/>
        </w:rPr>
        <w:t xml:space="preserve">Qian et al. (2023) </w:t>
      </w:r>
      <w:bookmarkEnd w:id="13"/>
      <w:r>
        <w:rPr>
          <w:rFonts w:ascii="Arial" w:hAnsi="Arial" w:cs="Arial"/>
        </w:rPr>
        <w:t>and Sheet et al. (2022) is to have a twofold outcome; firstly, the decrease of the academic load and secondly, the restructuring of the Chinese education system. It stresses the importance of critical analysis by using the comparing and contrasting technique, identifying nuanced difference by, and synthesizing commonality. In addition, the summary emphasizes the necessity to also acknowledge what is strong and what is lacking in one's own personal opinion while presenting it which contributes a lot to a more diverse discussion on the given overall theme of education reform in China.</w:t>
      </w:r>
    </w:p>
    <w:p>
      <w:pPr>
        <w:spacing w:line="360" w:lineRule="auto"/>
        <w:ind w:firstLine="0"/>
        <w:rPr>
          <w:rFonts w:ascii="Arial" w:hAnsi="Arial" w:cs="Arial"/>
        </w:rPr>
      </w:pPr>
      <w:r>
        <w:rPr>
          <w:rFonts w:ascii="Arial" w:hAnsi="Arial" w:cs="Arial"/>
        </w:rPr>
        <w:t>The reduction of homework is one aspect that the Double Reduction Policy emphasizes</w:t>
      </w:r>
      <w:r>
        <w:t xml:space="preserve"> (</w:t>
      </w:r>
      <w:r>
        <w:rPr>
          <w:rFonts w:ascii="Arial" w:hAnsi="Arial" w:cs="Arial"/>
        </w:rPr>
        <w:t>Qian et al., 2023). For Chinese students, the workload has traditionally been large. From primary school up to universities, homework could take up to several hours a day to complete (Zheng, 2022). Qian et al., (2023) on the policy indicates that this strategy is meant to find a compromise by cutting the amount of assigned homework, providing students greater time for extracurricular activities, and promoting work-life balance. In an attempt to promote a more holistic and balanced learning environment, this policy has been developed with the main goal of relieving the students of the pressure of schoolwork. Acknowledging the need for cultivating not only academic talent but also the individuality of the student body, this policy is aimed at granting them more time for their personal interests and self-development.</w:t>
      </w:r>
    </w:p>
    <w:p>
      <w:pPr>
        <w:spacing w:line="360" w:lineRule="auto"/>
        <w:ind w:firstLine="0"/>
        <w:rPr>
          <w:rFonts w:ascii="Arial" w:hAnsi="Arial" w:cs="Arial"/>
        </w:rPr>
      </w:pPr>
      <w:r>
        <w:rPr>
          <w:rFonts w:ascii="Arial" w:hAnsi="Arial" w:cs="Arial"/>
        </w:rPr>
        <w:t>The Double Reduction Policy emphasizes the reform of the examination in the Chinese education system, as indicated in the 2022 study of Wang et al. This shift in paradigm results from the knowledge that the conventional testing methods have limitations and negate the outcomes that come from stress due to tests. Wang et al. (2022) have widely described the various forms of test anxiety among the students, showing ominous outcomes such as crying, physical disorders, and cheating during tests. These results highlight the importance of reassessing the examination procedures, which not only assess the academic performance but also emphasize the psychological and emotional well-being of the children.</w:t>
      </w:r>
    </w:p>
    <w:p>
      <w:pPr>
        <w:spacing w:line="360" w:lineRule="auto"/>
        <w:ind w:firstLine="0"/>
        <w:rPr>
          <w:rFonts w:ascii="Arial" w:hAnsi="Arial" w:cs="Arial"/>
        </w:rPr>
      </w:pPr>
      <w:r>
        <w:rPr>
          <w:rFonts w:ascii="Arial" w:hAnsi="Arial" w:cs="Arial"/>
        </w:rPr>
        <w:t>Examinations have now become one important trigger contributing to academic anxiety</w:t>
      </w:r>
      <w:r>
        <w:t xml:space="preserve"> </w:t>
      </w:r>
      <w:r>
        <w:rPr>
          <w:rFonts w:ascii="Arial" w:hAnsi="Arial" w:cs="Arial"/>
        </w:rPr>
        <w:t>(Shafiyeva, 2021). This policy has the potential to transform education, changing focus from rote memorization of facts towards developing critical thinking and problem-solving skills (Zhong &amp; Park 2023). The objective of the revision of the Double Reduction Policy is to tackle the problem as described in Wang et al.'s (2022) research, which is of great significance. The study is an attempt to see how both traditional methods of testing and increased anxiety caused by testing can explain the root of feelings of emotional distress, physical illness and cheating in academics among students. Through the reform of examination practices, the policy aims to create an environment void of the excessive stress that allows the students to demonstrate their knowledge and analytical skills.</w:t>
      </w:r>
    </w:p>
    <w:p>
      <w:pPr>
        <w:keepNext/>
        <w:keepLines/>
        <w:numPr>
          <w:ilvl w:val="1"/>
          <w:numId w:val="1"/>
        </w:numPr>
        <w:spacing w:before="40" w:after="0" w:line="360" w:lineRule="auto"/>
        <w:outlineLvl w:val="1"/>
        <w:rPr>
          <w:rFonts w:ascii="Arial" w:hAnsi="Arial" w:eastAsia="Yu Gothic Light" w:cs="Arial"/>
          <w:b/>
        </w:rPr>
      </w:pPr>
      <w:bookmarkStart w:id="14" w:name="_Toc157508417"/>
      <w:bookmarkEnd w:id="14"/>
      <w:bookmarkStart w:id="15" w:name="_Toc159852111"/>
      <w:r>
        <w:rPr>
          <w:rFonts w:ascii="Arial" w:hAnsi="Arial" w:eastAsia="Yu Gothic Light" w:cs="Arial"/>
          <w:b/>
        </w:rPr>
        <w:t>Review of Existing Literature</w:t>
      </w:r>
      <w:bookmarkEnd w:id="15"/>
    </w:p>
    <w:p>
      <w:pPr>
        <w:pStyle w:val="4"/>
      </w:pPr>
      <w:bookmarkStart w:id="16" w:name="_Toc157508418"/>
      <w:bookmarkEnd w:id="16"/>
      <w:bookmarkStart w:id="17" w:name="_Toc159852112"/>
      <w:r>
        <w:t>Educational Institutions' Response</w:t>
      </w:r>
      <w:bookmarkEnd w:id="17"/>
      <w:r>
        <w:t xml:space="preserve"> </w:t>
      </w:r>
    </w:p>
    <w:p>
      <w:pPr>
        <w:spacing w:before="240" w:line="360" w:lineRule="auto"/>
        <w:ind w:firstLine="0"/>
        <w:rPr>
          <w:rFonts w:ascii="Arial" w:hAnsi="Arial" w:cs="Arial"/>
        </w:rPr>
      </w:pPr>
      <w:bookmarkStart w:id="18" w:name="_Hlk156979701"/>
      <w:bookmarkEnd w:id="18"/>
      <w:r>
        <w:rPr>
          <w:rFonts w:ascii="Arial" w:hAnsi="Arial" w:cs="Arial"/>
        </w:rPr>
        <w:t>In response to the Double Reduction Policy, educational institutions (Universities primary schools) at all levels moved in very active ways. Much writing presents how these institutions have adjusted their ways of operating in accordance with the policy's direction. Qian et al., (2023) say that in response to the Double Reduction Policy. According to the study by Shafiyeva (2021), there are definite shifts in the curriculum, moving toward a more balanced and diversified learning environment</w:t>
      </w:r>
      <w:r>
        <w:t xml:space="preserve">. </w:t>
      </w:r>
      <w:r>
        <w:rPr>
          <w:rFonts w:ascii="Arial" w:hAnsi="Arial" w:cs="Arial"/>
        </w:rPr>
        <w:t xml:space="preserve">Shafiyeva's results suggest a conscious shift towards a more balanced and diverse learning space. In this sense, criticality refers to the understanding that education is a very multidimensional phenomenon. </w:t>
      </w:r>
    </w:p>
    <w:p>
      <w:pPr>
        <w:spacing w:before="240" w:line="360" w:lineRule="auto"/>
        <w:ind w:firstLine="0"/>
        <w:rPr>
          <w:rFonts w:ascii="Arial" w:hAnsi="Arial" w:cs="Arial"/>
        </w:rPr>
      </w:pPr>
      <w:r>
        <w:rPr>
          <w:rFonts w:ascii="Arial" w:hAnsi="Arial" w:cs="Arial"/>
        </w:rPr>
        <w:t xml:space="preserve">In addition to Shafiyeva’s research, it is worth to make a conclusion on how this shift may impact the universal educational process due to a number of factors like interdisciplinary subjects, project-based learning, or vocational skills development. Besides, the large amount of difficult study materials, many diverse subjects and activities as extracurricular have been included to develop students' skills in all the areas. </w:t>
      </w:r>
      <w:r>
        <w:t xml:space="preserve"> </w:t>
      </w:r>
      <w:r>
        <w:rPr>
          <w:rFonts w:ascii="Arial" w:hAnsi="Arial" w:cs="Arial"/>
        </w:rPr>
        <w:t>Some scholars for example She et al. (2023) are of the opinion that less homework is a better choice for the curriculum, which gives the teachers the opportunity to adopt experiential and interactive teaching methods more often.</w:t>
      </w:r>
    </w:p>
    <w:p>
      <w:pPr>
        <w:spacing w:line="360" w:lineRule="auto"/>
        <w:ind w:firstLine="0"/>
        <w:rPr>
          <w:rFonts w:ascii="Arial" w:hAnsi="Arial" w:cs="Arial"/>
        </w:rPr>
      </w:pPr>
      <w:r>
        <w:rPr>
          <w:rFonts w:ascii="Arial" w:hAnsi="Arial" w:cs="Arial"/>
        </w:rPr>
        <w:t xml:space="preserve">As Zhong &amp; Park (2023) pointed out in their article that double reduction policy encourages educational institutions to focus on extensive development instead of limited academic achievement. Nevertheless, the battery of examinations indicates the policy has a wide range of perspectives on its effectiveness. Wang et al. (2022) greatly provide insight on the harmful nature of the traditional testing method, compared to She et al. (2023) who discuss its global implication on Chinese students in Europe. Economic consequences of Dai's (2023) approaches including on firm governance is examined. The combination of viewpoints sheds light on the complexity of the policy's impact in different spheres of society. Zhong &amp; Park (2023) just focused on the positive shift without seeing the nuances behind it, which points to the necessity of having a more complex understanding of the policy. </w:t>
      </w:r>
    </w:p>
    <w:p>
      <w:pPr>
        <w:spacing w:line="360" w:lineRule="auto"/>
        <w:ind w:firstLine="0"/>
        <w:rPr>
          <w:rFonts w:ascii="Arial" w:hAnsi="Arial" w:cs="Arial"/>
        </w:rPr>
      </w:pPr>
      <w:r>
        <w:rPr>
          <w:rFonts w:ascii="Arial" w:hAnsi="Arial" w:cs="Arial"/>
        </w:rPr>
        <w:t>This change implies a rising awareness of the need to develop well-balanced people beyond the regular academic measures and also represents a broader change in the values within the educational system. The policy pushes schools to consider the physical, emotional, and social health of all of their students as their top priority. In this respect, new courses are being established such that the core subjects are taught alongside critical thinking, creativity, and soft skills (Dai, 2023).</w:t>
      </w:r>
    </w:p>
    <w:p>
      <w:pPr>
        <w:spacing w:line="360" w:lineRule="auto"/>
        <w:ind w:firstLine="0"/>
        <w:rPr>
          <w:rFonts w:ascii="Arial" w:hAnsi="Arial" w:cs="Arial"/>
        </w:rPr>
      </w:pPr>
      <w:r>
        <w:rPr>
          <w:rFonts w:ascii="Arial" w:hAnsi="Arial" w:cs="Arial"/>
        </w:rPr>
        <w:t xml:space="preserve">Therefore, many scholarly studies have taken place in China to explore the effects of the policy enacted. As shown in the study by Zhong and Park (2023), the Double Reduction Policy has exerted a truly revolutionary impact on China's educational development which has necessitated the educational institutions to changing their curricular frameworks to conform to the aims of the policy. Therefore, the policy emphasizes the need for an integrative educational model that can address the needs and potential of students at all levels which is one of the requirements in DRP (Shafiyeva, 2021; Dai, 2023). </w:t>
      </w:r>
    </w:p>
    <w:p>
      <w:pPr>
        <w:keepNext/>
        <w:keepLines/>
        <w:numPr>
          <w:ilvl w:val="2"/>
          <w:numId w:val="1"/>
        </w:numPr>
        <w:spacing w:before="40" w:after="0" w:line="360" w:lineRule="auto"/>
        <w:outlineLvl w:val="2"/>
        <w:rPr>
          <w:rFonts w:ascii="Arial" w:hAnsi="Arial" w:eastAsia="Yu Gothic Light" w:cs="Arial"/>
          <w:b/>
          <w:i/>
          <w:color w:val="1F3763"/>
        </w:rPr>
      </w:pPr>
      <w:bookmarkStart w:id="19" w:name="_Toc157508419"/>
      <w:bookmarkEnd w:id="19"/>
      <w:bookmarkStart w:id="20" w:name="_Toc159852113"/>
      <w:r>
        <w:rPr>
          <w:rFonts w:ascii="Arial" w:hAnsi="Arial" w:eastAsia="Yu Gothic Light" w:cs="Arial"/>
          <w:b/>
          <w:i/>
          <w:color w:val="1F3763"/>
        </w:rPr>
        <w:t>Business Environment</w:t>
      </w:r>
      <w:bookmarkEnd w:id="20"/>
      <w:r>
        <w:rPr>
          <w:rFonts w:ascii="Arial" w:hAnsi="Arial" w:eastAsia="Yu Gothic Light" w:cs="Arial"/>
          <w:b/>
          <w:i/>
          <w:color w:val="1F3763"/>
        </w:rPr>
        <w:t xml:space="preserve"> </w:t>
      </w:r>
    </w:p>
    <w:p>
      <w:pPr>
        <w:spacing w:line="360" w:lineRule="auto"/>
        <w:ind w:firstLine="0"/>
        <w:rPr>
          <w:rFonts w:ascii="Arial" w:hAnsi="Arial" w:cs="Arial"/>
        </w:rPr>
      </w:pPr>
      <w:r>
        <w:rPr>
          <w:rFonts w:ascii="Arial" w:hAnsi="Arial" w:cs="Arial"/>
        </w:rPr>
        <w:t xml:space="preserve">China's Double Reduction Policy is posing particularly severe ripple effects on the business world, and educational services providers such as privately owned and operated schools and tutors (Private teachers) in particular are having a tough time. The development of online resources has been impressive, but the critical role of this policy have forced parents to sourcing private tutoring services. This policy will create an enhanced need for more support due to its focus on academic workload, which will result in parents provisioning for their children’s education. The motivation of academic success and the management of the transformation in education resulting out of the policy brought about a situation where families turned to private tutors as a complement to government education. </w:t>
      </w:r>
    </w:p>
    <w:p>
      <w:pPr>
        <w:spacing w:line="360" w:lineRule="auto"/>
        <w:ind w:firstLine="0"/>
        <w:rPr>
          <w:rFonts w:ascii="Arial" w:hAnsi="Arial" w:cs="Arial"/>
        </w:rPr>
      </w:pPr>
      <w:r>
        <w:rPr>
          <w:rFonts w:ascii="Arial" w:hAnsi="Arial" w:cs="Arial"/>
        </w:rPr>
        <w:t>Dai (2023) draws the attentions onto a subtle change in standardized test preparation trend after the implementation of the Double Reduction Policy. The shift is due to an increased requirement for these services, which could be regarded as a result of the policy meant to eliminate academic problems. Such a policy redefining educational priorities means the rise of the demand for standardized test preparation services that reflect a higher focus on achieving outstanding academic records within the altered educational ambience. Traditionally, tests that follow standardised format and are carried out under similar conditions and are often used in selection of best colleges often triggered the use of real live human tutor as means to manage academic stress. Nevertheless, the existing policy of Double Reduction meant to reduce academic stress make teaches students to see private tutoring as not effective anymore. This changing environment as such implies a paradigm shift in students' standardized tests preparation methods, linking broad transformations that the policy has brought about (Dai, 2023; She et al., 2023; Wang et al., 2022).</w:t>
      </w:r>
    </w:p>
    <w:p>
      <w:pPr>
        <w:spacing w:line="360" w:lineRule="auto"/>
        <w:ind w:firstLine="0"/>
        <w:rPr>
          <w:rFonts w:ascii="Arial" w:hAnsi="Arial" w:cs="Arial"/>
        </w:rPr>
      </w:pPr>
      <w:r>
        <w:rPr>
          <w:rFonts w:ascii="Arial" w:hAnsi="Arial" w:cs="Arial"/>
        </w:rPr>
        <w:t>The declining demand for standardized test preparation, as highlighted by She et al. (2023), signifies a substantial challenge for tutoring centers and private educators. This decline in demand is indicative of a shift from the consumer side, primarily students and their parents. The Double Reduction Policy, by aiming to reduce academic stress and reshape the education system, has likely influenced this trend. As the policy emphasizes holistic development and lessens the reliance on traditional academic metrics, there is a diminished perceived need for intensive standardized test preparation, impacting the demand for such services.</w:t>
      </w:r>
    </w:p>
    <w:p>
      <w:pPr>
        <w:spacing w:line="360" w:lineRule="auto"/>
        <w:ind w:firstLine="0"/>
        <w:rPr>
          <w:rFonts w:ascii="Arial" w:hAnsi="Arial" w:cs="Arial"/>
        </w:rPr>
      </w:pPr>
      <w:r>
        <w:rPr>
          <w:rFonts w:ascii="Arial" w:hAnsi="Arial" w:cs="Arial"/>
        </w:rPr>
        <w:t>As a result, the diminished focus on the tests, as proposed by the Double Reduction Policy, requires these experts to refocus their offerings and also adjust to the quickly altering landscape of education. Zhong et al. (2023) highlight the very complex nature of the challenge that all the professionals in the standardized test preparation field face. As the policy lessens the importance of exams, these educators have to negotiate the difficulties of aligning their services with the new educational model, requiring a thoughtful review of their own practices and also services. In light of the major changes brought about by the Double Reduction Policy, private school sectors and tutors have proven to be very flexible indeed, evolving to meet the changing demands and developmental needs of the educational environment. A clear tendency among the tutoring centres and the private educators emerged in the 2023 study by She et al., who conducted a thorough literature review. Following the declining demand to prepare for standardized tests shown by She et al. (2023), there has been a remarkable shift in tutoring centres and private educators. However, a literature review carried out by She et al. in 2023 that specifically looked at it was able to note a deliberate relocation of business models and revision of the scope of services by these professionals. A tradition of transformational nature is connected with the weakening of the demand because of the absence of the old methods of education which are exam -oriented from the point of view of the New Double Reduction Policy. A facial recognition system must be able to access a wide range of reference points, such as the nose, mouth, and eyes, to be able to identify an individual. This is an intentional measure, induced by the changes in the needs of students and the Double Reduction Policy performance objectives.</w:t>
      </w:r>
    </w:p>
    <w:p>
      <w:pPr>
        <w:spacing w:line="360" w:lineRule="auto"/>
        <w:ind w:firstLine="0"/>
        <w:rPr>
          <w:rFonts w:ascii="Arial" w:hAnsi="Arial" w:cs="Arial"/>
        </w:rPr>
      </w:pPr>
      <w:r>
        <w:rPr>
          <w:rFonts w:ascii="Arial" w:hAnsi="Arial" w:cs="Arial"/>
        </w:rPr>
        <w:t>In addition, Dai's research in 2023 reveals that business models are adjusting their strategies to meet the current needs of families with children and students. The advent of the modern era, in which there has been an openness to investigate beyond standard classroom teaching, leaves enrichment programs to fill the gap. Programs that are executed for the purpose of improving and nurturing youth’s creativity, critical thinking and soft skills are very unique. This has been demonstrated by Qian et al. (2023) as education level of those willing to invest in their education is considered a determinant whether they will remain standing when the educational scene is evolving. Enrichment programs include a wide selection of non-curricular educational activities and opportunities designed to complement the overall learning experience and promote development of skills at a higher level.</w:t>
      </w:r>
    </w:p>
    <w:p>
      <w:pPr>
        <w:spacing w:line="360" w:lineRule="auto"/>
        <w:ind w:firstLine="0"/>
        <w:rPr>
          <w:rFonts w:ascii="Arial" w:hAnsi="Arial" w:cs="Arial"/>
        </w:rPr>
      </w:pPr>
      <w:r>
        <w:rPr>
          <w:rFonts w:ascii="Arial" w:hAnsi="Arial" w:cs="Arial"/>
        </w:rPr>
        <w:t>Dai's (2023) study on the impact of the Double Reduction Policy on the academic environment also provides some useful pointers. The author examines the relationship between company principles and policy, and studies point to the need for educational service providers to change methods to fit this new educational paradigm. The mention of She et al.'s (2023) research in the previous sentence establishes a connection with the subsequent statement about educational service providers. The reference to She et al.'s study indicates a transition to a more in-depth exploration of how educational service providers are adapting. By conducting an analysis of the impact of the Double Reduction Policy on Chinese students in Europe, the research sheds light on the specific ways in which these providers are adjusting to meet the needs of students affected by the policy. This sequential flow links the broader understanding of educational changes to a specific examination of how service providers are responding in the context of the policy's influence on students.</w:t>
      </w:r>
    </w:p>
    <w:p>
      <w:pPr>
        <w:spacing w:line="360" w:lineRule="auto"/>
        <w:ind w:firstLine="0"/>
        <w:rPr>
          <w:rFonts w:ascii="Arial" w:hAnsi="Arial" w:cs="Arial"/>
        </w:rPr>
      </w:pPr>
      <w:r>
        <w:rPr>
          <w:rFonts w:ascii="Arial" w:hAnsi="Arial" w:cs="Arial"/>
        </w:rPr>
        <w:t>Basically, the educational service providers in China find themselves in the midst of a storm sweeping the business world. That stems from the emergence of the Double Reduction Policy, which has opened a new period of restructuring for the industry. Declining tutoring and snowballing problems An interest in providing tutoring services, combined with the essential necessity of adjustments in services and business theories, reflect the complex trials and opportunities that these providers must face in tackling the changing landscape of education. Being able to react quickly to changing circumstances is crucial for remaining relevant and enjoying long-term success. In particular, this is true in an era where the traditional emphasis on scholarly achievements is being re-evaluated in a big way.</w:t>
      </w:r>
    </w:p>
    <w:p>
      <w:pPr>
        <w:keepNext/>
        <w:keepLines/>
        <w:numPr>
          <w:ilvl w:val="2"/>
          <w:numId w:val="1"/>
        </w:numPr>
        <w:spacing w:before="40" w:after="0" w:line="360" w:lineRule="auto"/>
        <w:outlineLvl w:val="2"/>
        <w:rPr>
          <w:rFonts w:ascii="Arial" w:hAnsi="Arial" w:eastAsia="Yu Gothic Light" w:cs="Arial"/>
          <w:b/>
          <w:i/>
          <w:color w:val="1F3763"/>
        </w:rPr>
      </w:pPr>
      <w:bookmarkStart w:id="21" w:name="_Toc157508420"/>
      <w:bookmarkEnd w:id="21"/>
      <w:bookmarkStart w:id="22" w:name="_Toc159852114"/>
      <w:r>
        <w:rPr>
          <w:rFonts w:ascii="Arial" w:hAnsi="Arial" w:eastAsia="Yu Gothic Light" w:cs="Arial"/>
          <w:b/>
          <w:i/>
          <w:color w:val="1F3763"/>
        </w:rPr>
        <w:t>Student’s effect</w:t>
      </w:r>
      <w:bookmarkEnd w:id="22"/>
      <w:r>
        <w:rPr>
          <w:rFonts w:ascii="Arial" w:hAnsi="Arial" w:eastAsia="Yu Gothic Light" w:cs="Arial"/>
          <w:b/>
          <w:i/>
          <w:color w:val="1F3763"/>
        </w:rPr>
        <w:t xml:space="preserve"> </w:t>
      </w:r>
    </w:p>
    <w:p>
      <w:pPr>
        <w:spacing w:line="360" w:lineRule="auto"/>
        <w:ind w:firstLine="0"/>
        <w:rPr>
          <w:rFonts w:ascii="Arial" w:hAnsi="Arial" w:cs="Arial"/>
        </w:rPr>
      </w:pPr>
      <w:r>
        <w:rPr>
          <w:rFonts w:ascii="Arial" w:hAnsi="Arial" w:cs="Arial"/>
        </w:rPr>
        <w:t>The policy if carefully looked through, the student are the ones mainly affected as they are the one who have the primary concern. The double reduction policy and its impact on the Chinese educational landscape for students is a constant topic in most of the essays on this issue. Zhong and Park (2023) proposed that educational reform is employed from the evaluative standardization to the open and journey way. This alteration however is simply the tip of the iceberg in terms of the pedagogical mind set which uses to implore only about the memorization of facts but the new mind set accepts a broad gamut of subjects. According to the research of Zhong and Park (2023), education shifts from standardized testing to an open and exploratory direction. Such an alteration is nothing but a crucial revolution in terms of the pedagogical approach that stops believing only in the significance of remembered facts but also gives students other subjects to learn as well. So this is in sync with the shifting of curricular objectives whose ultimate goal is to rear a generation whose graduates should be independent and comprehensive thinkers.</w:t>
      </w:r>
    </w:p>
    <w:p>
      <w:pPr>
        <w:spacing w:line="360" w:lineRule="auto"/>
        <w:ind w:firstLine="0"/>
        <w:rPr>
          <w:rFonts w:ascii="Arial" w:hAnsi="Arial" w:cs="Arial"/>
        </w:rPr>
      </w:pPr>
      <w:r>
        <w:rPr>
          <w:rFonts w:ascii="Arial" w:hAnsi="Arial" w:cs="Arial"/>
        </w:rPr>
        <w:t>On the downside, Wang et al. (2022) underlies the experience structure. The authors are saying that the students now have more liberty to do research multidisciplinary because before doing so was rare and the students had to be more hardworking and focused on their studies and school work and because of that they now have more time and energy to do research. On the contrary, the repetitive rote memorization is what we usually have in mind, but this other kind of learning, considered as enlightening, is actually a fascinating way to learn. Reducing the widespread anxiety that suffuses China's educational system is one of the main objectives of the Double Reduction Policy. Wang et al. (2022) provides evidence from practice that once the policy has been enforced students experience a clear decrease in stress-related problems. In an era willing to explore alternatives to the traditional classroom, such as enrichment programs geared toward nurturing young people's creativity, critical thinking, and soft skills, the adaptability of the individuals willing to invest in education will determine whether or not they will remain standing (Qian et al., 2023).</w:t>
      </w:r>
    </w:p>
    <w:p>
      <w:pPr>
        <w:spacing w:line="360" w:lineRule="auto"/>
        <w:ind w:firstLine="0"/>
        <w:rPr>
          <w:rFonts w:ascii="Arial" w:hAnsi="Arial" w:cs="Arial"/>
        </w:rPr>
      </w:pPr>
      <w:r>
        <w:rPr>
          <w:rFonts w:ascii="Arial" w:hAnsi="Arial" w:cs="Arial"/>
        </w:rPr>
        <w:t>On the other hand, She et al.'s (2023) research expands our understanding of the ways in which educational service providers adjust. Through an analysis of its impact on Chinese students in Europe, the research casts light on how service providers are adapting to the needs of the students who have been affected by the policy.</w:t>
      </w:r>
    </w:p>
    <w:p>
      <w:pPr>
        <w:spacing w:line="360" w:lineRule="auto"/>
        <w:ind w:firstLine="0"/>
        <w:rPr>
          <w:rFonts w:ascii="Arial" w:hAnsi="Arial" w:cs="Arial"/>
        </w:rPr>
      </w:pPr>
      <w:r>
        <w:rPr>
          <w:rFonts w:ascii="Arial" w:hAnsi="Arial" w:cs="Arial"/>
        </w:rPr>
        <w:t>This recalibration of academic ends, facilitated by the adjustments made by educational service providers, is not only a question of numbers but is qualitatively revolutionary. It provides an atmosphere where students can breathe and study without being constantly threatened by the number one enemy of students: examination nerves.</w:t>
      </w:r>
    </w:p>
    <w:p>
      <w:pPr>
        <w:spacing w:line="360" w:lineRule="auto"/>
        <w:ind w:firstLine="0"/>
        <w:rPr>
          <w:rFonts w:ascii="Arial" w:hAnsi="Arial" w:cs="Arial"/>
        </w:rPr>
      </w:pPr>
      <w:r>
        <w:rPr>
          <w:rFonts w:ascii="Arial" w:hAnsi="Arial" w:cs="Arial"/>
        </w:rPr>
        <w:t>One appreciable demonstration of the higher grade of students is the intense observable participation in extracurricular activities. Dai (2023) study is useful in this regard that the students engage more in out-of-class extra activities like watching television, discussion, chatting, and dormitory meetings. The dissolving of educational burdens now enables students to shift their time and energy to activities like sports, art, and philanthropic work. The study made by Dai becomes relevant in that it shows an important step forward of a more complete education system dominated by the success of Double Reduction Policy to ensure a healthier society. It is clear in various literature (Zhong and Park 2023, Wang et al., 2022 and Dai 2023) that taking away children’s stress is not by chance but one of the ways of making living room for children to have a holistic development.</w:t>
      </w:r>
    </w:p>
    <w:p>
      <w:pPr>
        <w:spacing w:line="360" w:lineRule="auto"/>
        <w:ind w:firstLine="0"/>
        <w:rPr>
          <w:rFonts w:ascii="Arial" w:hAnsi="Arial" w:cs="Arial"/>
        </w:rPr>
      </w:pPr>
      <w:r>
        <w:rPr>
          <w:rFonts w:ascii="Arial" w:hAnsi="Arial" w:cs="Arial"/>
        </w:rPr>
        <w:t>As described in the research of Qian et al. (2023) and She et al. (2023), Double Reduction Policy has resulted in reformation of academic priorities and educational service providers which in turn initiated a qualitative transformation in education. This transition involves a reversal in a number ratio for exams and introduction of a more holistic approach. Yet, the statement that 'absent of class load pressure groom the students to engage in their interests and passions' can be underestimated but we need to understand the author's perception. The proof indicates that decreasing the undue academic stress has the climate favouring the interests and passions of students outside the academia. Hence, this does not mean that the lack of academic rigour merely refers to a kind of pedagogy that neglects to put students under exam-pressure; rather, it refers to an educational style that achieves the best balance between learning and excelling in various areas beyond that of examination cantered education.</w:t>
      </w:r>
    </w:p>
    <w:p>
      <w:pPr>
        <w:keepNext/>
        <w:keepLines/>
        <w:numPr>
          <w:ilvl w:val="2"/>
          <w:numId w:val="1"/>
        </w:numPr>
        <w:spacing w:before="40" w:after="0" w:line="360" w:lineRule="auto"/>
        <w:outlineLvl w:val="2"/>
        <w:rPr>
          <w:rFonts w:ascii="Arial" w:hAnsi="Arial" w:eastAsia="Yu Gothic Light" w:cs="Arial"/>
          <w:b/>
          <w:i/>
          <w:color w:val="1F3763"/>
        </w:rPr>
      </w:pPr>
      <w:bookmarkStart w:id="23" w:name="_Toc157508421"/>
      <w:bookmarkEnd w:id="23"/>
      <w:bookmarkStart w:id="24" w:name="_Toc159852115"/>
      <w:r>
        <w:rPr>
          <w:rFonts w:ascii="Arial" w:hAnsi="Arial" w:eastAsia="Yu Gothic Light" w:cs="Arial"/>
          <w:b/>
          <w:i/>
          <w:color w:val="1F3763"/>
        </w:rPr>
        <w:t>Parental Challenges</w:t>
      </w:r>
      <w:bookmarkEnd w:id="24"/>
      <w:r>
        <w:rPr>
          <w:rFonts w:ascii="Arial" w:hAnsi="Arial" w:eastAsia="Yu Gothic Light" w:cs="Arial"/>
          <w:b/>
          <w:i/>
          <w:color w:val="1F3763"/>
        </w:rPr>
        <w:t xml:space="preserve"> </w:t>
      </w:r>
    </w:p>
    <w:p>
      <w:pPr>
        <w:spacing w:line="360" w:lineRule="auto"/>
        <w:ind w:firstLine="0"/>
        <w:rPr>
          <w:rFonts w:ascii="Arial" w:hAnsi="Arial" w:cs="Arial"/>
        </w:rPr>
      </w:pPr>
      <w:r>
        <w:rPr>
          <w:rFonts w:ascii="Arial" w:hAnsi="Arial" w:cs="Arial"/>
        </w:rPr>
        <w:t xml:space="preserve">An essential aspect becomes clear as we evaluate the results of China's educational reforms under the Double Reduction Policy: the difficulties experienced by parents. The Double Reduction Policy was a huge reform in Chinese education, leaving parents with the equally daunting task of adjusting to the new norm. Qian, Walker, and Chen's (2023) investigation of dominant narratives illuminate the complicated problems involved in this re-calibration. </w:t>
      </w:r>
    </w:p>
    <w:p>
      <w:pPr>
        <w:spacing w:line="360" w:lineRule="auto"/>
        <w:ind w:firstLine="0"/>
        <w:rPr>
          <w:rFonts w:ascii="Arial" w:hAnsi="Arial" w:cs="Arial"/>
        </w:rPr>
      </w:pPr>
      <w:r>
        <w:rPr>
          <w:rFonts w:ascii="Arial" w:hAnsi="Arial" w:cs="Arial"/>
        </w:rPr>
        <w:t>According to research conducted by Qian et al. (2023) and She et al. (2023), parents' aspirations for their children have traditionally centered around concrete academic achievements. The introduction of the Double Reduction Policy (DRP) has brought about significant changes in the educational landscape, challenging the conventional measures of success. For instance, studies like those by Wang et al. (2022) and She et al. (2023) indicate that the DRP's emphasis on reducing academic stress and fostering holistic development has led to a reevaluation of what constitutes success in education. This shift suggests that parents, influenced by the changing educational paradigm, are beginning to rethink their expectations, placing greater value on the overall well-being and broader skill development of their children rather than solely focusing on academic outcomes.</w:t>
      </w:r>
    </w:p>
    <w:p>
      <w:pPr>
        <w:spacing w:line="360" w:lineRule="auto"/>
        <w:ind w:firstLine="0"/>
        <w:rPr>
          <w:rFonts w:ascii="Arial" w:hAnsi="Arial" w:cs="Arial"/>
        </w:rPr>
      </w:pPr>
      <w:r>
        <w:rPr>
          <w:rFonts w:ascii="Arial" w:hAnsi="Arial" w:cs="Arial"/>
        </w:rPr>
        <w:t>Standing between the policy's openness and comprehensiveness on the one hand and more traditional academic goals on the other, where are parents supposed to go? The change in paradigm has led to tensions, as the study by She et al. (2023) indicates, moving is the traditional reliance on high exam scores as the main criterion of success. At the same time, parents are faced with the responsibility to foster not simply academic achievement, but the kind of all-around development which includes a sound mind and healthy body and a cultivated grounding.</w:t>
      </w:r>
    </w:p>
    <w:p>
      <w:pPr>
        <w:spacing w:line="360" w:lineRule="auto"/>
        <w:ind w:firstLine="0"/>
        <w:rPr>
          <w:rFonts w:ascii="Arial" w:hAnsi="Arial" w:cs="Arial"/>
        </w:rPr>
      </w:pPr>
      <w:r>
        <w:rPr>
          <w:rFonts w:ascii="Arial" w:hAnsi="Arial" w:cs="Arial"/>
        </w:rPr>
        <w:t>Therefore, parents face a difficult choice between having high academic aspirations for their children and raising them in a healthy way. This readjusting has given rise to a number of problems. Harvard Law School (2023) takes an in-depth look at parental attitudes. While on the one hand, the focus on academic achievement is central to the fostering of academic excellence and holistic development of children on the other, there is the ever-present tension, which is entangled in the evolving education system. This tension comes about as the academic results still remain the main focus, as noted by Qian et al. (2023) and She et al (2023). Parents struggle a lot with this, as it is not easy to come up with a balance, principally because there has been a tilt in the conventional measures of success towards the academic achievements alone.</w:t>
      </w:r>
    </w:p>
    <w:p>
      <w:pPr>
        <w:spacing w:line="360" w:lineRule="auto"/>
        <w:ind w:firstLine="0"/>
        <w:rPr>
          <w:rFonts w:ascii="Arial" w:hAnsi="Arial" w:cs="Arial"/>
        </w:rPr>
      </w:pPr>
      <w:r>
        <w:rPr>
          <w:rFonts w:ascii="Arial" w:hAnsi="Arial" w:cs="Arial"/>
        </w:rPr>
        <w:t>The tensions can be traced to the societal value that is always placed on the worth of the academic excellence in particular. This is clearly represented in works like those done by Wang et al.(2022) and She et al. (2023) which reveal that the society has always preferred learning to rank the achievement of a particular child to be the only measure of his success. Along with the change in educational paradigm, towards an integrated and integrated concept, parents are trying to readjust their expectations. The task is to come to the point where the deep-rooted belief in the priority of academic excellence harmonizes with the new emerged view of necessity for more the holistic development approach. In consequence, finding a balance point becomes doubly difficult that needs a radical transformation of the ways parents view the concept of success from beyond the boundaries of traditional measures.</w:t>
      </w:r>
    </w:p>
    <w:p>
      <w:pPr>
        <w:spacing w:line="360" w:lineRule="auto"/>
        <w:ind w:firstLine="0"/>
        <w:rPr>
          <w:rFonts w:ascii="Arial" w:hAnsi="Arial" w:cs="Arial"/>
        </w:rPr>
      </w:pPr>
      <w:r>
        <w:rPr>
          <w:rFonts w:ascii="Arial" w:hAnsi="Arial" w:cs="Arial"/>
        </w:rPr>
        <w:t>The implementation of the Double Reduction Policy poses a profound existential query for parents: Under this recalibrated framework, How does one redefine success? As revealed by scholarly literature, the response is by no means uniform. For some parents the task is to give up deeply internalized beliefs about academic success. Some happily seize the opportunity to advance beyond the notion of achievement linked to scores on examinations alone. One illustration of which is a mirror which suggests the differentiated responses exhibited by various parental communities to this paradigm shift is Lin (2022) expertly analyzed after-school English training institutions.</w:t>
      </w:r>
    </w:p>
    <w:p>
      <w:pPr>
        <w:spacing w:line="360" w:lineRule="auto"/>
        <w:ind w:firstLine="0"/>
        <w:rPr>
          <w:rFonts w:ascii="Arial" w:hAnsi="Arial" w:cs="Arial"/>
        </w:rPr>
      </w:pPr>
      <w:r>
        <w:rPr>
          <w:rFonts w:ascii="Arial" w:hAnsi="Arial" w:cs="Arial"/>
        </w:rPr>
        <w:t>In this changing environment, the very nature of how parents can become involved in the educational process is seriously in question. Just adjusting expectations is not enough. This quest involves actively participating in extra-curricular activities, taking measures to maintain one's psychological health, and developing a love that goes beyond the confines of taking examinations.</w:t>
      </w:r>
    </w:p>
    <w:p>
      <w:pPr>
        <w:spacing w:line="360" w:lineRule="auto"/>
        <w:ind w:firstLine="0"/>
        <w:rPr>
          <w:rFonts w:ascii="Arial" w:hAnsi="Arial" w:cs="Arial"/>
        </w:rPr>
      </w:pPr>
      <w:r>
        <w:rPr>
          <w:rFonts w:ascii="Arial" w:hAnsi="Arial" w:cs="Arial"/>
        </w:rPr>
        <w:t>As a result, the troubles for parents introduced by the Double Reduction Policy reflect the uncertainty and change that is the nature of education transformation. There is plenty of writing which can help us understand these complexities and clarify the difficult balancing act that parenting is. So it goes without saying that parental participation is necessary to achieve the ideal of the Double Reduction Policy of the well-rounded education.</w:t>
      </w:r>
    </w:p>
    <w:p>
      <w:pPr>
        <w:keepNext/>
        <w:keepLines/>
        <w:numPr>
          <w:ilvl w:val="1"/>
          <w:numId w:val="1"/>
        </w:numPr>
        <w:spacing w:before="40" w:after="0" w:line="360" w:lineRule="auto"/>
        <w:outlineLvl w:val="1"/>
        <w:rPr>
          <w:rFonts w:ascii="Arial" w:hAnsi="Arial" w:eastAsia="Yu Gothic Light" w:cs="Arial"/>
          <w:b/>
        </w:rPr>
      </w:pPr>
      <w:bookmarkStart w:id="25" w:name="_Toc157508422"/>
      <w:bookmarkEnd w:id="25"/>
      <w:bookmarkStart w:id="26" w:name="_Toc159852116"/>
      <w:r>
        <w:rPr>
          <w:rFonts w:ascii="Arial" w:hAnsi="Arial" w:eastAsia="Yu Gothic Light" w:cs="Arial"/>
          <w:b/>
        </w:rPr>
        <w:t>Theoretical Review: Educational Decision-Making Theory</w:t>
      </w:r>
      <w:bookmarkEnd w:id="26"/>
    </w:p>
    <w:p>
      <w:pPr>
        <w:keepNext/>
        <w:keepLines/>
        <w:numPr>
          <w:ilvl w:val="2"/>
          <w:numId w:val="1"/>
        </w:numPr>
        <w:spacing w:before="40" w:after="0" w:line="360" w:lineRule="auto"/>
        <w:outlineLvl w:val="2"/>
        <w:rPr>
          <w:rFonts w:ascii="Arial" w:hAnsi="Arial" w:eastAsia="Yu Gothic Light" w:cs="Arial"/>
          <w:b/>
          <w:i/>
          <w:color w:val="1F3763"/>
        </w:rPr>
      </w:pPr>
      <w:bookmarkStart w:id="27" w:name="_Toc157508423"/>
      <w:bookmarkEnd w:id="27"/>
      <w:bookmarkStart w:id="28" w:name="_Toc159852117"/>
      <w:r>
        <w:rPr>
          <w:rFonts w:ascii="Arial" w:hAnsi="Arial" w:eastAsia="Yu Gothic Light" w:cs="Arial"/>
          <w:b/>
          <w:i/>
          <w:color w:val="1F3763"/>
        </w:rPr>
        <w:t>Introduction</w:t>
      </w:r>
      <w:bookmarkEnd w:id="28"/>
    </w:p>
    <w:p>
      <w:pPr>
        <w:spacing w:line="360" w:lineRule="auto"/>
        <w:ind w:firstLine="0"/>
        <w:rPr>
          <w:rFonts w:ascii="Arial" w:hAnsi="Arial" w:cs="Arial"/>
        </w:rPr>
      </w:pPr>
      <w:r>
        <w:rPr>
          <w:rFonts w:ascii="Arial" w:hAnsi="Arial" w:cs="Arial"/>
        </w:rPr>
        <w:t>The Educational Decision-Making Theory  is the base on which the understanding how the students make decisions about their education is built. This theory emphasizes two key things: principally by allocating the students' goals and expectations that impact the emphasis and secondly, the value of processing the information. The publication of Lapan et al. (1997) states that many students search information from different sources such as family, peers, and schools. Incorporating this theory and study into the discussion gets a firm basis for the explanations. This is the reason why; it is able to explain factors that influence students' decisions in a clear and well-established way.</w:t>
      </w:r>
    </w:p>
    <w:p>
      <w:pPr>
        <w:spacing w:line="360" w:lineRule="auto"/>
        <w:ind w:firstLine="0"/>
        <w:rPr>
          <w:rFonts w:ascii="Arial" w:hAnsi="Arial" w:cs="Arial"/>
        </w:rPr>
      </w:pPr>
      <w:r>
        <w:rPr>
          <w:rFonts w:ascii="Arial" w:hAnsi="Arial" w:cs="Arial"/>
        </w:rPr>
        <w:t>The enactment of the Double Reduction Policy by the Chinese government introduces a significant shift in the educational landscape, making the application of the Educational Decision-Making Theory particularly relevant. This theory becomes a convenient lens through which to examine the implications of the policy on students' educational choices. The justification lies in the core objectives of the Double Reduction Policy, which are aimed at alleviating academic pressure by reducing the volume of homework and altering examination formats. The theory's emphasis on understanding how students' goals and expectations influence their decisions, coupled with the importance of information processing, aligns closely with the policy's impact on students' choices in the context of reduced academic stress. Therefore, employing the Educational Decision-Making Theory provides a structured and insightful framework for analyzing the consequences of the Double Reduction Policy on students' educational decisions.</w:t>
      </w:r>
      <w:r>
        <w:rPr>
          <w:rFonts w:ascii="Arial" w:hAnsi="Arial" w:cs="Arial"/>
          <w:lang w:val="en-US"/>
        </w:rPr>
        <w:drawing>
          <wp:inline distT="0" distB="0" distL="0" distR="0">
            <wp:extent cx="5731510" cy="32150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tretch>
                      <a:fillRect/>
                    </a:stretch>
                  </pic:blipFill>
                  <pic:spPr>
                    <a:xfrm>
                      <a:off x="0" y="0"/>
                      <a:ext cx="5731510" cy="3215005"/>
                    </a:xfrm>
                    <a:prstGeom prst="rect">
                      <a:avLst/>
                    </a:prstGeom>
                  </pic:spPr>
                </pic:pic>
              </a:graphicData>
            </a:graphic>
          </wp:inline>
        </w:drawing>
      </w:r>
    </w:p>
    <w:p>
      <w:pPr>
        <w:spacing w:line="360" w:lineRule="auto"/>
        <w:ind w:firstLine="0"/>
        <w:rPr>
          <w:rFonts w:ascii="Arial" w:hAnsi="Arial" w:cs="Arial"/>
          <w:i/>
        </w:rPr>
      </w:pPr>
      <w:r>
        <w:rPr>
          <w:rFonts w:ascii="Arial" w:hAnsi="Arial" w:cs="Arial"/>
          <w:i/>
        </w:rPr>
        <w:t>Figure 1. A Model of Students’ Choice of K-12 Education (Jabeen, 2015)</w:t>
      </w:r>
    </w:p>
    <w:p>
      <w:pPr>
        <w:spacing w:line="360" w:lineRule="auto"/>
        <w:ind w:firstLine="0"/>
        <w:rPr>
          <w:rFonts w:ascii="Arial" w:hAnsi="Arial" w:cs="Arial"/>
        </w:rPr>
      </w:pPr>
    </w:p>
    <w:p>
      <w:pPr>
        <w:spacing w:line="360" w:lineRule="auto"/>
        <w:ind w:firstLine="0"/>
        <w:rPr>
          <w:rFonts w:ascii="Arial" w:hAnsi="Arial" w:cs="Arial"/>
        </w:rPr>
      </w:pPr>
      <w:r>
        <w:rPr>
          <w:rFonts w:ascii="Arial" w:hAnsi="Arial" w:cs="Arial"/>
        </w:rPr>
        <w:t>The aim behind discussing the different components of the Educational Decision-Making Theory, that is expectations, motivation, information processing, levels of risk and doubt, and social and cultural context (Zimmerman, 2002), is to get a deeper understanding of students’ decisions. Thus, via these components analysis we will find out how to comprehend the complexity of factors that affect a student in connection with the implementation of Double reduced Policy. The subsequent parsoanal is a thorough evaluation of the process of decision making, paying specific attention to the educational dimension that evolves through policy. The individual components itself are small parts though they collectively constitute the holistic process of understanding the factors that underpin the student's educational choices in response to the policy goal.</w:t>
      </w:r>
    </w:p>
    <w:p>
      <w:pPr>
        <w:keepNext/>
        <w:keepLines/>
        <w:numPr>
          <w:ilvl w:val="2"/>
          <w:numId w:val="1"/>
        </w:numPr>
        <w:spacing w:before="40" w:after="0" w:line="360" w:lineRule="auto"/>
        <w:outlineLvl w:val="2"/>
        <w:rPr>
          <w:rFonts w:ascii="Arial" w:hAnsi="Arial" w:eastAsia="Yu Gothic Light" w:cs="Arial"/>
          <w:b/>
          <w:i/>
          <w:color w:val="1F3763"/>
        </w:rPr>
      </w:pPr>
      <w:bookmarkStart w:id="29" w:name="_Toc157508424"/>
      <w:bookmarkEnd w:id="29"/>
      <w:bookmarkStart w:id="30" w:name="_Toc159852118"/>
      <w:r>
        <w:rPr>
          <w:rFonts w:ascii="Arial" w:hAnsi="Arial" w:eastAsia="Yu Gothic Light" w:cs="Arial"/>
          <w:b/>
          <w:i/>
          <w:color w:val="1F3763"/>
        </w:rPr>
        <w:t>Components of Educational Decision-Making Theory</w:t>
      </w:r>
      <w:bookmarkEnd w:id="30"/>
    </w:p>
    <w:p>
      <w:pPr>
        <w:keepNext/>
        <w:keepLines/>
        <w:numPr>
          <w:ilvl w:val="3"/>
          <w:numId w:val="1"/>
        </w:numPr>
        <w:spacing w:before="40" w:after="0" w:line="360" w:lineRule="auto"/>
        <w:outlineLvl w:val="3"/>
        <w:rPr>
          <w:rFonts w:ascii="Arial" w:hAnsi="Arial" w:eastAsia="Yu Gothic Light" w:cs="Arial"/>
          <w:i/>
          <w:iCs/>
          <w:color w:val="2F5496"/>
        </w:rPr>
      </w:pPr>
      <w:r>
        <w:rPr>
          <w:rFonts w:ascii="Arial" w:hAnsi="Arial" w:eastAsia="Yu Gothic Light" w:cs="Arial"/>
          <w:i/>
          <w:iCs/>
          <w:color w:val="2F5496"/>
        </w:rPr>
        <w:t>Motivation and Expectancy</w:t>
      </w:r>
    </w:p>
    <w:p>
      <w:pPr>
        <w:spacing w:line="360" w:lineRule="auto"/>
        <w:ind w:firstLine="0"/>
        <w:rPr>
          <w:rFonts w:ascii="Arial" w:hAnsi="Arial" w:cs="Arial"/>
        </w:rPr>
      </w:pPr>
      <w:r>
        <w:rPr>
          <w:rFonts w:ascii="Arial" w:hAnsi="Arial" w:cs="Arial"/>
        </w:rPr>
        <w:t>This component may be the one factor having by far greater influence on a student's educational choices than all others combined. According to Decision making Theory of educational choice, many factors can motivate us to choose which academic pathway we should take (Lent et al. 1994). Understanding students' willingness or reluctance to accept the new demands of the Double Reduction Policy (DRP) is vital for evaluating the policy's effectiveness and potential impact on their well-being. While students may not directly influence the DRP, their perspectives offer valuable feedback that can inform policymakers and educators about potential areas of improvement or unintended consequences. This comprehensive analysis ensures that the policy aligns with its intended objectives and addresses any challenges from the students' standpoint.</w:t>
      </w:r>
    </w:p>
    <w:p>
      <w:pPr>
        <w:spacing w:line="360" w:lineRule="auto"/>
        <w:ind w:firstLine="0"/>
        <w:rPr>
          <w:rFonts w:ascii="Arial" w:hAnsi="Arial" w:cs="Arial"/>
        </w:rPr>
      </w:pPr>
      <w:r>
        <w:rPr>
          <w:rFonts w:ascii="Arial" w:hAnsi="Arial" w:cs="Arial"/>
        </w:rPr>
        <w:t>Emerging studies suggest that a goal of academic stress reduction, promotion of positive emotions or social approval can be aimed at (Qian et al., 2023; Wang et al., 2022). Nevertheless, expectancy is all about anticipating what alternatives could provide. This policy will help the students experience less stress, more opportunities to participate in the extra-curricular activities and also improve their mental and psychological state (Zhang et al., 2022).</w:t>
      </w:r>
    </w:p>
    <w:p>
      <w:pPr>
        <w:keepNext/>
        <w:keepLines/>
        <w:numPr>
          <w:ilvl w:val="3"/>
          <w:numId w:val="1"/>
        </w:numPr>
        <w:spacing w:before="40" w:after="0" w:line="360" w:lineRule="auto"/>
        <w:outlineLvl w:val="3"/>
        <w:rPr>
          <w:rFonts w:ascii="Arial" w:hAnsi="Arial" w:eastAsia="Yu Gothic Light" w:cs="Arial"/>
          <w:i/>
          <w:iCs/>
          <w:color w:val="2F5496"/>
        </w:rPr>
      </w:pPr>
      <w:r>
        <w:rPr>
          <w:rFonts w:ascii="Arial" w:hAnsi="Arial" w:eastAsia="Yu Gothic Light" w:cs="Arial"/>
          <w:i/>
          <w:iCs/>
          <w:color w:val="2F5496"/>
        </w:rPr>
        <w:t>Information Processing</w:t>
      </w:r>
    </w:p>
    <w:p>
      <w:pPr>
        <w:spacing w:line="360" w:lineRule="auto"/>
        <w:ind w:firstLine="0"/>
        <w:rPr>
          <w:rFonts w:ascii="Arial" w:hAnsi="Arial" w:cs="Arial"/>
        </w:rPr>
      </w:pPr>
      <w:r>
        <w:rPr>
          <w:rFonts w:ascii="Arial" w:hAnsi="Arial" w:cs="Arial"/>
        </w:rPr>
        <w:t>How students obtain, evaluate, and use information is very important in educational thinking. Multiple information sources is a key part of the theory. The information landscape is created jointly by peers, family, and educational institutions (Lapan et al., 1997). On the background of the Double Reduction Policy, students ask for information on changes in the amount of homework assigned, changes in the way grades are assessed, and overall impact on their education. Such an analysis must appraise the impact of various sources on the shape and content of students 'understanding of the policy (She et al., 2023; Lin, 2022).</w:t>
      </w:r>
    </w:p>
    <w:p>
      <w:pPr>
        <w:keepNext/>
        <w:keepLines/>
        <w:numPr>
          <w:ilvl w:val="3"/>
          <w:numId w:val="1"/>
        </w:numPr>
        <w:spacing w:before="40" w:after="0" w:line="360" w:lineRule="auto"/>
        <w:outlineLvl w:val="3"/>
        <w:rPr>
          <w:rFonts w:ascii="Arial" w:hAnsi="Arial" w:eastAsia="Yu Gothic Light" w:cs="Arial"/>
          <w:i/>
          <w:iCs/>
          <w:color w:val="2F5496"/>
        </w:rPr>
      </w:pPr>
      <w:r>
        <w:rPr>
          <w:rFonts w:ascii="Arial" w:hAnsi="Arial" w:eastAsia="Yu Gothic Light" w:cs="Arial"/>
          <w:i/>
          <w:iCs/>
          <w:color w:val="2F5496"/>
        </w:rPr>
        <w:t>Risk and Uncertainty</w:t>
      </w:r>
    </w:p>
    <w:p>
      <w:pPr>
        <w:spacing w:line="360" w:lineRule="auto"/>
        <w:ind w:firstLine="0"/>
        <w:rPr>
          <w:rFonts w:ascii="Arial" w:hAnsi="Arial" w:cs="Arial"/>
        </w:rPr>
      </w:pPr>
      <w:r>
        <w:rPr>
          <w:rFonts w:ascii="Arial" w:hAnsi="Arial" w:cs="Arial"/>
        </w:rPr>
        <w:t>When individuals make decisions about education, they encounter risks and uncertainties associated with each option. The introduction of the new Double Reduction Policy (DRP) may generate feelings of insecurity among some students (Cohen et al., 2004). The psychological impact of the DRP on students, including their sense of safety and well-being, is a crucial aspect to consider in understanding the broader implications and challenges associated with this educational policy.To explore this aspect, one must consider how students view and face these perils in the process of making educational choices (Wang, 2022). Academic achievement, future employment prospects or ability to accommodate a change in the educational paradigm might all be threatened. It also discusses the broader influence that it has on the decision-making process, especially in terms of major policy changes (Dai, 2023; Shuo, 2023).</w:t>
      </w:r>
    </w:p>
    <w:p>
      <w:pPr>
        <w:keepNext/>
        <w:keepLines/>
        <w:numPr>
          <w:ilvl w:val="3"/>
          <w:numId w:val="1"/>
        </w:numPr>
        <w:spacing w:before="40" w:after="0" w:line="360" w:lineRule="auto"/>
        <w:outlineLvl w:val="3"/>
        <w:rPr>
          <w:rFonts w:ascii="Arial" w:hAnsi="Arial" w:eastAsia="Yu Gothic Light" w:cs="Arial"/>
          <w:i/>
          <w:iCs/>
          <w:color w:val="2F5496"/>
        </w:rPr>
      </w:pPr>
      <w:r>
        <w:rPr>
          <w:rFonts w:ascii="Arial" w:hAnsi="Arial" w:eastAsia="Yu Gothic Light" w:cs="Arial"/>
          <w:i/>
          <w:iCs/>
          <w:color w:val="2F5496"/>
        </w:rPr>
        <w:t>Social and Cultural Context</w:t>
      </w:r>
    </w:p>
    <w:p>
      <w:pPr>
        <w:spacing w:line="360" w:lineRule="auto"/>
        <w:ind w:firstLine="0"/>
        <w:rPr>
          <w:rFonts w:ascii="Arial" w:hAnsi="Arial" w:cs="Arial"/>
        </w:rPr>
      </w:pPr>
      <w:r>
        <w:rPr>
          <w:rFonts w:ascii="Arial" w:hAnsi="Arial" w:cs="Arial"/>
        </w:rPr>
        <w:t>The rapidly changing social and cultural environment given rise to by the Double Reduction Policy has become an important factor to be taken into account when students make their choices. A part of the theory states that cultural factors and social norms dictate choices and preferences (Zhong &amp; Park, 2023). Included in an analysis of the social and cultural environment is the change in cultural norms created by the policy. Cultural elements include ways of looking at education, society's demands, and people's feelings about a thorough education. These different parts have to be considered in any all-encompassing examination of the decision-making process in the educational environment in flux. (Zhao, 2023; Zhou, 2023).</w:t>
      </w:r>
    </w:p>
    <w:p>
      <w:pPr>
        <w:keepNext/>
        <w:keepLines/>
        <w:numPr>
          <w:ilvl w:val="2"/>
          <w:numId w:val="1"/>
        </w:numPr>
        <w:spacing w:before="40" w:after="0" w:line="360" w:lineRule="auto"/>
        <w:outlineLvl w:val="2"/>
        <w:rPr>
          <w:rFonts w:ascii="Arial" w:hAnsi="Arial" w:eastAsia="Yu Gothic Light" w:cs="Arial"/>
          <w:b/>
          <w:i/>
          <w:color w:val="1F3763"/>
        </w:rPr>
      </w:pPr>
      <w:bookmarkStart w:id="31" w:name="_Toc157508425"/>
      <w:bookmarkEnd w:id="31"/>
      <w:bookmarkStart w:id="32" w:name="_Toc159852119"/>
      <w:r>
        <w:rPr>
          <w:rFonts w:ascii="Arial" w:hAnsi="Arial" w:eastAsia="Yu Gothic Light" w:cs="Arial"/>
          <w:b/>
          <w:i/>
          <w:color w:val="1F3763"/>
        </w:rPr>
        <w:t>The Double Reduction Policy and Decision-Making</w:t>
      </w:r>
      <w:bookmarkEnd w:id="32"/>
    </w:p>
    <w:p>
      <w:pPr>
        <w:spacing w:line="360" w:lineRule="auto"/>
        <w:ind w:firstLine="0"/>
        <w:rPr>
          <w:rFonts w:ascii="Arial" w:hAnsi="Arial" w:cs="Arial"/>
        </w:rPr>
      </w:pPr>
      <w:r>
        <w:rPr>
          <w:rFonts w:ascii="Arial" w:hAnsi="Arial" w:cs="Arial"/>
        </w:rPr>
        <w:t>The restructuring of policies, without a doubt, will bring about a change in the way students think. Looking at this effect means carefully considering how the new policies affect students’ access to and comprehension of information. Many decisions are based on the information provided by schools, friends, and family (Lapan et al., 1997). Moreover, the factors that might affect the way students think about and feel about the policy need to be included in the analysis. The implementation of the policy depends greatly on changing information dynamics (She et al., 2023; Lin, 2022).</w:t>
      </w:r>
    </w:p>
    <w:p>
      <w:pPr>
        <w:spacing w:line="360" w:lineRule="auto"/>
        <w:ind w:firstLine="0"/>
        <w:rPr>
          <w:rFonts w:ascii="Arial" w:hAnsi="Arial" w:cs="Arial"/>
        </w:rPr>
      </w:pPr>
      <w:r>
        <w:rPr>
          <w:rFonts w:ascii="Arial" w:hAnsi="Arial" w:cs="Arial"/>
        </w:rPr>
        <w:t>To be sure, in accordance with Dai's (2023) argument, the Policy implementation can introduce changes which could exacerbate or attenuate the perceived dangers surrounding educational choices. The study of risk and uncertainty mitigation of the Double Reduction Policy (DRP) is done through an evaluation of how it brings about the sense of clarity, predictability as well as adaptability in the field of education. This analysis, therefore, seeks to soothe any doubts about the future and only terms what is firm and foreseeable. Moreover, it investigates the reasons why the DRP reduces the uncertainty, providing students the kind of the structure they need for the rapidly changing educational system (Jie, 2023). In general, this conclusion is very important by which we can estimate the efficiency of the policy making the learner’s environment stable and flexible.</w:t>
      </w:r>
    </w:p>
    <w:p>
      <w:pPr>
        <w:spacing w:line="360" w:lineRule="auto"/>
        <w:ind w:firstLine="0"/>
        <w:rPr>
          <w:rFonts w:ascii="Arial" w:hAnsi="Arial" w:cs="Arial"/>
        </w:rPr>
      </w:pPr>
      <w:r>
        <w:rPr>
          <w:rFonts w:ascii="Arial" w:hAnsi="Arial" w:cs="Arial"/>
        </w:rPr>
        <w:t>It is significant to mention the cultural influence that the policy has since it has a profound impact on the decision-making process. To do this, you must have a clear understanding the dynamics behind societal norms, values &amp; expectations which are very unpredictable and are subject to the change of the polity. Moreover, there is also a higher-level study co-authored by Zhong and Park (2023) which results in a finding that in fact culture influences the students’ decision to go to school. Our perception of is dependent on our understanding of the meaning of education and a balanced education as well as on the notion of academic success which measures our achievements. Moreover, you should realize that the social forces-humans thinking and feeling-at such times may get to be a very great force that controls your decisions. This chapter is concerned with culture and society and their influence on the educational decision-making process under the double reduction policy. This in respect to this acts as a way to help us understand the major repercussions that this policy can have.(Zhao, 2023; Zhou, 2023).</w:t>
      </w:r>
    </w:p>
    <w:p>
      <w:pPr>
        <w:keepNext/>
        <w:keepLines/>
        <w:numPr>
          <w:ilvl w:val="2"/>
          <w:numId w:val="1"/>
        </w:numPr>
        <w:spacing w:before="40" w:after="0" w:line="360" w:lineRule="auto"/>
        <w:outlineLvl w:val="2"/>
        <w:rPr>
          <w:rFonts w:ascii="Arial" w:hAnsi="Arial" w:eastAsia="Yu Gothic Light" w:cs="Arial"/>
          <w:b/>
          <w:i/>
          <w:color w:val="1F3763"/>
        </w:rPr>
      </w:pPr>
      <w:bookmarkStart w:id="33" w:name="_Toc157508426"/>
      <w:bookmarkEnd w:id="33"/>
      <w:bookmarkStart w:id="34" w:name="_Toc159852120"/>
      <w:r>
        <w:rPr>
          <w:rFonts w:ascii="Arial" w:hAnsi="Arial" w:eastAsia="Yu Gothic Light" w:cs="Arial"/>
          <w:b/>
          <w:i/>
          <w:color w:val="1F3763"/>
        </w:rPr>
        <w:t>Interplay of Educational Decision-Making Theory and Study</w:t>
      </w:r>
      <w:bookmarkEnd w:id="34"/>
      <w:r>
        <w:rPr>
          <w:rFonts w:ascii="Arial" w:hAnsi="Arial" w:eastAsia="Yu Gothic Light" w:cs="Arial"/>
          <w:b/>
          <w:i/>
          <w:color w:val="1F3763"/>
        </w:rPr>
        <w:t xml:space="preserve"> </w:t>
      </w:r>
    </w:p>
    <w:p>
      <w:pPr>
        <w:spacing w:line="360" w:lineRule="auto"/>
        <w:ind w:firstLine="0"/>
        <w:rPr>
          <w:rFonts w:ascii="Arial" w:hAnsi="Arial" w:cs="Arial"/>
        </w:rPr>
      </w:pPr>
      <w:r>
        <w:rPr>
          <w:rFonts w:ascii="Arial" w:hAnsi="Arial" w:cs="Arial"/>
        </w:rPr>
        <w:t>This research explores whether policy incentives can influence students 'decision making. Besides this, this study also explores the complex relationships behind information spread on these incentives, and how such information spread influences student thinking and decisions.</w:t>
      </w:r>
    </w:p>
    <w:p>
      <w:pPr>
        <w:spacing w:line="360" w:lineRule="auto"/>
        <w:ind w:firstLine="0"/>
        <w:rPr>
          <w:rFonts w:ascii="Arial" w:hAnsi="Arial" w:cs="Arial"/>
        </w:rPr>
      </w:pPr>
      <w:r>
        <w:rPr>
          <w:rFonts w:ascii="Arial" w:hAnsi="Arial" w:cs="Arial"/>
        </w:rPr>
        <w:t>Employing the theoretical platform of Educational Decision-Making Theory, we find a long tradition of societal collaboration tucked away in the process of the Double Reduction Policy. It provides many a doctrine that are stimulating and instructive. There have been a lot of cultural, informational and emotional factors that influenced the outcome of policy change. This paper is devoted to these subjects in a great detail. By looking back at historical trends, we can see how lawmakers and those interested in education came to a decision, and how the situation changed with the passage of time. Further, in order to understand why policies were altered and how students who were at the receiving end of these changes reacted, it's necessary to understand history in depth (Mikesell, 2021).</w:t>
      </w:r>
    </w:p>
    <w:p>
      <w:pPr>
        <w:spacing w:line="360" w:lineRule="auto"/>
        <w:ind w:firstLine="0"/>
        <w:rPr>
          <w:rFonts w:ascii="Arial" w:hAnsi="Arial" w:cs="Arial"/>
        </w:rPr>
      </w:pPr>
      <w:r>
        <w:rPr>
          <w:rFonts w:ascii="Arial" w:hAnsi="Arial" w:cs="Arial"/>
        </w:rPr>
        <w:t>To get a comprehensive understanding of its profound effects, we need to examine how policy rewards match up with the motivational aspects of decision-making. This section describes in detail the complex link between the Double Reduction Policy's incentives and the motives that people have discovered in the Educational Decision-Making Theory. We gain a deeper understanding of the deep impact of the policy when we incorporate a complex analysis of policy incentives within the decision-making theory framework (Dai, 2023; Wang, 2023).</w:t>
      </w:r>
    </w:p>
    <w:p>
      <w:pPr>
        <w:spacing w:line="360" w:lineRule="auto"/>
        <w:ind w:firstLine="0"/>
        <w:rPr>
          <w:rFonts w:ascii="Arial" w:hAnsi="Arial" w:cs="Arial"/>
        </w:rPr>
      </w:pPr>
      <w:r>
        <w:rPr>
          <w:rFonts w:ascii="Arial" w:hAnsi="Arial" w:cs="Arial"/>
        </w:rPr>
        <w:t>From another perspective we can use the Education Decision-Making Theory to discover the grounds for people’s preference of one type of education or another with the aim to open this section of study. This study's main goal is to reveal the fascinating interaction between the components of decision theory and student attitudes towards education, especially those who aspire to study overseas. The explanation lies in the subtle but complex relationship between motivational, informational and cultural factors. Examination of such preferences reveals significant insights about the wider impact of a policy on students’ scholarly ambitions and decisions (Bleen, 2015).</w:t>
      </w:r>
    </w:p>
    <w:p>
      <w:pPr>
        <w:keepNext/>
        <w:keepLines/>
        <w:numPr>
          <w:ilvl w:val="1"/>
          <w:numId w:val="1"/>
        </w:numPr>
        <w:spacing w:before="40" w:after="0" w:line="360" w:lineRule="auto"/>
        <w:outlineLvl w:val="1"/>
        <w:rPr>
          <w:rFonts w:ascii="Arial" w:hAnsi="Arial" w:eastAsia="Yu Gothic Light" w:cs="Arial"/>
          <w:b/>
        </w:rPr>
      </w:pPr>
      <w:bookmarkStart w:id="35" w:name="_Toc157508427"/>
      <w:bookmarkEnd w:id="35"/>
      <w:bookmarkStart w:id="36" w:name="_Toc159852121"/>
      <w:r>
        <w:rPr>
          <w:rFonts w:ascii="Arial" w:hAnsi="Arial" w:eastAsia="Yu Gothic Light" w:cs="Arial"/>
          <w:b/>
        </w:rPr>
        <w:t>Rationale for Research</w:t>
      </w:r>
      <w:bookmarkEnd w:id="36"/>
    </w:p>
    <w:p>
      <w:pPr>
        <w:keepNext/>
        <w:keepLines/>
        <w:numPr>
          <w:ilvl w:val="2"/>
          <w:numId w:val="1"/>
        </w:numPr>
        <w:spacing w:before="40" w:after="0" w:line="360" w:lineRule="auto"/>
        <w:outlineLvl w:val="2"/>
        <w:rPr>
          <w:rFonts w:ascii="Arial" w:hAnsi="Arial" w:eastAsia="Yu Gothic Light" w:cs="Arial"/>
          <w:b/>
          <w:i/>
          <w:color w:val="1F3763"/>
        </w:rPr>
      </w:pPr>
      <w:bookmarkStart w:id="37" w:name="_Toc157508428"/>
      <w:bookmarkEnd w:id="37"/>
      <w:bookmarkStart w:id="38" w:name="_Toc159852122"/>
      <w:r>
        <w:rPr>
          <w:rFonts w:ascii="Arial" w:hAnsi="Arial" w:eastAsia="Yu Gothic Light" w:cs="Arial"/>
          <w:b/>
          <w:i/>
          <w:color w:val="1F3763"/>
        </w:rPr>
        <w:t>Significance</w:t>
      </w:r>
      <w:bookmarkEnd w:id="38"/>
      <w:r>
        <w:rPr>
          <w:rFonts w:ascii="Arial" w:hAnsi="Arial" w:eastAsia="Yu Gothic Light" w:cs="Arial"/>
          <w:b/>
          <w:i/>
          <w:color w:val="1F3763"/>
        </w:rPr>
        <w:t xml:space="preserve"> </w:t>
      </w:r>
    </w:p>
    <w:p>
      <w:pPr>
        <w:spacing w:line="360" w:lineRule="auto"/>
        <w:ind w:firstLine="0"/>
        <w:rPr>
          <w:rFonts w:ascii="Arial" w:hAnsi="Arial" w:cs="Arial"/>
        </w:rPr>
      </w:pPr>
      <w:r>
        <w:rPr>
          <w:rFonts w:ascii="Arial" w:hAnsi="Arial" w:cs="Arial"/>
        </w:rPr>
        <w:t>At the crossroads among educational transformation, communal interests, and international policy consultations, the outcome of the inquiry into China's Double Reduction Policy is of great significance to a host of interested parties. It goes far beyond the bounds of a particular nation.</w:t>
      </w:r>
    </w:p>
    <w:p>
      <w:pPr>
        <w:spacing w:line="360" w:lineRule="auto"/>
        <w:ind w:firstLine="0"/>
        <w:rPr>
          <w:rFonts w:ascii="Arial" w:hAnsi="Arial" w:cs="Arial"/>
        </w:rPr>
      </w:pPr>
      <w:r>
        <w:rPr>
          <w:rFonts w:ascii="Arial" w:hAnsi="Arial" w:cs="Arial"/>
        </w:rPr>
        <w:t>The significance of this research is that the ambitious goals of the Double Reduction Policy have huge ramifications for education. With the always existing, all powerful problem of academic stress, this policy represents a departure from the traditional norms of the field of education. In transforming China's educational system as well, in developing a new international standard of radical comprehensive educational reforms, the potential breakthrough is enormous. In this research the author has therefore made a small attempt to look carefully at the factors that make this particular policy so complex. He hopes that this research can be a small brick in the wall of the vast body of knowledge that is the international education policy, free from concerns of culture and geography.</w:t>
      </w:r>
    </w:p>
    <w:p>
      <w:pPr>
        <w:spacing w:line="360" w:lineRule="auto"/>
        <w:ind w:firstLine="0"/>
        <w:rPr>
          <w:rFonts w:ascii="Arial" w:hAnsi="Arial" w:cs="Arial"/>
        </w:rPr>
      </w:pPr>
      <w:r>
        <w:rPr>
          <w:rFonts w:ascii="Arial" w:hAnsi="Arial" w:cs="Arial"/>
        </w:rPr>
        <w:t>More important than the significance of the research is evaluating the effectiveness of the Double Reduction Policy in lowering academic pressure. However, the result of this pressure from China's educational system has been that many Chinese students have only known the competition and high expectations. This psychological burden is the policy objective underlying the paradigmatic innovation of the policy. Its study of its effect on student stress goes far beyond local regions, with immense significance for the whole world. This study presents educators, policymakers and parents with extremely valuable precepts on the treacherous terrain of academic standards and student welfare. These insights reflect these educational systems in the world over which achieve that balanced harmony.</w:t>
      </w:r>
    </w:p>
    <w:p>
      <w:pPr>
        <w:spacing w:line="360" w:lineRule="auto"/>
        <w:ind w:firstLine="0"/>
        <w:rPr>
          <w:rFonts w:ascii="Arial" w:hAnsi="Arial" w:cs="Arial"/>
        </w:rPr>
      </w:pPr>
      <w:r>
        <w:rPr>
          <w:rFonts w:ascii="Arial" w:hAnsi="Arial" w:cs="Arial"/>
        </w:rPr>
        <w:t>Moving beyond the shallow aim of reducing stress, the study examines the serious impact this strategy has on students 'emotional and psychological development. After acknowledging that education involves more than simply piling up academic accomplishments, the Double Reduction Policy becomes a means of helping students to develop themselves comprehensively. As an educational policy, it is necessary to have a new paradigm to consider the relationship between the policy and the students 'mental health. This is a nuanced view which teachers and mental health workers cannot do without, and it enriches the conversation that is now taking place throughout the world about how we can best help our students to one day live happy, fulfilling lives.</w:t>
      </w:r>
    </w:p>
    <w:p>
      <w:pPr>
        <w:spacing w:line="360" w:lineRule="auto"/>
        <w:ind w:firstLine="0"/>
        <w:rPr>
          <w:rFonts w:ascii="Arial" w:hAnsi="Arial" w:cs="Arial"/>
        </w:rPr>
      </w:pPr>
      <w:r>
        <w:rPr>
          <w:rFonts w:ascii="Arial" w:hAnsi="Arial" w:cs="Arial"/>
        </w:rPr>
        <w:t>This research also has an important role in the debate on educational fairness. One of the Double Reduction Policy's goals is to bring the playing field of education level, reducing dependence on tutoring services, especially for students of different economic backgrounds. It is important in setting out toward a fairer educational environment to understand how the policy affects educational access. This research transcends borders, becoming part of international exchanges about how to establish just and accessible educational systems. These findings will provide policymakers around the world greater power, making it possible for them to refine their plans to deal with educational inequities.</w:t>
      </w:r>
    </w:p>
    <w:p>
      <w:pPr>
        <w:keepNext/>
        <w:keepLines/>
        <w:numPr>
          <w:ilvl w:val="2"/>
          <w:numId w:val="1"/>
        </w:numPr>
        <w:spacing w:before="40" w:after="0" w:line="360" w:lineRule="auto"/>
        <w:outlineLvl w:val="2"/>
        <w:rPr>
          <w:rFonts w:ascii="Arial" w:hAnsi="Arial" w:eastAsia="Yu Gothic Light" w:cs="Arial"/>
          <w:b/>
          <w:i/>
          <w:color w:val="1F3763"/>
        </w:rPr>
      </w:pPr>
      <w:bookmarkStart w:id="39" w:name="_Toc157508429"/>
      <w:bookmarkEnd w:id="39"/>
      <w:bookmarkStart w:id="40" w:name="_Toc159852123"/>
      <w:r>
        <w:rPr>
          <w:rFonts w:ascii="Arial" w:hAnsi="Arial" w:eastAsia="Yu Gothic Light" w:cs="Arial"/>
          <w:b/>
          <w:i/>
          <w:color w:val="1F3763"/>
        </w:rPr>
        <w:t>Societal Impact</w:t>
      </w:r>
      <w:bookmarkEnd w:id="40"/>
      <w:r>
        <w:rPr>
          <w:rFonts w:ascii="Arial" w:hAnsi="Arial" w:eastAsia="Yu Gothic Light" w:cs="Arial"/>
          <w:b/>
          <w:i/>
          <w:color w:val="1F3763"/>
        </w:rPr>
        <w:t xml:space="preserve"> </w:t>
      </w:r>
    </w:p>
    <w:p>
      <w:pPr>
        <w:spacing w:line="360" w:lineRule="auto"/>
        <w:ind w:firstLine="0"/>
        <w:rPr>
          <w:rFonts w:ascii="Arial" w:hAnsi="Arial" w:cs="Arial"/>
          <w:bCs/>
        </w:rPr>
      </w:pPr>
      <w:r>
        <w:rPr>
          <w:rFonts w:ascii="Arial" w:hAnsi="Arial" w:cs="Arial"/>
          <w:bCs/>
        </w:rPr>
        <w:t>The China's Double Reduction Policy has had a profound influence on many aspects of modern Chinese culture, not just in the classroom. Research and practice The research on the policy at present is to make a systematic investigation of the policy's many sides, from the social, cultural, economic, and corporate ones. There is acknowledgement that policy can change the entire structure of the country's education and social life.</w:t>
      </w:r>
    </w:p>
    <w:p>
      <w:pPr>
        <w:spacing w:line="360" w:lineRule="auto"/>
        <w:ind w:firstLine="0"/>
        <w:rPr>
          <w:rFonts w:ascii="Arial" w:hAnsi="Arial" w:cs="Arial"/>
          <w:bCs/>
        </w:rPr>
      </w:pPr>
      <w:r>
        <w:rPr>
          <w:rFonts w:ascii="Arial" w:hAnsi="Arial" w:cs="Arial"/>
          <w:bCs/>
        </w:rPr>
        <w:t>In the world of societal revolutions, the application of policy becomes a powerful catalyst, serving as a possible trigger for a planned change in the classic Chinese education structure. The relationship between education policy and society values is extremely complex, and is another important objective of this study. It is our hope that through examining this interacting web, we will better be able to comprehend the many strands that affect the development of cultural attitudes toward schooling. This study, which seeks to shed light on the intricate and shifting landscape of educational thought, is an academic endeavor. This study also looks very deeply into educational policy--even more deeply into the sticky web of society values and objectives. The discoveries have profound ramifications for sociologists, anthropologists, and those who analyze culture as they trace the intricate relationship between education and culture in an era of rapid social change.</w:t>
      </w:r>
    </w:p>
    <w:p>
      <w:pPr>
        <w:spacing w:line="360" w:lineRule="auto"/>
        <w:ind w:firstLine="0"/>
        <w:rPr>
          <w:rFonts w:ascii="Arial" w:hAnsi="Arial" w:cs="Arial"/>
          <w:bCs/>
        </w:rPr>
      </w:pPr>
      <w:r>
        <w:rPr>
          <w:rFonts w:ascii="Arial" w:hAnsi="Arial" w:cs="Arial"/>
          <w:bCs/>
        </w:rPr>
        <w:t>One important area of investigation is the economic effects of the policy, and particularly their impact on the business climate in education. With the slump in demand, educational service providers have naturally had to reconsider their financial strategies and operations. As to economic analysts, this two-part study in explaining how businesses in the educational services market adjust to changing needs is helping them understand how the education industry reacts when policies are adopted.</w:t>
      </w:r>
    </w:p>
    <w:p>
      <w:pPr>
        <w:spacing w:line="360" w:lineRule="auto"/>
        <w:ind w:firstLine="0"/>
        <w:rPr>
          <w:rFonts w:ascii="Arial" w:hAnsi="Arial" w:cs="Arial"/>
          <w:bCs/>
        </w:rPr>
      </w:pPr>
      <w:r>
        <w:rPr>
          <w:rFonts w:ascii="Arial" w:hAnsi="Arial" w:cs="Arial"/>
          <w:bCs/>
        </w:rPr>
        <w:t>Understanding how the Double Reduction Policy will affect society further expands the impact of education policies around the world. Educators and policy-makers the world over are striving to provide education as a springboard for success in life without affecting a child's overall health and happiness. The purpose of this study is to offer a standard of comparison with which to judge the validity of similar attempts in other countries. These efforts by China also provide a model for the rest of the world to follow, opening the way to dialogue and joint action aimed at developing education policies centered on the whole child.</w:t>
      </w:r>
    </w:p>
    <w:p>
      <w:pPr>
        <w:spacing w:line="360" w:lineRule="auto"/>
        <w:ind w:firstLine="0"/>
        <w:rPr>
          <w:rFonts w:ascii="Arial" w:hAnsi="Arial" w:cs="Arial"/>
          <w:bCs/>
        </w:rPr>
      </w:pPr>
      <w:r>
        <w:rPr>
          <w:rFonts w:ascii="Arial" w:hAnsi="Arial" w:cs="Arial"/>
          <w:bCs/>
        </w:rPr>
        <w:t>This study is not just about revealing the direct impact of the Double Reduction Policy, but is also about supplementing our knowledge of how educational policies can be used to produce larger-scale social change. This is a powerful illustration of the close interrelationships among education, culture, the economy, and societal values. It provides an all-encompassing lens through which to analyze the revolutionary potentials of educational transformation in today's world of rapidly changing scenes. The study's objective is to help us to see how China can develop into a more globally significant, culturally adapted, economically flexible educational landscape.</w:t>
      </w:r>
    </w:p>
    <w:p>
      <w:pPr>
        <w:spacing w:line="360" w:lineRule="auto"/>
        <w:ind w:firstLine="0"/>
        <w:rPr>
          <w:rFonts w:ascii="Arial" w:hAnsi="Arial" w:cs="Arial"/>
          <w:bCs/>
        </w:rPr>
      </w:pPr>
      <w:r>
        <w:rPr>
          <w:rFonts w:ascii="Arial" w:hAnsi="Arial" w:cs="Arial"/>
          <w:bCs/>
        </w:rPr>
        <w:t>This literature review outlines an immensely structured mosaic of complex subtleties that manifested from the use of the Double Reduction Policy in various aspects of education. The Double Reduction Policy has changed institutional practices, student experiences, and parental roles as a policy to relieve academic stress and create a more holistic approach in education. Lin’s (2021) close analysis of the historical background and key components of the policy sheds light on the incentives and structure that govern education.</w:t>
      </w:r>
    </w:p>
    <w:p>
      <w:pPr>
        <w:keepNext/>
        <w:keepLines/>
        <w:numPr>
          <w:ilvl w:val="0"/>
          <w:numId w:val="1"/>
        </w:numPr>
        <w:spacing w:before="240" w:after="0"/>
        <w:ind w:left="432"/>
        <w:jc w:val="center"/>
        <w:outlineLvl w:val="0"/>
        <w:rPr>
          <w:rFonts w:ascii="Arial" w:hAnsi="Arial" w:eastAsia="Yu Gothic Light"/>
          <w:b/>
          <w:color w:val="2F5496"/>
          <w:szCs w:val="32"/>
          <w:lang w:val="en-US"/>
        </w:rPr>
      </w:pPr>
      <w:bookmarkStart w:id="41" w:name="_Toc157508430"/>
      <w:bookmarkEnd w:id="41"/>
      <w:bookmarkStart w:id="42" w:name="_Toc159852124"/>
      <w:r>
        <w:rPr>
          <w:rFonts w:ascii="Arial" w:hAnsi="Arial" w:eastAsia="Yu Gothic Light"/>
          <w:b/>
          <w:color w:val="2F5496"/>
          <w:szCs w:val="32"/>
          <w:lang w:val="en-US"/>
        </w:rPr>
        <w:t>Methodology</w:t>
      </w:r>
      <w:bookmarkEnd w:id="42"/>
      <w:r>
        <w:rPr>
          <w:rFonts w:ascii="Arial" w:hAnsi="Arial" w:eastAsia="Yu Gothic Light"/>
          <w:b/>
          <w:color w:val="2F5496"/>
          <w:szCs w:val="32"/>
          <w:lang w:val="en-US"/>
        </w:rPr>
        <w:t xml:space="preserve"> </w:t>
      </w:r>
    </w:p>
    <w:p>
      <w:pPr>
        <w:keepNext/>
        <w:keepLines/>
        <w:numPr>
          <w:ilvl w:val="1"/>
          <w:numId w:val="1"/>
        </w:numPr>
        <w:spacing w:before="40" w:after="0" w:line="360" w:lineRule="auto"/>
        <w:outlineLvl w:val="1"/>
        <w:rPr>
          <w:rFonts w:ascii="Arial" w:hAnsi="Arial" w:eastAsia="Yu Gothic Light" w:cs="Arial"/>
          <w:b/>
        </w:rPr>
      </w:pPr>
      <w:bookmarkStart w:id="43" w:name="_Toc157508431"/>
      <w:bookmarkEnd w:id="43"/>
      <w:bookmarkStart w:id="44" w:name="_Toc159852125"/>
      <w:r>
        <w:rPr>
          <w:rFonts w:ascii="Arial" w:hAnsi="Arial" w:eastAsia="Yu Gothic Light" w:cs="Arial"/>
          <w:b/>
        </w:rPr>
        <w:t>Research paradigm</w:t>
      </w:r>
      <w:bookmarkEnd w:id="44"/>
      <w:r>
        <w:rPr>
          <w:rFonts w:ascii="Arial" w:hAnsi="Arial" w:eastAsia="Yu Gothic Light" w:cs="Arial"/>
          <w:b/>
        </w:rPr>
        <w:t xml:space="preserve"> </w:t>
      </w:r>
    </w:p>
    <w:p>
      <w:pPr>
        <w:spacing w:line="360" w:lineRule="auto"/>
        <w:ind w:firstLine="0"/>
        <w:rPr>
          <w:rFonts w:ascii="Arial" w:hAnsi="Arial" w:cs="Arial"/>
        </w:rPr>
      </w:pPr>
      <w:r>
        <w:rPr>
          <w:rFonts w:ascii="Arial" w:hAnsi="Arial" w:cs="Arial"/>
        </w:rPr>
        <w:t>The adoption of a pragmatic research approach in this study is based on the philosophical approach championed by the outstanding scholars such as James (2004) and Dewey (2008). Pragmatism is particularly pertinent given its emphasis on practical results and aligns seamlessly with the overarching goal of this study: to reveal the actual influence that the Double Reduction Policy has on the process of educational decision-making. In the literature review, the contributions of James and Dewey to pragmatism were possibly discussed, highlighting the pragmatic concern with the practical consequences and their relevance. This method makes sure that the study findings are not only theoretically anchored but also have practical value, allowing for an understanding of the practical implications of the policy on educational decision-making in the real world.</w:t>
      </w:r>
    </w:p>
    <w:p>
      <w:pPr>
        <w:spacing w:line="360" w:lineRule="auto"/>
        <w:ind w:firstLine="0"/>
        <w:rPr>
          <w:rFonts w:ascii="Arial" w:hAnsi="Arial" w:cs="Arial"/>
        </w:rPr>
      </w:pPr>
      <w:r>
        <w:rPr>
          <w:rFonts w:ascii="Arial" w:hAnsi="Arial" w:cs="Arial"/>
        </w:rPr>
        <w:t>The dynamic aspect of this study has philosophical parallels in pragmatism with its origins in the work of James and Dewey. Its primary principle, which is centred on practical significance, is entirely in keeping with the pragmatic objective of this work (James, 2004).</w:t>
      </w:r>
      <w:r>
        <w:t xml:space="preserve"> </w:t>
      </w:r>
      <w:r>
        <w:rPr>
          <w:rFonts w:ascii="Arial" w:hAnsi="Arial" w:cs="Arial"/>
        </w:rPr>
        <w:t>Pragmatism stresses that the meaning and the value of any idea or concept lie in its practical consequences and applications. In the framework of this research, the dynamic feature refers to the constant shifts and real-life consequences of the Double Reduction Policy on the decision-making process in the education. By emphasizing the practical significance, the study is consistent with the pragmatic goal of not only conceptualizing theoretical constructs but also shedding light on the manner in which these ideas materialize and influence the decision-making process in the dynamic educational sphere. The philosophy of pragmatism, which emphasizes the practicality and dynamics in ideas, is a very suitable philosophical framework for this research, which is closely aligned with its goals and nature.</w:t>
      </w:r>
    </w:p>
    <w:p>
      <w:pPr>
        <w:spacing w:line="360" w:lineRule="auto"/>
        <w:ind w:firstLine="0"/>
        <w:rPr>
          <w:rFonts w:ascii="Arial" w:hAnsi="Arial" w:cs="Arial"/>
        </w:rPr>
      </w:pPr>
      <w:r>
        <w:rPr>
          <w:rFonts w:ascii="Arial" w:hAnsi="Arial" w:cs="Arial"/>
        </w:rPr>
        <w:t>Pragmatism's vitality also allows us to combine qualitative and quantitative methods in different ways. Because of the many legislative shifts that have transformed the elements of the educational landscape, Dewey (2008) argues that an integrated perspective is a necessity. The study's purpose of taking the views of many stakeholders who are affected by the Double Reduction Policy reflects pragmatism's emphasis on the gathering of opinions.</w:t>
      </w:r>
    </w:p>
    <w:p>
      <w:pPr>
        <w:spacing w:line="360" w:lineRule="auto"/>
        <w:ind w:firstLine="0"/>
        <w:rPr>
          <w:rFonts w:ascii="Arial" w:hAnsi="Arial" w:cs="Arial"/>
        </w:rPr>
      </w:pPr>
      <w:r>
        <w:rPr>
          <w:rFonts w:ascii="Arial" w:hAnsi="Arial" w:cs="Arial"/>
        </w:rPr>
        <w:t xml:space="preserve">The study adopts the sequential exploratory method favoured by Creswell and Plano Clark (2011). This method is characterized by a qualitative initial phase, then a quantitative phase, which can provide a much more detailed analysis of the research question. The qualitative phase helps in building a theoretical framework and also generating hypothesis that are tested and verified during the quantitative phase. This sequential strategy provides a much more comprehensive and also integrated investigation, improving both the depth and the width of the study’s results. It conforms to the objective of the research to reveal qualitative as well as the quantitative aspects in terms of the effect of the Double Reduction Policy on the educational choices. </w:t>
      </w:r>
    </w:p>
    <w:p>
      <w:pPr>
        <w:keepNext/>
        <w:keepLines/>
        <w:numPr>
          <w:ilvl w:val="1"/>
          <w:numId w:val="1"/>
        </w:numPr>
        <w:spacing w:before="40" w:after="0" w:line="360" w:lineRule="auto"/>
        <w:outlineLvl w:val="1"/>
        <w:rPr>
          <w:rFonts w:ascii="Arial" w:hAnsi="Arial" w:eastAsia="Yu Gothic Light" w:cs="Arial"/>
          <w:b/>
        </w:rPr>
      </w:pPr>
      <w:bookmarkStart w:id="45" w:name="_Toc157508432"/>
      <w:bookmarkEnd w:id="45"/>
      <w:bookmarkStart w:id="46" w:name="_Toc159852126"/>
      <w:r>
        <w:rPr>
          <w:rFonts w:ascii="Arial" w:hAnsi="Arial" w:eastAsia="Yu Gothic Light" w:cs="Arial"/>
          <w:b/>
        </w:rPr>
        <w:t>Data collection</w:t>
      </w:r>
      <w:bookmarkEnd w:id="46"/>
      <w:r>
        <w:rPr>
          <w:rFonts w:ascii="Arial" w:hAnsi="Arial" w:eastAsia="Yu Gothic Light" w:cs="Arial"/>
          <w:b/>
        </w:rPr>
        <w:t xml:space="preserve"> </w:t>
      </w:r>
    </w:p>
    <w:p>
      <w:pPr>
        <w:keepNext/>
        <w:keepLines/>
        <w:numPr>
          <w:ilvl w:val="2"/>
          <w:numId w:val="1"/>
        </w:numPr>
        <w:spacing w:before="40" w:after="0" w:line="360" w:lineRule="auto"/>
        <w:outlineLvl w:val="2"/>
        <w:rPr>
          <w:rFonts w:ascii="Arial" w:hAnsi="Arial" w:eastAsia="Yu Gothic Light" w:cs="Arial"/>
          <w:b/>
          <w:i/>
          <w:color w:val="1F3763"/>
        </w:rPr>
      </w:pPr>
      <w:bookmarkStart w:id="47" w:name="_Toc157508433"/>
      <w:bookmarkEnd w:id="47"/>
      <w:bookmarkStart w:id="48" w:name="_Toc159852127"/>
      <w:r>
        <w:rPr>
          <w:rFonts w:ascii="Arial" w:hAnsi="Arial" w:eastAsia="Yu Gothic Light" w:cs="Arial"/>
          <w:b/>
          <w:i/>
          <w:color w:val="1F3763"/>
        </w:rPr>
        <w:t>Quantitative Data Collection: Surveys</w:t>
      </w:r>
      <w:bookmarkEnd w:id="48"/>
    </w:p>
    <w:p>
      <w:pPr>
        <w:spacing w:line="360" w:lineRule="auto"/>
        <w:ind w:firstLine="0"/>
        <w:rPr>
          <w:rFonts w:ascii="Arial" w:hAnsi="Arial" w:cs="Arial"/>
        </w:rPr>
      </w:pPr>
      <w:r>
        <w:rPr>
          <w:rFonts w:ascii="Arial" w:hAnsi="Arial" w:cs="Arial"/>
        </w:rPr>
        <w:t>The quantitative data collection for this study uses surveys, where the survey instrument is adapted based on the established principles in survey research and using the custom designed method described by Dillman et al. (2014). Dillman’s method in the field of survey research is known for its focus on the optimization of survey design, distribution, and also data collection procedures to improve the response rates and data accuracy. The approach entails the customization of the survey devices to the particular research environment and the use of established approaches for successful data collection. This source serves as a very comprehensive guide for the survey design, ensuring the reliability and also validity of the quantitative data through the application of survey research principles. The poll, which is carefully constructed, is specifically aimed at gathering a total picture of participants 'educational selections and their views on the Double Reduction Policy.</w:t>
      </w:r>
    </w:p>
    <w:p>
      <w:pPr>
        <w:spacing w:line="360" w:lineRule="auto"/>
        <w:ind w:firstLine="0"/>
        <w:rPr>
          <w:rFonts w:ascii="Arial" w:hAnsi="Arial" w:cs="Arial"/>
        </w:rPr>
      </w:pPr>
      <w:r>
        <w:rPr>
          <w:rFonts w:ascii="Arial" w:hAnsi="Arial" w:cs="Arial"/>
        </w:rPr>
        <w:t>In this study, the survey method is a very viable option for gathering the quantitative data because of its ability to reach a wide yet also representative sample. The purposeful implementation of closed-ended questions, especially in the first section that addresses the demographics and factors influencing the decision to study, enables structured answers that are readily quantified. The use of a rating scale to measure the significance of the factors helps the survey to obtain numerical data providing quantitative information about the motivations of the participants.</w:t>
      </w:r>
    </w:p>
    <w:p>
      <w:pPr>
        <w:spacing w:line="360" w:lineRule="auto"/>
        <w:ind w:firstLine="0"/>
        <w:rPr>
          <w:rFonts w:ascii="Arial" w:hAnsi="Arial" w:cs="Arial"/>
        </w:rPr>
      </w:pPr>
      <w:r>
        <w:rPr>
          <w:rFonts w:ascii="Arial" w:hAnsi="Arial" w:cs="Arial"/>
        </w:rPr>
        <w:t>The structured nature of the survey is very beneficial in producing the standardized responses that can be statistically analysed to determine the patterns and trends. This approach is particularly useful for eliciting the demographic data, including the age, gender, and also qualifications, giving a sense of location and the setting within the study.</w:t>
      </w:r>
    </w:p>
    <w:p>
      <w:pPr>
        <w:spacing w:line="360" w:lineRule="auto"/>
        <w:ind w:firstLine="0"/>
        <w:rPr>
          <w:rFonts w:ascii="Arial" w:hAnsi="Arial" w:cs="Arial"/>
        </w:rPr>
      </w:pPr>
      <w:r>
        <w:rPr>
          <w:rFonts w:ascii="Arial" w:hAnsi="Arial" w:cs="Arial"/>
        </w:rPr>
        <w:t>The survey program relies on a non-probability sampling method, namely convenience sampling, as the sampling strategy. Herein lies the characteristic of this approach which involves selection of people according to their accessibility and willingness to participate thus making it the most applicable choice given the difficulties that are involved in reaching the population that is broad and diverse. Convenience sampling offers a relatively quick and low-cost way of data collection which perfectly fits nearly all practical restrictions of the present study.</w:t>
      </w:r>
    </w:p>
    <w:p>
      <w:pPr>
        <w:spacing w:line="360" w:lineRule="auto"/>
        <w:ind w:firstLine="0"/>
        <w:rPr>
          <w:rFonts w:ascii="Arial" w:hAnsi="Arial" w:cs="Arial"/>
        </w:rPr>
      </w:pPr>
      <w:r>
        <w:rPr>
          <w:rFonts w:ascii="Arial" w:hAnsi="Arial" w:cs="Arial"/>
        </w:rPr>
        <w:t>That is a strategic plan to sample a sample size large enough to provide the information meaningful and practical limits and resources being considered. The aim is to attain a balance in acquiring data that is satisfactory for analysis and applying the feasibility of conducting the survey within a limited period of time. The importance of having a representative sample of participants is stressed not only for the validation of outcomes but also for the study to be applicable to a wide range of people.</w:t>
      </w:r>
    </w:p>
    <w:p>
      <w:pPr>
        <w:spacing w:line="360" w:lineRule="auto"/>
        <w:ind w:firstLine="0"/>
        <w:rPr>
          <w:rFonts w:ascii="Arial" w:hAnsi="Arial" w:cs="Arial"/>
        </w:rPr>
      </w:pPr>
      <w:r>
        <w:rPr>
          <w:rFonts w:ascii="Arial" w:hAnsi="Arial" w:cs="Arial"/>
        </w:rPr>
        <w:t>On the other hand, convenience sampling introduces biases and these arise because participants who are easily accessible and willing to participate may not be a true representation of the whole population. This can cause selection bias, after learning that some groups are overrepresented while others are underrepresented in the sample. Moreover, employing voluntary participation could introduce self-selection bias for example, people with specific opinions or experiences may be more likely to participate and thus their answers might bias the survey results.</w:t>
      </w:r>
    </w:p>
    <w:p>
      <w:pPr>
        <w:spacing w:line="360" w:lineRule="auto"/>
        <w:ind w:firstLine="0"/>
        <w:rPr>
          <w:rFonts w:ascii="Arial" w:hAnsi="Arial" w:cs="Arial"/>
        </w:rPr>
      </w:pPr>
      <w:r>
        <w:rPr>
          <w:rFonts w:ascii="Arial" w:hAnsi="Arial" w:cs="Arial"/>
        </w:rPr>
        <w:t>As bias could be a problem, steps will be taken to diversify the recruitment channels and encourage the eligible population from different demographic groups to partake. Moreover, the shortcomings of convenience sampling will be transparent both in the survey results and their interpretation to deliver a clear context so that the findings can be understood correctly. Despite these endeavors though, it has to be emphasized that the findings may, not entirely, be applicable to the overall population.</w:t>
      </w:r>
    </w:p>
    <w:p>
      <w:pPr>
        <w:spacing w:line="360" w:lineRule="auto"/>
        <w:ind w:firstLine="0"/>
        <w:rPr>
          <w:rFonts w:ascii="Arial" w:hAnsi="Arial" w:cs="Arial"/>
          <w:bCs/>
        </w:rPr>
      </w:pPr>
      <w:r>
        <w:rPr>
          <w:rFonts w:ascii="Arial" w:hAnsi="Arial" w:cs="Arial"/>
          <w:bCs/>
        </w:rPr>
        <w:t>More detailed questions about the participants 'schooling choices are included in the poll. But how did they become what they are today? Statistics and patterns can help explain typical reasons. We can use Likert-scale questions to get at how they feel the policy has changed stress levels. It provides us with a yardstick to measure this significant question.</w:t>
      </w:r>
    </w:p>
    <w:p>
      <w:pPr>
        <w:spacing w:line="360" w:lineRule="auto"/>
        <w:ind w:firstLine="0"/>
        <w:rPr>
          <w:rFonts w:ascii="Arial" w:hAnsi="Arial" w:cs="Arial"/>
          <w:bCs/>
        </w:rPr>
      </w:pPr>
      <w:r>
        <w:rPr>
          <w:rFonts w:ascii="Arial" w:hAnsi="Arial" w:cs="Arial"/>
          <w:bCs/>
        </w:rPr>
        <w:t>This is due to a scale with items ranging from 'strongly disagree' to 'strongly agree,' and it means people can express much more precisely what they think. Its borrowing of elements from well-known instruments, such as the Perceived Stress Scale (Cohen, Kamarck, &amp; Mermelstein, 2004), ensures that the survey is valid and reliable in reflecting the effect of the Double Reduction Policy on stress.</w:t>
      </w:r>
    </w:p>
    <w:p>
      <w:pPr>
        <w:keepNext/>
        <w:keepLines/>
        <w:numPr>
          <w:ilvl w:val="2"/>
          <w:numId w:val="1"/>
        </w:numPr>
        <w:spacing w:before="40" w:after="0" w:line="360" w:lineRule="auto"/>
        <w:outlineLvl w:val="2"/>
        <w:rPr>
          <w:rFonts w:ascii="Arial" w:hAnsi="Arial" w:eastAsia="Yu Gothic Light" w:cs="Arial"/>
          <w:b/>
          <w:i/>
          <w:color w:val="1F3763"/>
        </w:rPr>
      </w:pPr>
      <w:bookmarkStart w:id="49" w:name="_Toc157508434"/>
      <w:bookmarkEnd w:id="49"/>
      <w:bookmarkStart w:id="50" w:name="_Toc159852128"/>
      <w:r>
        <w:rPr>
          <w:rFonts w:ascii="Arial" w:hAnsi="Arial" w:eastAsia="Yu Gothic Light" w:cs="Arial"/>
          <w:b/>
          <w:i/>
          <w:color w:val="1F3763"/>
        </w:rPr>
        <w:t>Qualitative Data Collection: Interviews</w:t>
      </w:r>
      <w:bookmarkEnd w:id="50"/>
    </w:p>
    <w:p>
      <w:pPr>
        <w:spacing w:line="360" w:lineRule="auto"/>
        <w:ind w:firstLine="0"/>
        <w:rPr>
          <w:rFonts w:ascii="Arial" w:hAnsi="Arial" w:cs="Arial"/>
          <w:bCs/>
        </w:rPr>
      </w:pPr>
      <w:r>
        <w:rPr>
          <w:rFonts w:ascii="Arial" w:hAnsi="Arial" w:cs="Arial"/>
          <w:bCs/>
        </w:rPr>
        <w:t>The qualitative base adopts semi-structured interviews. Through the interviews, they provide a space to talk about why they decided to sign up, how they arrived at their decision and how they are influenced by the Double Reduction Policy. Patton (2015) recommends that the interview structure should use open-ended questions to let the participants tell their own stories. It allows us to enter the rich and complex world of people in Creswell &amp; Creswell (2017).</w:t>
      </w:r>
    </w:p>
    <w:p>
      <w:pPr>
        <w:spacing w:line="360" w:lineRule="auto"/>
        <w:ind w:firstLine="0"/>
        <w:rPr>
          <w:rFonts w:ascii="Arial" w:hAnsi="Arial" w:cs="Arial"/>
          <w:bCs/>
        </w:rPr>
      </w:pPr>
      <w:r>
        <w:rPr>
          <w:rFonts w:ascii="Arial" w:hAnsi="Arial" w:cs="Arial"/>
          <w:bCs/>
        </w:rPr>
        <w:t>The semi-structured method offers a compromise between flexibility and structure. With a framework and questions already set, the conversation can have some wonderful unexpected turns. Having to be very adaptable to understand all the different things that people take into consideration when making decisions about education.</w:t>
      </w:r>
    </w:p>
    <w:p>
      <w:pPr>
        <w:spacing w:line="360" w:lineRule="auto"/>
        <w:ind w:firstLine="0"/>
        <w:rPr>
          <w:rFonts w:ascii="Arial" w:hAnsi="Arial" w:cs="Arial"/>
          <w:bCs/>
        </w:rPr>
      </w:pPr>
      <w:r>
        <w:rPr>
          <w:rFonts w:ascii="Arial" w:hAnsi="Arial" w:cs="Arial"/>
          <w:bCs/>
        </w:rPr>
        <w:t>Participants will be selected by purposive sampling in order to reflect a variety of educational choices. They include those who study abroad, those who return to China to study as well as many others. Patton (2015) stresses the significance of purposive sampling in qualitative research. Participants are selected according to various characteristics relevant to a study topic. By collecting a number of differing experiences and perspectives, this method enriches the depth and breadth of the study, and strengthens the study's qualitative data.</w:t>
      </w:r>
    </w:p>
    <w:p>
      <w:pPr>
        <w:spacing w:line="360" w:lineRule="auto"/>
        <w:ind w:firstLine="0"/>
        <w:rPr>
          <w:rFonts w:ascii="Arial" w:hAnsi="Arial" w:cs="Arial"/>
          <w:bCs/>
        </w:rPr>
      </w:pPr>
      <w:r>
        <w:rPr>
          <w:rFonts w:ascii="Arial" w:hAnsi="Arial" w:cs="Arial"/>
          <w:bCs/>
        </w:rPr>
        <w:t>During the interviews (Seidman, 2013), we will assume a conversational tone because we want the interviewees to feel at ease and to be themselves. This method encourages communication by posing general questions to stimulate debate. In accordance with the principles of qualitative inquiry, the researcher is shown in conversation as an active listener and facilitator. This approach strives to lay bare the delicate parts of participants 'experiences of the Double Reduction Policy by building rapport and trust.</w:t>
      </w:r>
    </w:p>
    <w:p>
      <w:pPr>
        <w:keepNext/>
        <w:keepLines/>
        <w:numPr>
          <w:ilvl w:val="2"/>
          <w:numId w:val="1"/>
        </w:numPr>
        <w:spacing w:before="40" w:after="0" w:line="360" w:lineRule="auto"/>
        <w:outlineLvl w:val="2"/>
        <w:rPr>
          <w:rFonts w:ascii="Arial" w:hAnsi="Arial" w:eastAsia="Yu Gothic Light" w:cs="Arial"/>
          <w:b/>
          <w:i/>
          <w:color w:val="1F3763"/>
        </w:rPr>
      </w:pPr>
      <w:bookmarkStart w:id="51" w:name="_Toc157508435"/>
      <w:bookmarkEnd w:id="51"/>
      <w:bookmarkStart w:id="52" w:name="_Toc159852129"/>
      <w:r>
        <w:rPr>
          <w:rFonts w:ascii="Arial" w:hAnsi="Arial" w:eastAsia="Yu Gothic Light" w:cs="Arial"/>
          <w:b/>
          <w:i/>
          <w:color w:val="1F3763"/>
        </w:rPr>
        <w:t>Participants</w:t>
      </w:r>
      <w:bookmarkEnd w:id="52"/>
      <w:r>
        <w:rPr>
          <w:rFonts w:ascii="Arial" w:hAnsi="Arial" w:eastAsia="Yu Gothic Light" w:cs="Arial"/>
          <w:b/>
          <w:i/>
          <w:color w:val="1F3763"/>
        </w:rPr>
        <w:t xml:space="preserve"> </w:t>
      </w:r>
    </w:p>
    <w:p>
      <w:pPr>
        <w:spacing w:line="360" w:lineRule="auto"/>
        <w:ind w:firstLine="0"/>
        <w:rPr>
          <w:rFonts w:ascii="Arial" w:hAnsi="Arial" w:cs="Arial"/>
          <w:bCs/>
        </w:rPr>
      </w:pPr>
      <w:r>
        <w:rPr>
          <w:rFonts w:ascii="Arial" w:hAnsi="Arial" w:cs="Arial"/>
          <w:bCs/>
        </w:rPr>
        <w:t>Many different types of participants are sought out for this study to truly get a sense of the breadth of educational directions impacted by the Double Reduction Policy. The research is focused upon parents whose own children have taken a variety of different educational routes, including going overseas, coming back to China or moving to the United States. The recruitment strategy for participants in the study is grounded in a consent-based approach, emphasizing the importance of participants offering their labor and time willingly. The consent process involves providing detailed information about the study, ensuring voluntary participation, guaranteeing privacy and confidentiality, sharing contact information for open communication, and obtaining explicit acknowledgment of understanding. This ethical approach aims to uphold principles of autonomy, beneficence, and respect for individuals throughout the research process. Participant selection will be based on purposeful sampling in order to afford a representative cross-section of views. Twenty to thirty people are expected to participate. This will furnish a large pool of data for quantitative and qualitative analysis. Since they involved a wide cross section of participants, this study can give a more accurate overall impression of the Double Reduction Policy and of the ways in which it affects individual students 'decisions about how much and what to study.</w:t>
      </w:r>
    </w:p>
    <w:p>
      <w:pPr>
        <w:keepNext/>
        <w:keepLines/>
        <w:numPr>
          <w:ilvl w:val="1"/>
          <w:numId w:val="1"/>
        </w:numPr>
        <w:spacing w:before="40" w:after="0" w:line="360" w:lineRule="auto"/>
        <w:outlineLvl w:val="1"/>
        <w:rPr>
          <w:rFonts w:ascii="Arial" w:hAnsi="Arial" w:eastAsia="Yu Gothic Light" w:cs="Arial"/>
          <w:b/>
        </w:rPr>
      </w:pPr>
      <w:bookmarkStart w:id="53" w:name="_Toc157508436"/>
      <w:bookmarkEnd w:id="53"/>
      <w:bookmarkStart w:id="54" w:name="_Toc159852130"/>
      <w:r>
        <w:rPr>
          <w:rFonts w:ascii="Arial" w:hAnsi="Arial" w:eastAsia="Yu Gothic Light" w:cs="Arial"/>
          <w:b/>
        </w:rPr>
        <w:t>Data Analysis</w:t>
      </w:r>
      <w:bookmarkEnd w:id="54"/>
      <w:r>
        <w:rPr>
          <w:rFonts w:ascii="Arial" w:hAnsi="Arial" w:eastAsia="Yu Gothic Light" w:cs="Arial"/>
          <w:b/>
        </w:rPr>
        <w:t xml:space="preserve"> </w:t>
      </w:r>
    </w:p>
    <w:p>
      <w:pPr>
        <w:spacing w:line="360" w:lineRule="auto"/>
        <w:ind w:firstLine="0"/>
        <w:rPr>
          <w:rFonts w:ascii="Arial" w:hAnsi="Arial" w:cs="Arial"/>
          <w:bCs/>
        </w:rPr>
      </w:pPr>
      <w:r>
        <w:rPr>
          <w:rFonts w:ascii="Arial" w:hAnsi="Arial" w:cs="Arial"/>
          <w:bCs/>
        </w:rPr>
        <w:t>Based on the quantitative data from the surveys, a thorough content analysis will be carried out. Participants 'replies are systematically classified and interpreted. Quantitative results are described in full colour. Participants 'choices and opinions will be described by descriptive statistics like frequencies and percentages. Other inferential statistics methods, such as regression analysis, will also be used to analyse the relationship between targeted policy stimuli and participants 'school choice. This is a qualitative method, and thus more suitable for detecting regularities and trends in the data set.</w:t>
      </w:r>
    </w:p>
    <w:p>
      <w:pPr>
        <w:spacing w:line="360" w:lineRule="auto"/>
        <w:ind w:firstLine="0"/>
        <w:rPr>
          <w:rFonts w:ascii="Arial" w:hAnsi="Arial" w:cs="Arial"/>
          <w:bCs/>
        </w:rPr>
      </w:pPr>
      <w:r>
        <w:rPr>
          <w:rFonts w:ascii="Arial" w:hAnsi="Arial" w:cs="Arial"/>
          <w:bCs/>
        </w:rPr>
        <w:t>These themes will be detected by thematic analysis of the interview data. This is the role of thematic analysis, which is to pinpoint, expose and describe thematic trends within a complex of qualitative materials. Taking this approach, one can gain some insight into the participants 'reasons for doing so and what they experienced, both good and bad, under the Double Reduction Policy. The qualitative analysis fills in more details. These themes, which emerge from the quantitative results, provide a richer, more complete picture of the many factors at work in the participants 'educational decision. The combination of qualitative and quantitative methods enhances the interpretive structure as a whole and ensures a comprehensive examination of the research issues.</w:t>
      </w:r>
    </w:p>
    <w:p>
      <w:pPr>
        <w:keepNext/>
        <w:keepLines/>
        <w:numPr>
          <w:ilvl w:val="1"/>
          <w:numId w:val="1"/>
        </w:numPr>
        <w:spacing w:before="40" w:after="0" w:line="360" w:lineRule="auto"/>
        <w:outlineLvl w:val="1"/>
        <w:rPr>
          <w:rFonts w:ascii="Arial" w:hAnsi="Arial" w:eastAsia="Yu Gothic Light" w:cs="Arial"/>
          <w:b/>
        </w:rPr>
      </w:pPr>
      <w:bookmarkStart w:id="55" w:name="_Toc157508437"/>
      <w:bookmarkEnd w:id="55"/>
      <w:bookmarkStart w:id="56" w:name="_Toc159852131"/>
      <w:r>
        <w:rPr>
          <w:rFonts w:ascii="Arial" w:hAnsi="Arial" w:eastAsia="Yu Gothic Light" w:cs="Arial"/>
          <w:b/>
        </w:rPr>
        <w:t>Ethical Considerations</w:t>
      </w:r>
      <w:bookmarkEnd w:id="56"/>
      <w:r>
        <w:rPr>
          <w:rFonts w:ascii="Arial" w:hAnsi="Arial" w:eastAsia="Yu Gothic Light" w:cs="Arial"/>
          <w:b/>
        </w:rPr>
        <w:t xml:space="preserve"> </w:t>
      </w:r>
    </w:p>
    <w:p>
      <w:pPr>
        <w:spacing w:line="360" w:lineRule="auto"/>
        <w:ind w:firstLine="0"/>
        <w:rPr>
          <w:rFonts w:ascii="Arial" w:hAnsi="Arial" w:cs="Arial"/>
          <w:bCs/>
        </w:rPr>
      </w:pPr>
      <w:r>
        <w:rPr>
          <w:rFonts w:ascii="Arial" w:hAnsi="Arial" w:cs="Arial"/>
          <w:bCs/>
        </w:rPr>
        <w:t>It is vital to adhere to a high degree of ethical rigor in research to ensure the safety of research participants’ rights, interests, and dignity (Creswell, 2014). The members of the study will be given detailed information on the aims, methods, risks, and returns under this research and they will be signing the written informed consents to make matters clear for them and for the rational choice (Creswell &amp; Plano Clark, 2011).</w:t>
      </w:r>
    </w:p>
    <w:p>
      <w:pPr>
        <w:spacing w:line="360" w:lineRule="auto"/>
        <w:ind w:firstLine="0"/>
        <w:rPr>
          <w:rFonts w:ascii="Arial" w:hAnsi="Arial" w:cs="Arial"/>
          <w:bCs/>
        </w:rPr>
      </w:pPr>
      <w:r>
        <w:rPr>
          <w:rFonts w:ascii="Arial" w:hAnsi="Arial" w:cs="Arial"/>
          <w:bCs/>
        </w:rPr>
        <w:t>Those who participate to the study must be anonymous, with each one being coded by a random identification to depersonalize data before being analyzed (Denzin, 2017). The ethical principles as stated in the UWTSD Research Ethics &amp; Integrity Code of Practice will be strictly adhered to, with the participants’ free will to volunteer and leave any time they desire (Seidman, 2013).</w:t>
      </w:r>
    </w:p>
    <w:p>
      <w:pPr>
        <w:spacing w:line="360" w:lineRule="auto"/>
        <w:ind w:firstLine="0"/>
        <w:rPr>
          <w:rFonts w:ascii="Arial" w:hAnsi="Arial" w:cs="Arial"/>
          <w:bCs/>
        </w:rPr>
      </w:pPr>
      <w:r>
        <w:rPr>
          <w:rFonts w:ascii="Arial" w:hAnsi="Arial" w:cs="Arial"/>
          <w:bCs/>
        </w:rPr>
        <w:t>The method of purposeful sampling is applied with the aim of balance and representation in the participants selection as based on the UWTSD Research Ethics &amp; Integrity Code of Practice guiding to respect autonomy without discrimination (Dai, 2023). Measures will be taken to prevention of risk and anxiety to the participants, not using force and repecting privacy during interviews and surveies. The study, centering on educational decisions, uses unobtrusive strategies to lower stress (Zimmerman, , 2002).</w:t>
      </w:r>
    </w:p>
    <w:p>
      <w:pPr>
        <w:spacing w:line="360" w:lineRule="auto"/>
        <w:ind w:firstLine="0"/>
        <w:rPr>
          <w:rFonts w:ascii="Arial" w:hAnsi="Arial" w:cs="Arial"/>
          <w:bCs/>
        </w:rPr>
      </w:pPr>
      <w:r>
        <w:rPr>
          <w:rFonts w:ascii="Arial" w:hAnsi="Arial" w:cs="Arial"/>
          <w:bCs/>
        </w:rPr>
        <w:t>Ethical approval will be sought from the relevant institutional review board / ethics committee, with reference to ethical criteria and principles established by the University of Wales (UTSW Research Ethics &amp; Integrity Code of Practice). The research ethics are of great importance to maintain the allowance of research and the health of the participants.</w:t>
      </w:r>
    </w:p>
    <w:p>
      <w:pPr>
        <w:keepNext/>
        <w:keepLines/>
        <w:numPr>
          <w:ilvl w:val="1"/>
          <w:numId w:val="1"/>
        </w:numPr>
        <w:spacing w:before="40" w:after="0" w:line="360" w:lineRule="auto"/>
        <w:outlineLvl w:val="1"/>
        <w:rPr>
          <w:rFonts w:ascii="Arial" w:hAnsi="Arial" w:eastAsia="Yu Gothic Light" w:cs="Arial"/>
          <w:b/>
        </w:rPr>
      </w:pPr>
      <w:bookmarkStart w:id="57" w:name="_Toc157508438"/>
      <w:bookmarkEnd w:id="57"/>
      <w:bookmarkStart w:id="58" w:name="_Toc159852132"/>
      <w:r>
        <w:rPr>
          <w:rFonts w:ascii="Arial" w:hAnsi="Arial" w:eastAsia="Yu Gothic Light" w:cs="Arial"/>
          <w:b/>
        </w:rPr>
        <w:t>Limitations of Research Methods:</w:t>
      </w:r>
      <w:bookmarkEnd w:id="58"/>
      <w:r>
        <w:rPr>
          <w:rFonts w:ascii="Arial" w:hAnsi="Arial" w:eastAsia="Yu Gothic Light" w:cs="Arial"/>
          <w:b/>
        </w:rPr>
        <w:t xml:space="preserve"> </w:t>
      </w:r>
    </w:p>
    <w:p>
      <w:pPr>
        <w:spacing w:line="360" w:lineRule="auto"/>
        <w:ind w:firstLine="0"/>
        <w:rPr>
          <w:rFonts w:ascii="Arial" w:hAnsi="Arial" w:cs="Arial"/>
          <w:bCs/>
        </w:rPr>
      </w:pPr>
      <w:r>
        <w:rPr>
          <w:rFonts w:ascii="Arial" w:hAnsi="Arial" w:cs="Arial"/>
          <w:bCs/>
        </w:rPr>
        <w:t>Saying that this study only applies to parents of children who have studied abroad, and is limited by the fact that it is only concerned with the Shanghai Jiao Tong University. However, although the university is not representative of the general population of Chinese youths, its diversity may make the external validity of the study questionable. Since both surveys and interviews are voluntary, the possibility of self-selection bias exists. If the participants have odd backgrounds or experiences, the opinions they give may not be representative of the general public. This bias can skew a study's ability to draw fair conclusions.</w:t>
      </w:r>
    </w:p>
    <w:p>
      <w:pPr>
        <w:spacing w:line="360" w:lineRule="auto"/>
        <w:ind w:firstLine="0"/>
        <w:rPr>
          <w:rFonts w:ascii="Arial" w:hAnsi="Arial" w:cs="Arial"/>
          <w:bCs/>
        </w:rPr>
      </w:pPr>
      <w:r>
        <w:rPr>
          <w:rFonts w:ascii="Arial" w:hAnsi="Arial" w:cs="Arial"/>
          <w:bCs/>
        </w:rPr>
        <w:t>Especially as regards survey answers, people will tend to respond in a way that they consider proper. This bias could lead to the over-emphasis of positive or socially acceptable characteristics or points of view. Both those taking part in surveys and interviewees can suffer from the problem of recall bias, in which people provide incorrect or incomplete descriptions of their past experiences and observations. Possibly this could introduce bias into the data, especially in terms of just what gets people to do what they do.</w:t>
      </w:r>
    </w:p>
    <w:p>
      <w:pPr>
        <w:spacing w:line="360" w:lineRule="auto"/>
        <w:ind w:firstLine="0"/>
        <w:rPr>
          <w:rFonts w:ascii="Arial" w:hAnsi="Arial" w:cs="Arial"/>
          <w:bCs/>
        </w:rPr>
      </w:pPr>
      <w:r>
        <w:rPr>
          <w:rFonts w:ascii="Arial" w:hAnsi="Arial" w:cs="Arial"/>
          <w:bCs/>
        </w:rPr>
        <w:t>Although efforts were made to ensure cultural sensitivity in the design of survey and interview questions, quirks and variations in interpretation of these questions still might affect the accuracy of the answers. In doing cross-cultural research, one has to consider how language and culture affect study participants. One of the limitations of cross-sectional studies, such as this one, is that they only take a picture in time. However, the impact of policy changes is more easily understood through longitudinal studies.</w:t>
      </w:r>
    </w:p>
    <w:p>
      <w:pPr>
        <w:spacing w:line="360" w:lineRule="auto"/>
        <w:ind w:firstLine="0"/>
        <w:rPr>
          <w:rFonts w:ascii="Arial" w:hAnsi="Arial" w:cs="Arial"/>
          <w:bCs/>
        </w:rPr>
      </w:pPr>
      <w:r>
        <w:rPr>
          <w:rFonts w:ascii="Arial" w:hAnsi="Arial" w:cs="Arial"/>
          <w:bCs/>
        </w:rPr>
        <w:t>Although correlations can be found through, it is still difficult to infer through the Double Reduction Policy and the educational routes of participants. Yet in spite of the extensive effort expended in designing the survey tool, the limitations of survey research, such as possible reaction biases and superficiality of responses, may have restricted the study in its capture of the rich diversity of participant motivations and experiences. This is because it is hard to explain observed trends to policy alone as there were no control groups in the study design.</w:t>
      </w:r>
    </w:p>
    <w:p>
      <w:pPr>
        <w:spacing w:line="360" w:lineRule="auto"/>
        <w:ind w:firstLine="0"/>
        <w:rPr>
          <w:rFonts w:ascii="Arial" w:hAnsi="Arial" w:cs="Arial"/>
          <w:bCs/>
        </w:rPr>
      </w:pPr>
      <w:r>
        <w:rPr>
          <w:rFonts w:ascii="Arial" w:hAnsi="Arial" w:cs="Arial"/>
          <w:bCs/>
        </w:rPr>
        <w:t>Despite the obvious limitations, the following are commendable aspects of this study. Its principal aim is to provide major insights into the larger impact of the Double Reduction Policy on educational choices. In this way, it constitutes a firm starting point for future studies and policy discussions in this area. Recognition of these built-in constraints lays a foundation for the assessment of results and aids in fostering a responsible attitude towards drawing conclusions beyond the particular situation of the study.</w:t>
      </w:r>
    </w:p>
    <w:p>
      <w:pPr>
        <w:pStyle w:val="3"/>
        <w:rPr>
          <w:lang w:val="en-US"/>
        </w:rPr>
      </w:pPr>
      <w:bookmarkStart w:id="59" w:name="_Toc157508439"/>
      <w:bookmarkEnd w:id="59"/>
      <w:bookmarkStart w:id="60" w:name="_Toc159852133"/>
      <w:r>
        <w:rPr>
          <w:lang w:val="en-US"/>
        </w:rPr>
        <w:t>. Conclusion</w:t>
      </w:r>
      <w:bookmarkEnd w:id="60"/>
      <w:r>
        <w:rPr>
          <w:lang w:val="en-US"/>
        </w:rPr>
        <w:t xml:space="preserve"> </w:t>
      </w:r>
    </w:p>
    <w:p>
      <w:pPr>
        <w:spacing w:line="360" w:lineRule="auto"/>
        <w:ind w:firstLine="0"/>
        <w:rPr>
          <w:rFonts w:ascii="Arial" w:hAnsi="Arial" w:cs="Arial"/>
        </w:rPr>
      </w:pPr>
      <w:r>
        <w:rPr>
          <w:rFonts w:ascii="Arial" w:hAnsi="Arial" w:cs="Arial"/>
        </w:rPr>
        <w:t>Double Reduction Policy triggers a new policy environment, which forces educational institutions to adjust accordingly. The studies by She et al. (2023) and Zhong and Park (2023) also address the challenges and opportunities that such institutions face, which clarifies the interplay between policy demands and institutional actions. This institutional view shows not only the transformations that institutions require to undertake but also paths for new approaches seeking a more equitable education system.</w:t>
      </w:r>
    </w:p>
    <w:p>
      <w:pPr>
        <w:spacing w:line="360" w:lineRule="auto"/>
        <w:ind w:firstLine="0"/>
        <w:rPr>
          <w:rFonts w:ascii="Arial" w:hAnsi="Arial" w:cs="Arial"/>
        </w:rPr>
      </w:pPr>
      <w:r>
        <w:rPr>
          <w:rFonts w:ascii="Arial" w:hAnsi="Arial" w:cs="Arial"/>
        </w:rPr>
        <w:t>At the individual level, the literature presents a transformative experience for students and their families. The personal growth and lower academic pressure, which is the focus of Qian et al. (2023), and Wang et al. (2022), are accompanied by a significant increase in outside activity. The liberation from excessive academic load, as illustrated in Dai’s (2023) research, reflects the transition toward a broader mould of education beyond the scope of classrooms. This change is not only in line with the goals of the DRP, but it also corresponds to an important societal desire for a holistic educational experience.</w:t>
      </w:r>
    </w:p>
    <w:p>
      <w:pPr>
        <w:spacing w:line="360" w:lineRule="auto"/>
        <w:ind w:firstLine="0"/>
        <w:rPr>
          <w:rFonts w:ascii="Arial" w:hAnsi="Arial" w:cs="Arial"/>
        </w:rPr>
      </w:pPr>
      <w:r>
        <w:rPr>
          <w:rFonts w:ascii="Arial" w:hAnsi="Arial" w:cs="Arial"/>
        </w:rPr>
        <w:t>Hence, the literature sheds light on such a fragile balance that parents should find between adapting to the changing paradigm of education. She et al. (2023) and Liu et al. (2022) analyze the complex relationship between academic performance and a holistic approach towards child-rearing. Such parental view reflects the wave effects of DRP on family relations, highlighting the importance to take a comprehensive approach towards evaluating this policy.</w:t>
      </w:r>
    </w:p>
    <w:p>
      <w:pPr>
        <w:spacing w:line="360" w:lineRule="auto"/>
        <w:ind w:firstLine="0"/>
        <w:rPr>
          <w:rFonts w:ascii="Arial" w:hAnsi="Arial" w:cs="Arial"/>
        </w:rPr>
      </w:pPr>
      <w:r>
        <w:rPr>
          <w:rFonts w:ascii="Arial" w:hAnsi="Arial" w:cs="Arial"/>
        </w:rPr>
        <w:t>The reviewed literature is synthesized to show a story of evolution, in which the Double Reduction Policy functions as an agent or driver of change across several educational dimensions. With the empirical investigation as its core component, these insights serve to form a solid base for interpreting the subtle findings and feeding into the emerging discussion on educational policy and practice in China.</w:t>
      </w: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pStyle w:val="2"/>
      </w:pPr>
      <w:bookmarkStart w:id="61" w:name="_Toc159852134"/>
      <w:r>
        <w:t>Results</w:t>
      </w:r>
      <w:bookmarkEnd w:id="61"/>
    </w:p>
    <w:p>
      <w:pPr>
        <w:pStyle w:val="3"/>
        <w:rPr>
          <w:lang w:val="zh-CN"/>
        </w:rPr>
      </w:pPr>
      <w:bookmarkStart w:id="62" w:name="_Toc159852135"/>
      <w:r>
        <w:rPr>
          <w:lang w:val="zh-CN"/>
        </w:rPr>
        <w:t>Introduction</w:t>
      </w:r>
      <w:bookmarkEnd w:id="62"/>
    </w:p>
    <w:p>
      <w:pPr>
        <w:ind w:firstLine="0"/>
        <w:contextualSpacing/>
        <w:rPr>
          <w:rFonts w:ascii="Arial" w:hAnsi="Arial" w:cs="Arial"/>
          <w:lang w:val="zh-CN"/>
        </w:rPr>
      </w:pPr>
      <w:r>
        <w:rPr>
          <w:rFonts w:ascii="Arial" w:hAnsi="Arial" w:cs="Arial"/>
          <w:lang w:val="zh-CN"/>
        </w:rPr>
        <w:t>The results of this study are presented in three sections: demographic data, educational decisions and activities, and perceptions and feelings. From a group of 25 respondents who filled the questionnaire, 5 respondents participated in the interview. The demographic information section gives a sketch of the respondents' age, sex, and the current education level of the respondents. The last part of the questionnaire deals with the educational choices and experiences of the respondents concerning their decisions to study abroad, to return to China for employment or to emigrate for further education after they have completed their studies, and the impact of the Double Reduced Policy on their choices. This part deals with their personal perceptions and attitudes about the DPRP and how they might affect their private and professional lives. In addition to that, the interview data supply an objective view of the respondents’ education and occupational choices impact. The findings are presented in tables, which are aimed to assist a quick and easy interpretation of the results.</w:t>
      </w:r>
    </w:p>
    <w:p>
      <w:pPr>
        <w:pStyle w:val="3"/>
        <w:rPr>
          <w:lang w:val="en-US"/>
        </w:rPr>
      </w:pPr>
      <w:bookmarkStart w:id="63" w:name="_Toc159852136"/>
      <w:r>
        <w:rPr>
          <w:lang w:val="en-US"/>
        </w:rPr>
        <w:t>Presentation of Data</w:t>
      </w:r>
      <w:bookmarkEnd w:id="63"/>
    </w:p>
    <w:p>
      <w:pPr>
        <w:pStyle w:val="4"/>
        <w:rPr>
          <w:lang w:val="en-US"/>
        </w:rPr>
      </w:pPr>
      <w:bookmarkStart w:id="64" w:name="_Toc159852137"/>
      <w:r>
        <w:rPr>
          <w:lang w:val="en-US"/>
        </w:rPr>
        <w:t>Quantitative data presentation</w:t>
      </w:r>
      <w:bookmarkEnd w:id="64"/>
      <w:r>
        <w:rPr>
          <w:lang w:val="en-US"/>
        </w:rPr>
        <w:t xml:space="preserve"> </w:t>
      </w:r>
    </w:p>
    <w:p>
      <w:pPr>
        <w:ind w:firstLine="0"/>
        <w:contextualSpacing/>
        <w:rPr>
          <w:rFonts w:ascii="Arial" w:hAnsi="Arial" w:cs="Arial"/>
          <w:lang w:val="en-US"/>
        </w:rPr>
      </w:pPr>
      <w:r>
        <w:rPr>
          <w:rFonts w:ascii="Arial" w:hAnsi="Arial" w:cs="Arial"/>
          <w:lang w:val="en-US"/>
        </w:rPr>
        <w:t>This study was based on data that was collected through structured questionnaires which was focused on how the Double Reduction Policy has influence on students’ educational choices and their experiences. Questionnaire encompassed questions on the demographic information of respondents, their contemplation of studying abroad, the effect of the policy on their educational choices, their views on the policy's influence on their academic and career success, and their likes and dislikes about the policy. Data analysis was based on statistical methods that revealed patterns, trends and correlations, and shed light on how the policy influences the ways students make decisions and progress in their educational lives.</w:t>
      </w:r>
    </w:p>
    <w:p>
      <w:pPr>
        <w:ind w:firstLine="0"/>
        <w:contextualSpacing/>
        <w:rPr>
          <w:rFonts w:ascii="Arial" w:hAnsi="Arial" w:cs="Arial"/>
          <w:lang w:val="zh-CN"/>
        </w:rPr>
      </w:pPr>
      <w:r>
        <w:rPr>
          <w:rFonts w:ascii="Arial" w:hAnsi="Arial" w:cs="Arial"/>
          <w:b/>
          <w:bCs/>
          <w:lang w:val="zh-CN"/>
        </w:rPr>
        <w:t>Considered Studying Abroad</w:t>
      </w:r>
    </w:p>
    <w:tbl>
      <w:tblPr>
        <w:tblStyle w:val="19"/>
        <w:tblW w:w="930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664"/>
        <w:gridCol w:w="3111"/>
        <w:gridCol w:w="253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5" w:hRule="atLeast"/>
        </w:trPr>
        <w:tc>
          <w:tcPr>
            <w:tcW w:w="0" w:type="auto"/>
          </w:tcPr>
          <w:p>
            <w:pPr>
              <w:ind w:firstLine="0"/>
              <w:contextualSpacing/>
              <w:rPr>
                <w:rFonts w:ascii="Arial" w:hAnsi="Arial" w:cs="Arial"/>
                <w:b/>
                <w:bCs/>
                <w:lang w:val="zh-CN"/>
              </w:rPr>
            </w:pPr>
            <w:r>
              <w:rPr>
                <w:rFonts w:ascii="Arial" w:hAnsi="Arial" w:cs="Arial"/>
                <w:b/>
                <w:bCs/>
                <w:lang w:val="zh-CN"/>
              </w:rPr>
              <w:t>Considered Studying Abroad</w:t>
            </w:r>
          </w:p>
        </w:tc>
        <w:tc>
          <w:tcPr>
            <w:tcW w:w="0" w:type="auto"/>
          </w:tcPr>
          <w:p>
            <w:pPr>
              <w:ind w:firstLine="0"/>
              <w:contextualSpacing/>
              <w:rPr>
                <w:rFonts w:ascii="Arial" w:hAnsi="Arial" w:cs="Arial"/>
                <w:b/>
                <w:bCs/>
                <w:lang w:val="zh-CN"/>
              </w:rPr>
            </w:pPr>
            <w:r>
              <w:rPr>
                <w:rFonts w:ascii="Arial" w:hAnsi="Arial" w:cs="Arial"/>
                <w:b/>
                <w:bCs/>
                <w:lang w:val="zh-CN"/>
              </w:rPr>
              <w:t>Number of Respondents</w:t>
            </w:r>
          </w:p>
        </w:tc>
        <w:tc>
          <w:tcPr>
            <w:tcW w:w="0" w:type="auto"/>
          </w:tcPr>
          <w:p>
            <w:pPr>
              <w:ind w:firstLine="0"/>
              <w:contextualSpacing/>
              <w:rPr>
                <w:rFonts w:ascii="Arial" w:hAnsi="Arial" w:cs="Arial"/>
                <w:b/>
                <w:bCs/>
                <w:lang w:val="zh-CN"/>
              </w:rPr>
            </w:pPr>
            <w:r>
              <w:rPr>
                <w:rFonts w:ascii="Arial" w:hAnsi="Arial" w:cs="Arial"/>
                <w:b/>
                <w:bCs/>
                <w:lang w:val="zh-CN"/>
              </w:rPr>
              <w:t>Percentage of Total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0" w:hRule="atLeast"/>
        </w:trPr>
        <w:tc>
          <w:tcPr>
            <w:tcW w:w="0" w:type="auto"/>
          </w:tcPr>
          <w:p>
            <w:pPr>
              <w:ind w:firstLine="0"/>
              <w:contextualSpacing/>
              <w:rPr>
                <w:rFonts w:ascii="Arial" w:hAnsi="Arial" w:cs="Arial"/>
                <w:lang w:val="zh-CN"/>
              </w:rPr>
            </w:pPr>
            <w:r>
              <w:rPr>
                <w:rFonts w:ascii="Arial" w:hAnsi="Arial" w:cs="Arial"/>
                <w:lang w:val="zh-CN"/>
              </w:rPr>
              <w:t>Yes</w:t>
            </w:r>
          </w:p>
        </w:tc>
        <w:tc>
          <w:tcPr>
            <w:tcW w:w="0" w:type="auto"/>
          </w:tcPr>
          <w:p>
            <w:pPr>
              <w:ind w:firstLine="0"/>
              <w:contextualSpacing/>
              <w:rPr>
                <w:rFonts w:ascii="Arial" w:hAnsi="Arial" w:cs="Arial"/>
                <w:lang w:val="zh-CN"/>
              </w:rPr>
            </w:pPr>
            <w:r>
              <w:rPr>
                <w:rFonts w:ascii="Arial" w:hAnsi="Arial" w:cs="Arial"/>
                <w:lang w:val="zh-CN"/>
              </w:rPr>
              <w:t>18</w:t>
            </w:r>
          </w:p>
        </w:tc>
        <w:tc>
          <w:tcPr>
            <w:tcW w:w="0" w:type="auto"/>
          </w:tcPr>
          <w:p>
            <w:pPr>
              <w:ind w:firstLine="0"/>
              <w:contextualSpacing/>
              <w:rPr>
                <w:rFonts w:ascii="Arial" w:hAnsi="Arial" w:cs="Arial"/>
                <w:lang w:val="zh-CN"/>
              </w:rPr>
            </w:pPr>
            <w:r>
              <w:rPr>
                <w:rFonts w:ascii="Arial" w:hAnsi="Arial" w:cs="Arial"/>
                <w:lang w:val="zh-CN"/>
              </w:rPr>
              <w:t>72%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5" w:hRule="atLeast"/>
        </w:trPr>
        <w:tc>
          <w:tcPr>
            <w:tcW w:w="0" w:type="auto"/>
          </w:tcPr>
          <w:p>
            <w:pPr>
              <w:ind w:firstLine="0"/>
              <w:contextualSpacing/>
              <w:rPr>
                <w:rFonts w:ascii="Arial" w:hAnsi="Arial" w:cs="Arial"/>
                <w:lang w:val="zh-CN"/>
              </w:rPr>
            </w:pPr>
            <w:r>
              <w:rPr>
                <w:rFonts w:ascii="Arial" w:hAnsi="Arial" w:cs="Arial"/>
                <w:lang w:val="zh-CN"/>
              </w:rPr>
              <w:t>No</w:t>
            </w:r>
          </w:p>
        </w:tc>
        <w:tc>
          <w:tcPr>
            <w:tcW w:w="0" w:type="auto"/>
          </w:tcPr>
          <w:p>
            <w:pPr>
              <w:ind w:firstLine="0"/>
              <w:contextualSpacing/>
              <w:rPr>
                <w:rFonts w:ascii="Arial" w:hAnsi="Arial" w:cs="Arial"/>
                <w:lang w:val="zh-CN"/>
              </w:rPr>
            </w:pPr>
            <w:r>
              <w:rPr>
                <w:rFonts w:ascii="Arial" w:hAnsi="Arial" w:cs="Arial"/>
                <w:lang w:val="zh-CN"/>
              </w:rPr>
              <w:t>7</w:t>
            </w:r>
          </w:p>
        </w:tc>
        <w:tc>
          <w:tcPr>
            <w:tcW w:w="0" w:type="auto"/>
          </w:tcPr>
          <w:p>
            <w:pPr>
              <w:ind w:firstLine="0"/>
              <w:contextualSpacing/>
              <w:rPr>
                <w:rFonts w:ascii="Arial" w:hAnsi="Arial" w:cs="Arial"/>
                <w:lang w:val="zh-CN"/>
              </w:rPr>
            </w:pPr>
            <w:r>
              <w:rPr>
                <w:rFonts w:ascii="Arial" w:hAnsi="Arial" w:cs="Arial"/>
                <w:lang w:val="zh-CN"/>
              </w:rPr>
              <w:t>28%</w:t>
            </w:r>
          </w:p>
        </w:tc>
      </w:tr>
    </w:tbl>
    <w:p>
      <w:pPr>
        <w:ind w:firstLine="0"/>
        <w:contextualSpacing/>
        <w:rPr>
          <w:rFonts w:ascii="Arial" w:hAnsi="Arial" w:cs="Arial"/>
          <w:lang w:val="zh-CN"/>
        </w:rPr>
      </w:pPr>
      <w:r>
        <w:rPr>
          <w:rFonts w:ascii="Arial" w:hAnsi="Arial" w:cs="Arial"/>
          <w:lang w:val="zh-CN"/>
        </w:rPr>
        <w:t>The statistics clearly reflect a strong desire among English Language students to gain educational experiences abroad since about 72% of respondents have considered studying abroad. The remaining 28% did not have the plan to go abroad, highlighting the fact that plenty of students still enjoy the domestic educational options.</w:t>
      </w:r>
    </w:p>
    <w:p>
      <w:pPr>
        <w:ind w:firstLine="0"/>
        <w:contextualSpacing/>
        <w:rPr>
          <w:rFonts w:ascii="Arial" w:hAnsi="Arial" w:cs="Arial"/>
          <w:lang w:val="zh-CN"/>
        </w:rPr>
      </w:pPr>
      <w:r>
        <w:rPr>
          <w:rFonts w:ascii="Arial" w:hAnsi="Arial" w:cs="Arial"/>
          <w:b/>
          <w:bCs/>
          <w:lang w:val="zh-CN"/>
        </w:rPr>
        <w:t>Influences for Studying Abroad</w:t>
      </w:r>
    </w:p>
    <w:tbl>
      <w:tblPr>
        <w:tblStyle w:val="19"/>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681"/>
        <w:gridCol w:w="3118"/>
        <w:gridCol w:w="25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tcPr>
          <w:p>
            <w:pPr>
              <w:ind w:firstLine="0"/>
              <w:contextualSpacing/>
              <w:rPr>
                <w:rFonts w:ascii="Arial" w:hAnsi="Arial" w:cs="Arial"/>
                <w:b/>
                <w:bCs/>
                <w:lang w:val="zh-CN"/>
              </w:rPr>
            </w:pPr>
            <w:r>
              <w:rPr>
                <w:rFonts w:ascii="Arial" w:hAnsi="Arial" w:cs="Arial"/>
                <w:b/>
                <w:bCs/>
                <w:lang w:val="zh-CN"/>
              </w:rPr>
              <w:t>Influences for Studying Abroad</w:t>
            </w:r>
          </w:p>
        </w:tc>
        <w:tc>
          <w:tcPr>
            <w:tcW w:w="3118" w:type="dxa"/>
          </w:tcPr>
          <w:p>
            <w:pPr>
              <w:ind w:firstLine="0"/>
              <w:contextualSpacing/>
              <w:rPr>
                <w:rFonts w:ascii="Arial" w:hAnsi="Arial" w:cs="Arial"/>
                <w:b/>
                <w:bCs/>
                <w:lang w:val="zh-CN"/>
              </w:rPr>
            </w:pPr>
            <w:r>
              <w:rPr>
                <w:rFonts w:ascii="Arial" w:hAnsi="Arial" w:cs="Arial"/>
                <w:b/>
                <w:bCs/>
                <w:lang w:val="zh-CN"/>
              </w:rPr>
              <w:t>Number of Respondents</w:t>
            </w:r>
          </w:p>
        </w:tc>
        <w:tc>
          <w:tcPr>
            <w:tcW w:w="2552" w:type="dxa"/>
          </w:tcPr>
          <w:p>
            <w:pPr>
              <w:ind w:firstLine="0"/>
              <w:contextualSpacing/>
              <w:rPr>
                <w:rFonts w:ascii="Arial" w:hAnsi="Arial" w:cs="Arial"/>
                <w:b/>
                <w:bCs/>
                <w:lang w:val="zh-CN"/>
              </w:rPr>
            </w:pPr>
            <w:r>
              <w:rPr>
                <w:rFonts w:ascii="Arial" w:hAnsi="Arial" w:cs="Arial"/>
                <w:b/>
                <w:bCs/>
                <w:lang w:val="zh-CN"/>
              </w:rPr>
              <w:t>Percentage of Total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tcPr>
          <w:p>
            <w:pPr>
              <w:ind w:firstLine="0"/>
              <w:contextualSpacing/>
              <w:rPr>
                <w:rFonts w:ascii="Arial" w:hAnsi="Arial" w:cs="Arial"/>
                <w:lang w:val="zh-CN"/>
              </w:rPr>
            </w:pPr>
            <w:r>
              <w:rPr>
                <w:rFonts w:ascii="Arial" w:hAnsi="Arial" w:cs="Arial"/>
                <w:lang w:val="zh-CN"/>
              </w:rPr>
              <w:t>Level of competition in job market</w:t>
            </w:r>
          </w:p>
        </w:tc>
        <w:tc>
          <w:tcPr>
            <w:tcW w:w="3118" w:type="dxa"/>
          </w:tcPr>
          <w:p>
            <w:pPr>
              <w:ind w:firstLine="0"/>
              <w:contextualSpacing/>
              <w:rPr>
                <w:rFonts w:ascii="Arial" w:hAnsi="Arial" w:cs="Arial"/>
                <w:lang w:val="zh-CN"/>
              </w:rPr>
            </w:pPr>
            <w:r>
              <w:rPr>
                <w:rFonts w:ascii="Arial" w:hAnsi="Arial" w:cs="Arial"/>
                <w:lang w:val="zh-CN"/>
              </w:rPr>
              <w:t>1</w:t>
            </w:r>
          </w:p>
        </w:tc>
        <w:tc>
          <w:tcPr>
            <w:tcW w:w="2552" w:type="dxa"/>
          </w:tcPr>
          <w:p>
            <w:pPr>
              <w:ind w:firstLine="0"/>
              <w:contextualSpacing/>
              <w:rPr>
                <w:rFonts w:ascii="Arial" w:hAnsi="Arial" w:cs="Arial"/>
                <w:lang w:val="zh-CN"/>
              </w:rPr>
            </w:pPr>
            <w:r>
              <w:rPr>
                <w:rFonts w:ascii="Arial" w:hAnsi="Arial" w:cs="Arial"/>
                <w:lang w:val="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tcPr>
          <w:p>
            <w:pPr>
              <w:ind w:firstLine="0"/>
              <w:contextualSpacing/>
              <w:rPr>
                <w:rFonts w:ascii="Arial" w:hAnsi="Arial" w:cs="Arial"/>
                <w:lang w:val="zh-CN"/>
              </w:rPr>
            </w:pPr>
            <w:r>
              <w:rPr>
                <w:rFonts w:ascii="Arial" w:hAnsi="Arial" w:cs="Arial"/>
                <w:lang w:val="zh-CN"/>
              </w:rPr>
              <w:t>Pressure</w:t>
            </w:r>
          </w:p>
        </w:tc>
        <w:tc>
          <w:tcPr>
            <w:tcW w:w="3118" w:type="dxa"/>
          </w:tcPr>
          <w:p>
            <w:pPr>
              <w:ind w:firstLine="0"/>
              <w:contextualSpacing/>
              <w:rPr>
                <w:rFonts w:ascii="Arial" w:hAnsi="Arial" w:cs="Arial"/>
                <w:lang w:val="zh-CN"/>
              </w:rPr>
            </w:pPr>
            <w:r>
              <w:rPr>
                <w:rFonts w:ascii="Arial" w:hAnsi="Arial" w:cs="Arial"/>
                <w:lang w:val="zh-CN"/>
              </w:rPr>
              <w:t>5</w:t>
            </w:r>
          </w:p>
        </w:tc>
        <w:tc>
          <w:tcPr>
            <w:tcW w:w="2552" w:type="dxa"/>
          </w:tcPr>
          <w:p>
            <w:pPr>
              <w:ind w:firstLine="0"/>
              <w:contextualSpacing/>
              <w:rPr>
                <w:rFonts w:ascii="Arial" w:hAnsi="Arial" w:cs="Arial"/>
                <w:lang w:val="zh-CN"/>
              </w:rPr>
            </w:pPr>
            <w:r>
              <w:rPr>
                <w:rFonts w:ascii="Arial" w:hAnsi="Arial" w:cs="Arial"/>
                <w:lang w:val="zh-CN"/>
              </w:rPr>
              <w:t>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tcPr>
          <w:p>
            <w:pPr>
              <w:ind w:firstLine="0"/>
              <w:contextualSpacing/>
              <w:rPr>
                <w:rFonts w:ascii="Arial" w:hAnsi="Arial" w:cs="Arial"/>
                <w:lang w:val="zh-CN"/>
              </w:rPr>
            </w:pPr>
            <w:r>
              <w:rPr>
                <w:rFonts w:ascii="Arial" w:hAnsi="Arial" w:cs="Arial"/>
                <w:lang w:val="zh-CN"/>
              </w:rPr>
              <w:t>Opportunities</w:t>
            </w:r>
          </w:p>
        </w:tc>
        <w:tc>
          <w:tcPr>
            <w:tcW w:w="3118" w:type="dxa"/>
          </w:tcPr>
          <w:p>
            <w:pPr>
              <w:ind w:firstLine="0"/>
              <w:contextualSpacing/>
              <w:rPr>
                <w:rFonts w:ascii="Arial" w:hAnsi="Arial" w:cs="Arial"/>
                <w:lang w:val="zh-CN"/>
              </w:rPr>
            </w:pPr>
            <w:r>
              <w:rPr>
                <w:rFonts w:ascii="Arial" w:hAnsi="Arial" w:cs="Arial"/>
                <w:lang w:val="zh-CN"/>
              </w:rPr>
              <w:t>3</w:t>
            </w:r>
          </w:p>
        </w:tc>
        <w:tc>
          <w:tcPr>
            <w:tcW w:w="2552" w:type="dxa"/>
          </w:tcPr>
          <w:p>
            <w:pPr>
              <w:ind w:firstLine="0"/>
              <w:contextualSpacing/>
              <w:rPr>
                <w:rFonts w:ascii="Arial" w:hAnsi="Arial" w:cs="Arial"/>
                <w:lang w:val="zh-CN"/>
              </w:rPr>
            </w:pPr>
            <w:r>
              <w:rPr>
                <w:rFonts w:ascii="Arial" w:hAnsi="Arial" w:cs="Arial"/>
                <w:lang w:val="zh-CN"/>
              </w:rPr>
              <w:t>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tcPr>
          <w:p>
            <w:pPr>
              <w:ind w:firstLine="0"/>
              <w:contextualSpacing/>
              <w:rPr>
                <w:rFonts w:ascii="Arial" w:hAnsi="Arial" w:cs="Arial"/>
                <w:lang w:val="zh-CN"/>
              </w:rPr>
            </w:pPr>
            <w:r>
              <w:rPr>
                <w:rFonts w:ascii="Arial" w:hAnsi="Arial" w:cs="Arial"/>
                <w:lang w:val="zh-CN"/>
              </w:rPr>
              <w:t>Future</w:t>
            </w:r>
          </w:p>
        </w:tc>
        <w:tc>
          <w:tcPr>
            <w:tcW w:w="3118" w:type="dxa"/>
          </w:tcPr>
          <w:p>
            <w:pPr>
              <w:ind w:firstLine="0"/>
              <w:contextualSpacing/>
              <w:rPr>
                <w:rFonts w:ascii="Arial" w:hAnsi="Arial" w:cs="Arial"/>
                <w:lang w:val="zh-CN"/>
              </w:rPr>
            </w:pPr>
            <w:r>
              <w:rPr>
                <w:rFonts w:ascii="Arial" w:hAnsi="Arial" w:cs="Arial"/>
                <w:lang w:val="zh-CN"/>
              </w:rPr>
              <w:t>8</w:t>
            </w:r>
          </w:p>
        </w:tc>
        <w:tc>
          <w:tcPr>
            <w:tcW w:w="2552" w:type="dxa"/>
          </w:tcPr>
          <w:p>
            <w:pPr>
              <w:ind w:firstLine="0"/>
              <w:contextualSpacing/>
              <w:rPr>
                <w:rFonts w:ascii="Arial" w:hAnsi="Arial" w:cs="Arial"/>
                <w:lang w:val="zh-CN"/>
              </w:rPr>
            </w:pPr>
            <w:r>
              <w:rPr>
                <w:rFonts w:ascii="Arial" w:hAnsi="Arial" w:cs="Arial"/>
                <w:lang w:val="zh-CN"/>
              </w:rPr>
              <w:t>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tcPr>
          <w:p>
            <w:pPr>
              <w:ind w:firstLine="0"/>
              <w:contextualSpacing/>
              <w:rPr>
                <w:rFonts w:ascii="Arial" w:hAnsi="Arial" w:cs="Arial"/>
                <w:lang w:val="zh-CN"/>
              </w:rPr>
            </w:pPr>
            <w:r>
              <w:rPr>
                <w:rFonts w:ascii="Arial" w:hAnsi="Arial" w:cs="Arial"/>
                <w:lang w:val="zh-CN"/>
              </w:rPr>
              <w:t>Other</w:t>
            </w:r>
          </w:p>
        </w:tc>
        <w:tc>
          <w:tcPr>
            <w:tcW w:w="3118" w:type="dxa"/>
          </w:tcPr>
          <w:p>
            <w:pPr>
              <w:ind w:firstLine="0"/>
              <w:contextualSpacing/>
              <w:rPr>
                <w:rFonts w:ascii="Arial" w:hAnsi="Arial" w:cs="Arial"/>
                <w:lang w:val="zh-CN"/>
              </w:rPr>
            </w:pPr>
            <w:r>
              <w:rPr>
                <w:rFonts w:ascii="Arial" w:hAnsi="Arial" w:cs="Arial"/>
                <w:lang w:val="zh-CN"/>
              </w:rPr>
              <w:t>1</w:t>
            </w:r>
          </w:p>
        </w:tc>
        <w:tc>
          <w:tcPr>
            <w:tcW w:w="2552" w:type="dxa"/>
          </w:tcPr>
          <w:p>
            <w:pPr>
              <w:ind w:firstLine="0"/>
              <w:contextualSpacing/>
              <w:rPr>
                <w:rFonts w:ascii="Arial" w:hAnsi="Arial" w:cs="Arial"/>
                <w:lang w:val="zh-CN"/>
              </w:rPr>
            </w:pPr>
            <w:r>
              <w:rPr>
                <w:rFonts w:ascii="Arial" w:hAnsi="Arial" w:cs="Arial"/>
                <w:lang w:val="zh-CN"/>
              </w:rPr>
              <w:t>5%</w:t>
            </w:r>
          </w:p>
        </w:tc>
      </w:tr>
    </w:tbl>
    <w:p>
      <w:pPr>
        <w:ind w:firstLine="0"/>
        <w:contextualSpacing/>
        <w:rPr>
          <w:rFonts w:ascii="Arial" w:hAnsi="Arial" w:cs="Arial"/>
          <w:lang w:val="en-US" w:eastAsia="zh-CN"/>
        </w:rPr>
      </w:pPr>
      <w:r>
        <w:rPr>
          <w:rFonts w:ascii="Arial" w:hAnsi="Arial" w:cs="Arial"/>
          <w:lang w:val="zh-CN"/>
        </w:rPr>
        <w:t xml:space="preserve">The table indicates that the first reason for going abroad to study is the bright prospects (44% of the respondents specified it). It could be inferred that students engage in volunteering or social services because of these desirable long-term effects, for instance, job prospects, a new view on the field they studied in, etc. </w:t>
      </w:r>
    </w:p>
    <w:p>
      <w:pPr>
        <w:ind w:firstLine="0"/>
        <w:contextualSpacing/>
        <w:rPr>
          <w:rFonts w:ascii="Arial" w:hAnsi="Arial" w:cs="Arial"/>
          <w:lang w:val="en-US"/>
        </w:rPr>
      </w:pPr>
      <w:r>
        <w:rPr>
          <w:rFonts w:ascii="Arial" w:hAnsi="Arial" w:cs="Arial"/>
          <w:lang w:val="zh-CN"/>
        </w:rPr>
        <w:t>Other factors like pressure or competition constituted more minor shares, illustrating that practical considerations may not have such a significant impact on the decision-making process.</w:t>
      </w:r>
      <w:r>
        <w:rPr>
          <w:rFonts w:ascii="Arial" w:hAnsi="Arial" w:cs="Arial"/>
          <w:lang w:val="en-US"/>
        </w:rPr>
        <w:t xml:space="preserve"> These outcomes are consistent with the findings from studies reviewed earlier. For example, of </w:t>
      </w:r>
      <w:r>
        <w:rPr>
          <w:rFonts w:ascii="Arial" w:hAnsi="Arial" w:cs="Arial"/>
        </w:rPr>
        <w:t xml:space="preserve">Qian et al., 2023 and Wang et al., 2022. The two studies acknowledged the significance of  the level of pressure on one’s  education choice.  The two studies affirmed that student to select a learning setting or program that would expose them to limited stress and pressure. </w:t>
      </w:r>
    </w:p>
    <w:p>
      <w:pPr>
        <w:ind w:firstLine="0"/>
        <w:contextualSpacing/>
        <w:rPr>
          <w:rFonts w:ascii="Arial" w:hAnsi="Arial" w:cs="Arial"/>
          <w:lang w:val="zh-CN"/>
        </w:rPr>
      </w:pPr>
      <w:r>
        <w:rPr>
          <w:rFonts w:ascii="Arial" w:hAnsi="Arial" w:cs="Arial"/>
          <w:b/>
          <w:bCs/>
          <w:lang w:val="zh-CN"/>
        </w:rPr>
        <w:t>Double Reduction Policy Influence</w:t>
      </w:r>
    </w:p>
    <w:tbl>
      <w:tblPr>
        <w:tblStyle w:val="19"/>
        <w:tblW w:w="930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681"/>
        <w:gridCol w:w="3118"/>
        <w:gridCol w:w="250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3681" w:type="dxa"/>
          </w:tcPr>
          <w:p>
            <w:pPr>
              <w:ind w:firstLine="0"/>
              <w:contextualSpacing/>
              <w:rPr>
                <w:rFonts w:ascii="Arial" w:hAnsi="Arial" w:cs="Arial"/>
                <w:b/>
                <w:bCs/>
                <w:lang w:val="zh-CN"/>
              </w:rPr>
            </w:pPr>
            <w:r>
              <w:rPr>
                <w:rFonts w:ascii="Arial" w:hAnsi="Arial" w:cs="Arial"/>
                <w:b/>
                <w:bCs/>
                <w:lang w:val="zh-CN"/>
              </w:rPr>
              <w:t>Double Reduction Policy Influence</w:t>
            </w:r>
          </w:p>
        </w:tc>
        <w:tc>
          <w:tcPr>
            <w:tcW w:w="3118" w:type="dxa"/>
          </w:tcPr>
          <w:p>
            <w:pPr>
              <w:ind w:firstLine="0"/>
              <w:contextualSpacing/>
              <w:rPr>
                <w:rFonts w:ascii="Arial" w:hAnsi="Arial" w:cs="Arial"/>
                <w:b/>
                <w:bCs/>
                <w:lang w:val="zh-CN"/>
              </w:rPr>
            </w:pPr>
            <w:r>
              <w:rPr>
                <w:rFonts w:ascii="Arial" w:hAnsi="Arial" w:cs="Arial"/>
                <w:b/>
                <w:bCs/>
                <w:lang w:val="zh-CN"/>
              </w:rPr>
              <w:t>Number of Respondents</w:t>
            </w:r>
          </w:p>
        </w:tc>
        <w:tc>
          <w:tcPr>
            <w:tcW w:w="2507" w:type="dxa"/>
          </w:tcPr>
          <w:p>
            <w:pPr>
              <w:ind w:firstLine="0"/>
              <w:contextualSpacing/>
              <w:rPr>
                <w:rFonts w:ascii="Arial" w:hAnsi="Arial" w:cs="Arial"/>
                <w:b/>
                <w:bCs/>
                <w:lang w:val="zh-CN"/>
              </w:rPr>
            </w:pPr>
            <w:r>
              <w:rPr>
                <w:rFonts w:ascii="Arial" w:hAnsi="Arial" w:cs="Arial"/>
                <w:b/>
                <w:bCs/>
                <w:lang w:val="zh-CN"/>
              </w:rPr>
              <w:t>Percentage of Total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1" w:hRule="atLeast"/>
        </w:trPr>
        <w:tc>
          <w:tcPr>
            <w:tcW w:w="3681" w:type="dxa"/>
          </w:tcPr>
          <w:p>
            <w:pPr>
              <w:ind w:firstLine="0"/>
              <w:contextualSpacing/>
              <w:rPr>
                <w:rFonts w:ascii="Arial" w:hAnsi="Arial" w:cs="Arial"/>
                <w:lang w:val="zh-CN"/>
              </w:rPr>
            </w:pPr>
            <w:r>
              <w:rPr>
                <w:rFonts w:ascii="Arial" w:hAnsi="Arial" w:cs="Arial"/>
                <w:lang w:val="zh-CN"/>
              </w:rPr>
              <w:t>Yes</w:t>
            </w:r>
          </w:p>
        </w:tc>
        <w:tc>
          <w:tcPr>
            <w:tcW w:w="3118" w:type="dxa"/>
          </w:tcPr>
          <w:p>
            <w:pPr>
              <w:ind w:firstLine="0"/>
              <w:contextualSpacing/>
              <w:rPr>
                <w:rFonts w:ascii="Arial" w:hAnsi="Arial" w:cs="Arial"/>
                <w:lang w:val="zh-CN"/>
              </w:rPr>
            </w:pPr>
            <w:r>
              <w:rPr>
                <w:rFonts w:ascii="Arial" w:hAnsi="Arial" w:cs="Arial"/>
                <w:lang w:val="zh-CN"/>
              </w:rPr>
              <w:t>20</w:t>
            </w:r>
          </w:p>
        </w:tc>
        <w:tc>
          <w:tcPr>
            <w:tcW w:w="2507" w:type="dxa"/>
          </w:tcPr>
          <w:p>
            <w:pPr>
              <w:ind w:firstLine="0"/>
              <w:contextualSpacing/>
              <w:rPr>
                <w:rFonts w:ascii="Arial" w:hAnsi="Arial" w:cs="Arial"/>
                <w:lang w:val="zh-CN"/>
              </w:rPr>
            </w:pPr>
            <w:r>
              <w:rPr>
                <w:rFonts w:ascii="Arial" w:hAnsi="Arial" w:cs="Arial"/>
                <w:lang w:val="zh-CN"/>
              </w:rPr>
              <w:t>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3681" w:type="dxa"/>
          </w:tcPr>
          <w:p>
            <w:pPr>
              <w:ind w:firstLine="0"/>
              <w:contextualSpacing/>
              <w:rPr>
                <w:rFonts w:ascii="Arial" w:hAnsi="Arial" w:cs="Arial"/>
                <w:lang w:val="zh-CN"/>
              </w:rPr>
            </w:pPr>
            <w:r>
              <w:rPr>
                <w:rFonts w:ascii="Arial" w:hAnsi="Arial" w:cs="Arial"/>
                <w:lang w:val="zh-CN"/>
              </w:rPr>
              <w:t>No</w:t>
            </w:r>
          </w:p>
        </w:tc>
        <w:tc>
          <w:tcPr>
            <w:tcW w:w="3118" w:type="dxa"/>
          </w:tcPr>
          <w:p>
            <w:pPr>
              <w:ind w:firstLine="0"/>
              <w:contextualSpacing/>
              <w:rPr>
                <w:rFonts w:ascii="Arial" w:hAnsi="Arial" w:cs="Arial"/>
                <w:lang w:val="zh-CN"/>
              </w:rPr>
            </w:pPr>
            <w:r>
              <w:rPr>
                <w:rFonts w:ascii="Arial" w:hAnsi="Arial" w:cs="Arial"/>
                <w:lang w:val="zh-CN"/>
              </w:rPr>
              <w:t>5</w:t>
            </w:r>
          </w:p>
        </w:tc>
        <w:tc>
          <w:tcPr>
            <w:tcW w:w="2507" w:type="dxa"/>
          </w:tcPr>
          <w:p>
            <w:pPr>
              <w:ind w:firstLine="0"/>
              <w:contextualSpacing/>
              <w:rPr>
                <w:rFonts w:ascii="Arial" w:hAnsi="Arial" w:cs="Arial"/>
                <w:lang w:val="zh-CN"/>
              </w:rPr>
            </w:pPr>
            <w:r>
              <w:rPr>
                <w:rFonts w:ascii="Arial" w:hAnsi="Arial" w:cs="Arial"/>
                <w:lang w:val="zh-CN"/>
              </w:rPr>
              <w:t>20%</w:t>
            </w:r>
          </w:p>
        </w:tc>
      </w:tr>
    </w:tbl>
    <w:p>
      <w:pPr>
        <w:ind w:firstLine="0"/>
        <w:contextualSpacing/>
        <w:rPr>
          <w:rFonts w:ascii="Arial" w:hAnsi="Arial" w:cs="Arial"/>
          <w:lang w:val="en-US"/>
        </w:rPr>
      </w:pPr>
      <w:r>
        <w:rPr>
          <w:rFonts w:ascii="Arial" w:hAnsi="Arial" w:cs="Arial"/>
          <w:lang w:val="zh-CN"/>
        </w:rPr>
        <w:t>The feedback of the majority of respondents (80%) was that the policy of Double Reduction in education has affected their learning choices. That is a point that shows that students are conscious of and also affected by the policy changes that may direct their education choices. The policy may well impact on these learning processes in different ways - for instance, there may be changes in the course workload, exam format or curriculum content.</w:t>
      </w:r>
      <w:r>
        <w:rPr>
          <w:rFonts w:ascii="Arial" w:hAnsi="Arial" w:cs="Arial"/>
          <w:lang w:val="en-US"/>
        </w:rPr>
        <w:t xml:space="preserve"> This study outcome is consistence with the arguments raised by the Educational decision-making theory which argue people’s educational choices are influenced by goals and expectations. The Double Reduction Policy guarantee a learning program characterized by limited stress and curriculum that equip them for success in the labor maker.  Therefore, it would most likely influence their education as it suits their expectation and goal. Most participant’s goal  and expectation is to undergo a less stressful and productive learning program. </w:t>
      </w:r>
    </w:p>
    <w:p>
      <w:pPr>
        <w:ind w:firstLine="0"/>
        <w:contextualSpacing/>
        <w:rPr>
          <w:rFonts w:ascii="Arial" w:hAnsi="Arial" w:cs="Arial"/>
          <w:lang w:val="zh-CN"/>
        </w:rPr>
      </w:pPr>
      <w:r>
        <w:rPr>
          <w:rFonts w:ascii="Arial" w:hAnsi="Arial" w:cs="Arial"/>
          <w:b/>
          <w:bCs/>
          <w:lang w:val="zh-CN"/>
        </w:rPr>
        <w:t>Ways Policy Influenced Choices</w:t>
      </w:r>
    </w:p>
    <w:p>
      <w:pPr>
        <w:ind w:firstLine="0"/>
        <w:contextualSpacing/>
        <w:rPr>
          <w:rFonts w:ascii="Arial" w:hAnsi="Arial" w:cs="Arial"/>
          <w:lang w:val="zh-CN"/>
        </w:rPr>
      </w:pPr>
      <w:r>
        <w:rPr>
          <w:rFonts w:ascii="Arial" w:hAnsi="Arial" w:cs="Arial"/>
          <w:lang w:val="en-US"/>
        </w:rPr>
        <w:drawing>
          <wp:inline distT="0" distB="0" distL="0" distR="0">
            <wp:extent cx="5410200" cy="2743200"/>
            <wp:effectExtent l="0" t="0" r="0" b="0"/>
            <wp:docPr id="100260971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ind w:firstLine="0"/>
        <w:contextualSpacing/>
        <w:rPr>
          <w:rFonts w:ascii="Arial" w:hAnsi="Arial" w:cs="Arial"/>
          <w:lang w:val="zh-CN" w:eastAsia="zh-CN"/>
        </w:rPr>
      </w:pPr>
      <w:r>
        <w:rPr>
          <w:rFonts w:ascii="Arial" w:hAnsi="Arial" w:cs="Arial"/>
          <w:lang w:val="en-US"/>
        </w:rPr>
        <w:t xml:space="preserve">The data collected regarding the question of the ways in which the respondents thought might be factors influencing their choices, </w:t>
      </w:r>
      <w:r>
        <w:rPr>
          <w:rFonts w:ascii="Arial" w:hAnsi="Arial" w:cs="Arial"/>
          <w:lang w:val="zh-CN"/>
        </w:rPr>
        <w:t>indicates that the policy had wide-ranging effects on respondents' behaviour. Financial factors, such as tuition were mentioned by about 10% of the respondents, thus, while financial factors are considered, they are not the primary ones. Career prospects and the choice of major or the field of study had been more frequently identified as the rationales for their choice (both 25% each), thus implying that respondents are aware how the play may affect their future career paths or their academic endeavours. The place of study, whether a person chooses to study abroad or not, was also another very important factor constituting over 30% (1), indicating the influence of the policy on the availability of educational opportunities and routes.</w:t>
      </w:r>
    </w:p>
    <w:p>
      <w:pPr>
        <w:ind w:firstLine="0"/>
        <w:contextualSpacing/>
        <w:rPr>
          <w:rFonts w:hint="eastAsia" w:ascii="Arial" w:hAnsi="Arial" w:cs="Arial"/>
          <w:b/>
          <w:lang w:val="zh-CN" w:eastAsia="zh-CN"/>
        </w:rPr>
      </w:pPr>
      <w:r>
        <w:rPr>
          <w:rFonts w:hint="eastAsia" w:ascii="Arial" w:hAnsi="Arial" w:cs="Arial"/>
          <w:b/>
          <w:lang w:val="zh-CN" w:eastAsia="zh-CN"/>
        </w:rPr>
        <w:t>Student who considered returning to China</w:t>
      </w:r>
    </w:p>
    <w:p>
      <w:pPr>
        <w:ind w:firstLine="0"/>
        <w:contextualSpacing/>
        <w:rPr>
          <w:rFonts w:ascii="Arial" w:hAnsi="Arial" w:cs="Arial"/>
          <w:lang w:val="en-US"/>
        </w:rPr>
      </w:pPr>
      <w:r>
        <w:rPr>
          <w:rFonts w:ascii="Arial" w:hAnsi="Arial" w:cs="Arial"/>
          <w:lang w:val="zh-CN"/>
        </w:rPr>
        <w:t>Over 80% of respondents (88%) have ever thought of mainland China as their possible workplace upon graduation</w:t>
      </w:r>
      <w:r>
        <w:rPr>
          <w:rFonts w:ascii="Arial" w:hAnsi="Arial" w:cs="Arial"/>
          <w:lang w:val="en-US"/>
        </w:rPr>
        <w:t xml:space="preserve"> (Table 4.5)</w:t>
      </w:r>
      <w:r>
        <w:rPr>
          <w:rFonts w:ascii="Arial" w:hAnsi="Arial" w:cs="Arial"/>
          <w:lang w:val="zh-CN"/>
        </w:rPr>
        <w:t>.</w:t>
      </w:r>
      <w:r>
        <w:rPr>
          <w:rFonts w:ascii="Arial" w:hAnsi="Arial" w:cs="Arial"/>
          <w:lang w:val="en-US"/>
        </w:rPr>
        <w:t xml:space="preserve"> In the pie chart below, people</w:t>
      </w:r>
      <w:r>
        <w:rPr>
          <w:rFonts w:ascii="Arial" w:hAnsi="Arial" w:cs="Arial"/>
          <w:lang w:val="zh-CN"/>
        </w:rPr>
        <w:t xml:space="preserve"> regard China as a great place for jobs and maybe this factor like access to their family or home town may be considered as well as the specific jobs available, or because they may want to contribute to the workforce of China.</w:t>
      </w:r>
      <w:r>
        <w:rPr>
          <w:rFonts w:ascii="Arial" w:hAnsi="Arial" w:cs="Arial"/>
          <w:lang w:val="en-US"/>
        </w:rPr>
        <w:t xml:space="preserve">  The outcome confirm the argument raised by the Education decision-making theory about the role of social and cultural context in decision.  The theory argue that people would consider their loved ones while make decision about their educational setting or program.  For that reason, most would prefer study where they can easily access their family and loved. </w:t>
      </w:r>
    </w:p>
    <w:p>
      <w:pPr>
        <w:ind w:firstLine="0"/>
        <w:contextualSpacing/>
        <w:rPr>
          <w:rFonts w:ascii="Arial" w:hAnsi="Arial" w:cs="Arial"/>
          <w:lang w:val="zh-CN"/>
        </w:rPr>
      </w:pPr>
      <w:r>
        <w:rPr>
          <w:rFonts w:ascii="Arial" w:hAnsi="Arial" w:cs="Arial"/>
          <w:lang w:val="en-US"/>
        </w:rPr>
        <w:drawing>
          <wp:inline distT="0" distB="0" distL="0" distR="0">
            <wp:extent cx="5715000" cy="2428875"/>
            <wp:effectExtent l="0" t="0" r="0" b="9525"/>
            <wp:docPr id="210398660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pPr>
        <w:ind w:firstLine="0"/>
        <w:contextualSpacing/>
        <w:rPr>
          <w:rFonts w:ascii="Arial" w:hAnsi="Arial" w:cs="Arial"/>
          <w:lang w:val="zh-CN"/>
        </w:rPr>
      </w:pPr>
      <w:r>
        <w:rPr>
          <w:rFonts w:ascii="Arial" w:hAnsi="Arial" w:cs="Arial"/>
          <w:b/>
          <w:bCs/>
          <w:lang w:val="zh-CN"/>
        </w:rPr>
        <w:t>Considered Emigrating</w:t>
      </w:r>
    </w:p>
    <w:tbl>
      <w:tblPr>
        <w:tblStyle w:val="19"/>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571"/>
        <w:gridCol w:w="3754"/>
        <w:gridCol w:w="2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pPr>
              <w:ind w:firstLine="0"/>
              <w:contextualSpacing/>
              <w:rPr>
                <w:rFonts w:ascii="Arial" w:hAnsi="Arial" w:cs="Arial"/>
                <w:b/>
                <w:bCs/>
                <w:lang w:val="zh-CN"/>
              </w:rPr>
            </w:pPr>
            <w:r>
              <w:rPr>
                <w:rFonts w:ascii="Arial" w:hAnsi="Arial" w:cs="Arial"/>
                <w:b/>
                <w:bCs/>
                <w:lang w:val="zh-CN"/>
              </w:rPr>
              <w:t>Considered Emigrating</w:t>
            </w:r>
          </w:p>
        </w:tc>
        <w:tc>
          <w:tcPr>
            <w:tcW w:w="0" w:type="auto"/>
          </w:tcPr>
          <w:p>
            <w:pPr>
              <w:ind w:firstLine="0"/>
              <w:contextualSpacing/>
              <w:rPr>
                <w:rFonts w:ascii="Arial" w:hAnsi="Arial" w:cs="Arial"/>
                <w:b/>
                <w:bCs/>
                <w:lang w:val="zh-CN"/>
              </w:rPr>
            </w:pPr>
            <w:r>
              <w:rPr>
                <w:rFonts w:ascii="Arial" w:hAnsi="Arial" w:cs="Arial"/>
                <w:b/>
                <w:bCs/>
                <w:lang w:val="zh-CN"/>
              </w:rPr>
              <w:t>Number of Respondents</w:t>
            </w:r>
          </w:p>
        </w:tc>
        <w:tc>
          <w:tcPr>
            <w:tcW w:w="2026" w:type="dxa"/>
          </w:tcPr>
          <w:p>
            <w:pPr>
              <w:ind w:firstLine="0"/>
              <w:contextualSpacing/>
              <w:rPr>
                <w:rFonts w:ascii="Arial" w:hAnsi="Arial" w:cs="Arial"/>
                <w:b/>
                <w:bCs/>
                <w:lang w:val="zh-CN"/>
              </w:rPr>
            </w:pPr>
            <w:r>
              <w:rPr>
                <w:rFonts w:ascii="Arial" w:hAnsi="Arial" w:cs="Arial"/>
                <w:b/>
                <w:bCs/>
                <w:lang w:val="zh-CN"/>
              </w:rPr>
              <w:t>Percentage of Total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ind w:firstLine="0"/>
              <w:contextualSpacing/>
              <w:rPr>
                <w:rFonts w:ascii="Arial" w:hAnsi="Arial" w:cs="Arial"/>
                <w:lang w:val="zh-CN"/>
              </w:rPr>
            </w:pPr>
            <w:r>
              <w:rPr>
                <w:rFonts w:ascii="Arial" w:hAnsi="Arial" w:cs="Arial"/>
                <w:lang w:val="zh-CN"/>
              </w:rPr>
              <w:t>Yes</w:t>
            </w:r>
          </w:p>
        </w:tc>
        <w:tc>
          <w:tcPr>
            <w:tcW w:w="0" w:type="auto"/>
          </w:tcPr>
          <w:p>
            <w:pPr>
              <w:ind w:firstLine="0"/>
              <w:contextualSpacing/>
              <w:rPr>
                <w:rFonts w:ascii="Arial" w:hAnsi="Arial" w:cs="Arial"/>
                <w:lang w:val="zh-CN"/>
              </w:rPr>
            </w:pPr>
            <w:r>
              <w:rPr>
                <w:rFonts w:ascii="Arial" w:hAnsi="Arial" w:cs="Arial"/>
                <w:lang w:val="zh-CN"/>
              </w:rPr>
              <w:t>8</w:t>
            </w:r>
          </w:p>
        </w:tc>
        <w:tc>
          <w:tcPr>
            <w:tcW w:w="2026" w:type="dxa"/>
          </w:tcPr>
          <w:p>
            <w:pPr>
              <w:ind w:firstLine="0"/>
              <w:contextualSpacing/>
              <w:rPr>
                <w:rFonts w:ascii="Arial" w:hAnsi="Arial" w:cs="Arial"/>
                <w:lang w:val="zh-CN"/>
              </w:rPr>
            </w:pPr>
            <w:r>
              <w:rPr>
                <w:rFonts w:ascii="Arial" w:hAnsi="Arial" w:cs="Arial"/>
                <w:lang w:val="zh-CN"/>
              </w:rPr>
              <w:t>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ind w:firstLine="0"/>
              <w:contextualSpacing/>
              <w:rPr>
                <w:rFonts w:ascii="Arial" w:hAnsi="Arial" w:cs="Arial"/>
                <w:lang w:val="zh-CN"/>
              </w:rPr>
            </w:pPr>
            <w:r>
              <w:rPr>
                <w:rFonts w:ascii="Arial" w:hAnsi="Arial" w:cs="Arial"/>
                <w:lang w:val="zh-CN"/>
              </w:rPr>
              <w:t>No</w:t>
            </w:r>
          </w:p>
        </w:tc>
        <w:tc>
          <w:tcPr>
            <w:tcW w:w="0" w:type="auto"/>
          </w:tcPr>
          <w:p>
            <w:pPr>
              <w:ind w:firstLine="0"/>
              <w:contextualSpacing/>
              <w:rPr>
                <w:rFonts w:ascii="Arial" w:hAnsi="Arial" w:cs="Arial"/>
                <w:lang w:val="zh-CN"/>
              </w:rPr>
            </w:pPr>
            <w:r>
              <w:rPr>
                <w:rFonts w:ascii="Arial" w:hAnsi="Arial" w:cs="Arial"/>
                <w:lang w:val="zh-CN"/>
              </w:rPr>
              <w:t>17</w:t>
            </w:r>
          </w:p>
        </w:tc>
        <w:tc>
          <w:tcPr>
            <w:tcW w:w="2026" w:type="dxa"/>
          </w:tcPr>
          <w:p>
            <w:pPr>
              <w:ind w:firstLine="0"/>
              <w:contextualSpacing/>
              <w:rPr>
                <w:rFonts w:ascii="Arial" w:hAnsi="Arial" w:cs="Arial"/>
                <w:lang w:val="zh-CN"/>
              </w:rPr>
            </w:pPr>
            <w:r>
              <w:rPr>
                <w:rFonts w:ascii="Arial" w:hAnsi="Arial" w:cs="Arial"/>
                <w:lang w:val="zh-CN"/>
              </w:rPr>
              <w:t>68%</w:t>
            </w:r>
          </w:p>
        </w:tc>
      </w:tr>
    </w:tbl>
    <w:p>
      <w:pPr>
        <w:ind w:firstLine="0"/>
        <w:contextualSpacing/>
        <w:rPr>
          <w:rFonts w:ascii="Arial" w:hAnsi="Arial" w:cs="Arial"/>
          <w:lang w:val="zh-CN"/>
        </w:rPr>
      </w:pPr>
    </w:p>
    <w:p>
      <w:pPr>
        <w:ind w:firstLine="0"/>
        <w:contextualSpacing/>
        <w:rPr>
          <w:rFonts w:ascii="Arial" w:hAnsi="Arial" w:cs="Arial"/>
          <w:lang w:val="en-US"/>
        </w:rPr>
      </w:pPr>
      <w:r>
        <w:rPr>
          <w:rFonts w:ascii="Arial" w:hAnsi="Arial" w:cs="Arial"/>
          <w:lang w:val="zh-CN"/>
        </w:rPr>
        <w:t>A lower percentage of responders (32%) have considered going abroad to study in other country for a</w:t>
      </w:r>
      <w:r>
        <w:rPr>
          <w:rFonts w:ascii="Arial" w:hAnsi="Arial" w:cs="Arial"/>
          <w:lang w:val="en-US"/>
        </w:rPr>
        <w:t xml:space="preserve"> better education</w:t>
      </w:r>
      <w:r>
        <w:rPr>
          <w:rFonts w:ascii="Arial" w:hAnsi="Arial" w:cs="Arial"/>
          <w:lang w:val="zh-CN"/>
        </w:rPr>
        <w:t>.</w:t>
      </w:r>
      <w:r>
        <w:rPr>
          <w:rFonts w:ascii="Arial" w:hAnsi="Arial" w:cs="Arial"/>
          <w:lang w:val="en-US"/>
        </w:rPr>
        <w:t xml:space="preserve">  For those who said they had their various reasons such as better academic opportunities abroad, gain international experiences and access specific programs from the different schools.   </w:t>
      </w:r>
      <w:r>
        <w:rPr>
          <w:rFonts w:ascii="Arial" w:hAnsi="Arial" w:cs="Arial"/>
          <w:lang w:val="zh-CN"/>
        </w:rPr>
        <w:t xml:space="preserve"> This result implies that while there is a group of respondents that are willing to pursue international educational programs, however, the rest of the respondents prefer to pursue domestic ones. Such a choice of a national education can be further influenced by the conditions of language, culture, or the educational system’s familiarity.</w:t>
      </w:r>
      <w:r>
        <w:rPr>
          <w:rFonts w:ascii="Arial" w:hAnsi="Arial" w:cs="Arial"/>
          <w:lang w:val="en-US"/>
        </w:rPr>
        <w:t xml:space="preserve">  Existing research also confirmed that cultural factors plays a major role in decision about the choice of education. The affirmed that learners would prefer a familiar cultural setting. It enables them to develop a sense of belonging which in turn makes them to have a comfortable learning experience. </w:t>
      </w:r>
    </w:p>
    <w:p>
      <w:pPr>
        <w:ind w:firstLine="0"/>
        <w:contextualSpacing/>
        <w:rPr>
          <w:rFonts w:ascii="Arial" w:hAnsi="Arial" w:cs="Arial"/>
          <w:lang w:val="zh-CN"/>
        </w:rPr>
      </w:pPr>
      <w:r>
        <w:rPr>
          <w:rFonts w:ascii="Arial" w:hAnsi="Arial" w:cs="Arial"/>
          <w:lang w:val="en-US"/>
        </w:rPr>
        <w:drawing>
          <wp:inline distT="0" distB="0" distL="0" distR="0">
            <wp:extent cx="5810250" cy="2305050"/>
            <wp:effectExtent l="0" t="0" r="0" b="0"/>
            <wp:docPr id="60096886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pPr>
        <w:ind w:firstLine="0"/>
        <w:contextualSpacing/>
        <w:rPr>
          <w:rFonts w:ascii="Arial" w:hAnsi="Arial" w:cs="Arial"/>
          <w:lang w:val="zh-CN"/>
        </w:rPr>
      </w:pPr>
    </w:p>
    <w:p>
      <w:pPr>
        <w:ind w:firstLine="0"/>
        <w:contextualSpacing/>
        <w:rPr>
          <w:rFonts w:ascii="Arial" w:hAnsi="Arial" w:cs="Arial"/>
          <w:lang w:val="zh-CN"/>
        </w:rPr>
      </w:pPr>
      <w:r>
        <w:rPr>
          <w:rFonts w:ascii="Arial" w:hAnsi="Arial" w:cs="Arial"/>
          <w:b/>
          <w:bCs/>
          <w:lang w:val="zh-CN"/>
        </w:rPr>
        <w:t>Perceived Impact of Policy</w:t>
      </w:r>
    </w:p>
    <w:p>
      <w:pPr>
        <w:ind w:firstLine="0"/>
        <w:contextualSpacing/>
        <w:rPr>
          <w:rFonts w:ascii="Arial" w:hAnsi="Arial" w:cs="Arial"/>
          <w:lang w:val="zh-CN"/>
        </w:rPr>
      </w:pPr>
      <w:r>
        <w:rPr>
          <w:rFonts w:ascii="Arial" w:hAnsi="Arial" w:cs="Arial"/>
          <w:lang w:val="zh-CN"/>
        </w:rPr>
        <w:t>More than half of the people</w:t>
      </w:r>
      <w:r>
        <w:rPr>
          <w:rFonts w:ascii="Arial" w:hAnsi="Arial" w:cs="Arial"/>
          <w:lang w:val="en-US"/>
        </w:rPr>
        <w:t xml:space="preserve"> (14) </w:t>
      </w:r>
      <w:r>
        <w:rPr>
          <w:rFonts w:ascii="Arial" w:hAnsi="Arial" w:cs="Arial"/>
          <w:lang w:val="zh-CN"/>
        </w:rPr>
        <w:t>think that this policy has had a favourable influence on their learning possibilities</w:t>
      </w:r>
      <w:r>
        <w:rPr>
          <w:rFonts w:ascii="Arial" w:hAnsi="Arial" w:cs="Arial"/>
          <w:lang w:val="en-US"/>
        </w:rPr>
        <w:t xml:space="preserve"> (Table 4.1)</w:t>
      </w:r>
      <w:r>
        <w:rPr>
          <w:rFonts w:ascii="Arial" w:hAnsi="Arial" w:cs="Arial"/>
          <w:lang w:val="zh-CN"/>
        </w:rPr>
        <w:t>. This finding implies that the implemented policy may be accompanied by drawbacks like additional financial burden or narrow choices, nevertheless it is usually considered as positive. Furthermore, respondents mentioned positive outcomes (Table 4.1). They included  changes in vocational aims, the new market competition, thus the policy had more signs to impact on the educational system.</w:t>
      </w:r>
    </w:p>
    <w:p>
      <w:pPr>
        <w:ind w:firstLine="0"/>
        <w:contextualSpacing/>
        <w:rPr>
          <w:rFonts w:ascii="Arial" w:hAnsi="Arial" w:cs="Arial"/>
          <w:lang w:val="zh-CN"/>
        </w:rPr>
      </w:pPr>
      <w:r>
        <w:rPr>
          <w:rFonts w:ascii="Arial" w:hAnsi="Arial" w:cs="Arial"/>
          <w:b/>
          <w:bCs/>
          <w:lang w:val="zh-CN"/>
        </w:rPr>
        <w:t>Perceptions and Attitudes</w:t>
      </w:r>
    </w:p>
    <w:p>
      <w:pPr>
        <w:ind w:firstLine="0"/>
        <w:contextualSpacing/>
        <w:rPr>
          <w:rFonts w:ascii="Arial" w:hAnsi="Arial" w:cs="Arial"/>
          <w:lang w:val="zh-CN"/>
        </w:rPr>
      </w:pPr>
      <w:r>
        <w:rPr>
          <w:rFonts w:ascii="Arial" w:hAnsi="Arial" w:cs="Arial"/>
          <w:lang w:val="en-US"/>
        </w:rPr>
        <w:drawing>
          <wp:inline distT="0" distB="0" distL="0" distR="0">
            <wp:extent cx="5267325" cy="2480945"/>
            <wp:effectExtent l="0" t="0" r="9525" b="14605"/>
            <wp:docPr id="105806563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pPr>
        <w:ind w:firstLine="0"/>
        <w:contextualSpacing/>
        <w:rPr>
          <w:rFonts w:ascii="Arial" w:hAnsi="Arial" w:cs="Arial"/>
          <w:lang w:val="zh-CN"/>
        </w:rPr>
      </w:pPr>
      <w:r>
        <w:rPr>
          <w:rFonts w:ascii="Arial" w:hAnsi="Arial" w:cs="Arial"/>
          <w:lang w:val="zh-CN"/>
        </w:rPr>
        <w:t xml:space="preserve">The data presented in the </w:t>
      </w:r>
      <w:r>
        <w:rPr>
          <w:rFonts w:ascii="Arial" w:hAnsi="Arial" w:cs="Arial"/>
          <w:lang w:val="en-US"/>
        </w:rPr>
        <w:t xml:space="preserve">pie chart above </w:t>
      </w:r>
      <w:r>
        <w:rPr>
          <w:rFonts w:ascii="Arial" w:hAnsi="Arial" w:cs="Arial"/>
          <w:lang w:val="zh-CN"/>
        </w:rPr>
        <w:t>suggests that there exist different perceptions and attitudes regarding the Double Reduction Policy among the respondents. However, a large number of others still hold varying views and opinions; some positive (32%) and negative (24%) regards. A large number of respondents both neutral (16%) and mixed feelings (16%) may imply that the policy’s effect is uncertain and may be a complex issue. When all the data is considered, it can be concluded that the diverse views and experiences of the foreign students of ENGLISH in China about the Double Reduction Policy.</w:t>
      </w:r>
    </w:p>
    <w:p>
      <w:pPr>
        <w:pStyle w:val="4"/>
        <w:rPr>
          <w:lang w:val="zh-CN"/>
        </w:rPr>
      </w:pPr>
      <w:bookmarkStart w:id="65" w:name="_Toc159852138"/>
      <w:r>
        <w:rPr>
          <w:lang w:val="zh-CN"/>
        </w:rPr>
        <w:t>Impact on Academic and Career Prospects</w:t>
      </w:r>
      <w:bookmarkEnd w:id="65"/>
    </w:p>
    <w:p>
      <w:pPr>
        <w:ind w:firstLine="0"/>
        <w:contextualSpacing/>
        <w:rPr>
          <w:rFonts w:ascii="Arial" w:hAnsi="Arial" w:cs="Arial"/>
          <w:lang w:val="zh-CN"/>
        </w:rPr>
      </w:pPr>
      <w:r>
        <w:rPr>
          <w:rFonts w:ascii="Arial" w:hAnsi="Arial" w:cs="Arial"/>
          <w:lang w:val="zh-CN"/>
        </w:rPr>
        <w:t>Respondents  had  varied opinion on whether the policy will affect the academics or career. Despite some respondents have a positive outlook on the policy, others showed a negative response (24%, 36%). A considerable number of respondents are neutral (12%) or have mixed/contradicting ideas (16%), indicating that the process may be intricate and includes different angles</w:t>
      </w:r>
      <w:r>
        <w:rPr>
          <w:rFonts w:ascii="Arial" w:hAnsi="Arial" w:cs="Arial"/>
          <w:lang w:val="en-US"/>
        </w:rPr>
        <w:t xml:space="preserve"> (Table 4.2)</w:t>
      </w:r>
      <w:r>
        <w:rPr>
          <w:rFonts w:ascii="Arial" w:hAnsi="Arial" w:cs="Arial"/>
          <w:lang w:val="zh-CN"/>
        </w:rPr>
        <w:t>. The plurality of perspectives thus signifies the critical function of taking into account the idiosyncrasies of individuals when assessing the impact of the policy.</w:t>
      </w:r>
    </w:p>
    <w:p>
      <w:pPr>
        <w:ind w:firstLine="0"/>
        <w:contextualSpacing/>
        <w:rPr>
          <w:rFonts w:ascii="Arial" w:hAnsi="Arial" w:cs="Arial"/>
          <w:b/>
          <w:bCs/>
          <w:lang w:val="zh-CN"/>
        </w:rPr>
      </w:pPr>
      <w:r>
        <w:rPr>
          <w:rFonts w:ascii="Arial" w:hAnsi="Arial" w:cs="Arial"/>
          <w:b/>
          <w:bCs/>
          <w:lang w:val="zh-CN"/>
        </w:rPr>
        <w:t>Institutional Support</w:t>
      </w:r>
    </w:p>
    <w:p>
      <w:pPr>
        <w:ind w:firstLine="0"/>
        <w:contextualSpacing/>
        <w:rPr>
          <w:rFonts w:ascii="Arial" w:hAnsi="Arial" w:cs="Arial"/>
          <w:lang w:val="zh-CN"/>
        </w:rPr>
      </w:pPr>
      <w:r>
        <w:rPr>
          <w:rFonts w:ascii="Arial" w:hAnsi="Arial" w:cs="Arial"/>
          <w:lang w:val="en-US"/>
        </w:rPr>
        <w:drawing>
          <wp:inline distT="0" distB="0" distL="0" distR="0">
            <wp:extent cx="4810125" cy="2517140"/>
            <wp:effectExtent l="0" t="0" r="0" b="0"/>
            <wp:docPr id="1480466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466334"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4817631" cy="2521214"/>
                    </a:xfrm>
                    <a:prstGeom prst="rect">
                      <a:avLst/>
                    </a:prstGeom>
                    <a:noFill/>
                  </pic:spPr>
                </pic:pic>
              </a:graphicData>
            </a:graphic>
          </wp:inline>
        </w:drawing>
      </w:r>
    </w:p>
    <w:p>
      <w:pPr>
        <w:ind w:firstLine="0"/>
        <w:contextualSpacing/>
        <w:rPr>
          <w:rFonts w:ascii="Arial" w:hAnsi="Arial" w:cs="Arial"/>
          <w:lang w:val="en-US"/>
        </w:rPr>
      </w:pPr>
      <w:r>
        <w:rPr>
          <w:rFonts w:ascii="Arial" w:hAnsi="Arial" w:cs="Arial"/>
          <w:lang w:val="en-US"/>
        </w:rPr>
        <w:t xml:space="preserve">The Pie chart above </w:t>
      </w:r>
      <w:r>
        <w:rPr>
          <w:rFonts w:ascii="Arial" w:hAnsi="Arial" w:cs="Arial"/>
          <w:lang w:val="zh-CN"/>
        </w:rPr>
        <w:t>delivers information that the Federal Government ought to implement diverse measures for those students who are impacted by the Double Reduction Policy. The majority of the respondents cited the two main types of help such as the psychological support (28%) and the financial support (20%), therefore it may indicate that students often deal with stress or financial troubles that are caused by the policy. Other forms of support, for example, the academic support (16%) or the career counselling (12%) were also mentioned, which implies that students require advice both during their academic career and in their career development as possible result of the policy. In the overall, the data demonstrated that the institutional support is critical in achieving the goals and resolving the problems of the English learning students in China.</w:t>
      </w:r>
    </w:p>
    <w:p>
      <w:pPr>
        <w:pStyle w:val="4"/>
        <w:rPr>
          <w:lang w:val="en-US"/>
        </w:rPr>
      </w:pPr>
      <w:bookmarkStart w:id="66" w:name="_Toc159852139"/>
      <w:r>
        <w:rPr>
          <w:lang w:val="en-US"/>
        </w:rPr>
        <w:t>Qualitative Data Presentation</w:t>
      </w:r>
      <w:bookmarkEnd w:id="66"/>
    </w:p>
    <w:p>
      <w:pPr>
        <w:ind w:firstLine="0"/>
        <w:contextualSpacing/>
        <w:rPr>
          <w:rFonts w:ascii="Arial" w:hAnsi="Arial" w:cs="Arial"/>
          <w:lang w:val="en-US"/>
        </w:rPr>
      </w:pPr>
      <w:r>
        <w:rPr>
          <w:rFonts w:ascii="Arial" w:hAnsi="Arial" w:cs="Arial"/>
          <w:lang w:val="en-US"/>
        </w:rPr>
        <w:t>This study was able to fetch qualitative data besides quantitative data from interviews with respondents. Beyond the poll survey, interviews asked residents to talk more about why they feel this way and share their experiences with job searching and/or seeking for further education in and outside of China. The qualitative data helps to understand the policy's influence at a more nuanced level, and ensures that their lived experiences have been captured, with their motivations, worries, and aspirations are taken into account. The qualitative data was just as useful as the quantitative one, improving the analysis and contributing to an integrated view of the policy’s effect. The themes from the interviewing students showed the influence of the Educational Policy on the educational and career decisions of students learning the English language in China. These themes highlight policy’s consequences on their choices and experiences.</w:t>
      </w:r>
    </w:p>
    <w:p>
      <w:pPr>
        <w:pStyle w:val="4"/>
        <w:rPr>
          <w:lang w:val="zh-CN"/>
        </w:rPr>
      </w:pPr>
      <w:bookmarkStart w:id="67" w:name="_Toc159852140"/>
      <w:r>
        <w:rPr>
          <w:lang w:val="zh-CN"/>
        </w:rPr>
        <w:t>Limited Influence of the Double Reduction Policy</w:t>
      </w:r>
      <w:bookmarkEnd w:id="67"/>
    </w:p>
    <w:p>
      <w:pPr>
        <w:ind w:firstLine="0"/>
        <w:contextualSpacing/>
        <w:rPr>
          <w:rFonts w:ascii="Arial" w:hAnsi="Arial" w:cs="Arial"/>
          <w:lang w:val="zh-CN"/>
        </w:rPr>
      </w:pPr>
      <w:r>
        <w:rPr>
          <w:rFonts w:ascii="Arial" w:hAnsi="Arial" w:cs="Arial"/>
          <w:lang w:val="zh-CN"/>
        </w:rPr>
        <w:t>The vast number of respondents deemed the Double Reduction Policy as having minor impact on the education of their career choices. These students mainly took into account the academic influences, foreign language immersion, and cultural experience when making decisions about studying abroad, returning to China for employment or emigrating for higher education. For example, Respondent 1 argued, "The Double Reduction Policy was not my determinant to study abroad." Likewise, Respondent 2 expressed, "The policy didn’t play a role in my choice." Implicitly, respondents' choices were based more on personal, academic and cultural considerations, rather than on policy influences. That policy cannot be deemed a significant consideration in their decision making. It can be seen in this context that there are some complications on the connection between the personal goals, the cultural inputs and the policy outcomes that define the individual’s education and career.</w:t>
      </w:r>
    </w:p>
    <w:p>
      <w:pPr>
        <w:pStyle w:val="3"/>
        <w:rPr>
          <w:lang w:val="zh-CN"/>
        </w:rPr>
      </w:pPr>
      <w:bookmarkStart w:id="68" w:name="_Toc159852141"/>
      <w:r>
        <w:rPr>
          <w:lang w:val="zh-CN"/>
        </w:rPr>
        <w:t>Focus on Personal and Academic Preferences</w:t>
      </w:r>
      <w:bookmarkEnd w:id="68"/>
    </w:p>
    <w:p>
      <w:pPr>
        <w:ind w:firstLine="0"/>
        <w:contextualSpacing/>
        <w:rPr>
          <w:rFonts w:ascii="Arial" w:hAnsi="Arial" w:cs="Arial"/>
          <w:lang w:val="zh-CN"/>
        </w:rPr>
      </w:pPr>
      <w:r>
        <w:rPr>
          <w:rFonts w:ascii="Arial" w:hAnsi="Arial" w:cs="Arial"/>
          <w:lang w:val="zh-CN"/>
        </w:rPr>
        <w:t>It was the policy preferences which followed and, while they did matter, personal, academic, and policy related ones were the most relevant. The language, cultural events, and academics were the things about which they gave high priority during the selection of the educational and career plans.</w:t>
      </w:r>
      <w:r>
        <w:rPr>
          <w:rFonts w:ascii="Arial" w:hAnsi="Arial" w:cs="Arial"/>
          <w:lang w:val="en-US"/>
        </w:rPr>
        <w:t xml:space="preserve"> </w:t>
      </w:r>
      <w:r>
        <w:rPr>
          <w:rFonts w:ascii="Arial" w:hAnsi="Arial" w:cs="Arial"/>
          <w:lang w:val="zh-CN"/>
        </w:rPr>
        <w:t>To give an example, Respondent 3 stated, "I took pretty seriously considering studying abroad for experience, culture immersion while the policy had no consequences on my decision." The other respondent, Respondent 4, also said "I took my studies aboard seriously for academic reasons and cultural purposes". The statement “The policy did not influence my decision” is emphasised by the youth in this response, which indicates a strong personal and academic choice bias towards personal and academic interests instead of policy-driven factors. The evidence suggests that students give equal attention to issues such as language ability, academic enrichment, and cultural exposure, showing that they are concerned about their educational and career needs as well. This demonstrates that the individualistic and academic assertiveness is the primary factor that influence students’ decisions rather than the institutional policies.</w:t>
      </w:r>
    </w:p>
    <w:p>
      <w:pPr>
        <w:pStyle w:val="3"/>
        <w:rPr>
          <w:lang w:val="zh-CN"/>
        </w:rPr>
      </w:pPr>
      <w:bookmarkStart w:id="69" w:name="_Toc159852142"/>
      <w:r>
        <w:rPr>
          <w:lang w:val="zh-CN"/>
        </w:rPr>
        <w:t>Policy's Minimal Impact on Career Opportunities</w:t>
      </w:r>
      <w:bookmarkEnd w:id="69"/>
    </w:p>
    <w:p>
      <w:pPr>
        <w:ind w:firstLine="0"/>
        <w:contextualSpacing/>
        <w:rPr>
          <w:rFonts w:ascii="Arial" w:hAnsi="Arial" w:cs="Arial"/>
          <w:lang w:val="zh-CN"/>
        </w:rPr>
      </w:pPr>
      <w:r>
        <w:rPr>
          <w:rFonts w:ascii="Arial" w:hAnsi="Arial" w:cs="Arial"/>
          <w:lang w:val="zh-CN"/>
        </w:rPr>
        <w:t>Even though the Double Reduction Policy did not bring significant changes in the respondents' job opportunities and income after their studies. They did not relate any change in their jobs to this policy implementation. For example, Respondent 1 said, "The policy did not to me have a deep influence on my educational career and did not lead to any direct impacts on my job offers and earnings after leaving college,". Likewise, Respondent 2 complained, "The policy did not to me have a deep influence on my educational career and did not lead to any direct impacts on my job offers and earnings after leaving college."</w:t>
      </w:r>
    </w:p>
    <w:p>
      <w:pPr>
        <w:ind w:firstLine="0"/>
        <w:contextualSpacing/>
        <w:rPr>
          <w:rFonts w:ascii="Arial" w:hAnsi="Arial" w:cs="Arial"/>
          <w:lang w:val="zh-CN"/>
        </w:rPr>
      </w:pPr>
      <w:r>
        <w:rPr>
          <w:rFonts w:ascii="Arial" w:hAnsi="Arial" w:cs="Arial"/>
          <w:lang w:val="zh-CN"/>
        </w:rPr>
        <w:t>This implies that the policy brought about minimal changes among the respondents in terms of their career pathways. However, it may have affected their educational choices but they appeared employed and their income was not a big deal. It is demonstrated that this is a theme that stresses the impact of the many options available as students make decisions about their life paths. They provide examples of how the Double Reduction Policy can influence educational choices but have less effect on job opportunities.</w:t>
      </w:r>
    </w:p>
    <w:p>
      <w:pPr>
        <w:pStyle w:val="4"/>
        <w:rPr>
          <w:lang w:val="zh-CN"/>
        </w:rPr>
      </w:pPr>
      <w:bookmarkStart w:id="70" w:name="_Toc159852143"/>
      <w:r>
        <w:rPr>
          <w:lang w:val="zh-CN"/>
        </w:rPr>
        <w:t>Limited Influence on Educational Journey</w:t>
      </w:r>
      <w:bookmarkEnd w:id="70"/>
    </w:p>
    <w:p>
      <w:pPr>
        <w:ind w:firstLine="0"/>
        <w:contextualSpacing/>
        <w:rPr>
          <w:rFonts w:ascii="Arial" w:hAnsi="Arial" w:cs="Arial"/>
          <w:lang w:val="zh-CN"/>
        </w:rPr>
      </w:pPr>
      <w:r>
        <w:rPr>
          <w:rFonts w:ascii="Arial" w:hAnsi="Arial" w:cs="Arial"/>
          <w:lang w:val="zh-CN"/>
        </w:rPr>
        <w:t>The respondents did not consider that the Double Reduction Scheme did have a substantial role in their learning journey. They concentrated more on their zoological aims, private passions and work. For example, Respondent 4 said, ‘the policy did not directly influence my educational path, nor did it affect my job chance or earnings after school.’ Respondent 5 also mentioned, ‘the policy did not directly impact on my educational journey, nor did it have a big influence on my job opportunities or income after college.’ These statements suggest that although the policy could have affected their decision to study abroad as well as other factors, this theme brings up the relevance of individual tastes and career desires in the shaping of educational routes, shown by the fact that policy steps such as the Double Reduction Policy may be relatively ineffective in this case.</w:t>
      </w:r>
    </w:p>
    <w:p>
      <w:pPr>
        <w:pStyle w:val="3"/>
        <w:rPr>
          <w:lang w:val="en-US"/>
        </w:rPr>
      </w:pPr>
      <w:bookmarkStart w:id="71" w:name="_Toc159852144"/>
      <w:r>
        <w:rPr>
          <w:lang w:val="en-US"/>
        </w:rPr>
        <w:t>Cumulative Findings</w:t>
      </w:r>
      <w:bookmarkEnd w:id="71"/>
      <w:r>
        <w:rPr>
          <w:lang w:val="en-US"/>
        </w:rPr>
        <w:t xml:space="preserve"> </w:t>
      </w:r>
    </w:p>
    <w:p>
      <w:pPr>
        <w:ind w:firstLine="0"/>
        <w:contextualSpacing/>
        <w:rPr>
          <w:rFonts w:ascii="Arial" w:hAnsi="Arial" w:cs="Arial"/>
          <w:lang w:val="zh-CN"/>
        </w:rPr>
      </w:pPr>
      <w:r>
        <w:rPr>
          <w:rFonts w:ascii="Arial" w:hAnsi="Arial" w:cs="Arial"/>
          <w:lang w:val="zh-CN"/>
        </w:rPr>
        <w:t>This research explores the influence of the Policy on students' education and careers, using a mixed methods approach - qualitative and quantitative data analysis. The analysis is structured around three main themes: the effect of the policy on educational options, its impact on the career options and what students perceive and attitudes towards the policy. The results show important stuffs that the policy is influencing students' choices and perceptions in an interesting way.</w:t>
      </w:r>
    </w:p>
    <w:p>
      <w:pPr>
        <w:pStyle w:val="4"/>
        <w:rPr>
          <w:lang w:val="zh-CN"/>
        </w:rPr>
      </w:pPr>
      <w:bookmarkStart w:id="72" w:name="_Toc159852145"/>
      <w:r>
        <w:rPr>
          <w:lang w:val="zh-CN"/>
        </w:rPr>
        <w:t>Influence on Educational Choices</w:t>
      </w:r>
      <w:bookmarkEnd w:id="72"/>
    </w:p>
    <w:p>
      <w:pPr>
        <w:ind w:firstLine="0"/>
        <w:contextualSpacing/>
        <w:rPr>
          <w:rFonts w:ascii="Arial" w:hAnsi="Arial" w:cs="Arial"/>
          <w:lang w:val="zh-CN"/>
        </w:rPr>
      </w:pPr>
      <w:r>
        <w:rPr>
          <w:rFonts w:ascii="Arial" w:hAnsi="Arial" w:cs="Arial"/>
          <w:lang w:val="zh-CN"/>
        </w:rPr>
        <w:t>The data were got from the questionnaires and the analysis showed that a high majority of the respondents' 18 out of 25 had decided to study abroad for their language degree. It means that such a high demand for education overseas exists among Chinese students, being one of their number one priority. Nevertheless, the policy of Double Reduction just had minimal to none effect when the respondents were requested to report the policy’s impact in making the decision. Only one respondent stated indeed that the policy played a significant role in their choice for studying or working abroad due to a fear of competition in the job market. The fact that personal and academic factors were a far greater influence on students' choice of studying abroad rather than political factors suggests that.</w:t>
      </w:r>
    </w:p>
    <w:p>
      <w:pPr>
        <w:ind w:firstLine="0"/>
        <w:contextualSpacing/>
        <w:rPr>
          <w:rFonts w:ascii="Arial" w:hAnsi="Arial" w:cs="Arial"/>
          <w:lang w:val="zh-CN"/>
        </w:rPr>
      </w:pPr>
      <w:r>
        <w:rPr>
          <w:rFonts w:ascii="Arial" w:hAnsi="Arial" w:cs="Arial"/>
          <w:lang w:val="zh-CN"/>
        </w:rPr>
        <w:t>Qualitative data on the interviews are also included to ensure the same conclusion. When interrogated regarding their reasons for thinking to study abroad, respondents stressed language immersion, cultural exchange and academic possibilities. Such as the given example, one of the respondents said, "I studied abroad for the experience and the language immersion." Doubling Reduction Policy hasn’t played any part in my decision.” The other respondent mentioned, "I considered studying abroad for academic opportunities and cultural exchange." The statement, "The impact of the said policy on my decision is null and void," shows that the Double Reduction Policy was not a great influence on the students' choice to study English Language abroad. While this was the case, the personal and academic preferences, rather than language immersion and other academic opportunities were the primary reasons for seeking education opportunities outside China.</w:t>
      </w:r>
    </w:p>
    <w:p>
      <w:pPr>
        <w:pStyle w:val="4"/>
        <w:rPr>
          <w:lang w:val="zh-CN"/>
        </w:rPr>
      </w:pPr>
      <w:bookmarkStart w:id="73" w:name="_Toc159852146"/>
      <w:r>
        <w:rPr>
          <w:lang w:val="zh-CN"/>
        </w:rPr>
        <w:t>Impact on Career Opportunities</w:t>
      </w:r>
      <w:bookmarkEnd w:id="73"/>
    </w:p>
    <w:p>
      <w:pPr>
        <w:ind w:firstLine="0"/>
        <w:contextualSpacing/>
        <w:rPr>
          <w:rFonts w:ascii="Arial" w:hAnsi="Arial" w:cs="Arial"/>
          <w:lang w:val="zh-CN"/>
        </w:rPr>
      </w:pPr>
      <w:r>
        <w:rPr>
          <w:rFonts w:ascii="Arial" w:hAnsi="Arial" w:cs="Arial"/>
          <w:lang w:val="zh-CN"/>
        </w:rPr>
        <w:t>The quantitative data reveals that the Double Reduction Policy did not have any major impact on the jobs opportunities of respondents or their incomes after graduation. This is further affirmed by the qualitative data which has a number of respondents attest to the fact that his/her career prospects were not affected at all by the policy. They claimed that their jobs and earnings had gotten better for reasons other than the policy, such as their academic qualifications and skills. By way of example, one respondent put it in this manner: "I contemplated studying abroad because of the cultural exposure and language immersion." As the other respondent noted, the policy also didn't have any influence on my decision." Thus, their response is similar with mine and others. These findings, accordingly, suggest that the Double Reduction Policy may have had an impact on the education system and the workload of students, but it didn't significantly affect their career opportunities or income. Other factors, e.g. personal preferences, academic qualifications, skills were more important in the selection of a job and determination of income by a graduate after degree attainment.</w:t>
      </w:r>
    </w:p>
    <w:p>
      <w:pPr>
        <w:pStyle w:val="4"/>
        <w:rPr>
          <w:lang w:val="zh-CN"/>
        </w:rPr>
      </w:pPr>
      <w:bookmarkStart w:id="74" w:name="_Toc159852147"/>
      <w:r>
        <w:rPr>
          <w:lang w:val="zh-CN"/>
        </w:rPr>
        <w:t>Perceptions and Attitudes</w:t>
      </w:r>
      <w:bookmarkEnd w:id="74"/>
    </w:p>
    <w:p>
      <w:pPr>
        <w:ind w:firstLine="0"/>
        <w:contextualSpacing/>
        <w:rPr>
          <w:rFonts w:ascii="Arial" w:hAnsi="Arial" w:cs="Arial"/>
          <w:lang w:val="zh-CN"/>
        </w:rPr>
      </w:pPr>
      <w:r>
        <w:rPr>
          <w:rFonts w:ascii="Arial" w:hAnsi="Arial" w:cs="Arial"/>
          <w:lang w:val="zh-CN"/>
        </w:rPr>
        <w:t>Although the qualitative data provides some information about how students perceive the Double Reduction Policy, it is not very useful. Answers to the policy were quite conflicting whereby some respondents felt strongly that the policy was a move in the right direction. On the other hand, the many felt that it would lead to negative educational outcomes for students and future employees. The data further brings out the necessity for educational institutions to offer support to students who get impacted by the policy such as loan assistance and career guidance. As an example, the respondent said, "Having achieved positive impact on my academic and career opportunities, I believe the policy of double reduction has been effective." I would say that one of my friends told me that "it has contributed to relieving the stress and also helps her to concentrate more on her studies". However, the other replied as "I think the program has negative effects on my studies and employment". It took away some programs and majors for me to choose, worried indeed that the quality of education that I am getting could be affected.” However, these findings suggest down the road that while some students may view the Double Reduction Policy as having the negative side, others may be worried about the prospects of their education and career. Those are the educational institutions that should take the perception and attitude of the students into account when they are implementing the policy and can be able to give them a supporting hand that will not likely for them to refuse the policy. It could include offering of financial, career and other related services as a response to this change of policy that brings about need among the students.</w:t>
      </w:r>
    </w:p>
    <w:p>
      <w:pPr>
        <w:ind w:firstLine="0"/>
        <w:contextualSpacing/>
        <w:rPr>
          <w:rFonts w:ascii="Arial" w:hAnsi="Arial" w:cs="Arial"/>
          <w:lang w:val="zh-CN"/>
        </w:rPr>
      </w:pPr>
      <w:r>
        <w:rPr>
          <w:rFonts w:ascii="Arial" w:hAnsi="Arial" w:cs="Arial"/>
          <w:lang w:val="zh-CN"/>
        </w:rPr>
        <w:t>The findings show that the Double Reduction Policy rather appear to be only partially successful in its attempt of motivating students as concerns their educational and occupational choices. As some of the respondents shared that they only wanted to study abroad to get an English language degree but with this policy not being useful, they suffered both in their career decision and their job opportunities after graduation. It is a view of the majority of students that the introduction of this policy is a step in ensuring a reduction in long academia pressure, however, there is a minority that have it as a negative influence due to the scare that the quality of education may drop and future career prospects are at stake. These findings emphasize the need to have learning institutions that offer these services to students to ensure they have a chance to benefit from the student aid and career guidance services provided.</w:t>
      </w:r>
    </w:p>
    <w:p>
      <w:pPr>
        <w:pStyle w:val="3"/>
        <w:rPr>
          <w:lang w:val="en-US"/>
        </w:rPr>
      </w:pPr>
      <w:bookmarkStart w:id="75" w:name="_Toc159852148"/>
      <w:r>
        <w:rPr>
          <w:lang w:val="en-US"/>
        </w:rPr>
        <w:t>Analysis of the findings</w:t>
      </w:r>
      <w:bookmarkEnd w:id="75"/>
      <w:r>
        <w:rPr>
          <w:lang w:val="en-US"/>
        </w:rPr>
        <w:t xml:space="preserve"> </w:t>
      </w:r>
    </w:p>
    <w:p>
      <w:pPr>
        <w:pStyle w:val="4"/>
        <w:rPr>
          <w:lang w:val="en-US"/>
        </w:rPr>
      </w:pPr>
      <w:bookmarkStart w:id="76" w:name="_Toc159852149"/>
      <w:r>
        <w:rPr>
          <w:lang w:val="en-US"/>
        </w:rPr>
        <w:t>Influence on Educational Choices</w:t>
      </w:r>
      <w:bookmarkEnd w:id="76"/>
    </w:p>
    <w:p>
      <w:pPr>
        <w:ind w:firstLine="0"/>
        <w:contextualSpacing/>
        <w:rPr>
          <w:rFonts w:ascii="Arial" w:hAnsi="Arial" w:cs="Arial"/>
          <w:lang w:val="zh-CN"/>
        </w:rPr>
      </w:pPr>
      <w:r>
        <w:rPr>
          <w:rFonts w:ascii="Arial" w:hAnsi="Arial" w:cs="Arial"/>
          <w:lang w:val="zh-CN"/>
        </w:rPr>
        <w:t>The outcomes of our research in the Forest of Education and related to the failure of Double Reduction Policy has many similarities with the existing theory of educational decision-making, focusing on expectancy and motivation factors. By literature one can find that motivational and expectancy dimensions are the very foundation of people’s educational orientation. Surmesed by factors such as these, students may choose their field of study, using their perceptions of the future, according to Lent and others (1994). This research, literature review, concluded that information processing matters significantly in educational decision-making, among students, who get information from other sources they can use such information for task analysis (Lapan et al., 1997). Besides, the review demonstrated that the risk and uncertainty in decision-making is realized by the students in that they understood the impacts and uncertainties present in different aspects of their choices (Wang, 2022).</w:t>
      </w:r>
    </w:p>
    <w:p>
      <w:pPr>
        <w:ind w:firstLine="0"/>
        <w:contextualSpacing/>
        <w:rPr>
          <w:rFonts w:ascii="Arial" w:hAnsi="Arial" w:cs="Arial"/>
          <w:lang w:val="zh-CN"/>
        </w:rPr>
      </w:pPr>
      <w:r>
        <w:rPr>
          <w:rFonts w:ascii="Arial" w:hAnsi="Arial" w:cs="Arial"/>
          <w:lang w:val="zh-CN"/>
        </w:rPr>
        <w:t>The findings of this study might mean that the students who are aiming to study English Language degree abroad are guided due to personal and academic objectives to a far lesser extent than by policy. This further agrees with the instruction of which the motivational and expectancy factors are underlined which influence the students' actions. Further, the research article indicated that the policy had less impact on the perception of end-learners about the risks and uncertainties of study away, hence supporting the dialogue’s claims that the study of abroad entails more than that.</w:t>
      </w:r>
      <w:r>
        <w:rPr>
          <w:rFonts w:ascii="Arial" w:hAnsi="Arial" w:cs="Arial"/>
          <w:lang w:val="en-US"/>
        </w:rPr>
        <w:t xml:space="preserve"> </w:t>
      </w:r>
      <w:r>
        <w:rPr>
          <w:rFonts w:ascii="Arial" w:hAnsi="Arial" w:cs="Arial"/>
          <w:lang w:val="zh-CN"/>
        </w:rPr>
        <w:t>On the other hand, the qualitative data from the interviews revealed students` views and attitudes towards the studied policy. Some students welcomed this policy as a convenient way of cutting academic pressure, while others criticized it for its negative influence on the quality of education and educational prospects. As per literature on the Double Reduction Policy, it is argued that it can help to reduce academic stress but also at the same time there are queries that it may affect quality in education and opportunities in careers over a period.</w:t>
      </w:r>
    </w:p>
    <w:p>
      <w:pPr>
        <w:pStyle w:val="4"/>
        <w:rPr>
          <w:lang w:val="zh-CN"/>
        </w:rPr>
      </w:pPr>
      <w:bookmarkStart w:id="77" w:name="_Toc159852150"/>
      <w:r>
        <w:rPr>
          <w:lang w:val="zh-CN"/>
        </w:rPr>
        <w:t>Impact on Career Opportunities</w:t>
      </w:r>
      <w:bookmarkEnd w:id="77"/>
    </w:p>
    <w:p>
      <w:pPr>
        <w:ind w:firstLine="0"/>
        <w:contextualSpacing/>
        <w:rPr>
          <w:rFonts w:ascii="Arial" w:hAnsi="Arial" w:cs="Arial"/>
          <w:lang w:val="zh-CN"/>
        </w:rPr>
      </w:pPr>
      <w:r>
        <w:rPr>
          <w:rFonts w:ascii="Arial" w:hAnsi="Arial" w:cs="Arial"/>
          <w:lang w:val="zh-CN"/>
        </w:rPr>
        <w:t>The second aim of the policy is to cut students’ stress levels. This is an issue of interest for some people who wonder how this measure will affect students' career opportunities when they leave university. The study findings clearly demonstrate that the policy has not brought real changes for the students in terms of their jobs and salaries. The respondents did not associate their widened job opportunities or increase in income with the policy but with their academic qualification, expertise and competence. This will mean the policy affected the education system and workload of students for some period but did not cause substantial improvement of their professional progress. There were other factors that weighed heavily in the choice of jobs and the income kind they offered like personal preferences and educational credentials.</w:t>
      </w:r>
    </w:p>
    <w:p>
      <w:pPr>
        <w:ind w:firstLine="0"/>
        <w:contextualSpacing/>
        <w:rPr>
          <w:rFonts w:ascii="Arial" w:hAnsi="Arial" w:cs="Arial"/>
          <w:lang w:val="zh-CN"/>
        </w:rPr>
      </w:pPr>
      <w:r>
        <w:rPr>
          <w:rFonts w:ascii="Arial" w:hAnsi="Arial" w:cs="Arial"/>
          <w:lang w:val="zh-CN"/>
        </w:rPr>
        <w:t>This suggests that the current study findings concord with Shuo (2023) and Dai (2023), who both propose that it is the academic stress reduction as the main purpose of the policy may not have a straight impact on the students’ career prospects directly. On the other hand, a much greater influence of factors like academic qualifications, skills, and personal preferences seem to impact students’ job prospects and income after graduation. This means that although the policy has been effective in reducing exam stress, it MAY, thus, not have much impact on the students' future careers.</w:t>
      </w:r>
    </w:p>
    <w:p>
      <w:pPr>
        <w:ind w:firstLine="0"/>
        <w:contextualSpacing/>
        <w:rPr>
          <w:rFonts w:ascii="Arial" w:hAnsi="Arial" w:cs="Arial"/>
          <w:lang w:val="zh-CN"/>
        </w:rPr>
      </w:pPr>
      <w:r>
        <w:rPr>
          <w:rFonts w:ascii="Arial" w:hAnsi="Arial" w:cs="Arial"/>
          <w:lang w:val="zh-CN"/>
        </w:rPr>
        <w:t>Regarding the qualitative data of the research, it provides us additional understandings of students' point of view about how the policy can change their career opportunities. Respondents indicated that the policy did not affect their career prospects at all, and mentioned some factors other than the policy as influencing factors of job chances and income. This shows that the policy concerned the education system and student workload but it did not affect generally their future profession jobs. However, other factors, including personal preferences, educational qualifications, and skills, tend to weigh more in determining who gets the job and how high the income will be.</w:t>
      </w:r>
    </w:p>
    <w:p>
      <w:pPr>
        <w:pStyle w:val="4"/>
        <w:rPr>
          <w:lang w:val="zh-CN"/>
        </w:rPr>
      </w:pPr>
      <w:bookmarkStart w:id="78" w:name="_Toc159852151"/>
      <w:r>
        <w:rPr>
          <w:lang w:val="zh-CN"/>
        </w:rPr>
        <w:t>Perceptions and Attitudes</w:t>
      </w:r>
      <w:bookmarkEnd w:id="78"/>
    </w:p>
    <w:p>
      <w:pPr>
        <w:ind w:firstLine="0"/>
        <w:contextualSpacing/>
        <w:rPr>
          <w:rFonts w:ascii="Arial" w:hAnsi="Arial" w:cs="Arial"/>
          <w:lang w:val="zh-CN"/>
        </w:rPr>
      </w:pPr>
      <w:r>
        <w:rPr>
          <w:rFonts w:ascii="Arial" w:hAnsi="Arial" w:cs="Arial"/>
          <w:lang w:val="zh-CN"/>
        </w:rPr>
        <w:t>The Directional Reduction Policy was specially made to lessen academic stress by decreasing the amount of homework and changing testing processes with the objective of transforming the landscape of education. This is the consequence of a huge increase in students' interest in enrolling overseas, particularly in the English Language programs. Nevertheless, the investigation's complete numbers exhibit that the policy affects the student's choice to study abroad slightly or not at all. On the other hand, students and their family members will have more options whose personal and academic interests will be determinant, rather than language immersion and academic advantages.</w:t>
      </w:r>
    </w:p>
    <w:p>
      <w:pPr>
        <w:ind w:firstLine="0"/>
        <w:contextualSpacing/>
        <w:rPr>
          <w:rFonts w:ascii="Arial" w:hAnsi="Arial" w:cs="Arial"/>
          <w:lang w:val="zh-CN"/>
        </w:rPr>
      </w:pPr>
      <w:r>
        <w:rPr>
          <w:rFonts w:ascii="Arial" w:hAnsi="Arial" w:cs="Arial"/>
          <w:lang w:val="zh-CN"/>
        </w:rPr>
        <w:t xml:space="preserve">The observed result is congruent to the findings of Qian et al. (2023) and Wang et al. (2022), who noted that the policy's intention to decrease academic pressure is appreciated by some students, but its effect on educational action is limited. Such behaviour proves that the policy undoubtedly downplays academic stress, but does not impact students’ decisions about their education. Instead, what will be the </w:t>
      </w:r>
      <w:r>
        <w:rPr>
          <w:rFonts w:ascii="Arial" w:hAnsi="Arial" w:cs="Arial"/>
          <w:lang w:val="en-US"/>
        </w:rPr>
        <w:t>3</w:t>
      </w:r>
      <w:r>
        <w:rPr>
          <w:rFonts w:ascii="Arial" w:hAnsi="Arial" w:cs="Arial"/>
          <w:lang w:val="zh-CN"/>
        </w:rPr>
        <w:t>ultimate influence to their decisions will be the linguistic immersion and the available learning courses. This shows that policies may not have as much effect on the quality of educational choices as they were designed to do. In addition to this, the quantitative data from the research also adds to the current conclusion. As well, a student said," I was going abroad to study in order to get experience and language immersion." As for me, the Double Reduction Policy didn't affect my choice." Another participant talked about, "I knew that I would like to enjoy the academic opportunities as well as cultural exchange." " Policy did not affect my decision " is a common responding sentence, hence the evidence stresses that the policy is least influential in the selection to study overseas due to their own personal and academic motivations, rather than policy inputs.</w:t>
      </w:r>
    </w:p>
    <w:p>
      <w:pPr>
        <w:pStyle w:val="3"/>
        <w:rPr>
          <w:lang w:val="en-US"/>
        </w:rPr>
      </w:pPr>
      <w:bookmarkStart w:id="79" w:name="_Toc159852152"/>
      <w:r>
        <w:rPr>
          <w:lang w:val="en-US"/>
        </w:rPr>
        <w:t>Comparison With Existing Literature</w:t>
      </w:r>
      <w:bookmarkEnd w:id="79"/>
      <w:r>
        <w:rPr>
          <w:lang w:val="en-US"/>
        </w:rPr>
        <w:t xml:space="preserve"> </w:t>
      </w:r>
    </w:p>
    <w:p>
      <w:pPr>
        <w:ind w:firstLine="0"/>
        <w:contextualSpacing/>
        <w:rPr>
          <w:rFonts w:ascii="Arial" w:hAnsi="Arial" w:cs="Arial"/>
          <w:lang w:val="zh-CN"/>
        </w:rPr>
      </w:pPr>
      <w:r>
        <w:rPr>
          <w:rFonts w:ascii="Arial" w:hAnsi="Arial" w:cs="Arial"/>
          <w:lang w:val="zh-CN"/>
        </w:rPr>
        <w:t xml:space="preserve">The main implications of the Double Reduction Policy on students’ education choice suggest that yes the policy may have influenced the education process and study load issues but no it did not interrupt the decision of students to study English Language degree abroad. However, such choices were dominated by the personal and academic factors instead of guided by the community outreach or social activism goals as was the case for the earlier generations. This is consistent with </w:t>
      </w:r>
      <w:r>
        <w:rPr>
          <w:rFonts w:ascii="Arial" w:hAnsi="Arial" w:cs="Arial"/>
          <w:lang w:val="en-US"/>
        </w:rPr>
        <w:t xml:space="preserve">existing </w:t>
      </w:r>
      <w:r>
        <w:rPr>
          <w:rFonts w:ascii="Arial" w:hAnsi="Arial" w:cs="Arial"/>
          <w:lang w:val="zh-CN"/>
        </w:rPr>
        <w:t>literature in educational decision-making which highlight individual factors of goals, expectations, and aspirations as key predictors of student educational choices (Lent et al., 1994; Lapan, et al., 1997).</w:t>
      </w:r>
      <w:r>
        <w:rPr>
          <w:rFonts w:ascii="Arial" w:hAnsi="Arial" w:cs="Arial"/>
          <w:lang w:val="en-US"/>
        </w:rPr>
        <w:t xml:space="preserve"> </w:t>
      </w:r>
      <w:r>
        <w:rPr>
          <w:rFonts w:ascii="Arial" w:hAnsi="Arial" w:cs="Arial"/>
          <w:lang w:val="zh-CN"/>
        </w:rPr>
        <w:t>The qualitative data of interviews provided the look into the reasons of students for considering studying abroad, which consist in language immersion, cultural exchange, and academic opportunities. The results mentioned above indicate that the Double Reduction Policy is not the key factor which influence students. On the contrary, student's choices are rather depending on a wide range of personal and academic factors that bring into light the complication of making a decision concerning education.</w:t>
      </w:r>
    </w:p>
    <w:p>
      <w:pPr>
        <w:ind w:firstLine="0"/>
        <w:contextualSpacing/>
        <w:rPr>
          <w:rFonts w:ascii="Arial" w:hAnsi="Arial" w:cs="Arial"/>
          <w:lang w:val="zh-CN"/>
        </w:rPr>
      </w:pPr>
      <w:r>
        <w:rPr>
          <w:rFonts w:ascii="Arial" w:hAnsi="Arial" w:cs="Arial"/>
          <w:lang w:val="zh-CN"/>
        </w:rPr>
        <w:t>From the results presented about the Double Reduction Policy on students' career options after graduation one may conclude that the policy may have affected the education system and student workload, but it did not have any considerable bearing on students' career prospects. Career prospects for students were no longer the main determinant but rather criteria such as qualifications and skills. This is in line with the current literature regarding career decision-making, which identifies the personal and academic factors as playing significant roles in career shaping (Lent et al., 1994; Lapan et al., 1997).</w:t>
      </w:r>
    </w:p>
    <w:p>
      <w:pPr>
        <w:ind w:firstLine="0"/>
        <w:contextualSpacing/>
        <w:rPr>
          <w:rFonts w:ascii="Arial" w:hAnsi="Arial" w:cs="Arial"/>
          <w:lang w:val="zh-CN"/>
        </w:rPr>
      </w:pPr>
      <w:r>
        <w:rPr>
          <w:rFonts w:ascii="Arial" w:hAnsi="Arial" w:cs="Arial"/>
          <w:lang w:val="zh-CN"/>
        </w:rPr>
        <w:t>The narrative from the interviews of students is used to evaluate the influence of the policy on their future endeavours. Some said that the policy neither elevated their work opportunities nor the advantage of having a high income.</w:t>
      </w:r>
      <w:r>
        <w:rPr>
          <w:rFonts w:ascii="Arial" w:hAnsi="Arial" w:cs="Arial"/>
          <w:lang w:val="en-US"/>
        </w:rPr>
        <w:t xml:space="preserve"> </w:t>
      </w:r>
      <w:r>
        <w:rPr>
          <w:rFonts w:ascii="Arial" w:hAnsi="Arial" w:cs="Arial"/>
          <w:lang w:val="zh-CN"/>
        </w:rPr>
        <w:t>Such result prompt the question whether the Distributions Policy has any significant impact on students' employment. On the contrary, the students' career prospects seem to be shaped by a varied of personal, academic and policy related factors which come out as factors that determine a student's career path, thus emphasizing the complexity of career decision-making.</w:t>
      </w:r>
    </w:p>
    <w:p>
      <w:pPr>
        <w:ind w:firstLine="0"/>
        <w:contextualSpacing/>
        <w:rPr>
          <w:rFonts w:ascii="Arial" w:hAnsi="Arial" w:cs="Arial"/>
          <w:lang w:val="zh-CN"/>
        </w:rPr>
      </w:pPr>
      <w:r>
        <w:rPr>
          <w:rFonts w:ascii="Arial" w:hAnsi="Arial" w:cs="Arial"/>
          <w:lang w:val="zh-CN"/>
        </w:rPr>
        <w:t>The survey results on the students’ point of view and the attitude towards the policy of the double reduction reveal that all the students do not share the positive attitude and there are some students which have some doubts concerning about the policy. The qualitative data from the interviews seemed to point to the fact that the reactions were not unified. Some students saw the policy as a step to alleviate their frustations while others had the perception that it would ultimately affect their academic performance and future work environments negatively.</w:t>
      </w:r>
      <w:r>
        <w:rPr>
          <w:rFonts w:ascii="Arial" w:hAnsi="Arial" w:cs="Arial"/>
          <w:lang w:val="en-US"/>
        </w:rPr>
        <w:t xml:space="preserve"> </w:t>
      </w:r>
      <w:r>
        <w:rPr>
          <w:rFonts w:ascii="Arial" w:hAnsi="Arial" w:cs="Arial"/>
          <w:lang w:val="zh-CN"/>
        </w:rPr>
        <w:t>This is consistent with the views of previous research on the role of policy in determining students' perception and attitudes towards education which highlight that many factors need to be considered in understanding the effect of educational policies on students' ideas and behaviours (Zhong &amp; Park, 2023; Zhao, 2023). Overall, the results from this study imply that the Reduction Policy may not be those influential the students’ decisions of their future in educational and career choice. In contrast, students' choice seems to be dominated by personal, academic and policy factors making the area of educational and career decision-making to be more complicated.</w:t>
      </w:r>
    </w:p>
    <w:p>
      <w:pPr>
        <w:pStyle w:val="3"/>
        <w:rPr>
          <w:lang w:val="en-US"/>
        </w:rPr>
      </w:pPr>
      <w:bookmarkStart w:id="80" w:name="_Toc159852153"/>
      <w:r>
        <w:rPr>
          <w:lang w:val="en-US"/>
        </w:rPr>
        <w:t>Review of the study’s Expectations</w:t>
      </w:r>
      <w:bookmarkEnd w:id="80"/>
      <w:r>
        <w:rPr>
          <w:lang w:val="en-US"/>
        </w:rPr>
        <w:t xml:space="preserve"> </w:t>
      </w:r>
    </w:p>
    <w:p>
      <w:pPr>
        <w:ind w:firstLine="0"/>
        <w:contextualSpacing/>
        <w:rPr>
          <w:rFonts w:ascii="Arial" w:hAnsi="Arial" w:cs="Arial"/>
          <w:lang w:val="en-US"/>
        </w:rPr>
      </w:pPr>
      <w:r>
        <w:rPr>
          <w:rFonts w:ascii="Arial" w:hAnsi="Arial" w:cs="Arial"/>
          <w:lang w:val="en-US"/>
        </w:rPr>
        <w:t>The outcome of this study enriches our knowledge of the intricate interaction between the Dual Reduction Policy and the educational and career options that Chinese youth should make. The research intends not only to know the extent of the role of policy incentives under the Dual Reduction Policy but also the influences of those policy incentives on educational decisions of Chinese adolescents. So, it also tried to find out the way and reason why the implementation of the Dual Reduction Scheme affects the overseas study plan of Chinese senior high school students. The research also hoped to illustrate the dynamics of the policy development since the implementation in history, focusing on the factors that caused major changes and reforms.</w:t>
      </w:r>
    </w:p>
    <w:p>
      <w:pPr>
        <w:ind w:firstLine="0"/>
        <w:contextualSpacing/>
        <w:rPr>
          <w:rFonts w:ascii="Arial" w:hAnsi="Arial" w:cs="Arial"/>
          <w:lang w:val="en-US"/>
        </w:rPr>
      </w:pPr>
      <w:r>
        <w:rPr>
          <w:rFonts w:ascii="Arial" w:hAnsi="Arial" w:cs="Arial"/>
          <w:lang w:val="en-US"/>
        </w:rPr>
        <w:t>In terms of the policy's effect on educational choices, the data indicate that Chinese students clearly exhibit a great interest in getting experience of studying education overseas but the study finds that the policy does not significantly affect their studying plan abroad. On the other hand, they are not driven by the language being learned or academic opportunities but rather by the decisions of students themselves. This result is in line with the previous findings that indicate an individual and academic factors play a major role in student’s ability to choose the educational program.</w:t>
      </w:r>
    </w:p>
    <w:p>
      <w:pPr>
        <w:ind w:firstLine="0"/>
        <w:contextualSpacing/>
        <w:rPr>
          <w:rFonts w:ascii="Arial" w:hAnsi="Arial" w:cs="Arial"/>
          <w:lang w:val="en-US"/>
        </w:rPr>
      </w:pPr>
      <w:r>
        <w:rPr>
          <w:rFonts w:ascii="Arial" w:hAnsi="Arial" w:cs="Arial"/>
          <w:lang w:val="en-US"/>
        </w:rPr>
        <w:t>On career opportunities as consequence of the reform the findings show that the legislative changes may have some effect on the education system and students’ workload but they are not likely to significantly impact on students’ career opportunities after their graduation. Counteractively, educational certifications and skills started being the main factors in deciding employment chances and income. This result corresponds with other similar studies demonstrating a direct association between qualifications and skills and job opportunities as well as income. Regarding the students' perception and attitude towards the policy, the findings indicate that the personalities and the attitude of the students are divided and mixed. Some students may be satisfied about the idea as a way of lowering the academic pressure, but others see it as a move that could undermine the quality of education and future employability. The result is in line with the findings of earlier studies that proposed that the views and the outlook of the students towards the educational policies can be formed by a range of factors that include their personal experiences and their beliefs.</w:t>
      </w:r>
    </w:p>
    <w:p>
      <w:pPr>
        <w:pStyle w:val="3"/>
        <w:rPr>
          <w:lang w:val="en-US"/>
        </w:rPr>
      </w:pPr>
      <w:bookmarkStart w:id="81" w:name="_Toc159852154"/>
      <w:r>
        <w:rPr>
          <w:lang w:val="en-US"/>
        </w:rPr>
        <w:t>Validation And Reliability</w:t>
      </w:r>
      <w:bookmarkEnd w:id="81"/>
    </w:p>
    <w:p>
      <w:pPr>
        <w:ind w:firstLine="0"/>
        <w:contextualSpacing/>
        <w:rPr>
          <w:rFonts w:ascii="Arial" w:hAnsi="Arial" w:cs="Arial"/>
          <w:lang w:val="en-US"/>
        </w:rPr>
      </w:pPr>
      <w:r>
        <w:rPr>
          <w:rFonts w:ascii="Arial" w:hAnsi="Arial" w:cs="Arial"/>
          <w:lang w:val="en-US"/>
        </w:rPr>
        <w:t>The reliability and validity of this study’s findings is dependent on multiple factors, some of which are the methodology of data collection, possible biases, and the limitations of the research design. If we take these factors into account then, it will be possible that our data may be not only informed, but also valid. The reliability of data collected can be evaluated by analyzing the methodology used and making sure it results in consistent and repeatable findings. This study was conducted on quantitative data collection by administering questionnaires to Chinese high school students and through semi-structured interviews in which the qualitative data were collected. The use of standardized questionnaires and interview protocols had the aim to achieve more validity results in the data collected. Nevertheless, the reliability of the data may have been affected by issues, such as response bias where respondents may have been wired to provide socially desirable answers or recall bias where the respondents may have had difficulty in having accurate past experiences.</w:t>
      </w:r>
    </w:p>
    <w:p>
      <w:pPr>
        <w:ind w:firstLine="0"/>
        <w:contextualSpacing/>
        <w:rPr>
          <w:rFonts w:ascii="Arial" w:hAnsi="Arial" w:cs="Arial"/>
          <w:lang w:val="en-US"/>
        </w:rPr>
      </w:pPr>
      <w:r>
        <w:rPr>
          <w:rFonts w:ascii="Arial" w:hAnsi="Arial" w:cs="Arial"/>
          <w:lang w:val="en-US"/>
        </w:rPr>
        <w:t>The reliability of the findings can be determined by looking at whether the research methods used to measure things accurately achieve the intended purpose. This study was designed to gather the information about students' perception and attitude towards the Dual Reduction Policy, and how this policy had affected their educational and career choice. The application of valid measures and standardized interview protocols helped us to get valid data about the patients. However, validity of findings may have been affected by factors like social desirability bias, where respondents may have given responses that are acceptable to them socially, not reflecting actual attitude and perceptions of the respondents.</w:t>
      </w:r>
    </w:p>
    <w:p>
      <w:pPr>
        <w:ind w:firstLine="0"/>
        <w:contextualSpacing/>
        <w:rPr>
          <w:rFonts w:ascii="Arial" w:hAnsi="Arial" w:cs="Arial"/>
          <w:lang w:val="en-US"/>
        </w:rPr>
      </w:pPr>
      <w:r>
        <w:rPr>
          <w:rFonts w:ascii="Arial" w:hAnsi="Arial" w:cs="Arial"/>
          <w:lang w:val="en-US"/>
        </w:rPr>
        <w:t>The acknowledgment of data bias should be made and bias removal must be implemented to prevent the distortion of the study findings. Sample bias is one of the possible biases existing in the current study, where the sample was deemed unrepresentative of the entire population of Chinese secondary school students. Additionally, response bias is another possibility where respondents may be giving biased or false responses. In order to mitigate these biases efforts were made the student sample to be homogeneous; students from different cultural and socioeconomic backgrounds were recruited. Also, the questions were standardized and the responses were easily compared.</w:t>
      </w:r>
    </w:p>
    <w:p>
      <w:pPr>
        <w:ind w:firstLine="0"/>
        <w:contextualSpacing/>
        <w:rPr>
          <w:rFonts w:ascii="Arial" w:hAnsi="Arial" w:cs="Arial"/>
          <w:lang w:val="en-US"/>
        </w:rPr>
      </w:pPr>
      <w:r>
        <w:rPr>
          <w:rFonts w:ascii="Arial" w:hAnsi="Arial" w:cs="Arial"/>
          <w:lang w:val="en-US"/>
        </w:rPr>
        <w:t>The shortcomings of the research design should be acknowledged to show the context in which the study's results are considered. The study is limited by the use of self-report measures that perhaps are biased and inaccurate, and by the use of cross-sectional data that do not allow drawing causal relationships. Moreover, the nature of the study's results might be affected by environmental factors such as cultures and societal norms that differ among different regions and populations.</w:t>
      </w:r>
    </w:p>
    <w:p>
      <w:pPr>
        <w:ind w:firstLine="0"/>
        <w:contextualSpacing/>
        <w:rPr>
          <w:rFonts w:ascii="Arial" w:hAnsi="Arial" w:cs="Arial"/>
          <w:lang w:val="en-US"/>
        </w:rPr>
      </w:pPr>
    </w:p>
    <w:p>
      <w:pPr>
        <w:ind w:firstLine="0"/>
        <w:contextualSpacing/>
        <w:rPr>
          <w:rFonts w:ascii="Arial" w:hAnsi="Arial" w:cs="Arial"/>
          <w:lang w:val="en-US"/>
        </w:rPr>
      </w:pPr>
    </w:p>
    <w:p>
      <w:pPr>
        <w:pStyle w:val="3"/>
        <w:numPr>
          <w:ilvl w:val="1"/>
          <w:numId w:val="0"/>
        </w:numPr>
        <w:ind w:firstLine="1044" w:firstLineChars="400"/>
        <w:rPr>
          <w:color w:val="4472C4" w:themeColor="accent1"/>
          <w:lang w:val="en-US"/>
          <w14:textFill>
            <w14:solidFill>
              <w14:schemeClr w14:val="accent1"/>
            </w14:solidFill>
          </w14:textFill>
        </w:rPr>
      </w:pPr>
      <w:bookmarkStart w:id="82" w:name="_Toc159852155"/>
      <w:r>
        <w:rPr>
          <w:rFonts w:hint="eastAsia" w:eastAsia="宋体"/>
          <w:lang w:val="en-US" w:eastAsia="zh-CN"/>
        </w:rPr>
        <w:t xml:space="preserve">                                 </w:t>
      </w:r>
      <w:r>
        <w:rPr>
          <w:rFonts w:hint="eastAsia" w:eastAsia="宋体"/>
          <w:color w:val="0000FF"/>
          <w:lang w:val="en-US" w:eastAsia="zh-CN"/>
        </w:rPr>
        <w:t xml:space="preserve"> </w:t>
      </w:r>
      <w:r>
        <w:rPr>
          <w:rFonts w:hint="eastAsia" w:eastAsia="宋体"/>
          <w:color w:val="4472C4" w:themeColor="accent1"/>
          <w:lang w:val="en-US" w:eastAsia="zh-CN"/>
          <w14:textFill>
            <w14:solidFill>
              <w14:schemeClr w14:val="accent1"/>
            </w14:solidFill>
          </w14:textFill>
        </w:rPr>
        <w:t xml:space="preserve"> 4.     </w:t>
      </w:r>
      <w:r>
        <w:rPr>
          <w:color w:val="4472C4" w:themeColor="accent1"/>
          <w:lang w:val="en-US"/>
          <w14:textFill>
            <w14:solidFill>
              <w14:schemeClr w14:val="accent1"/>
            </w14:solidFill>
          </w14:textFill>
        </w:rPr>
        <w:t>Conclusion</w:t>
      </w:r>
      <w:bookmarkEnd w:id="82"/>
      <w:r>
        <w:rPr>
          <w:color w:val="4472C4" w:themeColor="accent1"/>
          <w:lang w:val="en-US"/>
          <w14:textFill>
            <w14:solidFill>
              <w14:schemeClr w14:val="accent1"/>
            </w14:solidFill>
          </w14:textFill>
        </w:rPr>
        <w:t xml:space="preserve"> </w:t>
      </w:r>
    </w:p>
    <w:p>
      <w:pPr>
        <w:ind w:firstLine="0"/>
        <w:contextualSpacing/>
        <w:rPr>
          <w:rFonts w:ascii="Arial" w:hAnsi="Arial" w:cs="Arial"/>
          <w:lang w:val="zh-CN"/>
        </w:rPr>
      </w:pPr>
      <w:r>
        <w:rPr>
          <w:rFonts w:ascii="Arial" w:hAnsi="Arial" w:cs="Arial"/>
          <w:lang w:val="zh-CN"/>
        </w:rPr>
        <w:t>This research aims to explore the influence of the Dual Reduction policy by China on students' decisions in career and education, since most of them choose to study abroad, to return to China to work, or to migrate to another country for similar study. The approach that was employed by the research included a mixed-methods approach that was employed in which quantitative data was collected from questionnaires and qualitative data was gained from semi-structured interviews in order to get an in-depth understanding of students’ perception, attitudes, and decision-making processes.</w:t>
      </w:r>
    </w:p>
    <w:p>
      <w:pPr>
        <w:ind w:firstLine="0"/>
        <w:contextualSpacing/>
        <w:rPr>
          <w:rFonts w:ascii="Arial" w:hAnsi="Arial" w:cs="Arial"/>
          <w:lang w:val="zh-CN"/>
        </w:rPr>
      </w:pPr>
      <w:r>
        <w:rPr>
          <w:rFonts w:ascii="Arial" w:hAnsi="Arial" w:cs="Arial"/>
          <w:lang w:val="zh-CN"/>
        </w:rPr>
        <w:t>The study’s results indicate that the impact of the Dual Reduction policy on students’</w:t>
      </w:r>
      <w:r>
        <w:rPr>
          <w:rFonts w:ascii="Arial" w:hAnsi="Arial" w:cs="Arial"/>
          <w:lang w:val="en-US"/>
        </w:rPr>
        <w:t xml:space="preserve"> </w:t>
      </w:r>
      <w:r>
        <w:rPr>
          <w:rFonts w:ascii="Arial" w:hAnsi="Arial" w:cs="Arial"/>
          <w:lang w:val="zh-CN"/>
        </w:rPr>
        <w:t>educational and career decisions is rather insignificant. Though there is a great interest in China's students in looking beyond their country for the opportunity to get an education, their choices seem to be dictated more by personal features, such as the immersion in the language and academic opportunities, than by researching existing policies. Likewise, the policy did not have a substantial impact on students' employment or earnings after graduation, and other factors appeared more significant, of which the academic qualifications and skills were the prior ones.</w:t>
      </w:r>
    </w:p>
    <w:p>
      <w:pPr>
        <w:ind w:firstLine="0"/>
        <w:contextualSpacing/>
        <w:rPr>
          <w:rFonts w:ascii="Arial" w:hAnsi="Arial" w:cs="Arial"/>
          <w:lang w:val="zh-CN"/>
        </w:rPr>
      </w:pPr>
      <w:r>
        <w:rPr>
          <w:rFonts w:ascii="Arial" w:hAnsi="Arial" w:cs="Arial"/>
          <w:lang w:val="zh-CN"/>
        </w:rPr>
        <w:t>The study also showed a diverse picture of opinions and attitudes towards the Dual Reduction Policy, with positive views among the students as a way to tackle academic pressure, and concerns about the effect on quality of learning and choice in future careers. This brings to light the importance of educational institutions taking into account the diversity of student viewpoints when implementing such a policy and these institutions should provide support to those students who may be impacted negatively by the policy.</w:t>
      </w:r>
    </w:p>
    <w:p>
      <w:pPr>
        <w:ind w:firstLine="0"/>
        <w:contextualSpacing/>
        <w:rPr>
          <w:rFonts w:ascii="Arial" w:hAnsi="Arial" w:cs="Arial"/>
          <w:lang w:val="en-US"/>
        </w:rPr>
      </w:pPr>
      <w:r>
        <w:rPr>
          <w:rFonts w:ascii="Arial" w:hAnsi="Arial" w:cs="Arial"/>
          <w:lang w:val="zh-CN"/>
        </w:rPr>
        <w:t>This study tends to fortify the existing literature on educational policy and student decision-making, mostly within the context of China's Dual Reduction Policy. The policy evaluation through the lens of students' educational and career choices helps to elucidate how inter relationships between policy actions and decision-making processes operate. These results are relevant not only to the policymakers and educators in China but also to those in other countries facing similar difficulties of over-competitiveness in academics and educational systems.</w:t>
      </w:r>
    </w:p>
    <w:p>
      <w:pPr>
        <w:ind w:firstLine="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left="720" w:hanging="720"/>
        <w:contextualSpacing/>
        <w:rPr>
          <w:rFonts w:ascii="Arial" w:hAnsi="Arial" w:cs="Arial"/>
          <w:lang w:val="en-US"/>
        </w:rPr>
      </w:pPr>
    </w:p>
    <w:p>
      <w:pPr>
        <w:spacing w:line="360" w:lineRule="auto"/>
        <w:ind w:firstLine="0"/>
        <w:contextualSpacing/>
        <w:rPr>
          <w:rFonts w:ascii="Arial" w:hAnsi="Arial" w:cs="Arial"/>
          <w:lang w:val="en-US"/>
        </w:rPr>
      </w:pPr>
    </w:p>
    <w:p>
      <w:pPr>
        <w:spacing w:line="360" w:lineRule="auto"/>
        <w:ind w:left="720" w:hanging="720"/>
        <w:contextualSpacing/>
        <w:rPr>
          <w:rFonts w:ascii="Arial" w:hAnsi="Arial" w:cs="Arial"/>
          <w:lang w:val="en-US"/>
        </w:rPr>
      </w:pPr>
    </w:p>
    <w:p>
      <w:pPr>
        <w:keepNext/>
        <w:keepLines/>
        <w:numPr>
          <w:ilvl w:val="0"/>
          <w:numId w:val="1"/>
        </w:numPr>
        <w:spacing w:before="240" w:after="0" w:line="360" w:lineRule="auto"/>
        <w:ind w:left="432"/>
        <w:jc w:val="center"/>
        <w:outlineLvl w:val="0"/>
        <w:rPr>
          <w:rFonts w:ascii="Arial" w:hAnsi="Arial" w:eastAsia="Yu Gothic Light" w:cs="Arial"/>
          <w:b/>
          <w:color w:val="2F5496"/>
          <w:lang w:val="en-US"/>
        </w:rPr>
      </w:pPr>
      <w:bookmarkStart w:id="83" w:name="_Toc157508440"/>
      <w:bookmarkEnd w:id="83"/>
      <w:bookmarkStart w:id="84" w:name="_Toc159852156"/>
      <w:r>
        <w:rPr>
          <w:rFonts w:ascii="Arial" w:hAnsi="Arial" w:eastAsia="Yu Gothic Light" w:cs="Arial"/>
          <w:b/>
          <w:color w:val="2F5496"/>
          <w:lang w:val="en-US"/>
        </w:rPr>
        <w:t>. References</w:t>
      </w:r>
      <w:bookmarkEnd w:id="84"/>
      <w:r>
        <w:rPr>
          <w:rFonts w:ascii="Arial" w:hAnsi="Arial" w:eastAsia="Yu Gothic Light" w:cs="Arial"/>
          <w:b/>
          <w:color w:val="2F5496"/>
          <w:lang w:val="en-US"/>
        </w:rPr>
        <w:t xml:space="preserve"> </w:t>
      </w:r>
    </w:p>
    <w:p>
      <w:pPr>
        <w:spacing w:line="360" w:lineRule="auto"/>
        <w:ind w:left="720" w:hanging="720"/>
        <w:rPr>
          <w:rFonts w:ascii="Arial" w:hAnsi="Arial" w:cs="Arial"/>
          <w:lang w:val="en-US"/>
        </w:rPr>
      </w:pPr>
      <w:r>
        <w:rPr>
          <w:rFonts w:ascii="Arial" w:hAnsi="Arial" w:cs="Arial"/>
          <w:lang w:val="en-US"/>
        </w:rPr>
        <w:t>Cohen, S., Kamarck, T., &amp; Mermelstein, R. 2004. A global measure of perceived stress. Journal of Health and Social Behavior, 24(4), 385-396.</w:t>
      </w:r>
    </w:p>
    <w:p>
      <w:pPr>
        <w:spacing w:line="360" w:lineRule="auto"/>
        <w:ind w:left="720" w:hanging="720"/>
        <w:rPr>
          <w:rFonts w:ascii="Arial" w:hAnsi="Arial" w:cs="Arial"/>
          <w:lang w:val="en-US"/>
        </w:rPr>
      </w:pPr>
      <w:r>
        <w:rPr>
          <w:rFonts w:ascii="Arial" w:hAnsi="Arial" w:cs="Arial"/>
          <w:lang w:val="en-US"/>
        </w:rPr>
        <w:t>Creswell, J. W. 2014. Research design: Qualitative, quantitative, and mixed methods approach. Sage Publications.</w:t>
      </w:r>
    </w:p>
    <w:p>
      <w:pPr>
        <w:spacing w:line="360" w:lineRule="auto"/>
        <w:ind w:left="720" w:hanging="720"/>
        <w:rPr>
          <w:rFonts w:ascii="Arial" w:hAnsi="Arial" w:cs="Arial"/>
          <w:lang w:val="en-US"/>
        </w:rPr>
      </w:pPr>
      <w:r>
        <w:rPr>
          <w:rFonts w:ascii="Arial" w:hAnsi="Arial" w:cs="Arial"/>
          <w:lang w:val="en-US"/>
        </w:rPr>
        <w:t>Creswell, J. W., &amp; Creswell, J. D. 2017. Research design: Qualitative, quantitative, and mixed methods approach. Sage Publications.</w:t>
      </w:r>
    </w:p>
    <w:p>
      <w:pPr>
        <w:spacing w:line="360" w:lineRule="auto"/>
        <w:ind w:left="720" w:hanging="720"/>
        <w:rPr>
          <w:rFonts w:ascii="Arial" w:hAnsi="Arial" w:cs="Arial"/>
          <w:lang w:val="en-US"/>
        </w:rPr>
      </w:pPr>
      <w:r>
        <w:rPr>
          <w:rFonts w:ascii="Arial" w:hAnsi="Arial" w:cs="Arial"/>
          <w:lang w:val="en-US"/>
        </w:rPr>
        <w:t>Creswell, J. W., &amp; Plano Clark, V. L. 2011. Designing and conducting mixed methods research. Sage Publications.</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Dai, K 2023, ‘“Double reduction” policy in education industry and firm values: Evidence from China’, </w:t>
      </w:r>
      <w:r>
        <w:rPr>
          <w:rFonts w:ascii="Arial" w:hAnsi="Arial" w:eastAsia="Times New Roman" w:cs="Arial"/>
          <w:i/>
          <w:iCs/>
          <w:lang w:eastAsia="en-GB"/>
        </w:rPr>
        <w:t>Finance Research Letters</w:t>
      </w:r>
      <w:r>
        <w:rPr>
          <w:rFonts w:ascii="Arial" w:hAnsi="Arial" w:eastAsia="Times New Roman" w:cs="Arial"/>
          <w:lang w:eastAsia="en-GB"/>
        </w:rPr>
        <w:t>, vol. 54, p. 103696.</w:t>
      </w:r>
    </w:p>
    <w:p>
      <w:pPr>
        <w:spacing w:line="360" w:lineRule="auto"/>
        <w:ind w:left="720" w:hanging="720"/>
        <w:rPr>
          <w:rFonts w:ascii="Arial" w:hAnsi="Arial" w:cs="Arial"/>
          <w:lang w:val="en-US"/>
        </w:rPr>
      </w:pPr>
      <w:r>
        <w:rPr>
          <w:rFonts w:ascii="Arial" w:hAnsi="Arial" w:cs="Arial"/>
          <w:lang w:val="en-US"/>
        </w:rPr>
        <w:t>Denzin, N. K. 2017. The research act: A theoretical introduction to sociological methods. McGraw-Hill.</w:t>
      </w:r>
    </w:p>
    <w:p>
      <w:pPr>
        <w:spacing w:line="360" w:lineRule="auto"/>
        <w:ind w:left="720" w:hanging="720"/>
        <w:rPr>
          <w:rFonts w:ascii="Arial" w:hAnsi="Arial" w:cs="Arial"/>
          <w:lang w:val="en-US"/>
        </w:rPr>
      </w:pPr>
      <w:r>
        <w:rPr>
          <w:rFonts w:ascii="Arial" w:hAnsi="Arial" w:cs="Arial"/>
          <w:lang w:val="en-US"/>
        </w:rPr>
        <w:t xml:space="preserve">Dewey, J. 2008. Logic: The theory of inquiry. Holt. </w:t>
      </w:r>
    </w:p>
    <w:p>
      <w:pPr>
        <w:spacing w:line="360" w:lineRule="auto"/>
        <w:ind w:left="720" w:hanging="720"/>
        <w:rPr>
          <w:rFonts w:ascii="Arial" w:hAnsi="Arial" w:cs="Arial"/>
          <w:lang w:val="en-US"/>
        </w:rPr>
      </w:pPr>
      <w:r>
        <w:rPr>
          <w:rFonts w:ascii="Arial" w:hAnsi="Arial" w:cs="Arial"/>
          <w:lang w:val="en-US"/>
        </w:rPr>
        <w:t>Dillman, D. A., Smyth, J. D., &amp; Christian, L. M. 2014. Internet, phone, mail, and mixed-mode surveys: The tailored design method. John Wiley &amp; Sons.</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Hale, W 2021, </w:t>
      </w:r>
      <w:r>
        <w:rPr>
          <w:rFonts w:ascii="Arial" w:hAnsi="Arial" w:eastAsia="Times New Roman" w:cs="Arial"/>
          <w:i/>
          <w:iCs/>
          <w:lang w:eastAsia="en-GB"/>
        </w:rPr>
        <w:t>China Releases ‘Double Reduction’ Policy in Education Sector</w:t>
      </w:r>
      <w:r>
        <w:rPr>
          <w:rFonts w:ascii="Arial" w:hAnsi="Arial" w:eastAsia="Times New Roman" w:cs="Arial"/>
          <w:lang w:eastAsia="en-GB"/>
        </w:rPr>
        <w:t>, JD Supra.</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Harvard Law School 2023, </w:t>
      </w:r>
      <w:r>
        <w:rPr>
          <w:rFonts w:ascii="Arial" w:hAnsi="Arial" w:eastAsia="Times New Roman" w:cs="Arial"/>
          <w:i/>
          <w:iCs/>
          <w:lang w:eastAsia="en-GB"/>
        </w:rPr>
        <w:t>Double Reduction Policy in China: An Educational Double-Edged Sword?</w:t>
      </w:r>
      <w:r>
        <w:rPr>
          <w:rFonts w:ascii="Arial" w:hAnsi="Arial" w:eastAsia="Times New Roman" w:cs="Arial"/>
          <w:lang w:eastAsia="en-GB"/>
        </w:rPr>
        <w:t>, Harvard Law School.</w:t>
      </w:r>
    </w:p>
    <w:p>
      <w:pPr>
        <w:spacing w:line="360" w:lineRule="auto"/>
        <w:ind w:left="720" w:hanging="720"/>
        <w:rPr>
          <w:rFonts w:ascii="Arial" w:hAnsi="Arial" w:eastAsia="Times New Roman" w:cs="Arial"/>
          <w:lang w:eastAsia="en-GB"/>
        </w:rPr>
      </w:pPr>
      <w:r>
        <w:rPr>
          <w:rFonts w:ascii="Arial" w:hAnsi="Arial" w:eastAsia="Times New Roman" w:cs="Arial"/>
          <w:lang w:eastAsia="en-GB"/>
        </w:rPr>
        <w:t>Jabeen, S.S. 2015. Factors Influencing the Education Decision Making Process.</w:t>
      </w:r>
    </w:p>
    <w:p>
      <w:pPr>
        <w:spacing w:line="360" w:lineRule="auto"/>
        <w:ind w:left="720" w:hanging="720"/>
        <w:rPr>
          <w:rFonts w:ascii="Arial" w:hAnsi="Arial" w:cs="Arial"/>
          <w:lang w:val="en-US"/>
        </w:rPr>
      </w:pPr>
      <w:r>
        <w:rPr>
          <w:rFonts w:ascii="Arial" w:hAnsi="Arial" w:cs="Arial"/>
          <w:lang w:val="en-US"/>
        </w:rPr>
        <w:t>James, W. 2004. Pragmatism: A new name for some old ways of thinking. Longmans, Green.</w:t>
      </w:r>
    </w:p>
    <w:p>
      <w:pPr>
        <w:spacing w:line="360" w:lineRule="auto"/>
        <w:ind w:left="720" w:hanging="720"/>
        <w:rPr>
          <w:rFonts w:ascii="Arial" w:hAnsi="Arial" w:cs="Arial"/>
          <w:lang w:val="en-US"/>
        </w:rPr>
      </w:pPr>
      <w:r>
        <w:rPr>
          <w:rFonts w:ascii="Arial" w:hAnsi="Arial" w:cs="Arial"/>
          <w:lang w:val="en-US"/>
        </w:rPr>
        <w:t>Lapan, R. T., Gysbers, N. C., and Sun, Y. 1997. The impact of more fully implemented guidance programs on the school experiences of high school students: A statewide evaluation study. Journal of Counseling &amp; Development, 75(4), 292-302.</w:t>
      </w:r>
    </w:p>
    <w:p>
      <w:pPr>
        <w:spacing w:line="360" w:lineRule="auto"/>
        <w:ind w:left="720" w:hanging="720"/>
        <w:rPr>
          <w:rFonts w:ascii="Arial" w:hAnsi="Arial" w:cs="Arial"/>
          <w:lang w:val="en-US"/>
        </w:rPr>
      </w:pPr>
      <w:r>
        <w:rPr>
          <w:rFonts w:ascii="Arial" w:hAnsi="Arial" w:cs="Arial"/>
          <w:lang w:val="en-US"/>
        </w:rPr>
        <w:t>Lent, R. W., Brown, S. D., and Hackett, G. 1994. Toward a unifying social cognitive theory of career and academic interest, choice, and performance. Journal of Vocational Behavior, 45(1), 79-122.</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LIN, X 2022, ‘Analysis of the Influence and Countermeasures of China’s New Educational Policy “Double Reduction”—Take an After-School English Training Institution as an Example’, </w:t>
      </w:r>
      <w:r>
        <w:rPr>
          <w:rFonts w:ascii="Arial" w:hAnsi="Arial" w:eastAsia="Times New Roman" w:cs="Arial"/>
          <w:i/>
          <w:iCs/>
          <w:lang w:eastAsia="en-GB"/>
        </w:rPr>
        <w:t>Journal of Psychology Research</w:t>
      </w:r>
      <w:r>
        <w:rPr>
          <w:rFonts w:ascii="Arial" w:hAnsi="Arial" w:eastAsia="Times New Roman" w:cs="Arial"/>
          <w:lang w:eastAsia="en-GB"/>
        </w:rPr>
        <w:t>, vol. 12, no. 1.</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Liu, Y, Wang, R &amp; Chen, Z 2022, ‘Regulating Private Tutoring: Family Responses to the Double-Reduction Policy in China’, </w:t>
      </w:r>
      <w:r>
        <w:rPr>
          <w:rFonts w:ascii="Arial" w:hAnsi="Arial" w:eastAsia="Times New Roman" w:cs="Arial"/>
          <w:i/>
          <w:iCs/>
          <w:lang w:eastAsia="en-GB"/>
        </w:rPr>
        <w:t>SSRN Electronic Journal</w:t>
      </w:r>
      <w:r>
        <w:rPr>
          <w:rFonts w:ascii="Arial" w:hAnsi="Arial" w:eastAsia="Times New Roman" w:cs="Arial"/>
          <w:lang w:eastAsia="en-GB"/>
        </w:rPr>
        <w:t>.</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Mikesell, D 2021, </w:t>
      </w:r>
      <w:r>
        <w:rPr>
          <w:rFonts w:ascii="Arial" w:hAnsi="Arial" w:eastAsia="Times New Roman" w:cs="Arial"/>
          <w:i/>
          <w:iCs/>
          <w:lang w:eastAsia="en-GB"/>
        </w:rPr>
        <w:t>The ‘Double Reduction’ Crackdown and the Future of Private Education in China</w:t>
      </w:r>
      <w:r>
        <w:rPr>
          <w:rFonts w:ascii="Arial" w:hAnsi="Arial" w:eastAsia="Times New Roman" w:cs="Arial"/>
          <w:lang w:eastAsia="en-GB"/>
        </w:rPr>
        <w:t>, The China Guys.</w:t>
      </w:r>
    </w:p>
    <w:p>
      <w:pPr>
        <w:spacing w:line="360" w:lineRule="auto"/>
        <w:ind w:left="720" w:hanging="720"/>
        <w:rPr>
          <w:rFonts w:ascii="Arial" w:hAnsi="Arial" w:cs="Arial"/>
          <w:lang w:val="en-US"/>
        </w:rPr>
      </w:pPr>
      <w:r>
        <w:rPr>
          <w:rFonts w:ascii="Arial" w:hAnsi="Arial" w:cs="Arial"/>
          <w:lang w:val="en-US"/>
        </w:rPr>
        <w:t>Patton, M. Q. 2015. Qualitative research &amp; evaluation methods: Integrating theory and practice. Sage Publications.</w:t>
      </w:r>
    </w:p>
    <w:p>
      <w:pPr>
        <w:spacing w:line="360" w:lineRule="auto"/>
        <w:ind w:left="720" w:hanging="720"/>
        <w:rPr>
          <w:rFonts w:ascii="Arial" w:hAnsi="Arial" w:cs="Arial"/>
        </w:rPr>
      </w:pPr>
      <w:r>
        <w:rPr>
          <w:rFonts w:ascii="Arial" w:hAnsi="Arial" w:cs="Arial"/>
        </w:rPr>
        <w:t>Qian, H., Walker, A. and Chen, S., 2023. The ‘Double-Reduction’Education Policy in China: Three Prevailing Narratives. Journal of Education Policy, pp.1-20.</w:t>
      </w:r>
    </w:p>
    <w:p>
      <w:pPr>
        <w:spacing w:line="360" w:lineRule="auto"/>
        <w:ind w:left="720" w:hanging="720"/>
        <w:rPr>
          <w:rFonts w:ascii="Arial" w:hAnsi="Arial" w:cs="Arial"/>
          <w:lang w:val="en-US"/>
        </w:rPr>
      </w:pPr>
      <w:r>
        <w:rPr>
          <w:rFonts w:ascii="Arial" w:hAnsi="Arial" w:cs="Arial"/>
          <w:lang w:val="en-US"/>
        </w:rPr>
        <w:t>Seidman, I. 2013. Interviewing as qualitative research: A guide for researchers in education and the social sciences. Teachers College Press.</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She, B, Ramasamy, SS &amp; Loahavilai, P 2023, ‘Analysis of the impact of the “double reduction” policy on the educational processes of Chinese students studying in Europe’, </w:t>
      </w:r>
      <w:r>
        <w:rPr>
          <w:rFonts w:ascii="Arial" w:hAnsi="Arial" w:eastAsia="Times New Roman" w:cs="Arial"/>
          <w:i/>
          <w:iCs/>
          <w:lang w:eastAsia="en-GB"/>
        </w:rPr>
        <w:t>International Journal of Chinese Education</w:t>
      </w:r>
      <w:r>
        <w:rPr>
          <w:rFonts w:ascii="Arial" w:hAnsi="Arial" w:eastAsia="Times New Roman" w:cs="Arial"/>
          <w:lang w:eastAsia="en-GB"/>
        </w:rPr>
        <w:t>, vol. 12, no. 1, p. 2212585X2311686.</w:t>
      </w:r>
    </w:p>
    <w:p>
      <w:pPr>
        <w:spacing w:line="360" w:lineRule="auto"/>
        <w:ind w:left="720" w:hanging="720"/>
        <w:rPr>
          <w:rFonts w:ascii="Arial" w:hAnsi="Arial" w:cs="Arial"/>
        </w:rPr>
      </w:pPr>
      <w:r>
        <w:rPr>
          <w:rFonts w:ascii="Arial" w:hAnsi="Arial" w:cs="Arial"/>
        </w:rPr>
        <w:t>She, B., Ramasamy, S.S. and Loahavilai, P.O., 2023. Analysis of the impact of the “double reduction” policy on the educational processes of Chinese students studying in Europe. International Journal of Chinese Education, 12(1), p.2212585X231168677.</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Shuo, Z 2023, </w:t>
      </w:r>
      <w:r>
        <w:rPr>
          <w:rFonts w:ascii="Arial" w:hAnsi="Arial" w:eastAsia="Times New Roman" w:cs="Arial"/>
          <w:i/>
          <w:iCs/>
          <w:lang w:eastAsia="en-GB"/>
        </w:rPr>
        <w:t>Doubling down on double reduction</w:t>
      </w:r>
      <w:r>
        <w:rPr>
          <w:rFonts w:ascii="Arial" w:hAnsi="Arial" w:eastAsia="Times New Roman" w:cs="Arial"/>
          <w:lang w:eastAsia="en-GB"/>
        </w:rPr>
        <w:t>, www.chinadaily.com.cn.</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Wang , H.Y 2023, </w:t>
      </w:r>
      <w:r>
        <w:rPr>
          <w:rFonts w:ascii="Arial" w:hAnsi="Arial" w:eastAsia="Times New Roman" w:cs="Arial"/>
          <w:i/>
          <w:iCs/>
          <w:lang w:eastAsia="en-GB"/>
        </w:rPr>
        <w:t xml:space="preserve">A comparative analysis of double reduction policy in China </w:t>
      </w:r>
      <w:r>
        <w:rPr>
          <w:rFonts w:ascii="Arial" w:hAnsi="Arial" w:eastAsia="Times New Roman" w:cs="Arial"/>
          <w:lang w:eastAsia="en-GB"/>
        </w:rPr>
        <w:t>, Lingnan University .</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Wang, D, Chen, X-Y, Ma, Z, Liu, X &amp; Fan, F 2022, ‘Has the “Double Reduction” policy relieved stress? A follow-up study on Chinese adolescents’, </w:t>
      </w:r>
      <w:r>
        <w:rPr>
          <w:rFonts w:ascii="Arial" w:hAnsi="Arial" w:eastAsia="Times New Roman" w:cs="Arial"/>
          <w:i/>
          <w:iCs/>
          <w:lang w:eastAsia="en-GB"/>
        </w:rPr>
        <w:t>Child &amp; Adolescent Psychiatry &amp; Mental Health</w:t>
      </w:r>
      <w:r>
        <w:rPr>
          <w:rFonts w:ascii="Arial" w:hAnsi="Arial" w:eastAsia="Times New Roman" w:cs="Arial"/>
          <w:lang w:eastAsia="en-GB"/>
        </w:rPr>
        <w:t>, vol. 16, no. 1, pp. 1–10.</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Zhang, X, Zhao, W &amp; Zhou, K 2022, ‘An empirical analysis of double reduction education policy based on public psychology’, </w:t>
      </w:r>
      <w:r>
        <w:rPr>
          <w:rFonts w:ascii="Arial" w:hAnsi="Arial" w:eastAsia="Times New Roman" w:cs="Arial"/>
          <w:i/>
          <w:iCs/>
          <w:lang w:eastAsia="en-GB"/>
        </w:rPr>
        <w:t>Frontiers in Psychology</w:t>
      </w:r>
      <w:r>
        <w:rPr>
          <w:rFonts w:ascii="Arial" w:hAnsi="Arial" w:eastAsia="Times New Roman" w:cs="Arial"/>
          <w:lang w:eastAsia="en-GB"/>
        </w:rPr>
        <w:t>, vol. 13.</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Zhao, A 2023, ‘Parents’ Attitudes Toward the Chinese “Double-Reduction” Policy’, </w:t>
      </w:r>
      <w:r>
        <w:rPr>
          <w:rFonts w:ascii="Arial" w:hAnsi="Arial" w:eastAsia="Times New Roman" w:cs="Arial"/>
          <w:i/>
          <w:iCs/>
          <w:lang w:eastAsia="en-GB"/>
        </w:rPr>
        <w:t>Electronic Theses and Dissertations</w:t>
      </w:r>
      <w:r>
        <w:rPr>
          <w:rFonts w:ascii="Arial" w:hAnsi="Arial" w:eastAsia="Times New Roman" w:cs="Arial"/>
          <w:lang w:eastAsia="en-GB"/>
        </w:rPr>
        <w:t>, viewed 15 November 2023, &lt;https://scholar.uwindsor.ca/etd/8992&gt;.</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Zheng, M 2022, ‘Strategies for Improving the Teaching Quality in Middle Schools Under the Double Reduction Policy’, </w:t>
      </w:r>
      <w:r>
        <w:rPr>
          <w:rFonts w:ascii="Arial" w:hAnsi="Arial" w:eastAsia="Times New Roman" w:cs="Arial"/>
          <w:i/>
          <w:iCs/>
          <w:lang w:eastAsia="en-GB"/>
        </w:rPr>
        <w:t>Journal of Contemporary Educational Research</w:t>
      </w:r>
      <w:r>
        <w:rPr>
          <w:rFonts w:ascii="Arial" w:hAnsi="Arial" w:eastAsia="Times New Roman" w:cs="Arial"/>
          <w:lang w:eastAsia="en-GB"/>
        </w:rPr>
        <w:t>, vol. 6, no. 4, pp. 45–52.</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Zhong, K &amp; Park, J 2023, ‘The double reduction policy and education development in China’, </w:t>
      </w:r>
      <w:r>
        <w:rPr>
          <w:rFonts w:ascii="Arial" w:hAnsi="Arial" w:eastAsia="Times New Roman" w:cs="Arial"/>
          <w:i/>
          <w:iCs/>
          <w:lang w:eastAsia="en-GB"/>
        </w:rPr>
        <w:t>International journal of comparative education and development</w:t>
      </w:r>
      <w:r>
        <w:rPr>
          <w:rFonts w:ascii="Arial" w:hAnsi="Arial" w:eastAsia="Times New Roman" w:cs="Arial"/>
          <w:lang w:eastAsia="en-GB"/>
        </w:rPr>
        <w:t>, Emerald Publishing Limited.</w:t>
      </w:r>
    </w:p>
    <w:p>
      <w:pPr>
        <w:spacing w:line="360" w:lineRule="auto"/>
        <w:ind w:left="720" w:hanging="720"/>
        <w:rPr>
          <w:rFonts w:ascii="Arial" w:hAnsi="Arial" w:cs="Arial"/>
        </w:rPr>
      </w:pPr>
      <w:r>
        <w:rPr>
          <w:rFonts w:ascii="Arial" w:hAnsi="Arial" w:cs="Arial"/>
        </w:rPr>
        <w:t>Zhong, K. and Park, J., 2023. The double reduction policy and education development in China. International Journal of Comparative Education and Development, 25(3/4), pp.137-152.</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Zhong, Y 2021, </w:t>
      </w:r>
      <w:r>
        <w:rPr>
          <w:rFonts w:ascii="Arial" w:hAnsi="Arial" w:eastAsia="Times New Roman" w:cs="Arial"/>
          <w:i/>
          <w:iCs/>
          <w:lang w:eastAsia="en-GB"/>
        </w:rPr>
        <w:t>The Chinese Double Reduction Policy: Challenges to Private and Public Education Systems</w:t>
      </w:r>
      <w:r>
        <w:rPr>
          <w:rFonts w:ascii="Arial" w:hAnsi="Arial" w:eastAsia="Times New Roman" w:cs="Arial"/>
          <w:lang w:eastAsia="en-GB"/>
        </w:rPr>
        <w:t>.</w:t>
      </w:r>
    </w:p>
    <w:p>
      <w:pPr>
        <w:spacing w:line="360" w:lineRule="auto"/>
        <w:ind w:left="720" w:hanging="720"/>
        <w:rPr>
          <w:rFonts w:ascii="Arial" w:hAnsi="Arial" w:eastAsia="Times New Roman" w:cs="Arial"/>
          <w:lang w:eastAsia="en-GB"/>
        </w:rPr>
      </w:pPr>
      <w:r>
        <w:rPr>
          <w:rFonts w:ascii="Arial" w:hAnsi="Arial" w:eastAsia="Times New Roman" w:cs="Arial"/>
          <w:lang w:eastAsia="en-GB"/>
        </w:rPr>
        <w:t xml:space="preserve">Zhou, K 2023, ‘The Impact and Future of the Implementation of “Double Reduction” policy’, </w:t>
      </w:r>
      <w:r>
        <w:rPr>
          <w:rFonts w:ascii="Arial" w:hAnsi="Arial" w:eastAsia="Times New Roman" w:cs="Arial"/>
          <w:i/>
          <w:iCs/>
          <w:lang w:eastAsia="en-GB"/>
        </w:rPr>
        <w:t>BCP Business &amp; Management</w:t>
      </w:r>
      <w:r>
        <w:rPr>
          <w:rFonts w:ascii="Arial" w:hAnsi="Arial" w:eastAsia="Times New Roman" w:cs="Arial"/>
          <w:lang w:eastAsia="en-GB"/>
        </w:rPr>
        <w:t>, vol. 41, pp. 196–200.</w:t>
      </w:r>
    </w:p>
    <w:p>
      <w:pPr>
        <w:spacing w:line="360" w:lineRule="auto"/>
        <w:ind w:left="720" w:hanging="720"/>
        <w:rPr>
          <w:rFonts w:ascii="Arial" w:hAnsi="Arial" w:cs="Arial"/>
          <w:lang w:val="en-US"/>
        </w:rPr>
      </w:pPr>
      <w:r>
        <w:rPr>
          <w:rFonts w:ascii="Arial" w:hAnsi="Arial" w:cs="Arial"/>
          <w:lang w:val="en-US"/>
        </w:rPr>
        <w:t xml:space="preserve">Zimmerman, B. J. 2002. Becoming a self-regulated learner: An overview. Theory into Practice, 41(2), 64-70. </w:t>
      </w:r>
    </w:p>
    <w:p>
      <w:pPr>
        <w:spacing w:line="360" w:lineRule="auto"/>
        <w:ind w:firstLine="0"/>
        <w:rPr>
          <w:rFonts w:ascii="Arial" w:hAnsi="Arial" w:cs="Arial"/>
          <w:bCs/>
        </w:rPr>
      </w:pPr>
    </w:p>
    <w:p>
      <w:pPr>
        <w:spacing w:line="360" w:lineRule="auto"/>
        <w:ind w:firstLine="0"/>
        <w:rPr>
          <w:rFonts w:ascii="Arial" w:hAnsi="Arial" w:cs="Arial"/>
          <w:bCs/>
        </w:rPr>
      </w:pPr>
      <w:r>
        <w:rPr>
          <w:rFonts w:ascii="Arial" w:hAnsi="Arial" w:cs="Arial"/>
          <w:bCs/>
        </w:rPr>
        <w:t xml:space="preserve">Appendix </w:t>
      </w:r>
    </w:p>
    <w:p>
      <w:pPr>
        <w:ind w:firstLine="0"/>
        <w:contextualSpacing/>
        <w:rPr>
          <w:rFonts w:ascii="Arial" w:hAnsi="Arial" w:cs="Arial"/>
          <w:lang w:val="zh-CN"/>
        </w:rPr>
      </w:pPr>
      <w:r>
        <w:rPr>
          <w:rFonts w:ascii="Arial" w:hAnsi="Arial" w:cs="Arial"/>
          <w:b/>
          <w:bCs/>
          <w:lang w:val="zh-CN"/>
        </w:rPr>
        <w:t>Table 4.5: Considered Returning to China</w:t>
      </w:r>
    </w:p>
    <w:tbl>
      <w:tblPr>
        <w:tblStyle w:val="19"/>
        <w:tblW w:w="92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681"/>
        <w:gridCol w:w="3107"/>
        <w:gridCol w:w="24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0" w:hRule="atLeast"/>
        </w:trPr>
        <w:tc>
          <w:tcPr>
            <w:tcW w:w="3681" w:type="dxa"/>
          </w:tcPr>
          <w:p>
            <w:pPr>
              <w:ind w:firstLine="0"/>
              <w:contextualSpacing/>
              <w:rPr>
                <w:rFonts w:ascii="Arial" w:hAnsi="Arial" w:cs="Arial"/>
                <w:b/>
                <w:bCs/>
                <w:lang w:val="zh-CN"/>
              </w:rPr>
            </w:pPr>
            <w:r>
              <w:rPr>
                <w:rFonts w:ascii="Arial" w:hAnsi="Arial" w:cs="Arial"/>
                <w:b/>
                <w:bCs/>
                <w:lang w:val="zh-CN"/>
              </w:rPr>
              <w:t>Considered Returning to China</w:t>
            </w:r>
          </w:p>
        </w:tc>
        <w:tc>
          <w:tcPr>
            <w:tcW w:w="3107" w:type="dxa"/>
          </w:tcPr>
          <w:p>
            <w:pPr>
              <w:ind w:firstLine="0"/>
              <w:contextualSpacing/>
              <w:rPr>
                <w:rFonts w:ascii="Arial" w:hAnsi="Arial" w:cs="Arial"/>
                <w:b/>
                <w:bCs/>
                <w:lang w:val="zh-CN"/>
              </w:rPr>
            </w:pPr>
            <w:r>
              <w:rPr>
                <w:rFonts w:ascii="Arial" w:hAnsi="Arial" w:cs="Arial"/>
                <w:b/>
                <w:bCs/>
                <w:lang w:val="zh-CN"/>
              </w:rPr>
              <w:t>Number of Respondents</w:t>
            </w:r>
          </w:p>
        </w:tc>
        <w:tc>
          <w:tcPr>
            <w:tcW w:w="0" w:type="auto"/>
          </w:tcPr>
          <w:p>
            <w:pPr>
              <w:ind w:firstLine="0"/>
              <w:contextualSpacing/>
              <w:rPr>
                <w:rFonts w:ascii="Arial" w:hAnsi="Arial" w:cs="Arial"/>
                <w:b/>
                <w:bCs/>
                <w:lang w:val="zh-CN"/>
              </w:rPr>
            </w:pPr>
            <w:r>
              <w:rPr>
                <w:rFonts w:ascii="Arial" w:hAnsi="Arial" w:cs="Arial"/>
                <w:b/>
                <w:bCs/>
                <w:lang w:val="zh-CN"/>
              </w:rPr>
              <w:t>Percentage of Total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3681" w:type="dxa"/>
          </w:tcPr>
          <w:p>
            <w:pPr>
              <w:ind w:firstLine="0"/>
              <w:contextualSpacing/>
              <w:rPr>
                <w:rFonts w:ascii="Arial" w:hAnsi="Arial" w:cs="Arial"/>
                <w:lang w:val="zh-CN"/>
              </w:rPr>
            </w:pPr>
            <w:r>
              <w:rPr>
                <w:rFonts w:ascii="Arial" w:hAnsi="Arial" w:cs="Arial"/>
                <w:lang w:val="zh-CN"/>
              </w:rPr>
              <w:t>Yes</w:t>
            </w:r>
          </w:p>
        </w:tc>
        <w:tc>
          <w:tcPr>
            <w:tcW w:w="3107" w:type="dxa"/>
          </w:tcPr>
          <w:p>
            <w:pPr>
              <w:ind w:firstLine="0"/>
              <w:contextualSpacing/>
              <w:rPr>
                <w:rFonts w:ascii="Arial" w:hAnsi="Arial" w:cs="Arial"/>
                <w:lang w:val="zh-CN"/>
              </w:rPr>
            </w:pPr>
            <w:r>
              <w:rPr>
                <w:rFonts w:ascii="Arial" w:hAnsi="Arial" w:cs="Arial"/>
                <w:lang w:val="zh-CN"/>
              </w:rPr>
              <w:t>22</w:t>
            </w:r>
          </w:p>
        </w:tc>
        <w:tc>
          <w:tcPr>
            <w:tcW w:w="0" w:type="auto"/>
          </w:tcPr>
          <w:p>
            <w:pPr>
              <w:ind w:firstLine="0"/>
              <w:contextualSpacing/>
              <w:rPr>
                <w:rFonts w:ascii="Arial" w:hAnsi="Arial" w:cs="Arial"/>
                <w:lang w:val="zh-CN"/>
              </w:rPr>
            </w:pPr>
            <w:r>
              <w:rPr>
                <w:rFonts w:ascii="Arial" w:hAnsi="Arial" w:cs="Arial"/>
                <w:lang w:val="zh-CN"/>
              </w:rPr>
              <w:t>88%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0" w:hRule="atLeast"/>
        </w:trPr>
        <w:tc>
          <w:tcPr>
            <w:tcW w:w="3681" w:type="dxa"/>
          </w:tcPr>
          <w:p>
            <w:pPr>
              <w:ind w:firstLine="0"/>
              <w:contextualSpacing/>
              <w:rPr>
                <w:rFonts w:ascii="Arial" w:hAnsi="Arial" w:cs="Arial"/>
                <w:lang w:val="zh-CN"/>
              </w:rPr>
            </w:pPr>
            <w:r>
              <w:rPr>
                <w:rFonts w:ascii="Arial" w:hAnsi="Arial" w:cs="Arial"/>
                <w:lang w:val="zh-CN"/>
              </w:rPr>
              <w:t>No</w:t>
            </w:r>
          </w:p>
        </w:tc>
        <w:tc>
          <w:tcPr>
            <w:tcW w:w="3107" w:type="dxa"/>
          </w:tcPr>
          <w:p>
            <w:pPr>
              <w:ind w:firstLine="0"/>
              <w:contextualSpacing/>
              <w:rPr>
                <w:rFonts w:ascii="Arial" w:hAnsi="Arial" w:cs="Arial"/>
                <w:lang w:val="zh-CN"/>
              </w:rPr>
            </w:pPr>
            <w:r>
              <w:rPr>
                <w:rFonts w:ascii="Arial" w:hAnsi="Arial" w:cs="Arial"/>
                <w:lang w:val="zh-CN"/>
              </w:rPr>
              <w:t>3</w:t>
            </w:r>
          </w:p>
        </w:tc>
        <w:tc>
          <w:tcPr>
            <w:tcW w:w="0" w:type="auto"/>
          </w:tcPr>
          <w:p>
            <w:pPr>
              <w:ind w:firstLine="0"/>
              <w:contextualSpacing/>
              <w:rPr>
                <w:rFonts w:ascii="Arial" w:hAnsi="Arial" w:cs="Arial"/>
                <w:lang w:val="zh-CN"/>
              </w:rPr>
            </w:pPr>
            <w:r>
              <w:rPr>
                <w:rFonts w:ascii="Arial" w:hAnsi="Arial" w:cs="Arial"/>
                <w:lang w:val="zh-CN"/>
              </w:rPr>
              <w:t>12%</w:t>
            </w:r>
          </w:p>
        </w:tc>
      </w:tr>
    </w:tbl>
    <w:p>
      <w:pPr>
        <w:ind w:firstLine="0"/>
        <w:rPr>
          <w:rFonts w:ascii="Arial" w:hAnsi="Arial" w:cs="Arial"/>
          <w:bCs/>
        </w:rPr>
      </w:pPr>
    </w:p>
    <w:p>
      <w:pPr>
        <w:ind w:firstLine="0"/>
        <w:rPr>
          <w:b/>
        </w:rPr>
      </w:pPr>
      <w:r>
        <w:rPr>
          <w:rFonts w:ascii="Arial" w:hAnsi="Arial" w:cs="Arial"/>
          <w:b/>
          <w:bCs/>
        </w:rPr>
        <w:t xml:space="preserve">Table 4.1: Perceived Impact of the policy </w:t>
      </w:r>
    </w:p>
    <w:p>
      <w:pPr>
        <w:ind w:firstLine="0"/>
      </w:pPr>
      <w:r>
        <w:rPr>
          <w:rFonts w:ascii="Arial" w:hAnsi="Arial" w:cs="Arial"/>
          <w:lang w:val="en-US"/>
        </w:rPr>
        <w:drawing>
          <wp:inline distT="0" distB="0" distL="0" distR="0">
            <wp:extent cx="5731510" cy="2595245"/>
            <wp:effectExtent l="0" t="0" r="2540" b="14605"/>
            <wp:docPr id="66351010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pPr>
        <w:ind w:firstLine="0"/>
      </w:pPr>
    </w:p>
    <w:p>
      <w:pPr>
        <w:ind w:firstLine="0"/>
      </w:pPr>
    </w:p>
    <w:p>
      <w:pPr>
        <w:ind w:firstLine="0"/>
      </w:pPr>
    </w:p>
    <w:p>
      <w:pPr>
        <w:ind w:firstLine="0"/>
      </w:pPr>
    </w:p>
    <w:p>
      <w:pPr>
        <w:ind w:firstLine="0"/>
      </w:pPr>
    </w:p>
    <w:p>
      <w:pPr>
        <w:ind w:firstLine="0"/>
        <w:rPr>
          <w:rFonts w:ascii="Arial" w:hAnsi="Arial" w:cs="Arial"/>
          <w:b/>
        </w:rPr>
      </w:pPr>
    </w:p>
    <w:p>
      <w:pPr>
        <w:ind w:firstLine="0"/>
        <w:rPr>
          <w:rFonts w:ascii="Arial" w:hAnsi="Arial" w:cs="Arial"/>
          <w:b/>
        </w:rPr>
      </w:pPr>
      <w:r>
        <w:rPr>
          <w:rFonts w:ascii="Arial" w:hAnsi="Arial" w:cs="Arial"/>
          <w:b/>
        </w:rPr>
        <w:t xml:space="preserve">Table 4.2: Impact of Policy on Academic and Career Prospects </w:t>
      </w:r>
    </w:p>
    <w:p>
      <w:pPr>
        <w:ind w:firstLine="0"/>
      </w:pPr>
      <w:r>
        <w:rPr>
          <w:rFonts w:ascii="Arial" w:hAnsi="Arial" w:cs="Arial"/>
          <w:lang w:val="en-US"/>
        </w:rPr>
        <w:drawing>
          <wp:inline distT="0" distB="0" distL="0" distR="0">
            <wp:extent cx="5257800" cy="2352675"/>
            <wp:effectExtent l="0" t="0" r="0" b="9525"/>
            <wp:docPr id="161249734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sectPr>
      <w:headerReference r:id="rId7"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Yu Gothic Light">
    <w:panose1 w:val="020B0300000000000000"/>
    <w:charset w:val="80"/>
    <w:family w:val="auto"/>
    <w:pitch w:val="default"/>
    <w:sig w:usb0="E00002FF" w:usb1="2AC7FDFF" w:usb2="00000016" w:usb3="00000000" w:csb0="2002009F" w:csb1="00000000"/>
  </w:font>
  <w:font w:name="Calibri Light">
    <w:panose1 w:val="020F0302020204030204"/>
    <w:charset w:val="00"/>
    <w:family w:val="swiss"/>
    <w:pitch w:val="default"/>
    <w:sig w:usb0="E4002EFF" w:usb1="C200247B" w:usb2="00000009" w:usb3="00000000" w:csb0="200001FF" w:csb1="00000000"/>
  </w:font>
  <w:font w:name="游明朝">
    <w:altName w:val="Segoe Print"/>
    <w:panose1 w:val="00000000000000000000"/>
    <w:charset w:val="00"/>
    <w:family w:val="auto"/>
    <w:pitch w:val="default"/>
    <w:sig w:usb0="00000000" w:usb1="00000000" w:usb2="00000000" w:usb3="00000000" w:csb0="00000000"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framePr w:wrap="around" w:vAnchor="text" w:hAnchor="margin" w:xAlign="center" w:y="1"/>
      <w:rPr>
        <w:rStyle w:val="21"/>
      </w:rPr>
    </w:pPr>
    <w:r>
      <w:rPr>
        <w:rStyle w:val="21"/>
      </w:rPr>
      <w:fldChar w:fldCharType="begin"/>
    </w:r>
    <w:r>
      <w:rPr>
        <w:rStyle w:val="21"/>
      </w:rPr>
      <w:instrText xml:space="preserve">PAGE  </w:instrText>
    </w:r>
    <w:r>
      <w:rPr>
        <w:rStyle w:val="21"/>
      </w:rPr>
      <w:fldChar w:fldCharType="separate"/>
    </w:r>
    <w:r>
      <w:rPr>
        <w:rStyle w:val="21"/>
      </w:rPr>
      <w:t>21</w:t>
    </w:r>
    <w:r>
      <w:rPr>
        <w:rStyle w:val="21"/>
      </w:rPr>
      <w:fldChar w:fldCharType="end"/>
    </w:r>
  </w:p>
  <w:p>
    <w:pPr>
      <w:pStyle w:val="1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framePr w:wrap="around" w:vAnchor="text" w:hAnchor="margin" w:xAlign="center" w:y="1"/>
      <w:rPr>
        <w:rStyle w:val="21"/>
      </w:rPr>
    </w:pPr>
    <w:r>
      <w:rPr>
        <w:rStyle w:val="21"/>
      </w:rPr>
      <w:fldChar w:fldCharType="begin"/>
    </w:r>
    <w:r>
      <w:rPr>
        <w:rStyle w:val="21"/>
      </w:rPr>
      <w:instrText xml:space="preserve">PAGE  </w:instrText>
    </w:r>
    <w:r>
      <w:rPr>
        <w:rStyle w:val="21"/>
      </w:rPr>
      <w:fldChar w:fldCharType="end"/>
    </w:r>
  </w:p>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27081710"/>
      <w:docPartObj>
        <w:docPartGallery w:val="autotext"/>
      </w:docPartObj>
    </w:sdtPr>
    <w:sdtContent>
      <w:p>
        <w:pPr>
          <w:pStyle w:val="14"/>
          <w:jc w:val="right"/>
        </w:pPr>
        <w:r>
          <w:fldChar w:fldCharType="begin"/>
        </w:r>
        <w:r>
          <w:instrText xml:space="preserve"> PAGE   \* MERGEFORMAT </w:instrText>
        </w:r>
        <w:r>
          <w:fldChar w:fldCharType="separate"/>
        </w:r>
        <w:r>
          <w:t>21</w:t>
        </w:r>
        <w:r>
          <w:fldChar w:fldCharType="end"/>
        </w:r>
      </w:p>
    </w:sdtContent>
  </w:sdt>
  <w:p>
    <w:pPr>
      <w:pStyle w:val="1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316349A"/>
    <w:multiLevelType w:val="multilevel"/>
    <w:tmpl w:val="2316349A"/>
    <w:lvl w:ilvl="0" w:tentative="0">
      <w:start w:val="1"/>
      <w:numFmt w:val="decimal"/>
      <w:pStyle w:val="2"/>
      <w:lvlText w:val="%1"/>
      <w:lvlJc w:val="left"/>
      <w:pPr>
        <w:ind w:left="3409" w:hanging="432"/>
      </w:pPr>
      <w:rPr>
        <w:rFonts w:hint="default"/>
      </w:rPr>
    </w:lvl>
    <w:lvl w:ilvl="1" w:tentative="0">
      <w:start w:val="1"/>
      <w:numFmt w:val="decimal"/>
      <w:pStyle w:val="3"/>
      <w:lvlText w:val="%1.%2"/>
      <w:lvlJc w:val="left"/>
      <w:pPr>
        <w:ind w:left="576" w:hanging="576"/>
      </w:pPr>
      <w:rPr>
        <w:rFonts w:hint="default"/>
      </w:rPr>
    </w:lvl>
    <w:lvl w:ilvl="2" w:tentative="0">
      <w:start w:val="1"/>
      <w:numFmt w:val="decimal"/>
      <w:pStyle w:val="4"/>
      <w:lvlText w:val="%1.%2.%3"/>
      <w:lvlJc w:val="left"/>
      <w:pPr>
        <w:ind w:left="720" w:hanging="720"/>
      </w:pPr>
      <w:rPr>
        <w:rFonts w:hint="default"/>
      </w:rPr>
    </w:lvl>
    <w:lvl w:ilvl="3" w:tentative="0">
      <w:start w:val="1"/>
      <w:numFmt w:val="decimal"/>
      <w:pStyle w:val="5"/>
      <w:lvlText w:val="%1.%2.%3.%4"/>
      <w:lvlJc w:val="left"/>
      <w:pPr>
        <w:ind w:left="864" w:hanging="864"/>
      </w:pPr>
      <w:rPr>
        <w:rFonts w:hint="default"/>
      </w:rPr>
    </w:lvl>
    <w:lvl w:ilvl="4" w:tentative="0">
      <w:start w:val="1"/>
      <w:numFmt w:val="decimal"/>
      <w:pStyle w:val="6"/>
      <w:lvlText w:val="%1.%2.%3.%4.%5"/>
      <w:lvlJc w:val="left"/>
      <w:pPr>
        <w:ind w:left="1008" w:hanging="1008"/>
      </w:pPr>
      <w:rPr>
        <w:rFonts w:hint="default"/>
      </w:rPr>
    </w:lvl>
    <w:lvl w:ilvl="5" w:tentative="0">
      <w:start w:val="1"/>
      <w:numFmt w:val="decimal"/>
      <w:pStyle w:val="7"/>
      <w:lvlText w:val="%1.%2.%3.%4.%5.%6"/>
      <w:lvlJc w:val="left"/>
      <w:pPr>
        <w:ind w:left="1152" w:hanging="1152"/>
      </w:pPr>
      <w:rPr>
        <w:rFonts w:hint="default"/>
      </w:rPr>
    </w:lvl>
    <w:lvl w:ilvl="6" w:tentative="0">
      <w:start w:val="1"/>
      <w:numFmt w:val="decimal"/>
      <w:pStyle w:val="8"/>
      <w:lvlText w:val="%1.%2.%3.%4.%5.%6.%7"/>
      <w:lvlJc w:val="left"/>
      <w:pPr>
        <w:ind w:left="1296" w:hanging="1296"/>
      </w:pPr>
      <w:rPr>
        <w:rFonts w:hint="default"/>
      </w:rPr>
    </w:lvl>
    <w:lvl w:ilvl="7" w:tentative="0">
      <w:start w:val="1"/>
      <w:numFmt w:val="decimal"/>
      <w:pStyle w:val="9"/>
      <w:lvlText w:val="%1.%2.%3.%4.%5.%6.%7.%8"/>
      <w:lvlJc w:val="left"/>
      <w:pPr>
        <w:ind w:left="1440" w:hanging="1440"/>
      </w:pPr>
      <w:rPr>
        <w:rFonts w:hint="default"/>
      </w:rPr>
    </w:lvl>
    <w:lvl w:ilvl="8" w:tentative="0">
      <w:start w:val="1"/>
      <w:numFmt w:val="decimal"/>
      <w:pStyle w:val="10"/>
      <w:lvlText w:val="%1.%2.%3.%4.%5.%6.%7.%8.%9"/>
      <w:lvlJc w:val="left"/>
      <w:pPr>
        <w:ind w:left="1584" w:hanging="1584"/>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3"/>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mQzOWY1NDg2MzY5ODY3MzMyZmQ0YzA3MzM0OWQzNWMifQ=="/>
  </w:docVars>
  <w:rsids>
    <w:rsidRoot w:val="00B03181"/>
    <w:rsid w:val="000C699D"/>
    <w:rsid w:val="000E24B0"/>
    <w:rsid w:val="00164A4A"/>
    <w:rsid w:val="001F69A8"/>
    <w:rsid w:val="0027617F"/>
    <w:rsid w:val="002C316B"/>
    <w:rsid w:val="002D2AF6"/>
    <w:rsid w:val="002E6A73"/>
    <w:rsid w:val="003318FF"/>
    <w:rsid w:val="003B1E63"/>
    <w:rsid w:val="003C128F"/>
    <w:rsid w:val="00415B72"/>
    <w:rsid w:val="004E07AD"/>
    <w:rsid w:val="00506F93"/>
    <w:rsid w:val="005728F9"/>
    <w:rsid w:val="005B670B"/>
    <w:rsid w:val="006268A8"/>
    <w:rsid w:val="00660F3C"/>
    <w:rsid w:val="006C7F1A"/>
    <w:rsid w:val="00713880"/>
    <w:rsid w:val="00750883"/>
    <w:rsid w:val="0076EA37"/>
    <w:rsid w:val="00775BB4"/>
    <w:rsid w:val="0079255B"/>
    <w:rsid w:val="0082687E"/>
    <w:rsid w:val="0084382D"/>
    <w:rsid w:val="00876EE5"/>
    <w:rsid w:val="009349CD"/>
    <w:rsid w:val="0093507D"/>
    <w:rsid w:val="009B08B0"/>
    <w:rsid w:val="00A3725E"/>
    <w:rsid w:val="00A62322"/>
    <w:rsid w:val="00A87A5F"/>
    <w:rsid w:val="00AA1ADF"/>
    <w:rsid w:val="00B03181"/>
    <w:rsid w:val="00B67A4E"/>
    <w:rsid w:val="00B77459"/>
    <w:rsid w:val="00BA746A"/>
    <w:rsid w:val="00C043CC"/>
    <w:rsid w:val="00C41D0B"/>
    <w:rsid w:val="00C95D3B"/>
    <w:rsid w:val="00CB0B22"/>
    <w:rsid w:val="00CE22C0"/>
    <w:rsid w:val="00CE5BB7"/>
    <w:rsid w:val="00E050A8"/>
    <w:rsid w:val="00E8454A"/>
    <w:rsid w:val="00EA30F8"/>
    <w:rsid w:val="00EB675C"/>
    <w:rsid w:val="00EF3704"/>
    <w:rsid w:val="00F30BCC"/>
    <w:rsid w:val="00FA4987"/>
    <w:rsid w:val="00FB309A"/>
    <w:rsid w:val="00FB7880"/>
    <w:rsid w:val="00FC7CFE"/>
    <w:rsid w:val="01D9444B"/>
    <w:rsid w:val="03009085"/>
    <w:rsid w:val="0418E15B"/>
    <w:rsid w:val="05AE19A3"/>
    <w:rsid w:val="0A8A2498"/>
    <w:rsid w:val="0AF27A0D"/>
    <w:rsid w:val="0DB620EE"/>
    <w:rsid w:val="0E91ED0E"/>
    <w:rsid w:val="1230CBE8"/>
    <w:rsid w:val="143870E3"/>
    <w:rsid w:val="163950FC"/>
    <w:rsid w:val="1911EBB2"/>
    <w:rsid w:val="1D616344"/>
    <w:rsid w:val="1EF62693"/>
    <w:rsid w:val="292B4CD5"/>
    <w:rsid w:val="2A930A9D"/>
    <w:rsid w:val="2B63C19B"/>
    <w:rsid w:val="340C5BA2"/>
    <w:rsid w:val="35A82C03"/>
    <w:rsid w:val="36FBD3AF"/>
    <w:rsid w:val="3743FC64"/>
    <w:rsid w:val="3A7B9D26"/>
    <w:rsid w:val="3DB33DE8"/>
    <w:rsid w:val="472E44EC"/>
    <w:rsid w:val="4A5E37A9"/>
    <w:rsid w:val="4CA55C9D"/>
    <w:rsid w:val="4E572E2D"/>
    <w:rsid w:val="4E8656BE"/>
    <w:rsid w:val="541B6CEB"/>
    <w:rsid w:val="559BAD72"/>
    <w:rsid w:val="55E3B630"/>
    <w:rsid w:val="577F8691"/>
    <w:rsid w:val="5F29675B"/>
    <w:rsid w:val="64AF4DC9"/>
    <w:rsid w:val="65A663D3"/>
    <w:rsid w:val="6916EA52"/>
    <w:rsid w:val="69C40C94"/>
    <w:rsid w:val="6AF1035E"/>
    <w:rsid w:val="6C739C0B"/>
    <w:rsid w:val="6E0F6C6C"/>
    <w:rsid w:val="6FAB3CCD"/>
    <w:rsid w:val="70B25A13"/>
    <w:rsid w:val="71D9B82C"/>
    <w:rsid w:val="72172737"/>
    <w:rsid w:val="735C724B"/>
    <w:rsid w:val="746831EF"/>
    <w:rsid w:val="75ADB3E4"/>
    <w:rsid w:val="760155F4"/>
    <w:rsid w:val="77CD192F"/>
    <w:rsid w:val="78049A39"/>
    <w:rsid w:val="790133F7"/>
    <w:rsid w:val="79754ADE"/>
    <w:rsid w:val="7AD7D915"/>
    <w:rsid w:val="7AE55D99"/>
    <w:rsid w:val="7BCA0776"/>
  </w:rsids>
  <m:mathPr>
    <m:mathFont m:val="Cambria Math"/>
    <m:brkBin m:val="before"/>
    <m:brkBinSub m:val="--"/>
    <m:smallFrac m:val="1"/>
    <m:dispDef/>
    <m:lMargin m:val="1440"/>
    <m:rMargin m:val="144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99" w:name="toc 4"/>
    <w:lsdException w:uiPriority="99" w:name="toc 5"/>
    <w:lsdException w:uiPriority="99" w:name="toc 6"/>
    <w:lsdException w:uiPriority="99" w:name="toc 7"/>
    <w:lsdException w:uiPriority="99" w:name="toc 8"/>
    <w:lsdException w:uiPriority="9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name="footer"/>
    <w:lsdException w:uiPriority="99" w:name="index heading"/>
    <w:lsdException w:uiPriority="99"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0"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99"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99"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unhideWhenUsed="0" w:uiPriority="99" w:semiHidden="0" w:name="Strong"/>
    <w:lsdException w:unhideWhenUsed="0" w:uiPriority="99"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40" w:line="480" w:lineRule="auto"/>
      <w:ind w:firstLine="567"/>
    </w:pPr>
    <w:rPr>
      <w:rFonts w:ascii="Times New Roman" w:hAnsi="Times New Roman" w:eastAsia="宋体" w:cs="Times New Roman"/>
      <w:sz w:val="24"/>
      <w:szCs w:val="24"/>
      <w:lang w:val="en-GB" w:eastAsia="en-US" w:bidi="ar-SA"/>
    </w:rPr>
  </w:style>
  <w:style w:type="paragraph" w:styleId="2">
    <w:name w:val="heading 1"/>
    <w:basedOn w:val="1"/>
    <w:link w:val="24"/>
    <w:autoRedefine/>
    <w:qFormat/>
    <w:uiPriority w:val="9"/>
    <w:pPr>
      <w:keepNext/>
      <w:keepLines/>
      <w:numPr>
        <w:ilvl w:val="0"/>
        <w:numId w:val="1"/>
      </w:numPr>
      <w:spacing w:before="240" w:after="0" w:line="360" w:lineRule="auto"/>
      <w:ind w:left="432"/>
      <w:jc w:val="center"/>
      <w:outlineLvl w:val="0"/>
    </w:pPr>
    <w:rPr>
      <w:rFonts w:ascii="Arial" w:hAnsi="Arial" w:eastAsiaTheme="majorEastAsia" w:cstheme="majorBidi"/>
      <w:b/>
      <w:color w:val="2F5597" w:themeColor="accent1" w:themeShade="BF"/>
      <w:szCs w:val="32"/>
      <w:lang w:val="en-US"/>
    </w:rPr>
  </w:style>
  <w:style w:type="paragraph" w:styleId="3">
    <w:name w:val="heading 2"/>
    <w:basedOn w:val="1"/>
    <w:link w:val="25"/>
    <w:unhideWhenUsed/>
    <w:qFormat/>
    <w:uiPriority w:val="9"/>
    <w:pPr>
      <w:keepNext/>
      <w:keepLines/>
      <w:numPr>
        <w:ilvl w:val="1"/>
        <w:numId w:val="1"/>
      </w:numPr>
      <w:spacing w:before="40" w:after="0"/>
      <w:outlineLvl w:val="1"/>
    </w:pPr>
    <w:rPr>
      <w:rFonts w:ascii="Arial" w:hAnsi="Arial" w:eastAsiaTheme="majorEastAsia" w:cstheme="majorBidi"/>
      <w:b/>
      <w:sz w:val="26"/>
      <w:szCs w:val="26"/>
    </w:rPr>
  </w:style>
  <w:style w:type="paragraph" w:styleId="4">
    <w:name w:val="heading 3"/>
    <w:basedOn w:val="1"/>
    <w:link w:val="26"/>
    <w:autoRedefine/>
    <w:unhideWhenUsed/>
    <w:qFormat/>
    <w:uiPriority w:val="9"/>
    <w:pPr>
      <w:keepNext/>
      <w:keepLines/>
      <w:numPr>
        <w:ilvl w:val="2"/>
        <w:numId w:val="1"/>
      </w:numPr>
      <w:spacing w:before="40" w:after="0"/>
      <w:outlineLvl w:val="2"/>
    </w:pPr>
    <w:rPr>
      <w:rFonts w:ascii="Arial" w:hAnsi="Arial" w:eastAsiaTheme="majorEastAsia" w:cstheme="majorBidi"/>
      <w:b/>
      <w:i/>
      <w:color w:val="203864" w:themeColor="accent1" w:themeShade="80"/>
    </w:rPr>
  </w:style>
  <w:style w:type="paragraph" w:styleId="5">
    <w:name w:val="heading 4"/>
    <w:basedOn w:val="1"/>
    <w:link w:val="27"/>
    <w:autoRedefine/>
    <w:unhideWhenUsed/>
    <w:qFormat/>
    <w:uiPriority w:val="9"/>
    <w:pPr>
      <w:keepNext/>
      <w:keepLines/>
      <w:numPr>
        <w:ilvl w:val="3"/>
        <w:numId w:val="1"/>
      </w:numPr>
      <w:spacing w:before="40" w:after="0"/>
      <w:outlineLvl w:val="3"/>
    </w:pPr>
    <w:rPr>
      <w:rFonts w:asciiTheme="majorHAnsi" w:hAnsiTheme="majorHAnsi" w:eastAsiaTheme="majorEastAsia" w:cstheme="majorBidi"/>
      <w:i/>
      <w:iCs/>
      <w:color w:val="2F5597" w:themeColor="accent1" w:themeShade="BF"/>
    </w:rPr>
  </w:style>
  <w:style w:type="paragraph" w:styleId="6">
    <w:name w:val="heading 5"/>
    <w:basedOn w:val="1"/>
    <w:link w:val="28"/>
    <w:autoRedefine/>
    <w:semiHidden/>
    <w:unhideWhenUsed/>
    <w:qFormat/>
    <w:uiPriority w:val="9"/>
    <w:pPr>
      <w:keepNext/>
      <w:keepLines/>
      <w:numPr>
        <w:ilvl w:val="4"/>
        <w:numId w:val="1"/>
      </w:numPr>
      <w:spacing w:before="40" w:after="0"/>
      <w:outlineLvl w:val="4"/>
    </w:pPr>
    <w:rPr>
      <w:rFonts w:asciiTheme="majorHAnsi" w:hAnsiTheme="majorHAnsi" w:eastAsiaTheme="majorEastAsia" w:cstheme="majorBidi"/>
      <w:color w:val="2F5597" w:themeColor="accent1" w:themeShade="BF"/>
    </w:rPr>
  </w:style>
  <w:style w:type="paragraph" w:styleId="7">
    <w:name w:val="heading 6"/>
    <w:basedOn w:val="1"/>
    <w:link w:val="29"/>
    <w:autoRedefine/>
    <w:semiHidden/>
    <w:unhideWhenUsed/>
    <w:qFormat/>
    <w:uiPriority w:val="9"/>
    <w:pPr>
      <w:keepNext/>
      <w:keepLines/>
      <w:numPr>
        <w:ilvl w:val="5"/>
        <w:numId w:val="1"/>
      </w:numPr>
      <w:spacing w:before="40" w:after="0"/>
      <w:outlineLvl w:val="5"/>
    </w:pPr>
    <w:rPr>
      <w:rFonts w:asciiTheme="majorHAnsi" w:hAnsiTheme="majorHAnsi" w:eastAsiaTheme="majorEastAsia" w:cstheme="majorBidi"/>
      <w:color w:val="203864" w:themeColor="accent1" w:themeShade="80"/>
    </w:rPr>
  </w:style>
  <w:style w:type="paragraph" w:styleId="8">
    <w:name w:val="heading 7"/>
    <w:basedOn w:val="1"/>
    <w:link w:val="30"/>
    <w:autoRedefine/>
    <w:semiHidden/>
    <w:unhideWhenUsed/>
    <w:qFormat/>
    <w:uiPriority w:val="9"/>
    <w:pPr>
      <w:keepNext/>
      <w:keepLines/>
      <w:numPr>
        <w:ilvl w:val="6"/>
        <w:numId w:val="1"/>
      </w:numPr>
      <w:spacing w:before="40" w:after="0"/>
      <w:outlineLvl w:val="6"/>
    </w:pPr>
    <w:rPr>
      <w:rFonts w:asciiTheme="majorHAnsi" w:hAnsiTheme="majorHAnsi" w:eastAsiaTheme="majorEastAsia" w:cstheme="majorBidi"/>
      <w:i/>
      <w:iCs/>
      <w:color w:val="203864" w:themeColor="accent1" w:themeShade="80"/>
    </w:rPr>
  </w:style>
  <w:style w:type="paragraph" w:styleId="9">
    <w:name w:val="heading 8"/>
    <w:basedOn w:val="1"/>
    <w:link w:val="31"/>
    <w:autoRedefine/>
    <w:semiHidden/>
    <w:unhideWhenUsed/>
    <w:qFormat/>
    <w:uiPriority w:val="9"/>
    <w:pPr>
      <w:keepNext/>
      <w:keepLines/>
      <w:numPr>
        <w:ilvl w:val="7"/>
        <w:numId w:val="1"/>
      </w:numPr>
      <w:spacing w:before="40" w:after="0"/>
      <w:outlineLvl w:val="7"/>
    </w:pPr>
    <w:rPr>
      <w:rFonts w:asciiTheme="majorHAnsi" w:hAnsiTheme="majorHAnsi" w:eastAsiaTheme="majorEastAsia" w:cstheme="majorBidi"/>
      <w:color w:val="262626" w:themeColor="text1" w:themeTint="D9"/>
      <w:sz w:val="21"/>
      <w:szCs w:val="21"/>
      <w14:textFill>
        <w14:solidFill>
          <w14:schemeClr w14:val="tx1">
            <w14:lumMod w14:val="85000"/>
            <w14:lumOff w14:val="15000"/>
          </w14:schemeClr>
        </w14:solidFill>
      </w14:textFill>
    </w:rPr>
  </w:style>
  <w:style w:type="paragraph" w:styleId="10">
    <w:name w:val="heading 9"/>
    <w:basedOn w:val="1"/>
    <w:link w:val="32"/>
    <w:autoRedefine/>
    <w:semiHidden/>
    <w:unhideWhenUsed/>
    <w:qFormat/>
    <w:uiPriority w:val="9"/>
    <w:pPr>
      <w:keepNext/>
      <w:keepLines/>
      <w:numPr>
        <w:ilvl w:val="8"/>
        <w:numId w:val="1"/>
      </w:numPr>
      <w:spacing w:before="40" w:after="0"/>
      <w:outlineLvl w:val="8"/>
    </w:pPr>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default="1" w:styleId="20">
    <w:name w:val="Default Paragraph Font"/>
    <w:autoRedefine/>
    <w:semiHidden/>
    <w:unhideWhenUsed/>
    <w:qFormat/>
    <w:uiPriority w:val="1"/>
  </w:style>
  <w:style w:type="table" w:default="1" w:styleId="18">
    <w:name w:val="Normal Table"/>
    <w:autoRedefine/>
    <w:semiHidden/>
    <w:unhideWhenUsed/>
    <w:qFormat/>
    <w:uiPriority w:val="99"/>
    <w:tblPr>
      <w:tblCellMar>
        <w:top w:w="0" w:type="dxa"/>
        <w:left w:w="108" w:type="dxa"/>
        <w:bottom w:w="0" w:type="dxa"/>
        <w:right w:w="108" w:type="dxa"/>
      </w:tblCellMar>
    </w:tblPr>
  </w:style>
  <w:style w:type="paragraph" w:styleId="11">
    <w:name w:val="annotation text"/>
    <w:basedOn w:val="1"/>
    <w:link w:val="36"/>
    <w:autoRedefine/>
    <w:unhideWhenUsed/>
    <w:qFormat/>
    <w:uiPriority w:val="99"/>
    <w:pPr>
      <w:spacing w:line="240" w:lineRule="auto"/>
    </w:pPr>
    <w:rPr>
      <w:sz w:val="20"/>
      <w:szCs w:val="20"/>
    </w:rPr>
  </w:style>
  <w:style w:type="paragraph" w:styleId="12">
    <w:name w:val="toc 3"/>
    <w:basedOn w:val="1"/>
    <w:autoRedefine/>
    <w:unhideWhenUsed/>
    <w:qFormat/>
    <w:uiPriority w:val="39"/>
    <w:pPr>
      <w:spacing w:after="100"/>
      <w:ind w:left="480"/>
    </w:pPr>
  </w:style>
  <w:style w:type="paragraph" w:styleId="13">
    <w:name w:val="footer"/>
    <w:basedOn w:val="1"/>
    <w:link w:val="37"/>
    <w:autoRedefine/>
    <w:semiHidden/>
    <w:unhideWhenUsed/>
    <w:qFormat/>
    <w:uiPriority w:val="99"/>
    <w:pPr>
      <w:tabs>
        <w:tab w:val="center" w:pos="4153"/>
        <w:tab w:val="right" w:pos="8306"/>
      </w:tabs>
      <w:snapToGrid w:val="0"/>
      <w:spacing w:line="240" w:lineRule="auto"/>
    </w:pPr>
    <w:rPr>
      <w:sz w:val="18"/>
      <w:szCs w:val="18"/>
    </w:rPr>
  </w:style>
  <w:style w:type="paragraph" w:styleId="14">
    <w:name w:val="header"/>
    <w:basedOn w:val="1"/>
    <w:link w:val="35"/>
    <w:autoRedefine/>
    <w:unhideWhenUsed/>
    <w:qFormat/>
    <w:uiPriority w:val="99"/>
    <w:pPr>
      <w:tabs>
        <w:tab w:val="center" w:pos="4680"/>
        <w:tab w:val="right" w:pos="9360"/>
      </w:tabs>
      <w:spacing w:after="0" w:line="240" w:lineRule="auto"/>
    </w:pPr>
  </w:style>
  <w:style w:type="paragraph" w:styleId="15">
    <w:name w:val="toc 1"/>
    <w:basedOn w:val="1"/>
    <w:autoRedefine/>
    <w:unhideWhenUsed/>
    <w:qFormat/>
    <w:uiPriority w:val="39"/>
    <w:pPr>
      <w:spacing w:after="100"/>
    </w:pPr>
  </w:style>
  <w:style w:type="paragraph" w:styleId="16">
    <w:name w:val="toc 2"/>
    <w:basedOn w:val="1"/>
    <w:autoRedefine/>
    <w:unhideWhenUsed/>
    <w:qFormat/>
    <w:uiPriority w:val="39"/>
    <w:pPr>
      <w:spacing w:after="100"/>
      <w:ind w:left="240"/>
    </w:pPr>
  </w:style>
  <w:style w:type="paragraph" w:styleId="17">
    <w:name w:val="annotation subject"/>
    <w:basedOn w:val="11"/>
    <w:next w:val="11"/>
    <w:link w:val="38"/>
    <w:autoRedefine/>
    <w:semiHidden/>
    <w:unhideWhenUsed/>
    <w:qFormat/>
    <w:uiPriority w:val="99"/>
    <w:rPr>
      <w:b/>
      <w:bCs/>
    </w:rPr>
  </w:style>
  <w:style w:type="table" w:styleId="19">
    <w:name w:val="Table Grid"/>
    <w:basedOn w:val="18"/>
    <w:autoRedefine/>
    <w:qFormat/>
    <w:uiPriority w:val="9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1">
    <w:name w:val="page number"/>
    <w:basedOn w:val="20"/>
    <w:autoRedefine/>
    <w:qFormat/>
    <w:uiPriority w:val="0"/>
  </w:style>
  <w:style w:type="character" w:styleId="22">
    <w:name w:val="Hyperlink"/>
    <w:basedOn w:val="20"/>
    <w:autoRedefine/>
    <w:unhideWhenUsed/>
    <w:qFormat/>
    <w:uiPriority w:val="99"/>
    <w:rPr>
      <w:color w:val="0563C1" w:themeColor="hyperlink"/>
      <w:u w:val="single"/>
      <w14:textFill>
        <w14:solidFill>
          <w14:schemeClr w14:val="hlink"/>
        </w14:solidFill>
      </w14:textFill>
    </w:rPr>
  </w:style>
  <w:style w:type="character" w:styleId="23">
    <w:name w:val="annotation reference"/>
    <w:basedOn w:val="20"/>
    <w:autoRedefine/>
    <w:semiHidden/>
    <w:unhideWhenUsed/>
    <w:qFormat/>
    <w:uiPriority w:val="99"/>
    <w:rPr>
      <w:sz w:val="16"/>
      <w:szCs w:val="16"/>
    </w:rPr>
  </w:style>
  <w:style w:type="character" w:customStyle="1" w:styleId="24">
    <w:name w:val="Heading 1 Char"/>
    <w:basedOn w:val="20"/>
    <w:link w:val="2"/>
    <w:autoRedefine/>
    <w:qFormat/>
    <w:uiPriority w:val="9"/>
    <w:rPr>
      <w:rFonts w:ascii="Arial" w:hAnsi="Arial" w:eastAsiaTheme="majorEastAsia" w:cstheme="majorBidi"/>
      <w:b/>
      <w:color w:val="2F5597" w:themeColor="accent1" w:themeShade="BF"/>
      <w:szCs w:val="32"/>
      <w:lang w:val="en-US"/>
    </w:rPr>
  </w:style>
  <w:style w:type="character" w:customStyle="1" w:styleId="25">
    <w:name w:val="Heading 2 Char"/>
    <w:basedOn w:val="20"/>
    <w:link w:val="3"/>
    <w:autoRedefine/>
    <w:qFormat/>
    <w:uiPriority w:val="9"/>
    <w:rPr>
      <w:rFonts w:ascii="Arial" w:hAnsi="Arial" w:eastAsiaTheme="majorEastAsia" w:cstheme="majorBidi"/>
      <w:b/>
      <w:sz w:val="26"/>
      <w:szCs w:val="26"/>
    </w:rPr>
  </w:style>
  <w:style w:type="character" w:customStyle="1" w:styleId="26">
    <w:name w:val="Heading 3 Char"/>
    <w:basedOn w:val="20"/>
    <w:link w:val="4"/>
    <w:autoRedefine/>
    <w:qFormat/>
    <w:uiPriority w:val="9"/>
    <w:rPr>
      <w:rFonts w:ascii="Arial" w:hAnsi="Arial" w:eastAsiaTheme="majorEastAsia" w:cstheme="majorBidi"/>
      <w:b/>
      <w:i/>
      <w:color w:val="203864" w:themeColor="accent1" w:themeShade="80"/>
    </w:rPr>
  </w:style>
  <w:style w:type="character" w:customStyle="1" w:styleId="27">
    <w:name w:val="Heading 4 Char"/>
    <w:basedOn w:val="20"/>
    <w:link w:val="5"/>
    <w:autoRedefine/>
    <w:qFormat/>
    <w:uiPriority w:val="9"/>
    <w:rPr>
      <w:rFonts w:asciiTheme="majorHAnsi" w:hAnsiTheme="majorHAnsi" w:eastAsiaTheme="majorEastAsia" w:cstheme="majorBidi"/>
      <w:i/>
      <w:iCs/>
      <w:color w:val="2F5597" w:themeColor="accent1" w:themeShade="BF"/>
    </w:rPr>
  </w:style>
  <w:style w:type="character" w:customStyle="1" w:styleId="28">
    <w:name w:val="Heading 5 Char"/>
    <w:basedOn w:val="20"/>
    <w:link w:val="6"/>
    <w:autoRedefine/>
    <w:semiHidden/>
    <w:qFormat/>
    <w:uiPriority w:val="9"/>
    <w:rPr>
      <w:rFonts w:asciiTheme="majorHAnsi" w:hAnsiTheme="majorHAnsi" w:eastAsiaTheme="majorEastAsia" w:cstheme="majorBidi"/>
      <w:color w:val="2F5597" w:themeColor="accent1" w:themeShade="BF"/>
    </w:rPr>
  </w:style>
  <w:style w:type="character" w:customStyle="1" w:styleId="29">
    <w:name w:val="Heading 6 Char"/>
    <w:basedOn w:val="20"/>
    <w:link w:val="7"/>
    <w:autoRedefine/>
    <w:semiHidden/>
    <w:qFormat/>
    <w:uiPriority w:val="9"/>
    <w:rPr>
      <w:rFonts w:asciiTheme="majorHAnsi" w:hAnsiTheme="majorHAnsi" w:eastAsiaTheme="majorEastAsia" w:cstheme="majorBidi"/>
      <w:color w:val="203864" w:themeColor="accent1" w:themeShade="80"/>
    </w:rPr>
  </w:style>
  <w:style w:type="character" w:customStyle="1" w:styleId="30">
    <w:name w:val="Heading 7 Char"/>
    <w:basedOn w:val="20"/>
    <w:link w:val="8"/>
    <w:autoRedefine/>
    <w:semiHidden/>
    <w:qFormat/>
    <w:uiPriority w:val="9"/>
    <w:rPr>
      <w:rFonts w:asciiTheme="majorHAnsi" w:hAnsiTheme="majorHAnsi" w:eastAsiaTheme="majorEastAsia" w:cstheme="majorBidi"/>
      <w:i/>
      <w:iCs/>
      <w:color w:val="203864" w:themeColor="accent1" w:themeShade="80"/>
    </w:rPr>
  </w:style>
  <w:style w:type="character" w:customStyle="1" w:styleId="31">
    <w:name w:val="Heading 8 Char"/>
    <w:basedOn w:val="20"/>
    <w:link w:val="9"/>
    <w:autoRedefine/>
    <w:semiHidden/>
    <w:qFormat/>
    <w:uiPriority w:val="9"/>
    <w:rPr>
      <w:rFonts w:asciiTheme="majorHAnsi" w:hAnsiTheme="majorHAnsi" w:eastAsiaTheme="majorEastAsia" w:cstheme="majorBidi"/>
      <w:color w:val="262626" w:themeColor="text1" w:themeTint="D9"/>
      <w:sz w:val="21"/>
      <w:szCs w:val="21"/>
      <w14:textFill>
        <w14:solidFill>
          <w14:schemeClr w14:val="tx1">
            <w14:lumMod w14:val="85000"/>
            <w14:lumOff w14:val="15000"/>
          </w14:schemeClr>
        </w14:solidFill>
      </w14:textFill>
    </w:rPr>
  </w:style>
  <w:style w:type="character" w:customStyle="1" w:styleId="32">
    <w:name w:val="Heading 9 Char"/>
    <w:basedOn w:val="20"/>
    <w:link w:val="10"/>
    <w:autoRedefine/>
    <w:semiHidden/>
    <w:qFormat/>
    <w:uiPriority w:val="9"/>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paragraph" w:styleId="33">
    <w:name w:val="List Paragraph"/>
    <w:basedOn w:val="1"/>
    <w:autoRedefine/>
    <w:qFormat/>
    <w:uiPriority w:val="34"/>
    <w:pPr>
      <w:ind w:left="720"/>
      <w:contextualSpacing/>
    </w:pPr>
  </w:style>
  <w:style w:type="paragraph" w:customStyle="1" w:styleId="34">
    <w:name w:val="TOC Heading1"/>
    <w:basedOn w:val="2"/>
    <w:autoRedefine/>
    <w:unhideWhenUsed/>
    <w:qFormat/>
    <w:uiPriority w:val="39"/>
    <w:pPr>
      <w:spacing w:line="259" w:lineRule="auto"/>
      <w:jc w:val="left"/>
      <w:outlineLvl w:val="9"/>
    </w:pPr>
    <w:rPr>
      <w:rFonts w:asciiTheme="majorHAnsi" w:hAnsiTheme="majorHAnsi"/>
      <w:b w:val="0"/>
    </w:rPr>
  </w:style>
  <w:style w:type="character" w:customStyle="1" w:styleId="35">
    <w:name w:val="Header Char"/>
    <w:basedOn w:val="20"/>
    <w:link w:val="14"/>
    <w:autoRedefine/>
    <w:qFormat/>
    <w:uiPriority w:val="99"/>
  </w:style>
  <w:style w:type="character" w:customStyle="1" w:styleId="36">
    <w:name w:val="Comment Text Char"/>
    <w:basedOn w:val="20"/>
    <w:link w:val="11"/>
    <w:autoRedefine/>
    <w:qFormat/>
    <w:uiPriority w:val="99"/>
    <w:rPr>
      <w:sz w:val="20"/>
      <w:szCs w:val="20"/>
    </w:rPr>
  </w:style>
  <w:style w:type="character" w:customStyle="1" w:styleId="37">
    <w:name w:val="Footer Char"/>
    <w:basedOn w:val="20"/>
    <w:link w:val="13"/>
    <w:autoRedefine/>
    <w:semiHidden/>
    <w:qFormat/>
    <w:uiPriority w:val="99"/>
    <w:rPr>
      <w:sz w:val="18"/>
      <w:szCs w:val="18"/>
    </w:rPr>
  </w:style>
  <w:style w:type="character" w:customStyle="1" w:styleId="38">
    <w:name w:val="Comment Subject Char"/>
    <w:basedOn w:val="36"/>
    <w:link w:val="17"/>
    <w:autoRedefine/>
    <w:semiHidden/>
    <w:qFormat/>
    <w:uiPriority w:val="99"/>
    <w:rPr>
      <w:b/>
      <w:bCs/>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header" Target="header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chart" Target="charts/chart6.xml"/><Relationship Id="rId16" Type="http://schemas.openxmlformats.org/officeDocument/2006/relationships/chart" Target="charts/chart5.xml"/><Relationship Id="rId15" Type="http://schemas.openxmlformats.org/officeDocument/2006/relationships/image" Target="media/image3.png"/><Relationship Id="rId14" Type="http://schemas.openxmlformats.org/officeDocument/2006/relationships/chart" Target="charts/chart4.xml"/><Relationship Id="rId13" Type="http://schemas.openxmlformats.org/officeDocument/2006/relationships/chart" Target="charts/chart3.xml"/><Relationship Id="rId12" Type="http://schemas.openxmlformats.org/officeDocument/2006/relationships/chart" Target="charts/chart2.xml"/><Relationship Id="rId11" Type="http://schemas.openxmlformats.org/officeDocument/2006/relationships/chart" Target="charts/chart1.xml"/><Relationship Id="rId10" Type="http://schemas.openxmlformats.org/officeDocument/2006/relationships/image" Target="media/image2.pn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Workbook2.xlsx"/></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package" Target="../embeddings/Workbook3.xlsx"/></Relationships>
</file>

<file path=word/charts/_rels/chart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package" Target="../embeddings/Workbook4.xlsx"/></Relationships>
</file>

<file path=word/charts/_rels/chart5.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package" Target="../embeddings/Workbook5.xlsx"/></Relationships>
</file>

<file path=word/charts/_rels/chart6.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package" Target="../embeddings/Workbook6.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CN" sz="1800" b="1" i="0" u="none" strike="noStrike" kern="1200" baseline="0">
                <a:solidFill>
                  <a:schemeClr val="dk1">
                    <a:lumMod val="75000"/>
                    <a:lumOff val="25000"/>
                  </a:schemeClr>
                </a:solidFill>
                <a:latin typeface="+mn-lt"/>
                <a:ea typeface="+mn-ea"/>
                <a:cs typeface="+mn-cs"/>
              </a:defRPr>
            </a:pPr>
            <a:r>
              <a:rPr lang="en-US" sz="1800" b="1">
                <a:effectLst/>
              </a:rPr>
              <a:t>Ways Policy Influenced Choices</a:t>
            </a:r>
            <a:endParaRPr lang="en-US" sz="1800">
              <a:effectLst/>
            </a:endParaRPr>
          </a:p>
        </c:rich>
      </c:tx>
      <c:layout/>
      <c:overlay val="0"/>
      <c:spPr>
        <a:noFill/>
        <a:ln>
          <a:noFill/>
        </a:ln>
        <a:effectLst/>
      </c:spPr>
    </c:title>
    <c:autoTitleDeleted val="0"/>
    <c:plotArea>
      <c:layout/>
      <c:pieChart>
        <c:varyColors val="1"/>
        <c:ser>
          <c:idx val="0"/>
          <c:order val="0"/>
          <c:tx>
            <c:strRef>
              <c:f>Sheet1!$E$44</c:f>
              <c:strCache>
                <c:ptCount val="1"/>
                <c:pt idx="0">
                  <c:v>Number of Respondents</c:v>
                </c:pt>
              </c:strCache>
            </c:strRef>
          </c:tx>
          <c:spPr/>
          <c:explosion val="8"/>
          <c:dPt>
            <c:idx val="0"/>
            <c:bubble3D val="0"/>
            <c:spPr>
              <a:solidFill>
                <a:schemeClr val="accent6"/>
              </a:solidFill>
              <a:ln>
                <a:noFill/>
              </a:ln>
              <a:effectLst>
                <a:outerShdw blurRad="254000" sx="102000" sy="102000" algn="ctr" rotWithShape="0">
                  <a:prstClr val="black">
                    <a:alpha val="20000"/>
                  </a:prstClr>
                </a:outerShdw>
              </a:effectLst>
            </c:spPr>
          </c:dPt>
          <c:dPt>
            <c:idx val="1"/>
            <c:bubble3D val="0"/>
            <c:spPr>
              <a:solidFill>
                <a:schemeClr val="accent5"/>
              </a:solidFill>
              <a:ln>
                <a:noFill/>
              </a:ln>
              <a:effectLst>
                <a:outerShdw blurRad="254000" sx="102000" sy="102000" algn="ctr" rotWithShape="0">
                  <a:prstClr val="black">
                    <a:alpha val="20000"/>
                  </a:prstClr>
                </a:outerShdw>
              </a:effectLst>
            </c:spPr>
          </c:dPt>
          <c:dPt>
            <c:idx val="2"/>
            <c:bubble3D val="0"/>
            <c:spPr>
              <a:solidFill>
                <a:schemeClr val="accent4"/>
              </a:solidFill>
              <a:ln>
                <a:noFill/>
              </a:ln>
              <a:effectLst>
                <a:outerShdw blurRad="254000" sx="102000" sy="102000" algn="ctr" rotWithShape="0">
                  <a:prstClr val="black">
                    <a:alpha val="20000"/>
                  </a:prstClr>
                </a:outerShdw>
              </a:effectLst>
            </c:spPr>
          </c:dPt>
          <c:dPt>
            <c:idx val="3"/>
            <c:bubble3D val="0"/>
            <c:spPr>
              <a:solidFill>
                <a:schemeClr val="accent6">
                  <a:lumMod val="60000"/>
                </a:schemeClr>
              </a:solidFill>
              <a:ln>
                <a:noFill/>
              </a:ln>
              <a:effectLst>
                <a:outerShdw blurRad="254000" sx="102000" sy="102000" algn="ctr" rotWithShape="0">
                  <a:prstClr val="black">
                    <a:alpha val="20000"/>
                  </a:prstClr>
                </a:outerShdw>
              </a:effectLst>
            </c:spPr>
          </c:dPt>
          <c:dPt>
            <c:idx val="4"/>
            <c:bubble3D val="0"/>
            <c:spPr>
              <a:solidFill>
                <a:schemeClr val="accent5">
                  <a:lumMod val="60000"/>
                </a:schemeClr>
              </a:solidFill>
              <a:ln>
                <a:noFill/>
              </a:ln>
              <a:effectLst>
                <a:outerShdw blurRad="254000" sx="102000" sy="102000" algn="ctr" rotWithShape="0">
                  <a:prstClr val="black">
                    <a:alpha val="20000"/>
                  </a:prstClr>
                </a:outerShdw>
              </a:effectLst>
            </c:spPr>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zh-CN" sz="1000" b="1" i="0" u="none" strike="noStrike" kern="1200" baseline="0">
                    <a:solidFill>
                      <a:schemeClr val="lt1"/>
                    </a:solidFill>
                    <a:latin typeface="+mn-lt"/>
                    <a:ea typeface="+mn-ea"/>
                    <a:cs typeface="+mn-cs"/>
                  </a:defRPr>
                </a:pPr>
              </a:p>
            </c:txPr>
            <c:dLblPos val="ct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Sheet1!$D$45:$D$49</c:f>
              <c:strCache>
                <c:ptCount val="5"/>
                <c:pt idx="0">
                  <c:v>Financial considerations (e.g., tuition costs)</c:v>
                </c:pt>
                <c:pt idx="1">
                  <c:v>Career prospects</c:v>
                </c:pt>
                <c:pt idx="2">
                  <c:v>Location of study (e.g., studying abroad or within China)</c:v>
                </c:pt>
                <c:pt idx="3">
                  <c:v>Choice of major or field of study</c:v>
                </c:pt>
                <c:pt idx="4">
                  <c:v>Other</c:v>
                </c:pt>
              </c:strCache>
            </c:strRef>
          </c:cat>
          <c:val>
            <c:numRef>
              <c:f>Sheet1!$E$45:$E$49</c:f>
              <c:numCache>
                <c:formatCode>General</c:formatCode>
                <c:ptCount val="5"/>
                <c:pt idx="0">
                  <c:v>2</c:v>
                </c:pt>
                <c:pt idx="1">
                  <c:v>5</c:v>
                </c:pt>
                <c:pt idx="2">
                  <c:v>6</c:v>
                </c:pt>
                <c:pt idx="3">
                  <c:v>5</c:v>
                </c:pt>
                <c:pt idx="4">
                  <c:v>2</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zh-CN"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CN" sz="1800" b="1" i="0" u="none" strike="noStrike" kern="1200" baseline="0">
                <a:solidFill>
                  <a:schemeClr val="dk1">
                    <a:lumMod val="75000"/>
                    <a:lumOff val="25000"/>
                  </a:schemeClr>
                </a:solidFill>
                <a:latin typeface="+mn-lt"/>
                <a:ea typeface="+mn-ea"/>
                <a:cs typeface="+mn-cs"/>
              </a:defRPr>
            </a:pPr>
            <a:r>
              <a:rPr lang="en-US"/>
              <a:t>Considered Returning to China</a:t>
            </a:r>
            <a:endParaRPr lang="en-US"/>
          </a:p>
        </c:rich>
      </c:tx>
      <c:layout/>
      <c:overlay val="0"/>
      <c:spPr>
        <a:noFill/>
        <a:ln>
          <a:noFill/>
        </a:ln>
        <a:effectLst/>
      </c:spPr>
    </c:title>
    <c:autoTitleDeleted val="0"/>
    <c:plotArea>
      <c:layout/>
      <c:pieChart>
        <c:varyColors val="1"/>
        <c:ser>
          <c:idx val="0"/>
          <c:order val="0"/>
          <c:tx>
            <c:strRef>
              <c:f>Sheet1!$E$58</c:f>
              <c:strCache>
                <c:ptCount val="1"/>
                <c:pt idx="0">
                  <c:v>Number of Respondents</c:v>
                </c:pt>
              </c:strCache>
            </c:strRef>
          </c:tx>
          <c:spPr/>
          <c:explosion val="21"/>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zh-CN" sz="1000" b="1" i="0" u="none" strike="noStrike" kern="1200" baseline="0">
                    <a:solidFill>
                      <a:schemeClr val="lt1"/>
                    </a:solidFill>
                    <a:latin typeface="+mn-lt"/>
                    <a:ea typeface="+mn-ea"/>
                    <a:cs typeface="+mn-cs"/>
                  </a:defRPr>
                </a:pPr>
              </a:p>
            </c:txPr>
            <c:dLblPos val="ct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Sheet1!$D$59:$D$62</c:f>
              <c:strCache>
                <c:ptCount val="4"/>
                <c:pt idx="0">
                  <c:v>To be closer to family and hometown</c:v>
                </c:pt>
                <c:pt idx="1">
                  <c:v>To contribute to China's workforce</c:v>
                </c:pt>
                <c:pt idx="2">
                  <c:v>To access specific job opportunities in China</c:v>
                </c:pt>
                <c:pt idx="3">
                  <c:v>Other</c:v>
                </c:pt>
              </c:strCache>
            </c:strRef>
          </c:cat>
          <c:val>
            <c:numRef>
              <c:f>Sheet1!$E$59:$E$62</c:f>
              <c:numCache>
                <c:formatCode>General</c:formatCode>
                <c:ptCount val="4"/>
                <c:pt idx="0">
                  <c:v>5</c:v>
                </c:pt>
                <c:pt idx="1">
                  <c:v>7</c:v>
                </c:pt>
                <c:pt idx="2">
                  <c:v>8</c:v>
                </c:pt>
                <c:pt idx="3">
                  <c:v>2</c:v>
                </c:pt>
              </c:numCache>
            </c:numRef>
          </c:val>
        </c:ser>
        <c:dLbls>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Sheet1!$F$58</c15:sqref>
                        </c15:formulaRef>
                      </c:ext>
                    </c:extLst>
                    <c:strCache>
                      <c:ptCount val="1"/>
                      <c:pt idx="0">
                        <c:v/>
                      </c:pt>
                    </c:strCache>
                  </c:strRef>
                </c:tx>
                <c:spPr/>
                <c:explosion val="0"/>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zh-CN" sz="1000" b="1" i="0" u="none" strike="noStrike" kern="1200" baseline="0">
                          <a:solidFill>
                            <a:schemeClr val="lt1"/>
                          </a:solidFill>
                          <a:latin typeface="+mn-lt"/>
                          <a:ea typeface="+mn-ea"/>
                          <a:cs typeface="+mn-cs"/>
                        </a:defRPr>
                      </a:pPr>
                    </a:p>
                  </c:txPr>
                  <c:dLblPos val="ct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extLst>
                      <c:ext uri="{02D57815-91ED-43cb-92C2-25804820EDAC}">
                        <c15:fullRef>
                          <c15:sqref/>
                        </c15:fullRef>
                        <c15:formulaRef>
                          <c15:sqref>Sheet1!$D$59:$D$62</c15:sqref>
                        </c15:formulaRef>
                      </c:ext>
                    </c:extLst>
                    <c:strCache>
                      <c:ptCount val="4"/>
                      <c:pt idx="0">
                        <c:v>To be closer to family and hometown</c:v>
                      </c:pt>
                      <c:pt idx="1">
                        <c:v>To contribute to China's workforce</c:v>
                      </c:pt>
                      <c:pt idx="2">
                        <c:v>To access specific job opportunities in China</c:v>
                      </c:pt>
                      <c:pt idx="3">
                        <c:v>Other</c:v>
                      </c:pt>
                    </c:strCache>
                  </c:strRef>
                </c:cat>
                <c:val>
                  <c:numRef>
                    <c:extLst>
                      <c:ext uri="{02D57815-91ED-43cb-92C2-25804820EDAC}">
                        <c15:formulaRef>
                          <c15:sqref>Sheet1!$F$59:$F$62</c15:sqref>
                        </c15:formulaRef>
                      </c:ext>
                    </c:extLst>
                    <c:numCache>
                      <c:formatCode>General</c:formatCode>
                      <c:ptCount val="4"/>
                    </c:numCache>
                  </c:numRef>
                </c:val>
              </c15:ser>
            </c15:filteredPieSeries>
          </c:ext>
        </c:extLst>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zh-CN"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zh-CN"/>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CN" sz="1600" b="1" i="0" u="none" strike="noStrike" kern="1200" cap="all" spc="120" normalizeH="0" baseline="0">
                <a:solidFill>
                  <a:schemeClr val="tx1">
                    <a:lumMod val="65000"/>
                    <a:lumOff val="35000"/>
                  </a:schemeClr>
                </a:solidFill>
                <a:latin typeface="+mn-lt"/>
                <a:ea typeface="+mn-ea"/>
                <a:cs typeface="+mn-cs"/>
              </a:defRPr>
            </a:pPr>
            <a:r>
              <a:rPr lang="en-US" sz="1600" b="1" i="0" u="none" strike="noStrike" cap="all" normalizeH="0" baseline="0">
                <a:effectLst/>
              </a:rPr>
              <a:t>Considered Emigrating</a:t>
            </a:r>
            <a:endParaRPr lang="en-US"/>
          </a:p>
        </c:rich>
      </c:tx>
      <c:layout/>
      <c:overlay val="0"/>
      <c:spPr>
        <a:noFill/>
        <a:ln>
          <a:noFill/>
        </a:ln>
        <a:effectLst/>
      </c:spPr>
    </c:title>
    <c:autoTitleDeleted val="0"/>
    <c:plotArea>
      <c:layout/>
      <c:barChart>
        <c:barDir val="col"/>
        <c:grouping val="clustered"/>
        <c:varyColors val="0"/>
        <c:ser>
          <c:idx val="0"/>
          <c:order val="0"/>
          <c:tx>
            <c:strRef>
              <c:f>Sheet1!$E$70</c:f>
              <c:strCache>
                <c:ptCount val="1"/>
                <c:pt idx="0">
                  <c:v>Number of Respondents</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zh-CN" sz="800" b="0" i="0" u="none" strike="noStrike" kern="1200" baseline="0">
                    <a:solidFill>
                      <a:schemeClr val="tx1">
                        <a:lumMod val="50000"/>
                        <a:lumOff val="50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1">
                          <a:lumMod val="35000"/>
                          <a:lumOff val="65000"/>
                        </a:schemeClr>
                      </a:solidFill>
                    </a:ln>
                    <a:effectLst/>
                  </c:spPr>
                </c15:leaderLines>
              </c:ext>
            </c:extLst>
          </c:dLbls>
          <c:cat>
            <c:strRef>
              <c:f>Sheet1!$D$71:$D$74</c:f>
              <c:strCache>
                <c:ptCount val="4"/>
                <c:pt idx="0">
                  <c:v>Better academic opportunities abroad</c:v>
                </c:pt>
                <c:pt idx="1">
                  <c:v>To gain international experience</c:v>
                </c:pt>
                <c:pt idx="2">
                  <c:v>Access to specific programs or universities</c:v>
                </c:pt>
                <c:pt idx="3">
                  <c:v>Family or personal reasons</c:v>
                </c:pt>
              </c:strCache>
            </c:strRef>
          </c:cat>
          <c:val>
            <c:numRef>
              <c:f>Sheet1!$E$71:$E$74</c:f>
              <c:numCache>
                <c:formatCode>General</c:formatCode>
                <c:ptCount val="4"/>
                <c:pt idx="0">
                  <c:v>2</c:v>
                </c:pt>
                <c:pt idx="1">
                  <c:v>3</c:v>
                </c:pt>
                <c:pt idx="2">
                  <c:v>3</c:v>
                </c:pt>
                <c:pt idx="3">
                  <c:v>0</c:v>
                </c:pt>
              </c:numCache>
            </c:numRef>
          </c:val>
        </c:ser>
        <c:dLbls>
          <c:showLegendKey val="0"/>
          <c:showVal val="1"/>
          <c:showCatName val="0"/>
          <c:showSerName val="0"/>
          <c:showPercent val="0"/>
          <c:showBubbleSize val="0"/>
        </c:dLbls>
        <c:gapWidth val="444"/>
        <c:overlap val="-90"/>
        <c:axId val="1652195216"/>
        <c:axId val="1644685136"/>
      </c:barChart>
      <c:catAx>
        <c:axId val="16521952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zh-CN" sz="800" b="0" i="0" u="none" strike="noStrike" kern="1200" cap="all" spc="120" normalizeH="0" baseline="0">
                <a:solidFill>
                  <a:schemeClr val="tx1">
                    <a:lumMod val="65000"/>
                    <a:lumOff val="35000"/>
                  </a:schemeClr>
                </a:solidFill>
                <a:latin typeface="+mn-lt"/>
                <a:ea typeface="+mn-ea"/>
                <a:cs typeface="+mn-cs"/>
              </a:defRPr>
            </a:pPr>
          </a:p>
        </c:txPr>
        <c:crossAx val="1644685136"/>
        <c:crosses val="autoZero"/>
        <c:auto val="1"/>
        <c:lblAlgn val="ctr"/>
        <c:lblOffset val="100"/>
        <c:noMultiLvlLbl val="0"/>
      </c:catAx>
      <c:valAx>
        <c:axId val="1644685136"/>
        <c:scaling>
          <c:orientation val="minMax"/>
        </c:scaling>
        <c:delete val="1"/>
        <c:axPos val="l"/>
        <c:numFmt formatCode="General" sourceLinked="1"/>
        <c:majorTickMark val="none"/>
        <c:minorTickMark val="none"/>
        <c:tickLblPos val="nextTo"/>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165219521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CN" sz="1800" b="1" i="0" u="none" strike="noStrike" kern="1200" baseline="0">
                <a:solidFill>
                  <a:schemeClr val="dk1">
                    <a:lumMod val="75000"/>
                    <a:lumOff val="25000"/>
                  </a:schemeClr>
                </a:solidFill>
                <a:latin typeface="+mn-lt"/>
                <a:ea typeface="+mn-ea"/>
                <a:cs typeface="+mn-cs"/>
              </a:defRPr>
            </a:pPr>
            <a:r>
              <a:rPr lang="en-US"/>
              <a:t>Perceptions and Attitudes </a:t>
            </a:r>
            <a:endParaRPr lang="en-US"/>
          </a:p>
        </c:rich>
      </c:tx>
      <c:layout/>
      <c:overlay val="0"/>
      <c:spPr>
        <a:noFill/>
        <a:ln>
          <a:noFill/>
        </a:ln>
        <a:effectLst/>
      </c:spPr>
    </c:title>
    <c:autoTitleDeleted val="0"/>
    <c:plotArea>
      <c:layout/>
      <c:pieChart>
        <c:varyColors val="1"/>
        <c:ser>
          <c:idx val="0"/>
          <c:order val="0"/>
          <c:tx>
            <c:strRef>
              <c:f>Sheet1!$F$95</c:f>
              <c:strCache>
                <c:ptCount val="1"/>
                <c:pt idx="0">
                  <c:v>Number of Respondents</c:v>
                </c:pt>
              </c:strCache>
            </c:strRef>
          </c:tx>
          <c:spPr/>
          <c:explosion val="27"/>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Pt>
            <c:idx val="4"/>
            <c:bubble3D val="0"/>
            <c:spPr>
              <a:solidFill>
                <a:schemeClr val="accent5"/>
              </a:solidFill>
              <a:ln>
                <a:noFill/>
              </a:ln>
              <a:effectLst>
                <a:outerShdw blurRad="254000" sx="102000" sy="102000" algn="ctr" rotWithShape="0">
                  <a:prstClr val="black">
                    <a:alpha val="20000"/>
                  </a:prstClr>
                </a:outerShdw>
              </a:effectLst>
            </c:spPr>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zh-CN" sz="1000" b="1" i="0" u="none" strike="noStrike" kern="1200" baseline="0">
                    <a:solidFill>
                      <a:schemeClr val="lt1"/>
                    </a:solidFill>
                    <a:latin typeface="+mn-lt"/>
                    <a:ea typeface="+mn-ea"/>
                    <a:cs typeface="+mn-cs"/>
                  </a:defRPr>
                </a:pPr>
              </a:p>
            </c:txPr>
            <c:dLblPos val="ct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Sheet1!$E$96:$E$100</c:f>
              <c:strCache>
                <c:ptCount val="5"/>
                <c:pt idx="0">
                  <c:v>Positive</c:v>
                </c:pt>
                <c:pt idx="1">
                  <c:v>Negative</c:v>
                </c:pt>
                <c:pt idx="2">
                  <c:v>Neutral</c:v>
                </c:pt>
                <c:pt idx="3">
                  <c:v>Mixed/Conflicting</c:v>
                </c:pt>
                <c:pt idx="4">
                  <c:v>Other</c:v>
                </c:pt>
              </c:strCache>
            </c:strRef>
          </c:cat>
          <c:val>
            <c:numRef>
              <c:f>Sheet1!$F$96:$F$100</c:f>
              <c:numCache>
                <c:formatCode>General</c:formatCode>
                <c:ptCount val="5"/>
                <c:pt idx="0">
                  <c:v>8</c:v>
                </c:pt>
                <c:pt idx="1">
                  <c:v>6</c:v>
                </c:pt>
                <c:pt idx="2">
                  <c:v>4</c:v>
                </c:pt>
                <c:pt idx="3">
                  <c:v>4</c:v>
                </c:pt>
                <c:pt idx="4">
                  <c:v>3</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zh-CN"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zh-CN"/>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r>
              <a:rPr lang="en-US"/>
              <a:t>Perceived Impact of Policy</a:t>
            </a:r>
            <a:endParaRPr lang="en-US"/>
          </a:p>
        </c:rich>
      </c:tx>
      <c:layout/>
      <c:overlay val="0"/>
      <c:spPr>
        <a:noFill/>
        <a:ln>
          <a:noFill/>
        </a:ln>
        <a:effectLst/>
      </c:spPr>
    </c:title>
    <c:autoTitleDeleted val="0"/>
    <c:plotArea>
      <c:layout/>
      <c:barChart>
        <c:barDir val="col"/>
        <c:grouping val="clustered"/>
        <c:varyColors val="0"/>
        <c:ser>
          <c:idx val="0"/>
          <c:order val="0"/>
          <c:tx>
            <c:strRef>
              <c:f>Sheet1!$F$79</c:f>
              <c:strCache>
                <c:ptCount val="1"/>
                <c:pt idx="0">
                  <c:v>Number of Respondents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Sheet1!$E$80:$E$87</c:f>
              <c:strCache>
                <c:ptCount val="8"/>
                <c:pt idx="0">
                  <c:v>Positive</c:v>
                </c:pt>
                <c:pt idx="1">
                  <c:v>Negative</c:v>
                </c:pt>
                <c:pt idx="2">
                  <c:v>Financial burden (e.g., increased tuition costs)</c:v>
                </c:pt>
                <c:pt idx="3">
                  <c:v>Limited options for study programs or majors</c:v>
                </c:pt>
                <c:pt idx="4">
                  <c:v>Influence on study location (e.g., studying abroad or within China)</c:v>
                </c:pt>
                <c:pt idx="5">
                  <c:v>Altered career goals or prospects</c:v>
                </c:pt>
                <c:pt idx="6">
                  <c:v>Increased competition for educational opportunities</c:v>
                </c:pt>
                <c:pt idx="7">
                  <c:v>Other</c:v>
                </c:pt>
              </c:strCache>
            </c:strRef>
          </c:cat>
          <c:val>
            <c:numRef>
              <c:f>Sheet1!$F$80:$F$87</c:f>
              <c:numCache>
                <c:formatCode>General</c:formatCode>
                <c:ptCount val="8"/>
                <c:pt idx="0">
                  <c:v>14</c:v>
                </c:pt>
                <c:pt idx="1">
                  <c:v>8</c:v>
                </c:pt>
                <c:pt idx="2">
                  <c:v>2</c:v>
                </c:pt>
                <c:pt idx="3">
                  <c:v>1</c:v>
                </c:pt>
                <c:pt idx="4">
                  <c:v>1</c:v>
                </c:pt>
                <c:pt idx="5">
                  <c:v>2</c:v>
                </c:pt>
                <c:pt idx="6">
                  <c:v>2</c:v>
                </c:pt>
                <c:pt idx="7">
                  <c:v>1</c:v>
                </c:pt>
              </c:numCache>
            </c:numRef>
          </c:val>
        </c:ser>
        <c:dLbls>
          <c:showLegendKey val="0"/>
          <c:showVal val="1"/>
          <c:showCatName val="0"/>
          <c:showSerName val="0"/>
          <c:showPercent val="0"/>
          <c:showBubbleSize val="0"/>
        </c:dLbls>
        <c:gapWidth val="219"/>
        <c:overlap val="-27"/>
        <c:axId val="1573626000"/>
        <c:axId val="1644683648"/>
      </c:barChart>
      <c:catAx>
        <c:axId val="1573626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1644683648"/>
        <c:crosses val="autoZero"/>
        <c:auto val="1"/>
        <c:lblAlgn val="ctr"/>
        <c:lblOffset val="100"/>
        <c:noMultiLvlLbl val="0"/>
      </c:catAx>
      <c:valAx>
        <c:axId val="1644683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1573626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lang="zh-CN" sz="1600" b="1" i="0" u="none" strike="noStrike" kern="1200" baseline="0">
                <a:solidFill>
                  <a:schemeClr val="tx1">
                    <a:lumMod val="65000"/>
                    <a:lumOff val="35000"/>
                  </a:schemeClr>
                </a:solidFill>
                <a:latin typeface="+mn-lt"/>
                <a:ea typeface="+mn-ea"/>
                <a:cs typeface="+mn-cs"/>
              </a:defRPr>
            </a:pPr>
            <a:r>
              <a:rPr lang="en-US" sz="1600" b="1" i="0" u="none" strike="noStrike" baseline="0">
                <a:effectLst/>
              </a:rPr>
              <a:t>Impact on Academic and Career Prospects</a:t>
            </a:r>
            <a:endParaRPr lang="en-US"/>
          </a:p>
        </c:rich>
      </c:tx>
      <c:layout/>
      <c:overlay val="0"/>
      <c:spPr>
        <a:noFill/>
        <a:ln>
          <a:noFill/>
        </a:ln>
        <a:effectLst/>
      </c:spPr>
    </c:title>
    <c:autoTitleDeleted val="0"/>
    <c:plotArea>
      <c:layout/>
      <c:barChart>
        <c:barDir val="col"/>
        <c:grouping val="clustered"/>
        <c:varyColors val="0"/>
        <c:ser>
          <c:idx val="0"/>
          <c:order val="0"/>
          <c:tx>
            <c:strRef>
              <c:f>Sheet1!$F$104</c:f>
              <c:strCache>
                <c:ptCount val="1"/>
                <c:pt idx="0">
                  <c:v>Number of Respondents</c:v>
                </c:pt>
              </c:strCache>
            </c:strRef>
          </c:tx>
          <c:spPr>
            <a:gradFill rotWithShape="1">
              <a:gsLst>
                <a:gs pos="0">
                  <a:schemeClr val="accent4">
                    <a:shade val="76000"/>
                    <a:satMod val="103000"/>
                    <a:lumMod val="102000"/>
                    <a:tint val="94000"/>
                  </a:schemeClr>
                </a:gs>
                <a:gs pos="50000">
                  <a:schemeClr val="accent4">
                    <a:shade val="76000"/>
                    <a:satMod val="110000"/>
                    <a:lumMod val="100000"/>
                    <a:shade val="100000"/>
                  </a:schemeClr>
                </a:gs>
                <a:gs pos="100000">
                  <a:schemeClr val="accent4">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Sheet1!$E$105:$E$109</c:f>
              <c:strCache>
                <c:ptCount val="5"/>
                <c:pt idx="0">
                  <c:v>Positive</c:v>
                </c:pt>
                <c:pt idx="1">
                  <c:v>Negative</c:v>
                </c:pt>
                <c:pt idx="2">
                  <c:v>Neutral</c:v>
                </c:pt>
                <c:pt idx="3">
                  <c:v>Mixed/Conflicting</c:v>
                </c:pt>
                <c:pt idx="4">
                  <c:v>Other</c:v>
                </c:pt>
              </c:strCache>
            </c:strRef>
          </c:cat>
          <c:val>
            <c:numRef>
              <c:f>Sheet1!$F$105:$F$109</c:f>
              <c:numCache>
                <c:formatCode>General</c:formatCode>
                <c:ptCount val="5"/>
                <c:pt idx="0">
                  <c:v>6</c:v>
                </c:pt>
                <c:pt idx="1">
                  <c:v>9</c:v>
                </c:pt>
                <c:pt idx="2">
                  <c:v>3</c:v>
                </c:pt>
                <c:pt idx="3">
                  <c:v>4</c:v>
                </c:pt>
                <c:pt idx="4">
                  <c:v>3</c:v>
                </c:pt>
              </c:numCache>
            </c:numRef>
          </c:val>
        </c:ser>
        <c:dLbls>
          <c:showLegendKey val="0"/>
          <c:showVal val="1"/>
          <c:showCatName val="0"/>
          <c:showSerName val="0"/>
          <c:showPercent val="0"/>
          <c:showBubbleSize val="0"/>
        </c:dLbls>
        <c:gapWidth val="100"/>
        <c:overlap val="-24"/>
        <c:axId val="1573624080"/>
        <c:axId val="1517026128"/>
        <c:extLst>
          <c:ext xmlns:c15="http://schemas.microsoft.com/office/drawing/2012/chart" uri="{02D57815-91ED-43cb-92C2-25804820EDAC}">
            <c15:filteredBarSeries>
              <c15:ser>
                <c:idx val="1"/>
                <c:order val="1"/>
                <c:tx>
                  <c:strRef>
                    <c:extLst>
                      <c:ext uri="{02D57815-91ED-43cb-92C2-25804820EDAC}">
                        <c15:formulaRef>
                          <c15:sqref>Sheet1!$G$104</c15:sqref>
                        </c15:formulaRef>
                      </c:ext>
                    </c:extLst>
                    <c:strCache>
                      <c:ptCount val="1"/>
                      <c:pt idx="0">
                        <c:v/>
                      </c:pt>
                    </c:strCache>
                  </c:strRef>
                </c:tx>
                <c:spPr>
                  <a:gradFill rotWithShape="1">
                    <a:gsLst>
                      <a:gs pos="0">
                        <a:schemeClr val="accent4">
                          <a:tint val="77000"/>
                          <a:satMod val="103000"/>
                          <a:lumMod val="102000"/>
                          <a:tint val="94000"/>
                        </a:schemeClr>
                      </a:gs>
                      <a:gs pos="50000">
                        <a:schemeClr val="accent4">
                          <a:tint val="77000"/>
                          <a:satMod val="110000"/>
                          <a:lumMod val="100000"/>
                          <a:shade val="100000"/>
                        </a:schemeClr>
                      </a:gs>
                      <a:gs pos="100000">
                        <a:schemeClr val="accent4">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ullRef>
                          <c15:sqref/>
                        </c15:fullRef>
                        <c15:formulaRef>
                          <c15:sqref>Sheet1!$E$105:$E$109</c15:sqref>
                        </c15:formulaRef>
                      </c:ext>
                    </c:extLst>
                    <c:strCache>
                      <c:ptCount val="5"/>
                      <c:pt idx="0">
                        <c:v>Positive</c:v>
                      </c:pt>
                      <c:pt idx="1">
                        <c:v>Negative</c:v>
                      </c:pt>
                      <c:pt idx="2">
                        <c:v>Neutral</c:v>
                      </c:pt>
                      <c:pt idx="3">
                        <c:v>Mixed/Conflicting</c:v>
                      </c:pt>
                      <c:pt idx="4">
                        <c:v>Other</c:v>
                      </c:pt>
                    </c:strCache>
                  </c:strRef>
                </c:cat>
                <c:val>
                  <c:numRef>
                    <c:extLst>
                      <c:ext uri="{02D57815-91ED-43cb-92C2-25804820EDAC}">
                        <c15:formulaRef>
                          <c15:sqref>Sheet1!$G$105:$G$109</c15:sqref>
                        </c15:formulaRef>
                      </c:ext>
                    </c:extLst>
                    <c:numCache>
                      <c:formatCode>General</c:formatCode>
                      <c:ptCount val="5"/>
                    </c:numCache>
                  </c:numRef>
                </c:val>
              </c15:ser>
            </c15:filteredBarSeries>
          </c:ext>
        </c:extLst>
      </c:barChart>
      <c:catAx>
        <c:axId val="157362408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1517026128"/>
        <c:crosses val="autoZero"/>
        <c:auto val="1"/>
        <c:lblAlgn val="ctr"/>
        <c:lblOffset val="100"/>
        <c:noMultiLvlLbl val="0"/>
      </c:catAx>
      <c:valAx>
        <c:axId val="1517026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1573624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lumMod val="102000"/>
                <a:satMod val="103000"/>
                <a:tint val="94000"/>
              </a:schemeClr>
            </a:gs>
            <a:gs pos="50000">
              <a:schemeClr val="phClr">
                <a:lumMod val="100000"/>
                <a:satMod val="11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a:srgbClr val="000000">
                <a:alpha val="63000"/>
              </a:srgbClr>
            </a:outerShdw>
          </a:effectLst>
        </a:effectStyle>
      </a:effectStyleLst>
      <a:bgFillStyleLst>
        <a:solidFill>
          <a:schemeClr val="phClr"/>
        </a:solidFill>
        <a:solidFill>
          <a:schemeClr val="phClr">
            <a:satMod val="170000"/>
            <a:tint val="95000"/>
          </a:schemeClr>
        </a:solidFill>
        <a:gradFill rotWithShape="1">
          <a:gsLst>
            <a:gs pos="0">
              <a:schemeClr val="phClr">
                <a:lumMod val="102000"/>
                <a:satMod val="150000"/>
                <a:shade val="98000"/>
                <a:tint val="93000"/>
              </a:schemeClr>
            </a:gs>
            <a:gs pos="50000">
              <a:schemeClr val="phClr">
                <a:lumMod val="103000"/>
                <a:satMod val="130000"/>
                <a:shade val="90000"/>
                <a:tint val="98000"/>
              </a:schemeClr>
            </a:gs>
            <a:gs pos="100000">
              <a:schemeClr val="phClr">
                <a:satMod val="120000"/>
                <a:shade val="63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66</Pages>
  <Words>17829</Words>
  <Characters>101627</Characters>
  <Lines>846</Lines>
  <Paragraphs>238</Paragraphs>
  <TotalTime>161</TotalTime>
  <ScaleCrop>false</ScaleCrop>
  <LinksUpToDate>false</LinksUpToDate>
  <CharactersWithSpaces>119218</CharactersWithSpaces>
  <Application>WPS Office_12.1.0.16250_F1E327BC-269C-435d-A152-05C5408002CA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2024-02-26T12:02:00Z</dcterms:created>
  <dc:creator>KARIUKI</dc:creator>
  <cp:lastModifiedBy>WPS_1652926643</cp:lastModifiedBy>
  <dcterms:modified xsi:type="dcterms:W3CDTF">2024-03-14T15:17:24Z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2052-12.1.0.16250</vt:lpwstr>
  </property>
  <property fmtid="{D5CDD505-2E9C-101B-9397-08002B2CF9AE}" pid="3" name="ICV">
    <vt:lpwstr>1350BD105D8247DF86E1524A48D59CCA_13</vt:lpwstr>
  </property>
</Properties>
</file>