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571DC" w14:textId="77777777" w:rsidR="00B51A94" w:rsidRDefault="006A7D72">
      <w:r>
        <w:t>In this assignment the main goal is to critically examine the various ways Judaea-Christian sources have represented the Emperor Nero. It is also an aim of this piece, to attempt to understand how these representations of Nero could have influenced future generations</w:t>
      </w:r>
      <w:r w:rsidR="00F01CFA">
        <w:t xml:space="preserve">. One of the biggest pieces of Nero’s personal history with the Abrahamic religions would the great fire of Rome where it has been reported that only four of ancient Rome’s fourteen districts were left standing. Tacitus has told us that Nero at this time was extremely distressed with the information leaking that he was behind the cause of the </w:t>
      </w:r>
      <w:r w:rsidR="00D948C3">
        <w:t>great fire, which Nero desperately tried to suppress until he had received an idea to turn the religion of Christianity into a scapegoat for the fire</w:t>
      </w:r>
      <w:r w:rsidR="00B51A94">
        <w:t xml:space="preserve"> which resulting in the mass torture and execution of those following Christianity.</w:t>
      </w:r>
    </w:p>
    <w:p w14:paraId="60B03E71" w14:textId="77777777" w:rsidR="00933AD7" w:rsidRDefault="00B51A94">
      <w:r>
        <w:t xml:space="preserve">Looking at </w:t>
      </w:r>
      <w:r w:rsidR="001645A9">
        <w:t>a</w:t>
      </w:r>
      <w:r>
        <w:t xml:space="preserve"> modern scholiastic interpretation </w:t>
      </w:r>
      <w:r w:rsidR="00E7784F">
        <w:t xml:space="preserve">of theses events, </w:t>
      </w:r>
      <w:r w:rsidR="00466627">
        <w:t>Paul Keresztes takes interesting standpoint on the matter, in his academic article Nero, the Christians and the Jews in Tacitus and Clements of Rome</w:t>
      </w:r>
      <w:r w:rsidR="001645A9">
        <w:t>. In this piece of scholarship on Tacitus interpretation of the events, Keresztes investigates the dramatization of Tacitus and how it influences his storytelling of the events behind the prosecution of the Christians.  In his articles the point that gather’s interest would be Keresztes challenging the</w:t>
      </w:r>
      <w:r w:rsidR="00EE1749">
        <w:t xml:space="preserve"> prosecution of Christians due to the wording that Tacitus about Christians that had confessed, “This is a certainly critical problem that, if the traditional interpretation is accepted, raises the question of responsibility for the fire.</w:t>
      </w:r>
      <w:r w:rsidR="00D004CE">
        <w:t>”</w:t>
      </w:r>
      <w:r w:rsidR="00D004CE">
        <w:rPr>
          <w:rStyle w:val="FootnoteReference"/>
        </w:rPr>
        <w:footnoteReference w:id="1"/>
      </w:r>
      <w:r w:rsidR="004056C5">
        <w:t xml:space="preserve"> Looking that this we can infer how Christian </w:t>
      </w:r>
      <w:r w:rsidR="00933AD7">
        <w:t>sources</w:t>
      </w:r>
      <w:r w:rsidR="004056C5">
        <w:t xml:space="preserve"> influenced the perception of Nero during the great fire of Rome.</w:t>
      </w:r>
      <w:r w:rsidR="00933AD7">
        <w:t xml:space="preserve"> Tacitus shows us an point of view, of an Roman senator on Christians during the time and in his writings Tacitus consistency shows no sympathy towards the horrors inflicted upon the Christians but although Tacitus isn’t empathic about the situation he does provide the useful resources that shows that whilst Tacitus hints towards Nero being to blame he does state that some Christians had confessed to the crimes, whether because of torture or guilt it does leave behind a trial to follow.</w:t>
      </w:r>
    </w:p>
    <w:p w14:paraId="45E5B5F5" w14:textId="16E92A53" w:rsidR="00D948C3" w:rsidRDefault="00933AD7">
      <w:r>
        <w:lastRenderedPageBreak/>
        <w:t>Moving onto an ancient Christian source</w:t>
      </w:r>
      <w:r w:rsidR="001150AC">
        <w:t xml:space="preserve">, we would look at Tertullian whom has been dubbed the father of Latin Christianity, In his book </w:t>
      </w:r>
      <w:proofErr w:type="spellStart"/>
      <w:r w:rsidR="001150AC">
        <w:t>Apologeticus</w:t>
      </w:r>
      <w:proofErr w:type="spellEnd"/>
      <w:r w:rsidR="001150AC">
        <w:t xml:space="preserve"> </w:t>
      </w:r>
    </w:p>
    <w:p w14:paraId="6D90F9A0" w14:textId="651CE81B" w:rsidR="00785E4A" w:rsidRDefault="00D948C3">
      <w:r>
        <w:t xml:space="preserve"> </w:t>
      </w:r>
      <w:r w:rsidR="00D004CE">
        <w:t xml:space="preserve">Bibliography </w:t>
      </w:r>
    </w:p>
    <w:p w14:paraId="29307B96" w14:textId="77777777" w:rsidR="00D004CE" w:rsidRPr="00D004CE" w:rsidRDefault="00D004CE" w:rsidP="00D004CE">
      <w:pPr>
        <w:spacing w:after="0" w:line="240" w:lineRule="auto"/>
        <w:rPr>
          <w:rFonts w:eastAsia="Times New Roman" w:cstheme="minorHAnsi"/>
          <w:sz w:val="20"/>
          <w:szCs w:val="20"/>
          <w:lang w:eastAsia="en-GB"/>
        </w:rPr>
      </w:pPr>
      <w:r w:rsidRPr="00D004CE">
        <w:rPr>
          <w:rFonts w:eastAsia="Times New Roman" w:cstheme="minorHAnsi"/>
          <w:sz w:val="20"/>
          <w:szCs w:val="20"/>
          <w:lang w:eastAsia="en-GB"/>
        </w:rPr>
        <w:t xml:space="preserve">Keresztes, Paul. “Nero, the Christians and the Jews in Tacitus and Clement of Rome.” </w:t>
      </w:r>
      <w:proofErr w:type="spellStart"/>
      <w:r w:rsidRPr="00D004CE">
        <w:rPr>
          <w:rFonts w:eastAsia="Times New Roman" w:cstheme="minorHAnsi"/>
          <w:i/>
          <w:iCs/>
          <w:sz w:val="20"/>
          <w:szCs w:val="20"/>
          <w:lang w:eastAsia="en-GB"/>
        </w:rPr>
        <w:t>Latomus</w:t>
      </w:r>
      <w:proofErr w:type="spellEnd"/>
      <w:r w:rsidRPr="00D004CE">
        <w:rPr>
          <w:rFonts w:eastAsia="Times New Roman" w:cstheme="minorHAnsi"/>
          <w:sz w:val="20"/>
          <w:szCs w:val="20"/>
          <w:lang w:eastAsia="en-GB"/>
        </w:rPr>
        <w:t xml:space="preserve">, vol. 43, no. 2, </w:t>
      </w:r>
      <w:proofErr w:type="spellStart"/>
      <w:r w:rsidRPr="00D004CE">
        <w:rPr>
          <w:rFonts w:eastAsia="Times New Roman" w:cstheme="minorHAnsi"/>
          <w:sz w:val="20"/>
          <w:szCs w:val="20"/>
          <w:lang w:eastAsia="en-GB"/>
        </w:rPr>
        <w:t>Societe</w:t>
      </w:r>
      <w:proofErr w:type="spellEnd"/>
      <w:r w:rsidRPr="00D004CE">
        <w:rPr>
          <w:rFonts w:eastAsia="Times New Roman" w:cstheme="minorHAnsi"/>
          <w:sz w:val="20"/>
          <w:szCs w:val="20"/>
          <w:lang w:eastAsia="en-GB"/>
        </w:rPr>
        <w:t xml:space="preserve"> </w:t>
      </w:r>
      <w:proofErr w:type="spellStart"/>
      <w:r w:rsidRPr="00D004CE">
        <w:rPr>
          <w:rFonts w:eastAsia="Times New Roman" w:cstheme="minorHAnsi"/>
          <w:sz w:val="20"/>
          <w:szCs w:val="20"/>
          <w:lang w:eastAsia="en-GB"/>
        </w:rPr>
        <w:t>d’Etudes</w:t>
      </w:r>
      <w:proofErr w:type="spellEnd"/>
      <w:r w:rsidRPr="00D004CE">
        <w:rPr>
          <w:rFonts w:eastAsia="Times New Roman" w:cstheme="minorHAnsi"/>
          <w:sz w:val="20"/>
          <w:szCs w:val="20"/>
          <w:lang w:eastAsia="en-GB"/>
        </w:rPr>
        <w:t xml:space="preserve"> </w:t>
      </w:r>
      <w:proofErr w:type="spellStart"/>
      <w:r w:rsidRPr="00D004CE">
        <w:rPr>
          <w:rFonts w:eastAsia="Times New Roman" w:cstheme="minorHAnsi"/>
          <w:sz w:val="20"/>
          <w:szCs w:val="20"/>
          <w:lang w:eastAsia="en-GB"/>
        </w:rPr>
        <w:t>Latines</w:t>
      </w:r>
      <w:proofErr w:type="spellEnd"/>
      <w:r w:rsidRPr="00D004CE">
        <w:rPr>
          <w:rFonts w:eastAsia="Times New Roman" w:cstheme="minorHAnsi"/>
          <w:sz w:val="20"/>
          <w:szCs w:val="20"/>
          <w:lang w:eastAsia="en-GB"/>
        </w:rPr>
        <w:t xml:space="preserve"> de </w:t>
      </w:r>
      <w:proofErr w:type="spellStart"/>
      <w:r w:rsidRPr="00D004CE">
        <w:rPr>
          <w:rFonts w:eastAsia="Times New Roman" w:cstheme="minorHAnsi"/>
          <w:sz w:val="20"/>
          <w:szCs w:val="20"/>
          <w:lang w:eastAsia="en-GB"/>
        </w:rPr>
        <w:t>Bruxelles</w:t>
      </w:r>
      <w:proofErr w:type="spellEnd"/>
      <w:r w:rsidRPr="00D004CE">
        <w:rPr>
          <w:rFonts w:eastAsia="Times New Roman" w:cstheme="minorHAnsi"/>
          <w:sz w:val="20"/>
          <w:szCs w:val="20"/>
          <w:lang w:eastAsia="en-GB"/>
        </w:rPr>
        <w:t>, 1984, pp. 404–13, http://www.jstor.org/stable/41533116.</w:t>
      </w:r>
    </w:p>
    <w:p w14:paraId="210147F4" w14:textId="77777777" w:rsidR="00D004CE" w:rsidRDefault="00D004CE"/>
    <w:sectPr w:rsidR="00D004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4CBCF" w14:textId="77777777" w:rsidR="00D956F0" w:rsidRDefault="00D956F0" w:rsidP="001A713B">
      <w:pPr>
        <w:spacing w:after="0" w:line="240" w:lineRule="auto"/>
      </w:pPr>
      <w:r>
        <w:separator/>
      </w:r>
    </w:p>
  </w:endnote>
  <w:endnote w:type="continuationSeparator" w:id="0">
    <w:p w14:paraId="405FF66A" w14:textId="77777777" w:rsidR="00D956F0" w:rsidRDefault="00D956F0" w:rsidP="001A7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857D0" w14:textId="77777777" w:rsidR="00D956F0" w:rsidRDefault="00D956F0" w:rsidP="001A713B">
      <w:pPr>
        <w:spacing w:after="0" w:line="240" w:lineRule="auto"/>
      </w:pPr>
      <w:r>
        <w:separator/>
      </w:r>
    </w:p>
  </w:footnote>
  <w:footnote w:type="continuationSeparator" w:id="0">
    <w:p w14:paraId="6AB9102A" w14:textId="77777777" w:rsidR="00D956F0" w:rsidRDefault="00D956F0" w:rsidP="001A713B">
      <w:pPr>
        <w:spacing w:after="0" w:line="240" w:lineRule="auto"/>
      </w:pPr>
      <w:r>
        <w:continuationSeparator/>
      </w:r>
    </w:p>
  </w:footnote>
  <w:footnote w:id="1">
    <w:p w14:paraId="1D1AE7EC" w14:textId="5CCBD69C" w:rsidR="00D004CE" w:rsidRDefault="00D004CE">
      <w:pPr>
        <w:pStyle w:val="FootnoteText"/>
      </w:pPr>
      <w:r>
        <w:rPr>
          <w:rStyle w:val="FootnoteReference"/>
        </w:rPr>
        <w:footnoteRef/>
      </w:r>
      <w:r>
        <w:t xml:space="preserve"> Keresztes, 1984, pp. 405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D72"/>
    <w:rsid w:val="001150AC"/>
    <w:rsid w:val="001645A9"/>
    <w:rsid w:val="001A713B"/>
    <w:rsid w:val="004056C5"/>
    <w:rsid w:val="00466627"/>
    <w:rsid w:val="006A7D72"/>
    <w:rsid w:val="00785E4A"/>
    <w:rsid w:val="00933AD7"/>
    <w:rsid w:val="009B27C7"/>
    <w:rsid w:val="00B51A94"/>
    <w:rsid w:val="00D004CE"/>
    <w:rsid w:val="00D948C3"/>
    <w:rsid w:val="00D956F0"/>
    <w:rsid w:val="00DF3876"/>
    <w:rsid w:val="00E7784F"/>
    <w:rsid w:val="00EE1749"/>
    <w:rsid w:val="00F01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5B1D2"/>
  <w15:chartTrackingRefBased/>
  <w15:docId w15:val="{A7C3A807-A7E4-4397-B3AB-B5F593620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71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713B"/>
    <w:rPr>
      <w:sz w:val="20"/>
      <w:szCs w:val="20"/>
    </w:rPr>
  </w:style>
  <w:style w:type="character" w:styleId="FootnoteReference">
    <w:name w:val="footnote reference"/>
    <w:basedOn w:val="DefaultParagraphFont"/>
    <w:uiPriority w:val="99"/>
    <w:semiHidden/>
    <w:unhideWhenUsed/>
    <w:rsid w:val="001A71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90957">
      <w:bodyDiv w:val="1"/>
      <w:marLeft w:val="0"/>
      <w:marRight w:val="0"/>
      <w:marTop w:val="0"/>
      <w:marBottom w:val="0"/>
      <w:divBdr>
        <w:top w:val="none" w:sz="0" w:space="0" w:color="auto"/>
        <w:left w:val="none" w:sz="0" w:space="0" w:color="auto"/>
        <w:bottom w:val="none" w:sz="0" w:space="0" w:color="auto"/>
        <w:right w:val="none" w:sz="0" w:space="0" w:color="auto"/>
      </w:divBdr>
      <w:divsChild>
        <w:div w:id="1501434414">
          <w:marLeft w:val="0"/>
          <w:marRight w:val="0"/>
          <w:marTop w:val="0"/>
          <w:marBottom w:val="0"/>
          <w:divBdr>
            <w:top w:val="none" w:sz="0" w:space="0" w:color="auto"/>
            <w:left w:val="none" w:sz="0" w:space="0" w:color="auto"/>
            <w:bottom w:val="none" w:sz="0" w:space="0" w:color="auto"/>
            <w:right w:val="none" w:sz="0" w:space="0" w:color="auto"/>
          </w:divBdr>
          <w:divsChild>
            <w:div w:id="75316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011FB-9E25-4A7F-8A8B-C414E0F2F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2</Pages>
  <Words>385</Words>
  <Characters>2197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Johns (1901704)</dc:creator>
  <cp:keywords/>
  <dc:description/>
  <cp:lastModifiedBy>Tyler Johns (1901704)</cp:lastModifiedBy>
  <cp:revision>2</cp:revision>
  <dcterms:created xsi:type="dcterms:W3CDTF">2021-10-08T09:05:00Z</dcterms:created>
  <dcterms:modified xsi:type="dcterms:W3CDTF">2021-10-08T14:50:00Z</dcterms:modified>
</cp:coreProperties>
</file>