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1A46D7" w14:textId="77777777" w:rsidR="00EC6721" w:rsidRPr="00EC6721" w:rsidRDefault="00EC6721" w:rsidP="00EC6721">
      <w:pPr>
        <w:spacing w:before="100" w:beforeAutospacing="1"/>
        <w:outlineLvl w:val="1"/>
        <w:rPr>
          <w:rFonts w:ascii="Times New Roman" w:eastAsia="Times New Roman" w:hAnsi="Times New Roman" w:cs="Times New Roman"/>
          <w:sz w:val="36"/>
          <w:szCs w:val="36"/>
          <w:lang w:eastAsia="en-GB"/>
        </w:rPr>
      </w:pPr>
      <w:r w:rsidRPr="00EC6721">
        <w:rPr>
          <w:rFonts w:ascii="Times New Roman" w:eastAsia="Times New Roman" w:hAnsi="Times New Roman" w:cs="Times New Roman"/>
          <w:sz w:val="36"/>
          <w:szCs w:val="36"/>
          <w:lang w:eastAsia="en-GB"/>
        </w:rPr>
        <w:t>Introduction</w:t>
      </w:r>
    </w:p>
    <w:p w14:paraId="771C9F90" w14:textId="77777777" w:rsidR="00EC6721" w:rsidRPr="00EC6721" w:rsidRDefault="00EC6721" w:rsidP="00EC6721">
      <w:pPr>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This paper is written for managers and designers who wish to examine new ways to create environmentally friendly products. It focuses on hands‐on descriptive material that illustrates innovation and different ways of thinking. It attempts to go beyond design for recycling, repair, reusability and reduction and helps design teams to cultivate their eco‐design confidence and to overcome the notion that “the development of environmentally responsible new products [is] regarded as a very difficult and complicated task which went beyond the expertise and experience of most personnel…[except]…the scientists and experts” (Dermody, 1996)</w:t>
      </w:r>
    </w:p>
    <w:p w14:paraId="20224203" w14:textId="77777777" w:rsidR="00EC6721" w:rsidRPr="00EC6721" w:rsidRDefault="00EC6721" w:rsidP="00EC6721">
      <w:pPr>
        <w:spacing w:before="100" w:before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Positive thought patterns are required to generate innovation: optimism and hope rather than despair and pessimism (see </w:t>
      </w:r>
      <w:hyperlink r:id="rId5" w:anchor="F_0540970505001" w:history="1">
        <w:r w:rsidRPr="00EC6721">
          <w:rPr>
            <w:rFonts w:ascii="Times New Roman" w:eastAsia="Times New Roman" w:hAnsi="Times New Roman" w:cs="Times New Roman"/>
            <w:color w:val="007377"/>
            <w:lang w:eastAsia="en-GB"/>
          </w:rPr>
          <w:t>Figure 1</w:t>
        </w:r>
      </w:hyperlink>
      <w:r w:rsidRPr="00EC6721">
        <w:rPr>
          <w:rFonts w:ascii="Times New Roman" w:eastAsia="Times New Roman" w:hAnsi="Times New Roman" w:cs="Times New Roman"/>
          <w:lang w:eastAsia="en-GB"/>
        </w:rPr>
        <w:t>). A recent </w:t>
      </w:r>
      <w:r w:rsidRPr="00EC6721">
        <w:rPr>
          <w:rFonts w:ascii="Times New Roman" w:eastAsia="Times New Roman" w:hAnsi="Times New Roman" w:cs="Times New Roman"/>
          <w:i/>
          <w:iCs/>
          <w:lang w:eastAsia="en-GB"/>
        </w:rPr>
        <w:t>Harvard Business Review</w:t>
      </w:r>
      <w:r w:rsidRPr="00EC6721">
        <w:rPr>
          <w:rFonts w:ascii="Times New Roman" w:eastAsia="Times New Roman" w:hAnsi="Times New Roman" w:cs="Times New Roman"/>
          <w:lang w:eastAsia="en-GB"/>
        </w:rPr>
        <w:t> article comments that “Businesses spend too many of their environmental dollars on fighting regulation and not enough on finding real solutions” (Porter, 1995).</w:t>
      </w:r>
    </w:p>
    <w:p w14:paraId="5D4B39BD" w14:textId="77777777" w:rsidR="00EC6721" w:rsidRPr="00EC6721" w:rsidRDefault="00EC6721" w:rsidP="00EC6721">
      <w:pPr>
        <w:spacing w:before="100" w:before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Scientists think differently from artists but how do they each contribute to the development of eco‐design? A new </w:t>
      </w:r>
      <w:r w:rsidRPr="00EC6721">
        <w:rPr>
          <w:rFonts w:ascii="Times New Roman" w:eastAsia="Times New Roman" w:hAnsi="Times New Roman" w:cs="Times New Roman"/>
          <w:i/>
          <w:iCs/>
          <w:lang w:eastAsia="en-GB"/>
        </w:rPr>
        <w:t>Journal of Sustainable Product Design</w:t>
      </w:r>
      <w:r w:rsidRPr="00EC6721">
        <w:rPr>
          <w:rFonts w:ascii="Times New Roman" w:eastAsia="Times New Roman" w:hAnsi="Times New Roman" w:cs="Times New Roman"/>
          <w:lang w:eastAsia="en-GB"/>
        </w:rPr>
        <w:t> was launched in April 1997 and is located at the Surrey Institute of Art and Design. The journal tries to integrate scientific, technological and artistic approaches to eco‐design. People also appear to use different creative thinking patterns according to the operating circumstances. In times of hardship these patterns of thinking differ from creative thinking when resources are plentiful. This article considers the use of creative thinking patterns for the effective use of natural assets and promotes provocative thinking that sometimes appears to defy logic (de Bono, 1996).</w:t>
      </w:r>
    </w:p>
    <w:p w14:paraId="29F300E5" w14:textId="77777777" w:rsidR="00EC6721" w:rsidRPr="00EC6721" w:rsidRDefault="00EC6721" w:rsidP="00EC6721">
      <w:pPr>
        <w:spacing w:before="100" w:beforeAutospacing="1"/>
        <w:outlineLvl w:val="1"/>
        <w:rPr>
          <w:rFonts w:ascii="Times New Roman" w:eastAsia="Times New Roman" w:hAnsi="Times New Roman" w:cs="Times New Roman"/>
          <w:sz w:val="36"/>
          <w:szCs w:val="36"/>
          <w:lang w:eastAsia="en-GB"/>
        </w:rPr>
      </w:pPr>
      <w:r w:rsidRPr="00EC6721">
        <w:rPr>
          <w:rFonts w:ascii="Times New Roman" w:eastAsia="Times New Roman" w:hAnsi="Times New Roman" w:cs="Times New Roman"/>
          <w:sz w:val="36"/>
          <w:szCs w:val="36"/>
          <w:lang w:eastAsia="en-GB"/>
        </w:rPr>
        <w:t>Innovative thinking? From urine to gold</w:t>
      </w:r>
    </w:p>
    <w:p w14:paraId="6A7626FB" w14:textId="77777777" w:rsidR="00EC6721" w:rsidRPr="00EC6721" w:rsidRDefault="00EC6721" w:rsidP="00EC6721">
      <w:pPr>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“Innovation is experiencing a renaissance”, said a recent article in </w:t>
      </w:r>
      <w:r w:rsidRPr="00EC6721">
        <w:rPr>
          <w:rFonts w:ascii="Times New Roman" w:eastAsia="Times New Roman" w:hAnsi="Times New Roman" w:cs="Times New Roman"/>
          <w:i/>
          <w:iCs/>
          <w:lang w:eastAsia="en-GB"/>
        </w:rPr>
        <w:t>People Management</w:t>
      </w:r>
      <w:r w:rsidRPr="00EC6721">
        <w:rPr>
          <w:rFonts w:ascii="Times New Roman" w:eastAsia="Times New Roman" w:hAnsi="Times New Roman" w:cs="Times New Roman"/>
          <w:lang w:eastAsia="en-GB"/>
        </w:rPr>
        <w:t xml:space="preserve">. It also tells us that the UK Department of Trade and Industry actually has an Innovation Unit and there are now MBAs in Innovation, and two thirds of secondary schools in Singapore teach “constructive thinking” and in New Zealand children as young as two are being taught to think creatively. The article also asks how much potential invention is locked up inside “ordinary employees” (Pickard, 1996). This is an important question; finding real innovative solutions to environmental concerns is going to be increasingly difficult and it needs to involve more creative people. </w:t>
      </w:r>
      <w:proofErr w:type="gramStart"/>
      <w:r w:rsidRPr="00EC6721">
        <w:rPr>
          <w:rFonts w:ascii="Times New Roman" w:eastAsia="Times New Roman" w:hAnsi="Times New Roman" w:cs="Times New Roman"/>
          <w:lang w:eastAsia="en-GB"/>
        </w:rPr>
        <w:t>However</w:t>
      </w:r>
      <w:proofErr w:type="gramEnd"/>
      <w:r w:rsidRPr="00EC6721">
        <w:rPr>
          <w:rFonts w:ascii="Times New Roman" w:eastAsia="Times New Roman" w:hAnsi="Times New Roman" w:cs="Times New Roman"/>
          <w:lang w:eastAsia="en-GB"/>
        </w:rPr>
        <w:t xml:space="preserve"> what are real solutions and to what extent could new thinking benefit business product design and the environment?</w:t>
      </w:r>
    </w:p>
    <w:p w14:paraId="51C26A90" w14:textId="77777777" w:rsidR="00EC6721" w:rsidRPr="00EC6721" w:rsidRDefault="00EC6721" w:rsidP="00EC6721">
      <w:pPr>
        <w:spacing w:before="100" w:before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Consider the following:</w:t>
      </w:r>
    </w:p>
    <w:p w14:paraId="2A7EE810" w14:textId="77777777" w:rsidR="00EC6721" w:rsidRPr="00EC6721" w:rsidRDefault="00EC6721" w:rsidP="00EC6721">
      <w:pPr>
        <w:numPr>
          <w:ilvl w:val="0"/>
          <w:numId w:val="1"/>
        </w:numPr>
        <w:spacing w:before="100" w:beforeAutospacing="1" w:after="100" w:after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 </w:t>
      </w:r>
    </w:p>
    <w:p w14:paraId="619967CE" w14:textId="77777777" w:rsidR="00EC6721" w:rsidRPr="00EC6721" w:rsidRDefault="00EC6721" w:rsidP="00EC6721">
      <w:pPr>
        <w:ind w:left="720"/>
        <w:rPr>
          <w:rFonts w:ascii="Times New Roman" w:eastAsia="Times New Roman" w:hAnsi="Times New Roman" w:cs="Times New Roman"/>
          <w:lang w:eastAsia="en-GB"/>
        </w:rPr>
      </w:pPr>
      <w:r w:rsidRPr="00EC6721">
        <w:rPr>
          <w:rFonts w:ascii="Times New Roman" w:eastAsia="Times New Roman" w:hAnsi="Times New Roman" w:cs="Times New Roman"/>
          <w:i/>
          <w:iCs/>
          <w:lang w:eastAsia="en-GB"/>
        </w:rPr>
        <w:t>“Saving paper doesn’t save trees”</w:t>
      </w:r>
      <w:r w:rsidRPr="00EC6721">
        <w:rPr>
          <w:rFonts w:ascii="Times New Roman" w:eastAsia="Times New Roman" w:hAnsi="Times New Roman" w:cs="Times New Roman"/>
          <w:lang w:eastAsia="en-GB"/>
        </w:rPr>
        <w:t xml:space="preserve">. That will be the case in the future. If paper isn’t made solely from </w:t>
      </w:r>
      <w:proofErr w:type="gramStart"/>
      <w:r w:rsidRPr="00EC6721">
        <w:rPr>
          <w:rFonts w:ascii="Times New Roman" w:eastAsia="Times New Roman" w:hAnsi="Times New Roman" w:cs="Times New Roman"/>
          <w:lang w:eastAsia="en-GB"/>
        </w:rPr>
        <w:t>trees</w:t>
      </w:r>
      <w:proofErr w:type="gramEnd"/>
      <w:r w:rsidRPr="00EC6721">
        <w:rPr>
          <w:rFonts w:ascii="Times New Roman" w:eastAsia="Times New Roman" w:hAnsi="Times New Roman" w:cs="Times New Roman"/>
          <w:lang w:eastAsia="en-GB"/>
        </w:rPr>
        <w:t xml:space="preserve"> then the old well‐known saying doesn’t hold true. Body Shop for example supported a community initiative in India to make paper out of the water hyacinth, an abundant river weed.</w:t>
      </w:r>
    </w:p>
    <w:p w14:paraId="55303A4D" w14:textId="77777777" w:rsidR="00EC6721" w:rsidRPr="00EC6721" w:rsidRDefault="00EC6721" w:rsidP="00EC6721">
      <w:pPr>
        <w:numPr>
          <w:ilvl w:val="0"/>
          <w:numId w:val="1"/>
        </w:numPr>
        <w:spacing w:before="100" w:beforeAutospacing="1" w:after="100" w:after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 </w:t>
      </w:r>
    </w:p>
    <w:p w14:paraId="36398E77" w14:textId="77777777" w:rsidR="00EC6721" w:rsidRPr="00EC6721" w:rsidRDefault="00EC6721" w:rsidP="00EC6721">
      <w:pPr>
        <w:ind w:left="720"/>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w:t>
      </w:r>
      <w:r w:rsidRPr="00EC6721">
        <w:rPr>
          <w:rFonts w:ascii="Times New Roman" w:eastAsia="Times New Roman" w:hAnsi="Times New Roman" w:cs="Times New Roman"/>
          <w:i/>
          <w:iCs/>
          <w:lang w:eastAsia="en-GB"/>
        </w:rPr>
        <w:t>Parties are a time to drink and create fertilizer</w:t>
      </w:r>
      <w:r w:rsidRPr="00EC6721">
        <w:rPr>
          <w:rFonts w:ascii="Times New Roman" w:eastAsia="Times New Roman" w:hAnsi="Times New Roman" w:cs="Times New Roman"/>
          <w:lang w:eastAsia="en-GB"/>
        </w:rPr>
        <w:t xml:space="preserve">”, as was the case with the organic gardener who asked the men to urinate in a swing bin to the rear of the house. Strange behaviour maybe but the opportunity to collect free fertilizer was one the gardener </w:t>
      </w:r>
      <w:r w:rsidRPr="00EC6721">
        <w:rPr>
          <w:rFonts w:ascii="Times New Roman" w:eastAsia="Times New Roman" w:hAnsi="Times New Roman" w:cs="Times New Roman"/>
          <w:lang w:eastAsia="en-GB"/>
        </w:rPr>
        <w:lastRenderedPageBreak/>
        <w:t>could not afford to miss. Now translate the idea to motorway stations and urine could be seen as an opportunity, to sell it rather than pay to dispose of it. A Swedish company (</w:t>
      </w:r>
      <w:proofErr w:type="spellStart"/>
      <w:r w:rsidRPr="00EC6721">
        <w:rPr>
          <w:rFonts w:ascii="Times New Roman" w:eastAsia="Times New Roman" w:hAnsi="Times New Roman" w:cs="Times New Roman"/>
          <w:lang w:eastAsia="en-GB"/>
        </w:rPr>
        <w:t>Servator</w:t>
      </w:r>
      <w:proofErr w:type="spellEnd"/>
      <w:r w:rsidRPr="00EC6721">
        <w:rPr>
          <w:rFonts w:ascii="Times New Roman" w:eastAsia="Times New Roman" w:hAnsi="Times New Roman" w:cs="Times New Roman"/>
          <w:lang w:eastAsia="en-GB"/>
        </w:rPr>
        <w:t xml:space="preserve"> AB) jumped into this market and offers composting toilets on the Internet.</w:t>
      </w:r>
    </w:p>
    <w:p w14:paraId="591B33AF" w14:textId="77777777" w:rsidR="00EC6721" w:rsidRPr="00EC6721" w:rsidRDefault="00EC6721" w:rsidP="00EC6721">
      <w:pPr>
        <w:numPr>
          <w:ilvl w:val="0"/>
          <w:numId w:val="1"/>
        </w:numPr>
        <w:spacing w:before="100" w:beforeAutospacing="1" w:after="100" w:after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 </w:t>
      </w:r>
    </w:p>
    <w:p w14:paraId="039AB338" w14:textId="77777777" w:rsidR="00EC6721" w:rsidRPr="00EC6721" w:rsidRDefault="00EC6721" w:rsidP="00EC6721">
      <w:pPr>
        <w:ind w:left="720"/>
        <w:rPr>
          <w:rFonts w:ascii="Times New Roman" w:eastAsia="Times New Roman" w:hAnsi="Times New Roman" w:cs="Times New Roman"/>
          <w:lang w:eastAsia="en-GB"/>
        </w:rPr>
      </w:pPr>
      <w:r w:rsidRPr="00EC6721">
        <w:rPr>
          <w:rFonts w:ascii="Times New Roman" w:eastAsia="Times New Roman" w:hAnsi="Times New Roman" w:cs="Times New Roman"/>
          <w:i/>
          <w:iCs/>
          <w:lang w:eastAsia="en-GB"/>
        </w:rPr>
        <w:t>A new breed of scrap merchants</w:t>
      </w:r>
      <w:r w:rsidRPr="00EC6721">
        <w:rPr>
          <w:rFonts w:ascii="Times New Roman" w:eastAsia="Times New Roman" w:hAnsi="Times New Roman" w:cs="Times New Roman"/>
          <w:lang w:eastAsia="en-GB"/>
        </w:rPr>
        <w:t xml:space="preserve"> is also emerging, opportunist recycling in the wake of the telecommunications growth. Deutsche Telekom for example </w:t>
      </w:r>
      <w:proofErr w:type="gramStart"/>
      <w:r w:rsidRPr="00EC6721">
        <w:rPr>
          <w:rFonts w:ascii="Times New Roman" w:eastAsia="Times New Roman" w:hAnsi="Times New Roman" w:cs="Times New Roman"/>
          <w:lang w:eastAsia="en-GB"/>
        </w:rPr>
        <w:t>report</w:t>
      </w:r>
      <w:proofErr w:type="gramEnd"/>
      <w:r w:rsidRPr="00EC6721">
        <w:rPr>
          <w:rFonts w:ascii="Times New Roman" w:eastAsia="Times New Roman" w:hAnsi="Times New Roman" w:cs="Times New Roman"/>
          <w:lang w:eastAsia="en-GB"/>
        </w:rPr>
        <w:t xml:space="preserve"> that they produce about 1.5 million tons of electronic scrap per year. What is interesting is that just one ton of electronic scrap has the potential to yield: 200 kg copper, 80 kg iron, 1 kg silver, and 0.5 kg gold. One major recycling company in Germany is said to turn over DM 2 million /day of gold (DTAG, 1995).</w:t>
      </w:r>
    </w:p>
    <w:p w14:paraId="60DA1B5F" w14:textId="77777777" w:rsidR="00EC6721" w:rsidRPr="00EC6721" w:rsidRDefault="00EC6721" w:rsidP="00EC6721">
      <w:pPr>
        <w:numPr>
          <w:ilvl w:val="0"/>
          <w:numId w:val="1"/>
        </w:numPr>
        <w:spacing w:before="100" w:beforeAutospacing="1" w:after="100" w:after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 </w:t>
      </w:r>
    </w:p>
    <w:p w14:paraId="2A58F5E9" w14:textId="77777777" w:rsidR="00EC6721" w:rsidRPr="00EC6721" w:rsidRDefault="00EC6721" w:rsidP="00EC6721">
      <w:pPr>
        <w:ind w:left="720"/>
        <w:rPr>
          <w:rFonts w:ascii="Times New Roman" w:eastAsia="Times New Roman" w:hAnsi="Times New Roman" w:cs="Times New Roman"/>
          <w:lang w:eastAsia="en-GB"/>
        </w:rPr>
      </w:pPr>
      <w:r w:rsidRPr="00EC6721">
        <w:rPr>
          <w:rFonts w:ascii="Times New Roman" w:eastAsia="Times New Roman" w:hAnsi="Times New Roman" w:cs="Times New Roman"/>
          <w:i/>
          <w:iCs/>
          <w:lang w:eastAsia="en-GB"/>
        </w:rPr>
        <w:t>Outdoor management development</w:t>
      </w:r>
      <w:r w:rsidRPr="00EC6721">
        <w:rPr>
          <w:rFonts w:ascii="Times New Roman" w:eastAsia="Times New Roman" w:hAnsi="Times New Roman" w:cs="Times New Roman"/>
          <w:lang w:eastAsia="en-GB"/>
        </w:rPr>
        <w:t> (OMD) providers are now using the environment as both a location and a new product: by doing conservation projects rather than abseiling or canoeing as the basis of their skills development they actually contribute to the environment ‐ producing an e+ effect. This creation of e+ is important to designers. If every product is seen as having a negative impact on the environment this is a design barrier.</w:t>
      </w:r>
    </w:p>
    <w:p w14:paraId="31DEC2CA" w14:textId="77777777" w:rsidR="00EC6721" w:rsidRPr="00EC6721" w:rsidRDefault="00EC6721" w:rsidP="00EC6721">
      <w:pPr>
        <w:spacing w:before="100" w:before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These stories may not be completely surprising but learning from such thinking patterns is likely to be commonplace in the future as we overcome the “can’t do” barriers.</w:t>
      </w:r>
    </w:p>
    <w:p w14:paraId="49E37C60" w14:textId="77777777" w:rsidR="00EC6721" w:rsidRPr="00EC6721" w:rsidRDefault="00EC6721" w:rsidP="00EC6721">
      <w:pPr>
        <w:spacing w:before="100" w:beforeAutospacing="1"/>
        <w:outlineLvl w:val="1"/>
        <w:rPr>
          <w:rFonts w:ascii="Times New Roman" w:eastAsia="Times New Roman" w:hAnsi="Times New Roman" w:cs="Times New Roman"/>
          <w:sz w:val="36"/>
          <w:szCs w:val="36"/>
          <w:lang w:eastAsia="en-GB"/>
        </w:rPr>
      </w:pPr>
      <w:r w:rsidRPr="00EC6721">
        <w:rPr>
          <w:rFonts w:ascii="Times New Roman" w:eastAsia="Times New Roman" w:hAnsi="Times New Roman" w:cs="Times New Roman"/>
          <w:sz w:val="36"/>
          <w:szCs w:val="36"/>
          <w:lang w:eastAsia="en-GB"/>
        </w:rPr>
        <w:t>Changing mindsets</w:t>
      </w:r>
    </w:p>
    <w:p w14:paraId="3727432C" w14:textId="77777777" w:rsidR="00EC6721" w:rsidRPr="00EC6721" w:rsidRDefault="00EC6721" w:rsidP="00EC6721">
      <w:pPr>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 xml:space="preserve">In order to generate new innovative solutions current </w:t>
      </w:r>
      <w:proofErr w:type="gramStart"/>
      <w:r w:rsidRPr="00EC6721">
        <w:rPr>
          <w:rFonts w:ascii="Times New Roman" w:eastAsia="Times New Roman" w:hAnsi="Times New Roman" w:cs="Times New Roman"/>
          <w:lang w:eastAsia="en-GB"/>
        </w:rPr>
        <w:t>mindsets</w:t>
      </w:r>
      <w:proofErr w:type="gramEnd"/>
      <w:r w:rsidRPr="00EC6721">
        <w:rPr>
          <w:rFonts w:ascii="Times New Roman" w:eastAsia="Times New Roman" w:hAnsi="Times New Roman" w:cs="Times New Roman"/>
          <w:lang w:eastAsia="en-GB"/>
        </w:rPr>
        <w:t xml:space="preserve"> require alteration. Innovation lethargy is a major barrier towards the product greening process. The barriers can take many forms. Hughie B., a UK farmer, was imprisoned for destroying trees and important natural sites in the name of progress despite being given many warnings. He did it because he was </w:t>
      </w:r>
      <w:proofErr w:type="gramStart"/>
      <w:r w:rsidRPr="00EC6721">
        <w:rPr>
          <w:rFonts w:ascii="Times New Roman" w:eastAsia="Times New Roman" w:hAnsi="Times New Roman" w:cs="Times New Roman"/>
          <w:lang w:eastAsia="en-GB"/>
        </w:rPr>
        <w:t>convinced</w:t>
      </w:r>
      <w:proofErr w:type="gramEnd"/>
      <w:r w:rsidRPr="00EC6721">
        <w:rPr>
          <w:rFonts w:ascii="Times New Roman" w:eastAsia="Times New Roman" w:hAnsi="Times New Roman" w:cs="Times New Roman"/>
          <w:lang w:eastAsia="en-GB"/>
        </w:rPr>
        <w:t xml:space="preserve"> he was right; his mind set could not adjust to the fact that we now have surplus food and the havoc and destruction that he was creating was unnecessary in his relentless effort to make every scrap of his land productive. In his defence he made it clear that he had always been encouraged to continuously increase food production, particularly in the post‐war era. Change for this farmer was difficult but his energy and creativity could have been re‐focused. Many designers too are busy being efficient but not necessarily effective; spending the right amount of time creating the wrong products!</w:t>
      </w:r>
    </w:p>
    <w:p w14:paraId="7848AFB8" w14:textId="77777777" w:rsidR="00EC6721" w:rsidRPr="00EC6721" w:rsidRDefault="00EC6721" w:rsidP="00EC6721">
      <w:pPr>
        <w:spacing w:before="100" w:before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 xml:space="preserve">Creative innovation strategies also flourish in times of war or when resources are scarce. People learn to generate more from less. Frugality, scarcity and creativity produce special innovative patterns of thought. Car production in the former German Democratic Republic provides us with an interesting example of creative thought. With waiting periods of about 20 years for an ordered car, and with car life cycles running at eight‐ten years, a whole new business emerged rebuilding the Trabant (the “mini” of the East) buying and selling all parts of the Wartburg car and rebuilding the cars after accidents or after 20 years on the road. Scrapyards were no problem at this time, as most parts were recycled. Special refashioned body panels were being sold to make a </w:t>
      </w:r>
      <w:proofErr w:type="gramStart"/>
      <w:r w:rsidRPr="00EC6721">
        <w:rPr>
          <w:rFonts w:ascii="Times New Roman" w:eastAsia="Times New Roman" w:hAnsi="Times New Roman" w:cs="Times New Roman"/>
          <w:lang w:eastAsia="en-GB"/>
        </w:rPr>
        <w:t>20 or 30 year‐old</w:t>
      </w:r>
      <w:proofErr w:type="gramEnd"/>
      <w:r w:rsidRPr="00EC6721">
        <w:rPr>
          <w:rFonts w:ascii="Times New Roman" w:eastAsia="Times New Roman" w:hAnsi="Times New Roman" w:cs="Times New Roman"/>
          <w:lang w:eastAsia="en-GB"/>
        </w:rPr>
        <w:t xml:space="preserve"> car look new and fashionable. The “Trabant”, because of a shortage of sheet metal, had a car body made from a steel frame with </w:t>
      </w:r>
      <w:r w:rsidRPr="00EC6721">
        <w:rPr>
          <w:rFonts w:ascii="Times New Roman" w:eastAsia="Times New Roman" w:hAnsi="Times New Roman" w:cs="Times New Roman"/>
          <w:lang w:eastAsia="en-GB"/>
        </w:rPr>
        <w:lastRenderedPageBreak/>
        <w:t>screwed on panels made of pressed cotton soaked with synthetic resin (Internet, 1996). The cotton in fact often came from second‐hand clothes felted and pressed to car body shape panels. The creativity patterns of the frugal east and wealthy west in Germany are merging and will be interesting to follow (see </w:t>
      </w:r>
      <w:hyperlink r:id="rId6" w:anchor="F_0540970505002" w:history="1">
        <w:r w:rsidRPr="00EC6721">
          <w:rPr>
            <w:rFonts w:ascii="Times New Roman" w:eastAsia="Times New Roman" w:hAnsi="Times New Roman" w:cs="Times New Roman"/>
            <w:color w:val="007377"/>
            <w:lang w:eastAsia="en-GB"/>
          </w:rPr>
          <w:t>Figure 2</w:t>
        </w:r>
      </w:hyperlink>
      <w:r w:rsidRPr="00EC6721">
        <w:rPr>
          <w:rFonts w:ascii="Times New Roman" w:eastAsia="Times New Roman" w:hAnsi="Times New Roman" w:cs="Times New Roman"/>
          <w:lang w:eastAsia="en-GB"/>
        </w:rPr>
        <w:t>).</w:t>
      </w:r>
    </w:p>
    <w:p w14:paraId="178A23A7" w14:textId="77777777" w:rsidR="00EC6721" w:rsidRPr="00EC6721" w:rsidRDefault="00EC6721" w:rsidP="00EC6721">
      <w:pPr>
        <w:spacing w:before="100" w:before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German and Japanese car makers captured early‐mover advantages, but US car makers chose to fight regulations (Porter, 1995). The car industry has used its creativity as a survival response to increasing pressures to reduce transport impact on the environment. Cars are often denounced as the major source of pollution, yet with some innovative changes in car design in the future they could become the street cleaners, filtering the polluted air and possibly cleaning the streets; moving car design into the right hand half of the diagram shown in </w:t>
      </w:r>
      <w:hyperlink r:id="rId7" w:anchor="F_0540970505003" w:history="1">
        <w:r w:rsidRPr="00EC6721">
          <w:rPr>
            <w:rFonts w:ascii="Times New Roman" w:eastAsia="Times New Roman" w:hAnsi="Times New Roman" w:cs="Times New Roman"/>
            <w:color w:val="007377"/>
            <w:lang w:eastAsia="en-GB"/>
          </w:rPr>
          <w:t>Figure 3</w:t>
        </w:r>
      </w:hyperlink>
      <w:r w:rsidRPr="00EC6721">
        <w:rPr>
          <w:rFonts w:ascii="Times New Roman" w:eastAsia="Times New Roman" w:hAnsi="Times New Roman" w:cs="Times New Roman"/>
          <w:lang w:eastAsia="en-GB"/>
        </w:rPr>
        <w:t>.</w:t>
      </w:r>
    </w:p>
    <w:p w14:paraId="2986703F" w14:textId="77777777" w:rsidR="00EC6721" w:rsidRPr="00EC6721" w:rsidRDefault="00EC6721" w:rsidP="00EC6721">
      <w:pPr>
        <w:spacing w:before="100" w:beforeAutospacing="1"/>
        <w:outlineLvl w:val="1"/>
        <w:rPr>
          <w:rFonts w:ascii="Times New Roman" w:eastAsia="Times New Roman" w:hAnsi="Times New Roman" w:cs="Times New Roman"/>
          <w:sz w:val="36"/>
          <w:szCs w:val="36"/>
          <w:lang w:eastAsia="en-GB"/>
        </w:rPr>
      </w:pPr>
      <w:r w:rsidRPr="00EC6721">
        <w:rPr>
          <w:rFonts w:ascii="Times New Roman" w:eastAsia="Times New Roman" w:hAnsi="Times New Roman" w:cs="Times New Roman"/>
          <w:sz w:val="36"/>
          <w:szCs w:val="36"/>
          <w:lang w:eastAsia="en-GB"/>
        </w:rPr>
        <w:t>Proactive “solutions” thinking</w:t>
      </w:r>
    </w:p>
    <w:p w14:paraId="258CEBAB" w14:textId="77777777" w:rsidR="00EC6721" w:rsidRPr="00EC6721" w:rsidRDefault="00EC6721" w:rsidP="00EC6721">
      <w:pPr>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 xml:space="preserve">A growing number of companies are going beyond the compliance mentality and emerging as a potentially powerful positive social force, doing more with their purchasing power and innovative energy. Campaigning organizations are also re‐focusing some of their energy to solutions thinking, moving from blaming strategies to creative sponsorship of solutions. Greenpeace for example gave their new “solutions campaigning” much publicity at the “Brent Spar…and after” conference in London in 1996. They have recently invested large sums of money to lead the way in some areas of eco‐design. Greenpeace gave a loan of £1.1 million to the engineering company </w:t>
      </w:r>
      <w:proofErr w:type="spellStart"/>
      <w:r w:rsidRPr="00EC6721">
        <w:rPr>
          <w:rFonts w:ascii="Times New Roman" w:eastAsia="Times New Roman" w:hAnsi="Times New Roman" w:cs="Times New Roman"/>
          <w:lang w:eastAsia="en-GB"/>
        </w:rPr>
        <w:t>Wenko</w:t>
      </w:r>
      <w:proofErr w:type="spellEnd"/>
      <w:r w:rsidRPr="00EC6721">
        <w:rPr>
          <w:rFonts w:ascii="Times New Roman" w:eastAsia="Times New Roman" w:hAnsi="Times New Roman" w:cs="Times New Roman"/>
          <w:lang w:eastAsia="en-GB"/>
        </w:rPr>
        <w:t xml:space="preserve"> AG in Switzerland who developed the car on the basis of a Renault Twingo. The result was the 1.24 litre Twingo </w:t>
      </w:r>
      <w:proofErr w:type="spellStart"/>
      <w:r w:rsidRPr="00EC6721">
        <w:rPr>
          <w:rFonts w:ascii="Times New Roman" w:eastAsia="Times New Roman" w:hAnsi="Times New Roman" w:cs="Times New Roman"/>
          <w:lang w:eastAsia="en-GB"/>
        </w:rPr>
        <w:t>SmILE</w:t>
      </w:r>
      <w:proofErr w:type="spellEnd"/>
      <w:r w:rsidRPr="00EC6721">
        <w:rPr>
          <w:rFonts w:ascii="Times New Roman" w:eastAsia="Times New Roman" w:hAnsi="Times New Roman" w:cs="Times New Roman"/>
          <w:lang w:eastAsia="en-GB"/>
        </w:rPr>
        <w:t xml:space="preserve"> car (Small Intelligent Light and Efficient) whose fuel consumption is 75‐88 miles per gallon whereas the original achieved only 42 miles per gallon. Deutsche Telekom, with the biggest car fleet in Europe ‐ some 57,000 cars ‐ has committed itself to buy such a car if it can be produced and can be reliable.</w:t>
      </w:r>
    </w:p>
    <w:p w14:paraId="2A39BD3D" w14:textId="77777777" w:rsidR="00EC6721" w:rsidRPr="00EC6721" w:rsidRDefault="00EC6721" w:rsidP="00EC6721">
      <w:pPr>
        <w:spacing w:before="100" w:beforeAutospacing="1"/>
        <w:rPr>
          <w:rFonts w:ascii="Times New Roman" w:eastAsia="Times New Roman" w:hAnsi="Times New Roman" w:cs="Times New Roman"/>
          <w:lang w:eastAsia="en-GB"/>
        </w:rPr>
      </w:pPr>
      <w:proofErr w:type="spellStart"/>
      <w:r w:rsidRPr="00EC6721">
        <w:rPr>
          <w:rFonts w:ascii="Times New Roman" w:eastAsia="Times New Roman" w:hAnsi="Times New Roman" w:cs="Times New Roman"/>
          <w:lang w:eastAsia="en-GB"/>
        </w:rPr>
        <w:t>Thilo</w:t>
      </w:r>
      <w:proofErr w:type="spellEnd"/>
      <w:r w:rsidRPr="00EC6721">
        <w:rPr>
          <w:rFonts w:ascii="Times New Roman" w:eastAsia="Times New Roman" w:hAnsi="Times New Roman" w:cs="Times New Roman"/>
          <w:lang w:eastAsia="en-GB"/>
        </w:rPr>
        <w:t xml:space="preserve"> Bode, Greenpeace’s international executive director, launched the </w:t>
      </w:r>
      <w:proofErr w:type="spellStart"/>
      <w:r w:rsidRPr="00EC6721">
        <w:rPr>
          <w:rFonts w:ascii="Times New Roman" w:eastAsia="Times New Roman" w:hAnsi="Times New Roman" w:cs="Times New Roman"/>
          <w:lang w:eastAsia="en-GB"/>
        </w:rPr>
        <w:t>SmILE</w:t>
      </w:r>
      <w:proofErr w:type="spellEnd"/>
      <w:r w:rsidRPr="00EC6721">
        <w:rPr>
          <w:rFonts w:ascii="Times New Roman" w:eastAsia="Times New Roman" w:hAnsi="Times New Roman" w:cs="Times New Roman"/>
          <w:lang w:eastAsia="en-GB"/>
        </w:rPr>
        <w:t xml:space="preserve"> at Lucerne in 1996, saying: “We are not here to promote cars but to demonstrate that the car industry is obstructing feasible technology which would help prevent climate change”. (Greenpeace, 1997). However, it is also interesting that here we have the unusual development of a voluntary sector organization sponsoring an industrial initiative in order to influence eco‐design.</w:t>
      </w:r>
    </w:p>
    <w:p w14:paraId="041D96E5" w14:textId="77777777" w:rsidR="00EC6721" w:rsidRPr="00EC6721" w:rsidRDefault="00EC6721" w:rsidP="00EC6721">
      <w:pPr>
        <w:spacing w:before="100" w:beforeAutospacing="1"/>
        <w:outlineLvl w:val="1"/>
        <w:rPr>
          <w:rFonts w:ascii="Times New Roman" w:eastAsia="Times New Roman" w:hAnsi="Times New Roman" w:cs="Times New Roman"/>
          <w:sz w:val="36"/>
          <w:szCs w:val="36"/>
          <w:lang w:eastAsia="en-GB"/>
        </w:rPr>
      </w:pPr>
      <w:r w:rsidRPr="00EC6721">
        <w:rPr>
          <w:rFonts w:ascii="Times New Roman" w:eastAsia="Times New Roman" w:hAnsi="Times New Roman" w:cs="Times New Roman"/>
          <w:sz w:val="36"/>
          <w:szCs w:val="36"/>
          <w:lang w:eastAsia="en-GB"/>
        </w:rPr>
        <w:t>Natural ideas ‐ stock markets and waste markets</w:t>
      </w:r>
    </w:p>
    <w:p w14:paraId="7E327879" w14:textId="77777777" w:rsidR="00EC6721" w:rsidRPr="00EC6721" w:rsidRDefault="00EC6721" w:rsidP="00EC6721">
      <w:pPr>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Eco‐innovation will need to drive our patterns of thought, but we can learn a great deal from natural evolution. The earth systems have had some 4.6 billion years’ design time. The stock markets actually confirm that much of the Earth’s clever design and current resource wealth still exists in the central band of the earth where, unlike Europe, the drawing board was not wiped clean by a glacial period 15,000 years ago. Many of the new emerging markets are capitalizing on natural resources to pay off infrastructure developments. Genetic and plant/animal stock, species patenting and biotechnology are also generating interest in the stock markets.</w:t>
      </w:r>
    </w:p>
    <w:p w14:paraId="7144BD61" w14:textId="77777777" w:rsidR="00EC6721" w:rsidRPr="00EC6721" w:rsidRDefault="00EC6721" w:rsidP="00EC6721">
      <w:pPr>
        <w:spacing w:before="100" w:before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 xml:space="preserve">Eli Lilly is one of the world’s wealthiest companies. It is a </w:t>
      </w:r>
      <w:proofErr w:type="spellStart"/>
      <w:r w:rsidRPr="00EC6721">
        <w:rPr>
          <w:rFonts w:ascii="Times New Roman" w:eastAsia="Times New Roman" w:hAnsi="Times New Roman" w:cs="Times New Roman"/>
          <w:lang w:eastAsia="en-GB"/>
        </w:rPr>
        <w:t>drugs</w:t>
      </w:r>
      <w:proofErr w:type="spellEnd"/>
      <w:r w:rsidRPr="00EC6721">
        <w:rPr>
          <w:rFonts w:ascii="Times New Roman" w:eastAsia="Times New Roman" w:hAnsi="Times New Roman" w:cs="Times New Roman"/>
          <w:lang w:eastAsia="en-GB"/>
        </w:rPr>
        <w:t xml:space="preserve"> manufacturer that has made wealth from plants such as the Madagascar Periwinkle and the company currently trades at an astonishing £45 a share. The outdoor clothing industry has for many years struggled to produce the ideal material that keeps us warm and dry but doesn’t “sweat”. </w:t>
      </w:r>
      <w:proofErr w:type="spellStart"/>
      <w:r w:rsidRPr="00EC6721">
        <w:rPr>
          <w:rFonts w:ascii="Times New Roman" w:eastAsia="Times New Roman" w:hAnsi="Times New Roman" w:cs="Times New Roman"/>
          <w:lang w:eastAsia="en-GB"/>
        </w:rPr>
        <w:t>Gore‐tex</w:t>
      </w:r>
      <w:proofErr w:type="spellEnd"/>
      <w:r w:rsidRPr="00EC6721">
        <w:rPr>
          <w:rFonts w:ascii="Times New Roman" w:eastAsia="Times New Roman" w:hAnsi="Times New Roman" w:cs="Times New Roman"/>
          <w:lang w:eastAsia="en-GB"/>
        </w:rPr>
        <w:t xml:space="preserve">, </w:t>
      </w:r>
      <w:proofErr w:type="spellStart"/>
      <w:r w:rsidRPr="00EC6721">
        <w:rPr>
          <w:rFonts w:ascii="Times New Roman" w:eastAsia="Times New Roman" w:hAnsi="Times New Roman" w:cs="Times New Roman"/>
          <w:lang w:eastAsia="en-GB"/>
        </w:rPr>
        <w:lastRenderedPageBreak/>
        <w:t>Sympatex</w:t>
      </w:r>
      <w:proofErr w:type="spellEnd"/>
      <w:r w:rsidRPr="00EC6721">
        <w:rPr>
          <w:rFonts w:ascii="Times New Roman" w:eastAsia="Times New Roman" w:hAnsi="Times New Roman" w:cs="Times New Roman"/>
          <w:lang w:eastAsia="en-GB"/>
        </w:rPr>
        <w:t xml:space="preserve">, </w:t>
      </w:r>
      <w:proofErr w:type="spellStart"/>
      <w:r w:rsidRPr="00EC6721">
        <w:rPr>
          <w:rFonts w:ascii="Times New Roman" w:eastAsia="Times New Roman" w:hAnsi="Times New Roman" w:cs="Times New Roman"/>
          <w:lang w:eastAsia="en-GB"/>
        </w:rPr>
        <w:t>Supplex</w:t>
      </w:r>
      <w:proofErr w:type="spellEnd"/>
      <w:r w:rsidRPr="00EC6721">
        <w:rPr>
          <w:rFonts w:ascii="Times New Roman" w:eastAsia="Times New Roman" w:hAnsi="Times New Roman" w:cs="Times New Roman"/>
          <w:lang w:eastAsia="en-GB"/>
        </w:rPr>
        <w:t xml:space="preserve"> and </w:t>
      </w:r>
      <w:proofErr w:type="spellStart"/>
      <w:r w:rsidRPr="00EC6721">
        <w:rPr>
          <w:rFonts w:ascii="Times New Roman" w:eastAsia="Times New Roman" w:hAnsi="Times New Roman" w:cs="Times New Roman"/>
          <w:lang w:eastAsia="en-GB"/>
        </w:rPr>
        <w:t>Pertex</w:t>
      </w:r>
      <w:proofErr w:type="spellEnd"/>
      <w:r w:rsidRPr="00EC6721">
        <w:rPr>
          <w:rFonts w:ascii="Times New Roman" w:eastAsia="Times New Roman" w:hAnsi="Times New Roman" w:cs="Times New Roman"/>
          <w:lang w:eastAsia="en-GB"/>
        </w:rPr>
        <w:t xml:space="preserve"> have all attempted to solve the sweating problems. Plants have helped here with a recent breakthrough. In 1996 a new product was launched that was partly funded by the UK Department of Trade and Industry. </w:t>
      </w:r>
      <w:proofErr w:type="spellStart"/>
      <w:r w:rsidRPr="00EC6721">
        <w:rPr>
          <w:rFonts w:ascii="Times New Roman" w:eastAsia="Times New Roman" w:hAnsi="Times New Roman" w:cs="Times New Roman"/>
          <w:lang w:eastAsia="en-GB"/>
        </w:rPr>
        <w:t>Stomatex</w:t>
      </w:r>
      <w:proofErr w:type="spellEnd"/>
      <w:r w:rsidRPr="00EC6721">
        <w:rPr>
          <w:rFonts w:ascii="Times New Roman" w:eastAsia="Times New Roman" w:hAnsi="Times New Roman" w:cs="Times New Roman"/>
          <w:lang w:eastAsia="en-GB"/>
        </w:rPr>
        <w:t xml:space="preserve"> warms and breathes by following the natural design of plant stomata. A copyright fee on nature does not get paid.</w:t>
      </w:r>
    </w:p>
    <w:p w14:paraId="75222327" w14:textId="77777777" w:rsidR="00EC6721" w:rsidRPr="00EC6721" w:rsidRDefault="00EC6721" w:rsidP="00EC6721">
      <w:pPr>
        <w:spacing w:before="100" w:before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 xml:space="preserve">Patagonia have recently been able to make their outdoor fleece jackets out of recycled plastic bottles, producing fibres that are small enough to feel soft to the touch. Patagonia, however, wants to be more adventurous: “More radically the company wants to contribute to the formation of an economy which restores the ecological health of the planet” (Brown and </w:t>
      </w:r>
      <w:proofErr w:type="spellStart"/>
      <w:r w:rsidRPr="00EC6721">
        <w:rPr>
          <w:rFonts w:ascii="Times New Roman" w:eastAsia="Times New Roman" w:hAnsi="Times New Roman" w:cs="Times New Roman"/>
          <w:lang w:eastAsia="en-GB"/>
        </w:rPr>
        <w:t>Wilmanns</w:t>
      </w:r>
      <w:proofErr w:type="spellEnd"/>
      <w:r w:rsidRPr="00EC6721">
        <w:rPr>
          <w:rFonts w:ascii="Times New Roman" w:eastAsia="Times New Roman" w:hAnsi="Times New Roman" w:cs="Times New Roman"/>
          <w:lang w:eastAsia="en-GB"/>
        </w:rPr>
        <w:t>, 1997). As economy (financial rules) meets ecology (natural logic) head on business communities will increasingly seek to understand natural systems, creating waste markets as well as stock markets. Linear economic models are being replaced by cyclical ecological models. Recently waste‐stock exchange markets have started to emerge. The Internet has become a significant marketplace for the trading of secondary raw materials of all kinds.</w:t>
      </w:r>
    </w:p>
    <w:p w14:paraId="39AB852E" w14:textId="77777777" w:rsidR="00EC6721" w:rsidRPr="00EC6721" w:rsidRDefault="00EC6721" w:rsidP="00EC6721">
      <w:pPr>
        <w:spacing w:before="100" w:beforeAutospacing="1"/>
        <w:outlineLvl w:val="1"/>
        <w:rPr>
          <w:rFonts w:ascii="Times New Roman" w:eastAsia="Times New Roman" w:hAnsi="Times New Roman" w:cs="Times New Roman"/>
          <w:sz w:val="36"/>
          <w:szCs w:val="36"/>
          <w:lang w:eastAsia="en-GB"/>
        </w:rPr>
      </w:pPr>
      <w:r w:rsidRPr="00EC6721">
        <w:rPr>
          <w:rFonts w:ascii="Times New Roman" w:eastAsia="Times New Roman" w:hAnsi="Times New Roman" w:cs="Times New Roman"/>
          <w:sz w:val="36"/>
          <w:szCs w:val="36"/>
          <w:lang w:eastAsia="en-GB"/>
        </w:rPr>
        <w:t>Voluntarism and certification ‐ can they improve creativity?</w:t>
      </w:r>
    </w:p>
    <w:p w14:paraId="042112DA" w14:textId="77777777" w:rsidR="00EC6721" w:rsidRPr="00EC6721" w:rsidRDefault="00EC6721" w:rsidP="00EC6721">
      <w:pPr>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 xml:space="preserve">The main product of one of Britain’s largest voluntary conservation charities, the British Trust for Conservation Volunteers, involves turning work into a leisure activity. This is their most profitable and popular product: people pay to volunteer for work and </w:t>
      </w:r>
      <w:proofErr w:type="gramStart"/>
      <w:r w:rsidRPr="00EC6721">
        <w:rPr>
          <w:rFonts w:ascii="Times New Roman" w:eastAsia="Times New Roman" w:hAnsi="Times New Roman" w:cs="Times New Roman"/>
          <w:lang w:eastAsia="en-GB"/>
        </w:rPr>
        <w:t>land owners</w:t>
      </w:r>
      <w:proofErr w:type="gramEnd"/>
      <w:r w:rsidRPr="00EC6721">
        <w:rPr>
          <w:rFonts w:ascii="Times New Roman" w:eastAsia="Times New Roman" w:hAnsi="Times New Roman" w:cs="Times New Roman"/>
          <w:lang w:eastAsia="en-GB"/>
        </w:rPr>
        <w:t xml:space="preserve"> pay to get the work done. Many thousands of people a year pay to work. Work paid for twice and enjoyed as leisure! The boundaries of paid work, leisure and charitable work are beginning to change.</w:t>
      </w:r>
    </w:p>
    <w:p w14:paraId="03DCE035" w14:textId="77777777" w:rsidR="00EC6721" w:rsidRPr="00EC6721" w:rsidRDefault="00EC6721" w:rsidP="00EC6721">
      <w:pPr>
        <w:spacing w:before="100" w:before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In a diverse range of European public companies such as Kent County Council, Swiss Telekom and private sector companies such as B&amp;Q many environmental issues are currently being dealt with by volunteers. Their environment units needed many more people to champion the cause and so have encouraged people to volunteer to take on onerous environmental roles throughout the companies (Beard and Rees, 1997). Voluntarism appears to stimulate greater awareness, individual commitment and involvement in the journey towards the greening of the company culture. Such individual involvement by large numbers of people can have a positive impact on eco‐design by generating a greater number of innovative ideas and solutions than by design departments alone.</w:t>
      </w:r>
    </w:p>
    <w:p w14:paraId="4B920EC5" w14:textId="77777777" w:rsidR="00EC6721" w:rsidRPr="00EC6721" w:rsidRDefault="00EC6721" w:rsidP="00EC6721">
      <w:pPr>
        <w:spacing w:before="100" w:before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 xml:space="preserve">Certification and environmental standards can also create awareness and commitment in a similar way. The EMAS scheme and ISO 14000 series received considerable criticism well before they came off the drawing board. Understandably arguments included complaints such as the voluntary nature of participation, that “certification” could generate compliance mentality and an adversarial approach resulting in a concentrated short effort every three years before the audit. These new environmental management schemes have, however, achieved a completely different and possibly much more important industrial objective. Initiated by BS 7750, EMAS or ISO 14001 many European telecom service companies first started a systematic environmental management process and have subsequently started to systematically reflect on their broader environmental impact (Hartmann, 1997). According to a MORI survey, “46 per cent of the people interviewed thought that British Telecommunications plc (BT) caused virtually no environmental damage. In </w:t>
      </w:r>
      <w:proofErr w:type="gramStart"/>
      <w:r w:rsidRPr="00EC6721">
        <w:rPr>
          <w:rFonts w:ascii="Times New Roman" w:eastAsia="Times New Roman" w:hAnsi="Times New Roman" w:cs="Times New Roman"/>
          <w:lang w:eastAsia="en-GB"/>
        </w:rPr>
        <w:t>fact</w:t>
      </w:r>
      <w:proofErr w:type="gramEnd"/>
      <w:r w:rsidRPr="00EC6721">
        <w:rPr>
          <w:rFonts w:ascii="Times New Roman" w:eastAsia="Times New Roman" w:hAnsi="Times New Roman" w:cs="Times New Roman"/>
          <w:lang w:eastAsia="en-GB"/>
        </w:rPr>
        <w:t xml:space="preserve"> BT is often termed the UK 1 per cent company” (</w:t>
      </w:r>
      <w:proofErr w:type="spellStart"/>
      <w:r w:rsidRPr="00EC6721">
        <w:rPr>
          <w:rFonts w:ascii="Times New Roman" w:eastAsia="Times New Roman" w:hAnsi="Times New Roman" w:cs="Times New Roman"/>
          <w:lang w:eastAsia="en-GB"/>
        </w:rPr>
        <w:t>Tuppen</w:t>
      </w:r>
      <w:proofErr w:type="spellEnd"/>
      <w:r w:rsidRPr="00EC6721">
        <w:rPr>
          <w:rFonts w:ascii="Times New Roman" w:eastAsia="Times New Roman" w:hAnsi="Times New Roman" w:cs="Times New Roman"/>
          <w:lang w:eastAsia="en-GB"/>
        </w:rPr>
        <w:t xml:space="preserve">, 1993). BT has large consumption figures in the range of about 1 per cent of the overall UK consumption with a £4bn procurement budget which is 1 per cent of UK GDP, 0.2 per cent of UK energy, 1.7 per cent of UK writing/printing paper, 0.25 per cent of UK ozone depleting chemical emissions, and 1 per </w:t>
      </w:r>
      <w:r w:rsidRPr="00EC6721">
        <w:rPr>
          <w:rFonts w:ascii="Times New Roman" w:eastAsia="Times New Roman" w:hAnsi="Times New Roman" w:cs="Times New Roman"/>
          <w:lang w:eastAsia="en-GB"/>
        </w:rPr>
        <w:lastRenderedPageBreak/>
        <w:t>cent of UK fuel is used by light vans and goods vehicles. Work at Philips’ Sound &amp; Vision also confirm such trends: “The ISO 14000 series can be a good vehicle for increasing the environmental awareness within companies. The international standard can enhance continual environmental improvements of both processes and products” (Cramer, 1997).</w:t>
      </w:r>
    </w:p>
    <w:p w14:paraId="3D4D7A47" w14:textId="77777777" w:rsidR="00EC6721" w:rsidRPr="00EC6721" w:rsidRDefault="00EC6721" w:rsidP="00EC6721">
      <w:pPr>
        <w:spacing w:before="100" w:beforeAutospacing="1"/>
        <w:outlineLvl w:val="1"/>
        <w:rPr>
          <w:rFonts w:ascii="Times New Roman" w:eastAsia="Times New Roman" w:hAnsi="Times New Roman" w:cs="Times New Roman"/>
          <w:sz w:val="36"/>
          <w:szCs w:val="36"/>
          <w:lang w:eastAsia="en-GB"/>
        </w:rPr>
      </w:pPr>
      <w:r w:rsidRPr="00EC6721">
        <w:rPr>
          <w:rFonts w:ascii="Times New Roman" w:eastAsia="Times New Roman" w:hAnsi="Times New Roman" w:cs="Times New Roman"/>
          <w:sz w:val="36"/>
          <w:szCs w:val="36"/>
          <w:lang w:eastAsia="en-GB"/>
        </w:rPr>
        <w:t>IQ and analysis paralysis</w:t>
      </w:r>
    </w:p>
    <w:p w14:paraId="6058C00C" w14:textId="77777777" w:rsidR="00EC6721" w:rsidRPr="00EC6721" w:rsidRDefault="00EC6721" w:rsidP="00EC6721">
      <w:pPr>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Life cycle analysis (LCA) involves detailed and expensive scientific analysis, and LCA is not always possible for many companies because of the sheer volume of their products ‐ B&amp;Q, the DIY retailer, have over 44,000 products from 500 suppliers (B&amp;Q, 1995). Recent research also confirms that “it is virtually impossible to identify accurately the specific environmental impact of a product” (Hartmann, 1997).</w:t>
      </w:r>
    </w:p>
    <w:p w14:paraId="47CC666C" w14:textId="77777777" w:rsidR="00EC6721" w:rsidRPr="00EC6721" w:rsidRDefault="00EC6721" w:rsidP="00EC6721">
      <w:pPr>
        <w:spacing w:before="100" w:before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There is a need to keep the environmental impact judgement process simple and efficient but effective. Such a simple system to determine environmental impact is the IQ‐system (see </w:t>
      </w:r>
      <w:hyperlink r:id="rId8" w:anchor="F_0540970505004" w:history="1">
        <w:r w:rsidRPr="00EC6721">
          <w:rPr>
            <w:rFonts w:ascii="Times New Roman" w:eastAsia="Times New Roman" w:hAnsi="Times New Roman" w:cs="Times New Roman"/>
            <w:color w:val="007377"/>
            <w:lang w:eastAsia="en-GB"/>
          </w:rPr>
          <w:t>Table I</w:t>
        </w:r>
      </w:hyperlink>
      <w:r w:rsidRPr="00EC6721">
        <w:rPr>
          <w:rFonts w:ascii="Times New Roman" w:eastAsia="Times New Roman" w:hAnsi="Times New Roman" w:cs="Times New Roman"/>
          <w:lang w:eastAsia="en-GB"/>
        </w:rPr>
        <w:t>), adopted from financial controlling (</w:t>
      </w:r>
      <w:proofErr w:type="spellStart"/>
      <w:r w:rsidRPr="00EC6721">
        <w:rPr>
          <w:rFonts w:ascii="Times New Roman" w:eastAsia="Times New Roman" w:hAnsi="Times New Roman" w:cs="Times New Roman"/>
          <w:lang w:eastAsia="en-GB"/>
        </w:rPr>
        <w:t>Vollmuth</w:t>
      </w:r>
      <w:proofErr w:type="spellEnd"/>
      <w:r w:rsidRPr="00EC6721">
        <w:rPr>
          <w:rFonts w:ascii="Times New Roman" w:eastAsia="Times New Roman" w:hAnsi="Times New Roman" w:cs="Times New Roman"/>
          <w:lang w:eastAsia="en-GB"/>
        </w:rPr>
        <w:t>, 1994). While the environmental impact is valued by the figures A, B and C, the quantitative importance is valued by the figures </w:t>
      </w:r>
      <w:r w:rsidRPr="00EC6721">
        <w:rPr>
          <w:rFonts w:ascii="Times New Roman" w:eastAsia="Times New Roman" w:hAnsi="Times New Roman" w:cs="Times New Roman"/>
          <w:i/>
          <w:iCs/>
          <w:lang w:eastAsia="en-GB"/>
        </w:rPr>
        <w:t>x</w:t>
      </w:r>
      <w:r w:rsidRPr="00EC6721">
        <w:rPr>
          <w:rFonts w:ascii="Times New Roman" w:eastAsia="Times New Roman" w:hAnsi="Times New Roman" w:cs="Times New Roman"/>
          <w:lang w:eastAsia="en-GB"/>
        </w:rPr>
        <w:t>, </w:t>
      </w:r>
      <w:r w:rsidRPr="00EC6721">
        <w:rPr>
          <w:rFonts w:ascii="Times New Roman" w:eastAsia="Times New Roman" w:hAnsi="Times New Roman" w:cs="Times New Roman"/>
          <w:i/>
          <w:iCs/>
          <w:lang w:eastAsia="en-GB"/>
        </w:rPr>
        <w:t>y</w:t>
      </w:r>
      <w:r w:rsidRPr="00EC6721">
        <w:rPr>
          <w:rFonts w:ascii="Times New Roman" w:eastAsia="Times New Roman" w:hAnsi="Times New Roman" w:cs="Times New Roman"/>
          <w:lang w:eastAsia="en-GB"/>
        </w:rPr>
        <w:t>, and </w:t>
      </w:r>
      <w:r w:rsidRPr="00EC6721">
        <w:rPr>
          <w:rFonts w:ascii="Times New Roman" w:eastAsia="Times New Roman" w:hAnsi="Times New Roman" w:cs="Times New Roman"/>
          <w:i/>
          <w:iCs/>
          <w:lang w:eastAsia="en-GB"/>
        </w:rPr>
        <w:t>z</w:t>
      </w:r>
      <w:r w:rsidRPr="00EC6721">
        <w:rPr>
          <w:rFonts w:ascii="Times New Roman" w:eastAsia="Times New Roman" w:hAnsi="Times New Roman" w:cs="Times New Roman"/>
          <w:lang w:eastAsia="en-GB"/>
        </w:rPr>
        <w:t>. This system can be extended to something like a mini LCA by applying it to different aspects of the environmental effects of an article.</w:t>
      </w:r>
    </w:p>
    <w:p w14:paraId="078223D1" w14:textId="77777777" w:rsidR="00EC6721" w:rsidRPr="00EC6721" w:rsidRDefault="00EC6721" w:rsidP="00EC6721">
      <w:pPr>
        <w:spacing w:before="100" w:beforeAutospacing="1"/>
        <w:rPr>
          <w:rFonts w:ascii="Times New Roman" w:eastAsia="Times New Roman" w:hAnsi="Times New Roman" w:cs="Times New Roman"/>
          <w:lang w:eastAsia="en-GB"/>
        </w:rPr>
      </w:pPr>
      <w:proofErr w:type="spellStart"/>
      <w:r w:rsidRPr="00EC6721">
        <w:rPr>
          <w:rFonts w:ascii="Times New Roman" w:eastAsia="Times New Roman" w:hAnsi="Times New Roman" w:cs="Times New Roman"/>
          <w:lang w:eastAsia="en-GB"/>
        </w:rPr>
        <w:t>Stahlmann</w:t>
      </w:r>
      <w:proofErr w:type="spellEnd"/>
      <w:r w:rsidRPr="00EC6721">
        <w:rPr>
          <w:rFonts w:ascii="Times New Roman" w:eastAsia="Times New Roman" w:hAnsi="Times New Roman" w:cs="Times New Roman"/>
          <w:lang w:eastAsia="en-GB"/>
        </w:rPr>
        <w:t xml:space="preserve"> (1993) and the German Ministry of Environmental Affairs used the following principle: A B C was supplemented with six aspects of environmental relevance:</w:t>
      </w:r>
    </w:p>
    <w:p w14:paraId="26A4AF97" w14:textId="77777777" w:rsidR="00EC6721" w:rsidRPr="00EC6721" w:rsidRDefault="00EC6721" w:rsidP="00EC6721">
      <w:pPr>
        <w:numPr>
          <w:ilvl w:val="0"/>
          <w:numId w:val="2"/>
        </w:numPr>
        <w:spacing w:before="100" w:beforeAutospacing="1" w:after="100" w:after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1 </w:t>
      </w:r>
    </w:p>
    <w:p w14:paraId="16F10335" w14:textId="77777777" w:rsidR="00EC6721" w:rsidRPr="00EC6721" w:rsidRDefault="00EC6721" w:rsidP="00EC6721">
      <w:pPr>
        <w:ind w:left="720"/>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conformity with regulations and laws;</w:t>
      </w:r>
    </w:p>
    <w:p w14:paraId="3714C971" w14:textId="77777777" w:rsidR="00EC6721" w:rsidRPr="00EC6721" w:rsidRDefault="00EC6721" w:rsidP="00EC6721">
      <w:pPr>
        <w:numPr>
          <w:ilvl w:val="0"/>
          <w:numId w:val="2"/>
        </w:numPr>
        <w:spacing w:before="100" w:beforeAutospacing="1" w:after="100" w:after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2 </w:t>
      </w:r>
    </w:p>
    <w:p w14:paraId="3380CEF1" w14:textId="77777777" w:rsidR="00EC6721" w:rsidRPr="00EC6721" w:rsidRDefault="00EC6721" w:rsidP="00EC6721">
      <w:pPr>
        <w:ind w:left="720"/>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social acceptance;</w:t>
      </w:r>
    </w:p>
    <w:p w14:paraId="6F8FB3B0" w14:textId="77777777" w:rsidR="00EC6721" w:rsidRPr="00EC6721" w:rsidRDefault="00EC6721" w:rsidP="00EC6721">
      <w:pPr>
        <w:numPr>
          <w:ilvl w:val="0"/>
          <w:numId w:val="2"/>
        </w:numPr>
        <w:spacing w:before="100" w:beforeAutospacing="1" w:after="100" w:after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3 </w:t>
      </w:r>
    </w:p>
    <w:p w14:paraId="76ED535B" w14:textId="77777777" w:rsidR="00EC6721" w:rsidRPr="00EC6721" w:rsidRDefault="00EC6721" w:rsidP="00EC6721">
      <w:pPr>
        <w:ind w:left="720"/>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potential of incident /danger;</w:t>
      </w:r>
    </w:p>
    <w:p w14:paraId="09A3C3F8" w14:textId="77777777" w:rsidR="00EC6721" w:rsidRPr="00EC6721" w:rsidRDefault="00EC6721" w:rsidP="00EC6721">
      <w:pPr>
        <w:numPr>
          <w:ilvl w:val="0"/>
          <w:numId w:val="2"/>
        </w:numPr>
        <w:spacing w:before="100" w:beforeAutospacing="1" w:after="100" w:after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4 </w:t>
      </w:r>
    </w:p>
    <w:p w14:paraId="6AA1C8F3" w14:textId="77777777" w:rsidR="00EC6721" w:rsidRPr="00EC6721" w:rsidRDefault="00EC6721" w:rsidP="00EC6721">
      <w:pPr>
        <w:ind w:left="720"/>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internalized environmental costs;</w:t>
      </w:r>
    </w:p>
    <w:p w14:paraId="5BA6F388" w14:textId="77777777" w:rsidR="00EC6721" w:rsidRPr="00EC6721" w:rsidRDefault="00EC6721" w:rsidP="00EC6721">
      <w:pPr>
        <w:numPr>
          <w:ilvl w:val="0"/>
          <w:numId w:val="2"/>
        </w:numPr>
        <w:spacing w:before="100" w:beforeAutospacing="1" w:after="100" w:after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5 </w:t>
      </w:r>
    </w:p>
    <w:p w14:paraId="2ED99FC5" w14:textId="77777777" w:rsidR="00EC6721" w:rsidRPr="00EC6721" w:rsidRDefault="00EC6721" w:rsidP="00EC6721">
      <w:pPr>
        <w:ind w:left="720"/>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negative external effects;</w:t>
      </w:r>
    </w:p>
    <w:p w14:paraId="6DD3099A" w14:textId="77777777" w:rsidR="00EC6721" w:rsidRPr="00EC6721" w:rsidRDefault="00EC6721" w:rsidP="00EC6721">
      <w:pPr>
        <w:numPr>
          <w:ilvl w:val="0"/>
          <w:numId w:val="2"/>
        </w:numPr>
        <w:spacing w:before="100" w:beforeAutospacing="1" w:after="100" w:after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6 </w:t>
      </w:r>
    </w:p>
    <w:p w14:paraId="54244C42" w14:textId="77777777" w:rsidR="00EC6721" w:rsidRPr="00EC6721" w:rsidRDefault="00EC6721" w:rsidP="00EC6721">
      <w:pPr>
        <w:ind w:left="720"/>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exploitation of natural resources.</w:t>
      </w:r>
    </w:p>
    <w:p w14:paraId="0F8E6ECC" w14:textId="77777777" w:rsidR="00EC6721" w:rsidRPr="00EC6721" w:rsidRDefault="00EC6721" w:rsidP="00EC6721">
      <w:pPr>
        <w:spacing w:before="100" w:before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 xml:space="preserve">A number of companies are now designing simple analysis techniques </w:t>
      </w:r>
      <w:proofErr w:type="gramStart"/>
      <w:r w:rsidRPr="00EC6721">
        <w:rPr>
          <w:rFonts w:ascii="Times New Roman" w:eastAsia="Times New Roman" w:hAnsi="Times New Roman" w:cs="Times New Roman"/>
          <w:lang w:eastAsia="en-GB"/>
        </w:rPr>
        <w:t>( Brown</w:t>
      </w:r>
      <w:proofErr w:type="gramEnd"/>
      <w:r w:rsidRPr="00EC6721">
        <w:rPr>
          <w:rFonts w:ascii="Times New Roman" w:eastAsia="Times New Roman" w:hAnsi="Times New Roman" w:cs="Times New Roman"/>
          <w:lang w:eastAsia="en-GB"/>
        </w:rPr>
        <w:t xml:space="preserve"> and </w:t>
      </w:r>
      <w:proofErr w:type="spellStart"/>
      <w:r w:rsidRPr="00EC6721">
        <w:rPr>
          <w:rFonts w:ascii="Times New Roman" w:eastAsia="Times New Roman" w:hAnsi="Times New Roman" w:cs="Times New Roman"/>
          <w:lang w:eastAsia="en-GB"/>
        </w:rPr>
        <w:t>Wilmanns</w:t>
      </w:r>
      <w:proofErr w:type="spellEnd"/>
      <w:r w:rsidRPr="00EC6721">
        <w:rPr>
          <w:rFonts w:ascii="Times New Roman" w:eastAsia="Times New Roman" w:hAnsi="Times New Roman" w:cs="Times New Roman"/>
          <w:lang w:eastAsia="en-GB"/>
        </w:rPr>
        <w:t xml:space="preserve">, 1997; </w:t>
      </w:r>
      <w:proofErr w:type="spellStart"/>
      <w:r w:rsidRPr="00EC6721">
        <w:rPr>
          <w:rFonts w:ascii="Times New Roman" w:eastAsia="Times New Roman" w:hAnsi="Times New Roman" w:cs="Times New Roman"/>
          <w:lang w:eastAsia="en-GB"/>
        </w:rPr>
        <w:t>Graedel</w:t>
      </w:r>
      <w:proofErr w:type="spellEnd"/>
      <w:r w:rsidRPr="00EC6721">
        <w:rPr>
          <w:rFonts w:ascii="Times New Roman" w:eastAsia="Times New Roman" w:hAnsi="Times New Roman" w:cs="Times New Roman"/>
          <w:lang w:eastAsia="en-GB"/>
        </w:rPr>
        <w:t> </w:t>
      </w:r>
      <w:r w:rsidRPr="00EC6721">
        <w:rPr>
          <w:rFonts w:ascii="Times New Roman" w:eastAsia="Times New Roman" w:hAnsi="Times New Roman" w:cs="Times New Roman"/>
          <w:i/>
          <w:iCs/>
          <w:lang w:eastAsia="en-GB"/>
        </w:rPr>
        <w:t>et al</w:t>
      </w:r>
      <w:r w:rsidRPr="00EC6721">
        <w:rPr>
          <w:rFonts w:ascii="Times New Roman" w:eastAsia="Times New Roman" w:hAnsi="Times New Roman" w:cs="Times New Roman"/>
          <w:lang w:eastAsia="en-GB"/>
        </w:rPr>
        <w:t>. 1995; van Dijk, 1996).</w:t>
      </w:r>
    </w:p>
    <w:p w14:paraId="663D5462" w14:textId="77777777" w:rsidR="00EC6721" w:rsidRPr="00EC6721" w:rsidRDefault="00EC6721" w:rsidP="00EC6721">
      <w:pPr>
        <w:spacing w:before="100" w:beforeAutospacing="1"/>
        <w:outlineLvl w:val="1"/>
        <w:rPr>
          <w:rFonts w:ascii="Times New Roman" w:eastAsia="Times New Roman" w:hAnsi="Times New Roman" w:cs="Times New Roman"/>
          <w:sz w:val="36"/>
          <w:szCs w:val="36"/>
          <w:lang w:eastAsia="en-GB"/>
        </w:rPr>
      </w:pPr>
      <w:r w:rsidRPr="00EC6721">
        <w:rPr>
          <w:rFonts w:ascii="Times New Roman" w:eastAsia="Times New Roman" w:hAnsi="Times New Roman" w:cs="Times New Roman"/>
          <w:sz w:val="36"/>
          <w:szCs w:val="36"/>
          <w:lang w:eastAsia="en-GB"/>
        </w:rPr>
        <w:lastRenderedPageBreak/>
        <w:t>“Seeing” creative opportunities</w:t>
      </w:r>
    </w:p>
    <w:p w14:paraId="59DB305B" w14:textId="77777777" w:rsidR="00EC6721" w:rsidRPr="00EC6721" w:rsidRDefault="00EC6721" w:rsidP="00EC6721">
      <w:pPr>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In the UK, following the privatization of the water industry, householders are currently paying approximately 70p for a square metre of water. Not many people appear to know this or be aware of their own consumption patterns; personal household auditing has not yet become the norm. With the liberalization of the water and energy markets across Europe consumers may need to realize costs and opportunities (see </w:t>
      </w:r>
      <w:hyperlink r:id="rId9" w:anchor="F_0540970505006" w:history="1">
        <w:r w:rsidRPr="00EC6721">
          <w:rPr>
            <w:rFonts w:ascii="Times New Roman" w:eastAsia="Times New Roman" w:hAnsi="Times New Roman" w:cs="Times New Roman"/>
            <w:color w:val="007377"/>
            <w:lang w:eastAsia="en-GB"/>
          </w:rPr>
          <w:t>Table II</w:t>
        </w:r>
      </w:hyperlink>
      <w:r w:rsidRPr="00EC6721">
        <w:rPr>
          <w:rFonts w:ascii="Times New Roman" w:eastAsia="Times New Roman" w:hAnsi="Times New Roman" w:cs="Times New Roman"/>
          <w:lang w:eastAsia="en-GB"/>
        </w:rPr>
        <w:t>).</w:t>
      </w:r>
    </w:p>
    <w:p w14:paraId="48DAFD75" w14:textId="77777777" w:rsidR="00EC6721" w:rsidRPr="00EC6721" w:rsidRDefault="00EC6721" w:rsidP="00EC6721">
      <w:pPr>
        <w:spacing w:before="100" w:before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 xml:space="preserve">As water prices rise consumers will re‐evaluate the purpose of the household or factory roof. While early sewage plants in Europe required that all </w:t>
      </w:r>
      <w:proofErr w:type="gramStart"/>
      <w:r w:rsidRPr="00EC6721">
        <w:rPr>
          <w:rFonts w:ascii="Times New Roman" w:eastAsia="Times New Roman" w:hAnsi="Times New Roman" w:cs="Times New Roman"/>
          <w:lang w:eastAsia="en-GB"/>
        </w:rPr>
        <w:t>rain water</w:t>
      </w:r>
      <w:proofErr w:type="gramEnd"/>
      <w:r w:rsidRPr="00EC6721">
        <w:rPr>
          <w:rFonts w:ascii="Times New Roman" w:eastAsia="Times New Roman" w:hAnsi="Times New Roman" w:cs="Times New Roman"/>
          <w:lang w:eastAsia="en-GB"/>
        </w:rPr>
        <w:t xml:space="preserve"> drains had to be connected to the public drainage systems to provide enough dilution of the sewage progressive technology has not only made this unnecessary but actually requires the sewage as concentrated as possible for the best and most economic results. The </w:t>
      </w:r>
      <w:proofErr w:type="gramStart"/>
      <w:r w:rsidRPr="00EC6721">
        <w:rPr>
          <w:rFonts w:ascii="Times New Roman" w:eastAsia="Times New Roman" w:hAnsi="Times New Roman" w:cs="Times New Roman"/>
          <w:lang w:eastAsia="en-GB"/>
        </w:rPr>
        <w:t>ever increasing</w:t>
      </w:r>
      <w:proofErr w:type="gramEnd"/>
      <w:r w:rsidRPr="00EC6721">
        <w:rPr>
          <w:rFonts w:ascii="Times New Roman" w:eastAsia="Times New Roman" w:hAnsi="Times New Roman" w:cs="Times New Roman"/>
          <w:lang w:eastAsia="en-GB"/>
        </w:rPr>
        <w:t xml:space="preserve"> costs for fresh water and sewage combined with incentives across Europe by the local authorities to reduce the rain water in the sewage plants led to the re‐invention of one of the oldest harvesting tools ‐ the rain water tank collecting water from the roof of the buildings. Many local authorities throughout Europe support the use of </w:t>
      </w:r>
      <w:proofErr w:type="gramStart"/>
      <w:r w:rsidRPr="00EC6721">
        <w:rPr>
          <w:rFonts w:ascii="Times New Roman" w:eastAsia="Times New Roman" w:hAnsi="Times New Roman" w:cs="Times New Roman"/>
          <w:lang w:eastAsia="en-GB"/>
        </w:rPr>
        <w:t>rain water</w:t>
      </w:r>
      <w:proofErr w:type="gramEnd"/>
      <w:r w:rsidRPr="00EC6721">
        <w:rPr>
          <w:rFonts w:ascii="Times New Roman" w:eastAsia="Times New Roman" w:hAnsi="Times New Roman" w:cs="Times New Roman"/>
          <w:lang w:eastAsia="en-GB"/>
        </w:rPr>
        <w:t xml:space="preserve"> for toilets, washing machines or garden watering. Constantly increasing costs for water and sewage together with direct grants for the installation of </w:t>
      </w:r>
      <w:proofErr w:type="gramStart"/>
      <w:r w:rsidRPr="00EC6721">
        <w:rPr>
          <w:rFonts w:ascii="Times New Roman" w:eastAsia="Times New Roman" w:hAnsi="Times New Roman" w:cs="Times New Roman"/>
          <w:lang w:eastAsia="en-GB"/>
        </w:rPr>
        <w:t>rain water</w:t>
      </w:r>
      <w:proofErr w:type="gramEnd"/>
      <w:r w:rsidRPr="00EC6721">
        <w:rPr>
          <w:rFonts w:ascii="Times New Roman" w:eastAsia="Times New Roman" w:hAnsi="Times New Roman" w:cs="Times New Roman"/>
          <w:lang w:eastAsia="en-GB"/>
        </w:rPr>
        <w:t xml:space="preserve"> tanks as well as charges for sealed land on private and business property (Local Councils of </w:t>
      </w:r>
      <w:proofErr w:type="spellStart"/>
      <w:r w:rsidRPr="00EC6721">
        <w:rPr>
          <w:rFonts w:ascii="Times New Roman" w:eastAsia="Times New Roman" w:hAnsi="Times New Roman" w:cs="Times New Roman"/>
          <w:lang w:eastAsia="en-GB"/>
        </w:rPr>
        <w:t>Alsbach‐Hähnlein</w:t>
      </w:r>
      <w:proofErr w:type="spellEnd"/>
      <w:r w:rsidRPr="00EC6721">
        <w:rPr>
          <w:rFonts w:ascii="Times New Roman" w:eastAsia="Times New Roman" w:hAnsi="Times New Roman" w:cs="Times New Roman"/>
          <w:lang w:eastAsia="en-GB"/>
        </w:rPr>
        <w:t xml:space="preserve">, 1992) led to an enormous demand for rain water tanks in Germany. In some towns a rainwater tank is compulsory for all newly constructed buildings. A typical one family home </w:t>
      </w:r>
      <w:proofErr w:type="gramStart"/>
      <w:r w:rsidRPr="00EC6721">
        <w:rPr>
          <w:rFonts w:ascii="Times New Roman" w:eastAsia="Times New Roman" w:hAnsi="Times New Roman" w:cs="Times New Roman"/>
          <w:lang w:eastAsia="en-GB"/>
        </w:rPr>
        <w:t>rain water</w:t>
      </w:r>
      <w:proofErr w:type="gramEnd"/>
      <w:r w:rsidRPr="00EC6721">
        <w:rPr>
          <w:rFonts w:ascii="Times New Roman" w:eastAsia="Times New Roman" w:hAnsi="Times New Roman" w:cs="Times New Roman"/>
          <w:lang w:eastAsia="en-GB"/>
        </w:rPr>
        <w:t xml:space="preserve"> tank can easily save 50,000 litres of drinking water per year.</w:t>
      </w:r>
    </w:p>
    <w:p w14:paraId="143A48A6" w14:textId="77777777" w:rsidR="00EC6721" w:rsidRPr="00EC6721" w:rsidRDefault="00EC6721" w:rsidP="00EC6721">
      <w:pPr>
        <w:spacing w:before="100" w:before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 xml:space="preserve">Many very exciting and innovative ideas can easily be </w:t>
      </w:r>
      <w:proofErr w:type="gramStart"/>
      <w:r w:rsidRPr="00EC6721">
        <w:rPr>
          <w:rFonts w:ascii="Times New Roman" w:eastAsia="Times New Roman" w:hAnsi="Times New Roman" w:cs="Times New Roman"/>
          <w:lang w:eastAsia="en-GB"/>
        </w:rPr>
        <w:t>generated</w:t>
      </w:r>
      <w:proofErr w:type="gramEnd"/>
      <w:r w:rsidRPr="00EC6721">
        <w:rPr>
          <w:rFonts w:ascii="Times New Roman" w:eastAsia="Times New Roman" w:hAnsi="Times New Roman" w:cs="Times New Roman"/>
          <w:lang w:eastAsia="en-GB"/>
        </w:rPr>
        <w:t xml:space="preserve"> and some have recently been tried in practice in the building industry such as the reintroduction of traditional, natural construction methods and materials. Wood provides much better insulation than brick or stone walls. Turf roofs, low energy houses with good insulation to the north but open façades to the south and west in order to take as much direct solar energy in as possible, are all currently in operation. However, perhaps new construction ideas could contribute yet more if we realize that many city buildings are growing larger by reaching upwards and significant surface areas are not on the roof but on the sides or walls. The Twin Towers in Malaysia, completed in 1996, reach up to the sky with 88 floors 451.9 m from street level. This means that the walls now represent the largest surface area, wherein lies the creative opportunity. The primary energy on Earth is produced by green tissues in plants. If such photosynthesis systems could be incorporated within construction materials in order to produce energy and/or bio‐mass within glass panelled tower buildings growing ever higher in the cities of </w:t>
      </w:r>
      <w:proofErr w:type="spellStart"/>
      <w:r w:rsidRPr="00EC6721">
        <w:rPr>
          <w:rFonts w:ascii="Times New Roman" w:eastAsia="Times New Roman" w:hAnsi="Times New Roman" w:cs="Times New Roman"/>
          <w:lang w:eastAsia="en-GB"/>
        </w:rPr>
        <w:t>rainforested</w:t>
      </w:r>
      <w:proofErr w:type="spellEnd"/>
      <w:r w:rsidRPr="00EC6721">
        <w:rPr>
          <w:rFonts w:ascii="Times New Roman" w:eastAsia="Times New Roman" w:hAnsi="Times New Roman" w:cs="Times New Roman"/>
          <w:lang w:eastAsia="en-GB"/>
        </w:rPr>
        <w:t xml:space="preserve"> Malaysia, Indonesia, Vietnam and other emerging economies, could it be possible to produce energy and bio‐mass just from sunlight, water and the CO</w:t>
      </w:r>
      <w:r w:rsidRPr="00EC6721">
        <w:rPr>
          <w:rFonts w:ascii="Times New Roman" w:eastAsia="Times New Roman" w:hAnsi="Times New Roman" w:cs="Times New Roman"/>
          <w:sz w:val="20"/>
          <w:szCs w:val="20"/>
          <w:vertAlign w:val="subscript"/>
          <w:lang w:eastAsia="en-GB"/>
        </w:rPr>
        <w:t>2</w:t>
      </w:r>
      <w:r w:rsidRPr="00EC6721">
        <w:rPr>
          <w:rFonts w:ascii="Times New Roman" w:eastAsia="Times New Roman" w:hAnsi="Times New Roman" w:cs="Times New Roman"/>
          <w:lang w:eastAsia="en-GB"/>
        </w:rPr>
        <w:t xml:space="preserve"> of the air? Scientists recently succeeded in developing a chlorophyll‐like substance, that if closed between two sheets of glass produces roughly the same amount of electric power as silicon based photovoltaic cells do when exposed to sunlight. The difference is that this new system is just at the beginning of developments and can possibly be produced much cheaper than silicon photovoltaic cells (The Open University, 1996). Even simpler, for scientific use blue and green algae are bred in huge glass tubes or plastic bags producing high amounts of </w:t>
      </w:r>
      <w:proofErr w:type="gramStart"/>
      <w:r w:rsidRPr="00EC6721">
        <w:rPr>
          <w:rFonts w:ascii="Times New Roman" w:eastAsia="Times New Roman" w:hAnsi="Times New Roman" w:cs="Times New Roman"/>
          <w:lang w:eastAsia="en-GB"/>
        </w:rPr>
        <w:t>bio‐mass</w:t>
      </w:r>
      <w:proofErr w:type="gramEnd"/>
      <w:r w:rsidRPr="00EC6721">
        <w:rPr>
          <w:rFonts w:ascii="Times New Roman" w:eastAsia="Times New Roman" w:hAnsi="Times New Roman" w:cs="Times New Roman"/>
          <w:lang w:eastAsia="en-GB"/>
        </w:rPr>
        <w:t xml:space="preserve">. A constant flow system could be incorporated within the panels of a skyscraper which would provide a lot of </w:t>
      </w:r>
      <w:proofErr w:type="gramStart"/>
      <w:r w:rsidRPr="00EC6721">
        <w:rPr>
          <w:rFonts w:ascii="Times New Roman" w:eastAsia="Times New Roman" w:hAnsi="Times New Roman" w:cs="Times New Roman"/>
          <w:lang w:eastAsia="en-GB"/>
        </w:rPr>
        <w:t>bio‐mass</w:t>
      </w:r>
      <w:proofErr w:type="gramEnd"/>
      <w:r w:rsidRPr="00EC6721">
        <w:rPr>
          <w:rFonts w:ascii="Times New Roman" w:eastAsia="Times New Roman" w:hAnsi="Times New Roman" w:cs="Times New Roman"/>
          <w:lang w:eastAsia="en-GB"/>
        </w:rPr>
        <w:t xml:space="preserve"> to use for nutrition, bio‐fuels or sugars, the raw material of future plastics, and to fix CO</w:t>
      </w:r>
      <w:r w:rsidRPr="00EC6721">
        <w:rPr>
          <w:rFonts w:ascii="Times New Roman" w:eastAsia="Times New Roman" w:hAnsi="Times New Roman" w:cs="Times New Roman"/>
          <w:sz w:val="20"/>
          <w:szCs w:val="20"/>
          <w:vertAlign w:val="subscript"/>
          <w:lang w:eastAsia="en-GB"/>
        </w:rPr>
        <w:t>2</w:t>
      </w:r>
      <w:r w:rsidRPr="00EC6721">
        <w:rPr>
          <w:rFonts w:ascii="Times New Roman" w:eastAsia="Times New Roman" w:hAnsi="Times New Roman" w:cs="Times New Roman"/>
          <w:lang w:eastAsia="en-GB"/>
        </w:rPr>
        <w:t xml:space="preserve"> in our cities at the same time. Air born pollutants could be filtered by the air‐ conditioning systems supplemented with suitable filters. Living coatings could also be introduced on to concrete. Replacing the rainforests with concrete requires </w:t>
      </w:r>
      <w:r w:rsidRPr="00EC6721">
        <w:rPr>
          <w:rFonts w:ascii="Times New Roman" w:eastAsia="Times New Roman" w:hAnsi="Times New Roman" w:cs="Times New Roman"/>
          <w:lang w:eastAsia="en-GB"/>
        </w:rPr>
        <w:lastRenderedPageBreak/>
        <w:t>some redress of the balance. Innovative eco‐design could dramatically alter the nature of future buildings.</w:t>
      </w:r>
    </w:p>
    <w:p w14:paraId="1B01C54D" w14:textId="77777777" w:rsidR="00EC6721" w:rsidRPr="00EC6721" w:rsidRDefault="00EC6721" w:rsidP="00EC6721">
      <w:pPr>
        <w:spacing w:before="100" w:beforeAutospacing="1"/>
        <w:outlineLvl w:val="1"/>
        <w:rPr>
          <w:rFonts w:ascii="Times New Roman" w:eastAsia="Times New Roman" w:hAnsi="Times New Roman" w:cs="Times New Roman"/>
          <w:sz w:val="36"/>
          <w:szCs w:val="36"/>
          <w:lang w:eastAsia="en-GB"/>
        </w:rPr>
      </w:pPr>
      <w:r w:rsidRPr="00EC6721">
        <w:rPr>
          <w:rFonts w:ascii="Times New Roman" w:eastAsia="Times New Roman" w:hAnsi="Times New Roman" w:cs="Times New Roman"/>
          <w:sz w:val="36"/>
          <w:szCs w:val="36"/>
          <w:lang w:eastAsia="en-GB"/>
        </w:rPr>
        <w:t>Some concluding eco‐creativity principles</w:t>
      </w:r>
    </w:p>
    <w:p w14:paraId="2DFAC8E8" w14:textId="77777777" w:rsidR="00EC6721" w:rsidRPr="00EC6721" w:rsidRDefault="00EC6721" w:rsidP="00EC6721">
      <w:pPr>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A useful chart is shown in </w:t>
      </w:r>
      <w:hyperlink r:id="rId10" w:anchor="F_0540970505005" w:history="1">
        <w:r w:rsidRPr="00EC6721">
          <w:rPr>
            <w:rFonts w:ascii="Times New Roman" w:eastAsia="Times New Roman" w:hAnsi="Times New Roman" w:cs="Times New Roman"/>
            <w:color w:val="007377"/>
            <w:lang w:eastAsia="en-GB"/>
          </w:rPr>
          <w:t>Table III</w:t>
        </w:r>
      </w:hyperlink>
      <w:r w:rsidRPr="00EC6721">
        <w:rPr>
          <w:rFonts w:ascii="Times New Roman" w:eastAsia="Times New Roman" w:hAnsi="Times New Roman" w:cs="Times New Roman"/>
          <w:lang w:eastAsia="en-GB"/>
        </w:rPr>
        <w:t xml:space="preserve"> giving three steps to improve creative thinking. It is important to see the product first by taking a closer look, breaking it down into its constituent parts. By challenging the product </w:t>
      </w:r>
      <w:proofErr w:type="gramStart"/>
      <w:r w:rsidRPr="00EC6721">
        <w:rPr>
          <w:rFonts w:ascii="Times New Roman" w:eastAsia="Times New Roman" w:hAnsi="Times New Roman" w:cs="Times New Roman"/>
          <w:lang w:eastAsia="en-GB"/>
        </w:rPr>
        <w:t>design</w:t>
      </w:r>
      <w:proofErr w:type="gramEnd"/>
      <w:r w:rsidRPr="00EC6721">
        <w:rPr>
          <w:rFonts w:ascii="Times New Roman" w:eastAsia="Times New Roman" w:hAnsi="Times New Roman" w:cs="Times New Roman"/>
          <w:lang w:eastAsia="en-GB"/>
        </w:rPr>
        <w:t xml:space="preserve"> we can generate new products that might contribute to the radical vision described by Brown </w:t>
      </w:r>
      <w:r w:rsidRPr="00EC6721">
        <w:rPr>
          <w:rFonts w:ascii="Times New Roman" w:eastAsia="Times New Roman" w:hAnsi="Times New Roman" w:cs="Times New Roman"/>
          <w:i/>
          <w:iCs/>
          <w:lang w:eastAsia="en-GB"/>
        </w:rPr>
        <w:t>et al</w:t>
      </w:r>
      <w:r w:rsidRPr="00EC6721">
        <w:rPr>
          <w:rFonts w:ascii="Times New Roman" w:eastAsia="Times New Roman" w:hAnsi="Times New Roman" w:cs="Times New Roman"/>
          <w:lang w:eastAsia="en-GB"/>
        </w:rPr>
        <w:t>. (1997) of Patagonia ‐ to restore the health of the planet.</w:t>
      </w:r>
    </w:p>
    <w:p w14:paraId="08FA2D06" w14:textId="77777777" w:rsidR="00EC6721" w:rsidRPr="00EC6721" w:rsidRDefault="00EC6721" w:rsidP="00EC6721">
      <w:pPr>
        <w:spacing w:before="100" w:beforeAutospacing="1"/>
        <w:rPr>
          <w:rFonts w:ascii="Times New Roman" w:eastAsia="Times New Roman" w:hAnsi="Times New Roman" w:cs="Times New Roman"/>
          <w:lang w:eastAsia="en-GB"/>
        </w:rPr>
      </w:pPr>
      <w:r w:rsidRPr="00EC6721">
        <w:rPr>
          <w:rFonts w:ascii="Times New Roman" w:eastAsia="Times New Roman" w:hAnsi="Times New Roman" w:cs="Times New Roman"/>
          <w:lang w:eastAsia="en-GB"/>
        </w:rPr>
        <w:t xml:space="preserve">Business will think and talk differently in the future. Environmental regulation and compliance </w:t>
      </w:r>
      <w:proofErr w:type="gramStart"/>
      <w:r w:rsidRPr="00EC6721">
        <w:rPr>
          <w:rFonts w:ascii="Times New Roman" w:eastAsia="Times New Roman" w:hAnsi="Times New Roman" w:cs="Times New Roman"/>
          <w:lang w:eastAsia="en-GB"/>
        </w:rPr>
        <w:t>is</w:t>
      </w:r>
      <w:proofErr w:type="gramEnd"/>
      <w:r w:rsidRPr="00EC6721">
        <w:rPr>
          <w:rFonts w:ascii="Times New Roman" w:eastAsia="Times New Roman" w:hAnsi="Times New Roman" w:cs="Times New Roman"/>
          <w:lang w:eastAsia="en-GB"/>
        </w:rPr>
        <w:t xml:space="preserve"> the talk of today. Environmental design typically does not fit into current mental models of engineers, scientists, managers and designers. New patterns of thought will emerge as disciplines merge; eco‐design is both a science and an art. Innovation and risk will go hand in hand with the need for certainty. The Earth has been innovative and has already designed many of our future products. The Earth has been recently valued at worth over £20 trillion a year! The business talk of the future will be that “The environment is our most important designer, customer and shareholder”.</w:t>
      </w:r>
    </w:p>
    <w:p w14:paraId="009DF043" w14:textId="0BA1AB7D" w:rsidR="00EC6721" w:rsidRPr="00EC6721" w:rsidRDefault="00EC6721" w:rsidP="00EC6721">
      <w:pPr>
        <w:shd w:val="clear" w:color="auto" w:fill="FFFFFF"/>
        <w:rPr>
          <w:rFonts w:ascii="Times New Roman" w:eastAsia="Times New Roman" w:hAnsi="Times New Roman" w:cs="Times New Roman"/>
          <w:lang w:eastAsia="en-GB"/>
        </w:rPr>
      </w:pPr>
      <w:r w:rsidRPr="00EC6721">
        <w:rPr>
          <w:rFonts w:ascii="Times New Roman" w:eastAsia="Times New Roman" w:hAnsi="Times New Roman" w:cs="Times New Roman"/>
          <w:noProof/>
          <w:color w:val="007377"/>
          <w:lang w:eastAsia="en-GB"/>
        </w:rPr>
        <w:drawing>
          <wp:inline distT="0" distB="0" distL="0" distR="0" wp14:anchorId="2B1DF5A5" wp14:editId="360E7E4E">
            <wp:extent cx="4058920" cy="2733675"/>
            <wp:effectExtent l="0" t="0" r="5080" b="0"/>
            <wp:docPr id="6" name="Picture 6" descr="Figure 1  Shifting minds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Figure 1  Shifting mindse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58920" cy="2733675"/>
                    </a:xfrm>
                    <a:prstGeom prst="rect">
                      <a:avLst/>
                    </a:prstGeom>
                    <a:noFill/>
                    <a:ln>
                      <a:noFill/>
                    </a:ln>
                  </pic:spPr>
                </pic:pic>
              </a:graphicData>
            </a:graphic>
          </wp:inline>
        </w:drawing>
      </w:r>
    </w:p>
    <w:p w14:paraId="4616ECD7" w14:textId="77777777" w:rsidR="00EC6721" w:rsidRPr="00EC6721" w:rsidRDefault="00EC6721" w:rsidP="00EC6721">
      <w:pPr>
        <w:shd w:val="clear" w:color="auto" w:fill="FFFFFF"/>
        <w:spacing w:before="100" w:beforeAutospacing="1"/>
        <w:outlineLvl w:val="2"/>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Figure 1</w:t>
      </w:r>
    </w:p>
    <w:p w14:paraId="7888DE47" w14:textId="77777777" w:rsidR="00EC6721" w:rsidRPr="00EC6721" w:rsidRDefault="00EC6721" w:rsidP="00EC6721">
      <w:pPr>
        <w:shd w:val="clear" w:color="auto" w:fill="FFFFFF"/>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Shifting mindsets</w:t>
      </w:r>
    </w:p>
    <w:p w14:paraId="35C43DDC" w14:textId="127FF1E9" w:rsidR="00EC6721" w:rsidRPr="00EC6721" w:rsidRDefault="00EC6721" w:rsidP="00EC6721">
      <w:pPr>
        <w:shd w:val="clear" w:color="auto" w:fill="FFFFFF"/>
        <w:spacing w:beforeAutospacing="1"/>
        <w:outlineLvl w:val="2"/>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noProof/>
          <w:color w:val="007377"/>
          <w:sz w:val="27"/>
          <w:szCs w:val="27"/>
          <w:lang w:eastAsia="en-GB"/>
        </w:rPr>
        <w:lastRenderedPageBreak/>
        <w:drawing>
          <wp:inline distT="0" distB="0" distL="0" distR="0" wp14:anchorId="3765881E" wp14:editId="6510599D">
            <wp:extent cx="4058920" cy="3228340"/>
            <wp:effectExtent l="0" t="0" r="5080" b="0"/>
            <wp:docPr id="5" name="Picture 5" descr="Figure 2  Merging thinking patter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Figure 2  Merging thinking patter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58920" cy="3228340"/>
                    </a:xfrm>
                    <a:prstGeom prst="rect">
                      <a:avLst/>
                    </a:prstGeom>
                    <a:noFill/>
                    <a:ln>
                      <a:noFill/>
                    </a:ln>
                  </pic:spPr>
                </pic:pic>
              </a:graphicData>
            </a:graphic>
          </wp:inline>
        </w:drawing>
      </w:r>
    </w:p>
    <w:p w14:paraId="4485E256" w14:textId="77777777" w:rsidR="00EC6721" w:rsidRPr="00EC6721" w:rsidRDefault="00EC6721" w:rsidP="00EC6721">
      <w:pPr>
        <w:shd w:val="clear" w:color="auto" w:fill="FFFFFF"/>
        <w:spacing w:before="100" w:beforeAutospacing="1"/>
        <w:outlineLvl w:val="2"/>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Figure 2</w:t>
      </w:r>
    </w:p>
    <w:p w14:paraId="5F48C6AC" w14:textId="77777777" w:rsidR="00EC6721" w:rsidRPr="00EC6721" w:rsidRDefault="00EC6721" w:rsidP="00EC6721">
      <w:pPr>
        <w:shd w:val="clear" w:color="auto" w:fill="FFFFFF"/>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Merging thinking patterns</w:t>
      </w:r>
    </w:p>
    <w:p w14:paraId="05FA8EA1" w14:textId="4271E50F" w:rsidR="00EC6721" w:rsidRPr="00EC6721" w:rsidRDefault="00EC6721" w:rsidP="00EC6721">
      <w:pPr>
        <w:shd w:val="clear" w:color="auto" w:fill="FFFFFF"/>
        <w:spacing w:beforeAutospacing="1"/>
        <w:outlineLvl w:val="2"/>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noProof/>
          <w:color w:val="007377"/>
          <w:sz w:val="27"/>
          <w:szCs w:val="27"/>
          <w:lang w:eastAsia="en-GB"/>
        </w:rPr>
        <w:drawing>
          <wp:inline distT="0" distB="0" distL="0" distR="0" wp14:anchorId="4D23C42F" wp14:editId="3F4ACFBA">
            <wp:extent cx="4058920" cy="2472690"/>
            <wp:effectExtent l="0" t="0" r="5080" b="3810"/>
            <wp:docPr id="4" name="Picture 4" descr="Figure 3  The innovation barr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Figure 3  The innovation barri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58920" cy="2472690"/>
                    </a:xfrm>
                    <a:prstGeom prst="rect">
                      <a:avLst/>
                    </a:prstGeom>
                    <a:noFill/>
                    <a:ln>
                      <a:noFill/>
                    </a:ln>
                  </pic:spPr>
                </pic:pic>
              </a:graphicData>
            </a:graphic>
          </wp:inline>
        </w:drawing>
      </w:r>
    </w:p>
    <w:p w14:paraId="783E574E" w14:textId="77777777" w:rsidR="00EC6721" w:rsidRPr="00EC6721" w:rsidRDefault="00EC6721" w:rsidP="00EC6721">
      <w:pPr>
        <w:shd w:val="clear" w:color="auto" w:fill="FFFFFF"/>
        <w:spacing w:before="100" w:beforeAutospacing="1"/>
        <w:outlineLvl w:val="2"/>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Figure 3</w:t>
      </w:r>
    </w:p>
    <w:p w14:paraId="0AA83A9C" w14:textId="77777777" w:rsidR="00EC6721" w:rsidRPr="00EC6721" w:rsidRDefault="00EC6721" w:rsidP="00EC6721">
      <w:pPr>
        <w:shd w:val="clear" w:color="auto" w:fill="FFFFFF"/>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The innovation barrier</w:t>
      </w:r>
    </w:p>
    <w:p w14:paraId="72DD1C1B" w14:textId="281A9CA1" w:rsidR="00EC6721" w:rsidRPr="00EC6721" w:rsidRDefault="00EC6721" w:rsidP="00EC6721">
      <w:pPr>
        <w:shd w:val="clear" w:color="auto" w:fill="FFFFFF"/>
        <w:spacing w:beforeAutospacing="1"/>
        <w:outlineLvl w:val="2"/>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noProof/>
          <w:color w:val="007377"/>
          <w:sz w:val="27"/>
          <w:szCs w:val="27"/>
          <w:lang w:eastAsia="en-GB"/>
        </w:rPr>
        <w:lastRenderedPageBreak/>
        <w:drawing>
          <wp:inline distT="0" distB="0" distL="0" distR="0" wp14:anchorId="702A1E61" wp14:editId="543C8FD5">
            <wp:extent cx="4058920" cy="1717040"/>
            <wp:effectExtent l="0" t="0" r="5080" b="0"/>
            <wp:docPr id="3" name="Picture 3" descr="Table I  IQ 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 I  IQ tes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58920" cy="1717040"/>
                    </a:xfrm>
                    <a:prstGeom prst="rect">
                      <a:avLst/>
                    </a:prstGeom>
                    <a:noFill/>
                    <a:ln>
                      <a:noFill/>
                    </a:ln>
                  </pic:spPr>
                </pic:pic>
              </a:graphicData>
            </a:graphic>
          </wp:inline>
        </w:drawing>
      </w:r>
    </w:p>
    <w:p w14:paraId="278C22CF" w14:textId="77777777" w:rsidR="00EC6721" w:rsidRPr="00EC6721" w:rsidRDefault="00EC6721" w:rsidP="00EC6721">
      <w:pPr>
        <w:shd w:val="clear" w:color="auto" w:fill="FFFFFF"/>
        <w:spacing w:before="100" w:beforeAutospacing="1"/>
        <w:outlineLvl w:val="2"/>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Table I</w:t>
      </w:r>
    </w:p>
    <w:p w14:paraId="4620215C" w14:textId="77777777" w:rsidR="00EC6721" w:rsidRPr="00EC6721" w:rsidRDefault="00EC6721" w:rsidP="00EC6721">
      <w:pPr>
        <w:shd w:val="clear" w:color="auto" w:fill="FFFFFF"/>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IQ test</w:t>
      </w:r>
    </w:p>
    <w:p w14:paraId="59ACAF2C" w14:textId="6FE71AB1" w:rsidR="00EC6721" w:rsidRPr="00EC6721" w:rsidRDefault="00EC6721" w:rsidP="00EC6721">
      <w:pPr>
        <w:shd w:val="clear" w:color="auto" w:fill="FFFFFF"/>
        <w:spacing w:beforeAutospacing="1"/>
        <w:outlineLvl w:val="2"/>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noProof/>
          <w:color w:val="007377"/>
          <w:sz w:val="27"/>
          <w:szCs w:val="27"/>
          <w:lang w:eastAsia="en-GB"/>
        </w:rPr>
        <w:drawing>
          <wp:inline distT="0" distB="0" distL="0" distR="0" wp14:anchorId="1ADC713E" wp14:editId="3266CBC6">
            <wp:extent cx="4058920" cy="2519045"/>
            <wp:effectExtent l="0" t="0" r="5080" b="0"/>
            <wp:docPr id="2" name="Picture 2" descr="Table III  Three steps towards eco‐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 III  Three steps towards eco‐innova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58920" cy="2519045"/>
                    </a:xfrm>
                    <a:prstGeom prst="rect">
                      <a:avLst/>
                    </a:prstGeom>
                    <a:noFill/>
                    <a:ln>
                      <a:noFill/>
                    </a:ln>
                  </pic:spPr>
                </pic:pic>
              </a:graphicData>
            </a:graphic>
          </wp:inline>
        </w:drawing>
      </w:r>
    </w:p>
    <w:p w14:paraId="50C90246" w14:textId="77777777" w:rsidR="00EC6721" w:rsidRPr="00EC6721" w:rsidRDefault="00EC6721" w:rsidP="00EC6721">
      <w:pPr>
        <w:shd w:val="clear" w:color="auto" w:fill="FFFFFF"/>
        <w:spacing w:before="100" w:beforeAutospacing="1"/>
        <w:outlineLvl w:val="2"/>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Table III</w:t>
      </w:r>
    </w:p>
    <w:p w14:paraId="4A6928B9" w14:textId="77777777" w:rsidR="00EC6721" w:rsidRPr="00EC6721" w:rsidRDefault="00EC6721" w:rsidP="00EC6721">
      <w:pPr>
        <w:shd w:val="clear" w:color="auto" w:fill="FFFFFF"/>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Three steps towards eco‐innovation</w:t>
      </w:r>
    </w:p>
    <w:p w14:paraId="3F4C0D42" w14:textId="211FB074" w:rsidR="00EC6721" w:rsidRPr="00EC6721" w:rsidRDefault="00EC6721" w:rsidP="00EC6721">
      <w:pPr>
        <w:shd w:val="clear" w:color="auto" w:fill="FFFFFF"/>
        <w:spacing w:beforeAutospacing="1"/>
        <w:outlineLvl w:val="2"/>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noProof/>
          <w:color w:val="007377"/>
          <w:sz w:val="27"/>
          <w:szCs w:val="27"/>
          <w:lang w:eastAsia="en-GB"/>
        </w:rPr>
        <w:drawing>
          <wp:inline distT="0" distB="0" distL="0" distR="0" wp14:anchorId="15F110B2" wp14:editId="2CA44C43">
            <wp:extent cx="4058920" cy="1791335"/>
            <wp:effectExtent l="0" t="0" r="5080" b="0"/>
            <wp:docPr id="1" name="Picture 1" descr="Table II  “Seeing” cubic metres: UK and German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 II  “Seeing” cubic metres: UK and German pric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58920" cy="1791335"/>
                    </a:xfrm>
                    <a:prstGeom prst="rect">
                      <a:avLst/>
                    </a:prstGeom>
                    <a:noFill/>
                    <a:ln>
                      <a:noFill/>
                    </a:ln>
                  </pic:spPr>
                </pic:pic>
              </a:graphicData>
            </a:graphic>
          </wp:inline>
        </w:drawing>
      </w:r>
    </w:p>
    <w:p w14:paraId="63A584D3" w14:textId="77777777" w:rsidR="00EC6721" w:rsidRPr="00EC6721" w:rsidRDefault="00EC6721" w:rsidP="00EC6721">
      <w:pPr>
        <w:shd w:val="clear" w:color="auto" w:fill="FFFFFF"/>
        <w:spacing w:before="100" w:beforeAutospacing="1"/>
        <w:outlineLvl w:val="2"/>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Table II</w:t>
      </w:r>
    </w:p>
    <w:p w14:paraId="5FE58969" w14:textId="77777777" w:rsidR="00EC6721" w:rsidRPr="00EC6721" w:rsidRDefault="00EC6721" w:rsidP="00EC6721">
      <w:pPr>
        <w:shd w:val="clear" w:color="auto" w:fill="FFFFFF"/>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“Seeing” cubic metres: UK and German prices</w:t>
      </w:r>
    </w:p>
    <w:p w14:paraId="03D57D88" w14:textId="77777777" w:rsidR="00EC6721" w:rsidRPr="00EC6721" w:rsidRDefault="00EC6721" w:rsidP="00EC6721">
      <w:pPr>
        <w:spacing w:before="100" w:beforeAutospacing="1"/>
        <w:outlineLvl w:val="1"/>
        <w:rPr>
          <w:rFonts w:ascii="Times New Roman" w:eastAsia="Times New Roman" w:hAnsi="Times New Roman" w:cs="Times New Roman"/>
          <w:sz w:val="36"/>
          <w:szCs w:val="36"/>
          <w:lang w:eastAsia="en-GB"/>
        </w:rPr>
      </w:pPr>
      <w:r w:rsidRPr="00EC6721">
        <w:rPr>
          <w:rFonts w:ascii="Times New Roman" w:eastAsia="Times New Roman" w:hAnsi="Times New Roman" w:cs="Times New Roman"/>
          <w:sz w:val="36"/>
          <w:szCs w:val="36"/>
          <w:lang w:eastAsia="en-GB"/>
        </w:rPr>
        <w:lastRenderedPageBreak/>
        <w:t>References</w:t>
      </w:r>
    </w:p>
    <w:p w14:paraId="303D6B9A" w14:textId="77777777" w:rsidR="00EC6721" w:rsidRPr="00EC6721" w:rsidRDefault="00EC6721" w:rsidP="00EC6721">
      <w:pPr>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B&amp;Q (1995, </w:t>
      </w:r>
      <w:r w:rsidRPr="00EC6721">
        <w:rPr>
          <w:rFonts w:ascii="Times New Roman" w:eastAsia="Times New Roman" w:hAnsi="Times New Roman" w:cs="Times New Roman"/>
          <w:b/>
          <w:bCs/>
          <w:i/>
          <w:iCs/>
          <w:sz w:val="27"/>
          <w:szCs w:val="27"/>
          <w:lang w:eastAsia="en-GB"/>
        </w:rPr>
        <w:t>How Green Is My Front Door? B&amp;Q’s Second Environmental Report</w:t>
      </w:r>
      <w:r w:rsidRPr="00EC6721">
        <w:rPr>
          <w:rFonts w:ascii="Times New Roman" w:eastAsia="Times New Roman" w:hAnsi="Times New Roman" w:cs="Times New Roman"/>
          <w:b/>
          <w:bCs/>
          <w:sz w:val="27"/>
          <w:szCs w:val="27"/>
          <w:lang w:eastAsia="en-GB"/>
        </w:rPr>
        <w:t>, Eastleigh, 1995, p. 66.</w:t>
      </w:r>
    </w:p>
    <w:p w14:paraId="3F55B854"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Beard, C.M. and Rees, S (1997, “</w:t>
      </w:r>
      <w:r w:rsidRPr="00EC6721">
        <w:rPr>
          <w:rFonts w:ascii="Times New Roman" w:eastAsia="Times New Roman" w:hAnsi="Times New Roman" w:cs="Times New Roman"/>
          <w:b/>
          <w:bCs/>
          <w:i/>
          <w:iCs/>
          <w:sz w:val="27"/>
          <w:szCs w:val="27"/>
          <w:lang w:eastAsia="en-GB"/>
        </w:rPr>
        <w:t>Green teams and the management of environmental change in Kent County Council</w:t>
      </w:r>
      <w:r w:rsidRPr="00EC6721">
        <w:rPr>
          <w:rFonts w:ascii="Times New Roman" w:eastAsia="Times New Roman" w:hAnsi="Times New Roman" w:cs="Times New Roman"/>
          <w:b/>
          <w:bCs/>
          <w:sz w:val="27"/>
          <w:szCs w:val="27"/>
          <w:lang w:eastAsia="en-GB"/>
        </w:rPr>
        <w:t>”, in Managing Green Team for Competitive Success, Greenleaf Publications, Sheffield.</w:t>
      </w:r>
    </w:p>
    <w:p w14:paraId="568D4FFF"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Brown, M.S. and </w:t>
      </w:r>
      <w:proofErr w:type="spellStart"/>
      <w:r w:rsidRPr="00EC6721">
        <w:rPr>
          <w:rFonts w:ascii="Times New Roman" w:eastAsia="Times New Roman" w:hAnsi="Times New Roman" w:cs="Times New Roman"/>
          <w:b/>
          <w:bCs/>
          <w:sz w:val="27"/>
          <w:szCs w:val="27"/>
          <w:lang w:eastAsia="en-GB"/>
        </w:rPr>
        <w:t>Wilmanns</w:t>
      </w:r>
      <w:proofErr w:type="spellEnd"/>
      <w:r w:rsidRPr="00EC6721">
        <w:rPr>
          <w:rFonts w:ascii="Times New Roman" w:eastAsia="Times New Roman" w:hAnsi="Times New Roman" w:cs="Times New Roman"/>
          <w:b/>
          <w:bCs/>
          <w:sz w:val="27"/>
          <w:szCs w:val="27"/>
          <w:lang w:eastAsia="en-GB"/>
        </w:rPr>
        <w:t>, E. (1997, “</w:t>
      </w:r>
      <w:r w:rsidRPr="00EC6721">
        <w:rPr>
          <w:rFonts w:ascii="Times New Roman" w:eastAsia="Times New Roman" w:hAnsi="Times New Roman" w:cs="Times New Roman"/>
          <w:b/>
          <w:bCs/>
          <w:i/>
          <w:iCs/>
          <w:sz w:val="27"/>
          <w:szCs w:val="27"/>
          <w:lang w:eastAsia="en-GB"/>
        </w:rPr>
        <w:t>Quick and dirty environmental analysis for garments: what do we need to know?</w:t>
      </w:r>
      <w:r w:rsidRPr="00EC6721">
        <w:rPr>
          <w:rFonts w:ascii="Times New Roman" w:eastAsia="Times New Roman" w:hAnsi="Times New Roman" w:cs="Times New Roman"/>
          <w:b/>
          <w:bCs/>
          <w:sz w:val="27"/>
          <w:szCs w:val="27"/>
          <w:lang w:eastAsia="en-GB"/>
        </w:rPr>
        <w:t>”, </w:t>
      </w:r>
      <w:r w:rsidRPr="00EC6721">
        <w:rPr>
          <w:rFonts w:ascii="Times New Roman" w:eastAsia="Times New Roman" w:hAnsi="Times New Roman" w:cs="Times New Roman"/>
          <w:b/>
          <w:bCs/>
          <w:i/>
          <w:iCs/>
          <w:sz w:val="27"/>
          <w:szCs w:val="27"/>
          <w:lang w:eastAsia="en-GB"/>
        </w:rPr>
        <w:t>The Journal of Sustainable Product Design</w:t>
      </w:r>
      <w:r w:rsidRPr="00EC6721">
        <w:rPr>
          <w:rFonts w:ascii="Times New Roman" w:eastAsia="Times New Roman" w:hAnsi="Times New Roman" w:cs="Times New Roman"/>
          <w:b/>
          <w:bCs/>
          <w:sz w:val="27"/>
          <w:szCs w:val="27"/>
          <w:lang w:eastAsia="en-GB"/>
        </w:rPr>
        <w:t>, Vol. 1 No. 1, April, pp. 28‐35.</w:t>
      </w:r>
    </w:p>
    <w:p w14:paraId="0642CF8B"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Cramer, J. (1997, “</w:t>
      </w:r>
      <w:r w:rsidRPr="00EC6721">
        <w:rPr>
          <w:rFonts w:ascii="Times New Roman" w:eastAsia="Times New Roman" w:hAnsi="Times New Roman" w:cs="Times New Roman"/>
          <w:b/>
          <w:bCs/>
          <w:i/>
          <w:iCs/>
          <w:sz w:val="27"/>
          <w:szCs w:val="27"/>
          <w:lang w:eastAsia="en-GB"/>
        </w:rPr>
        <w:t>Towards innovative, more eco‐efficient product design strategies</w:t>
      </w:r>
      <w:r w:rsidRPr="00EC6721">
        <w:rPr>
          <w:rFonts w:ascii="Times New Roman" w:eastAsia="Times New Roman" w:hAnsi="Times New Roman" w:cs="Times New Roman"/>
          <w:b/>
          <w:bCs/>
          <w:sz w:val="27"/>
          <w:szCs w:val="27"/>
          <w:lang w:eastAsia="en-GB"/>
        </w:rPr>
        <w:t>”, </w:t>
      </w:r>
      <w:r w:rsidRPr="00EC6721">
        <w:rPr>
          <w:rFonts w:ascii="Times New Roman" w:eastAsia="Times New Roman" w:hAnsi="Times New Roman" w:cs="Times New Roman"/>
          <w:b/>
          <w:bCs/>
          <w:i/>
          <w:iCs/>
          <w:sz w:val="27"/>
          <w:szCs w:val="27"/>
          <w:lang w:eastAsia="en-GB"/>
        </w:rPr>
        <w:t>The Journal of Sustainable Product Design</w:t>
      </w:r>
      <w:r w:rsidRPr="00EC6721">
        <w:rPr>
          <w:rFonts w:ascii="Times New Roman" w:eastAsia="Times New Roman" w:hAnsi="Times New Roman" w:cs="Times New Roman"/>
          <w:b/>
          <w:bCs/>
          <w:sz w:val="27"/>
          <w:szCs w:val="27"/>
          <w:lang w:eastAsia="en-GB"/>
        </w:rPr>
        <w:t>, Vol. 1 No. 1, April, pp. 7‐16.</w:t>
      </w:r>
    </w:p>
    <w:p w14:paraId="4C20BC2C"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de Bono, E. (1996, in Pickard, J., “A fertile grounding”, </w:t>
      </w:r>
      <w:proofErr w:type="spellStart"/>
      <w:r w:rsidRPr="00EC6721">
        <w:rPr>
          <w:rFonts w:ascii="Times New Roman" w:eastAsia="Times New Roman" w:hAnsi="Times New Roman" w:cs="Times New Roman"/>
          <w:b/>
          <w:bCs/>
          <w:sz w:val="27"/>
          <w:szCs w:val="27"/>
          <w:lang w:eastAsia="en-GB"/>
        </w:rPr>
        <w:t>eople</w:t>
      </w:r>
      <w:proofErr w:type="spellEnd"/>
      <w:r w:rsidRPr="00EC6721">
        <w:rPr>
          <w:rFonts w:ascii="Times New Roman" w:eastAsia="Times New Roman" w:hAnsi="Times New Roman" w:cs="Times New Roman"/>
          <w:b/>
          <w:bCs/>
          <w:sz w:val="27"/>
          <w:szCs w:val="27"/>
          <w:lang w:eastAsia="en-GB"/>
        </w:rPr>
        <w:t xml:space="preserve"> Management, Vol. 2 No. 21, 24 October, p. 34.</w:t>
      </w:r>
    </w:p>
    <w:p w14:paraId="1EDFB210"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Dermody, J. and Hammer‐Lloyd, S. (1996, “</w:t>
      </w:r>
      <w:r w:rsidRPr="00EC6721">
        <w:rPr>
          <w:rFonts w:ascii="Times New Roman" w:eastAsia="Times New Roman" w:hAnsi="Times New Roman" w:cs="Times New Roman"/>
          <w:b/>
          <w:bCs/>
          <w:i/>
          <w:iCs/>
          <w:sz w:val="27"/>
          <w:szCs w:val="27"/>
          <w:lang w:eastAsia="en-GB"/>
        </w:rPr>
        <w:t>Greening new product development: the pathway to corporate environmental excellence</w:t>
      </w:r>
      <w:r w:rsidRPr="00EC6721">
        <w:rPr>
          <w:rFonts w:ascii="Times New Roman" w:eastAsia="Times New Roman" w:hAnsi="Times New Roman" w:cs="Times New Roman"/>
          <w:b/>
          <w:bCs/>
          <w:sz w:val="27"/>
          <w:szCs w:val="27"/>
          <w:lang w:eastAsia="en-GB"/>
        </w:rPr>
        <w:t>”, in McDonagh, P. and Prothero, A. (Eds), </w:t>
      </w:r>
      <w:r w:rsidRPr="00EC6721">
        <w:rPr>
          <w:rFonts w:ascii="Times New Roman" w:eastAsia="Times New Roman" w:hAnsi="Times New Roman" w:cs="Times New Roman"/>
          <w:b/>
          <w:bCs/>
          <w:i/>
          <w:iCs/>
          <w:sz w:val="27"/>
          <w:szCs w:val="27"/>
          <w:lang w:eastAsia="en-GB"/>
        </w:rPr>
        <w:t>Green Management</w:t>
      </w:r>
      <w:r w:rsidRPr="00EC6721">
        <w:rPr>
          <w:rFonts w:ascii="Times New Roman" w:eastAsia="Times New Roman" w:hAnsi="Times New Roman" w:cs="Times New Roman"/>
          <w:b/>
          <w:bCs/>
          <w:sz w:val="27"/>
          <w:szCs w:val="27"/>
          <w:lang w:eastAsia="en-GB"/>
        </w:rPr>
        <w:t>, Dryden Press, pp. 367‐82.</w:t>
      </w:r>
    </w:p>
    <w:p w14:paraId="06BECDA2"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DTAG (Deutsche Telekom AG, Environmental Affairs Office) (1995, </w:t>
      </w:r>
      <w:r w:rsidRPr="00EC6721">
        <w:rPr>
          <w:rFonts w:ascii="Times New Roman" w:eastAsia="Times New Roman" w:hAnsi="Times New Roman" w:cs="Times New Roman"/>
          <w:b/>
          <w:bCs/>
          <w:i/>
          <w:iCs/>
          <w:sz w:val="27"/>
          <w:szCs w:val="27"/>
          <w:lang w:eastAsia="en-GB"/>
        </w:rPr>
        <w:t>Deutsche Telekom’s Environmental Management System</w:t>
      </w:r>
      <w:r w:rsidRPr="00EC6721">
        <w:rPr>
          <w:rFonts w:ascii="Times New Roman" w:eastAsia="Times New Roman" w:hAnsi="Times New Roman" w:cs="Times New Roman"/>
          <w:b/>
          <w:bCs/>
          <w:sz w:val="27"/>
          <w:szCs w:val="27"/>
          <w:lang w:eastAsia="en-GB"/>
        </w:rPr>
        <w:t>, Darmstadt, 1995, pp 24‐5.</w:t>
      </w:r>
    </w:p>
    <w:p w14:paraId="60E36DB5"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proofErr w:type="spellStart"/>
      <w:r w:rsidRPr="00EC6721">
        <w:rPr>
          <w:rFonts w:ascii="Times New Roman" w:eastAsia="Times New Roman" w:hAnsi="Times New Roman" w:cs="Times New Roman"/>
          <w:b/>
          <w:bCs/>
          <w:sz w:val="27"/>
          <w:szCs w:val="27"/>
          <w:lang w:eastAsia="en-GB"/>
        </w:rPr>
        <w:t>Graedel</w:t>
      </w:r>
      <w:proofErr w:type="spellEnd"/>
      <w:r w:rsidRPr="00EC6721">
        <w:rPr>
          <w:rFonts w:ascii="Times New Roman" w:eastAsia="Times New Roman" w:hAnsi="Times New Roman" w:cs="Times New Roman"/>
          <w:b/>
          <w:bCs/>
          <w:sz w:val="27"/>
          <w:szCs w:val="27"/>
          <w:lang w:eastAsia="en-GB"/>
        </w:rPr>
        <w:t>, T.E., Allenby, B.R. and Comrie, P.R. (1995, “</w:t>
      </w:r>
      <w:r w:rsidRPr="00EC6721">
        <w:rPr>
          <w:rFonts w:ascii="Times New Roman" w:eastAsia="Times New Roman" w:hAnsi="Times New Roman" w:cs="Times New Roman"/>
          <w:b/>
          <w:bCs/>
          <w:i/>
          <w:iCs/>
          <w:sz w:val="27"/>
          <w:szCs w:val="27"/>
          <w:lang w:eastAsia="en-GB"/>
        </w:rPr>
        <w:t>Matrix approaches to abridged life cycle assessment</w:t>
      </w:r>
      <w:r w:rsidRPr="00EC6721">
        <w:rPr>
          <w:rFonts w:ascii="Times New Roman" w:eastAsia="Times New Roman" w:hAnsi="Times New Roman" w:cs="Times New Roman"/>
          <w:b/>
          <w:bCs/>
          <w:sz w:val="27"/>
          <w:szCs w:val="27"/>
          <w:lang w:eastAsia="en-GB"/>
        </w:rPr>
        <w:t>”, </w:t>
      </w:r>
      <w:r w:rsidRPr="00EC6721">
        <w:rPr>
          <w:rFonts w:ascii="Times New Roman" w:eastAsia="Times New Roman" w:hAnsi="Times New Roman" w:cs="Times New Roman"/>
          <w:b/>
          <w:bCs/>
          <w:i/>
          <w:iCs/>
          <w:sz w:val="27"/>
          <w:szCs w:val="27"/>
          <w:lang w:eastAsia="en-GB"/>
        </w:rPr>
        <w:t>Environmental Science &amp; Technology</w:t>
      </w:r>
      <w:r w:rsidRPr="00EC6721">
        <w:rPr>
          <w:rFonts w:ascii="Times New Roman" w:eastAsia="Times New Roman" w:hAnsi="Times New Roman" w:cs="Times New Roman"/>
          <w:b/>
          <w:bCs/>
          <w:sz w:val="27"/>
          <w:szCs w:val="27"/>
          <w:lang w:eastAsia="en-GB"/>
        </w:rPr>
        <w:t>, Vol. 29 No. 3.</w:t>
      </w:r>
    </w:p>
    <w:p w14:paraId="0FF498E4"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Greenpeace (1997, </w:t>
      </w:r>
      <w:r w:rsidRPr="00EC6721">
        <w:rPr>
          <w:rFonts w:ascii="Times New Roman" w:eastAsia="Times New Roman" w:hAnsi="Times New Roman" w:cs="Times New Roman"/>
          <w:b/>
          <w:bCs/>
          <w:i/>
          <w:iCs/>
          <w:sz w:val="27"/>
          <w:szCs w:val="27"/>
          <w:lang w:eastAsia="en-GB"/>
        </w:rPr>
        <w:t>Putting the Lid on Fossil Fuels</w:t>
      </w:r>
      <w:r w:rsidRPr="00EC6721">
        <w:rPr>
          <w:rFonts w:ascii="Times New Roman" w:eastAsia="Times New Roman" w:hAnsi="Times New Roman" w:cs="Times New Roman"/>
          <w:b/>
          <w:bCs/>
          <w:sz w:val="27"/>
          <w:szCs w:val="27"/>
          <w:lang w:eastAsia="en-GB"/>
        </w:rPr>
        <w:t>, Greenpeace, London.</w:t>
      </w:r>
    </w:p>
    <w:p w14:paraId="359A1807"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Hartmann, R. (1997, “</w:t>
      </w:r>
      <w:r w:rsidRPr="00EC6721">
        <w:rPr>
          <w:rFonts w:ascii="Times New Roman" w:eastAsia="Times New Roman" w:hAnsi="Times New Roman" w:cs="Times New Roman"/>
          <w:b/>
          <w:bCs/>
          <w:i/>
          <w:iCs/>
          <w:sz w:val="27"/>
          <w:szCs w:val="27"/>
          <w:lang w:eastAsia="en-GB"/>
        </w:rPr>
        <w:t>Environmental management and controlling in European telecommunication enterprises</w:t>
      </w:r>
      <w:r w:rsidRPr="00EC6721">
        <w:rPr>
          <w:rFonts w:ascii="Times New Roman" w:eastAsia="Times New Roman" w:hAnsi="Times New Roman" w:cs="Times New Roman"/>
          <w:b/>
          <w:bCs/>
          <w:sz w:val="27"/>
          <w:szCs w:val="27"/>
          <w:lang w:eastAsia="en-GB"/>
        </w:rPr>
        <w:t>”, </w:t>
      </w:r>
      <w:proofErr w:type="spellStart"/>
      <w:r w:rsidRPr="00EC6721">
        <w:rPr>
          <w:rFonts w:ascii="Times New Roman" w:eastAsia="Times New Roman" w:hAnsi="Times New Roman" w:cs="Times New Roman"/>
          <w:b/>
          <w:bCs/>
          <w:sz w:val="27"/>
          <w:szCs w:val="27"/>
          <w:lang w:eastAsia="en-GB"/>
        </w:rPr>
        <w:t>Diplomarbeit</w:t>
      </w:r>
      <w:proofErr w:type="spellEnd"/>
      <w:r w:rsidRPr="00EC6721">
        <w:rPr>
          <w:rFonts w:ascii="Times New Roman" w:eastAsia="Times New Roman" w:hAnsi="Times New Roman" w:cs="Times New Roman"/>
          <w:b/>
          <w:bCs/>
          <w:sz w:val="27"/>
          <w:szCs w:val="27"/>
          <w:lang w:eastAsia="en-GB"/>
        </w:rPr>
        <w:t xml:space="preserve"> (Master’s Thesis), University of Fulda.</w:t>
      </w:r>
    </w:p>
    <w:p w14:paraId="73989D08"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Internet (1996, </w:t>
      </w:r>
      <w:hyperlink r:id="rId17" w:tgtFrame="_blank" w:history="1">
        <w:r w:rsidRPr="00EC6721">
          <w:rPr>
            <w:rFonts w:ascii="Times New Roman" w:eastAsia="Times New Roman" w:hAnsi="Times New Roman" w:cs="Times New Roman"/>
            <w:color w:val="007377"/>
            <w:sz w:val="27"/>
            <w:szCs w:val="27"/>
            <w:lang w:eastAsia="en-GB"/>
          </w:rPr>
          <w:t>http://www.icbl.hw..../</w:t>
        </w:r>
        <w:r w:rsidRPr="00EC6721">
          <w:rPr>
            <w:rFonts w:ascii="Cambria Math" w:eastAsia="Times New Roman" w:hAnsi="Cambria Math" w:cs="Cambria Math"/>
            <w:color w:val="007377"/>
            <w:sz w:val="27"/>
            <w:szCs w:val="27"/>
            <w:lang w:eastAsia="en-GB"/>
          </w:rPr>
          <w:t>∼</w:t>
        </w:r>
        <w:r w:rsidRPr="00EC6721">
          <w:rPr>
            <w:rFonts w:ascii="Times New Roman" w:eastAsia="Times New Roman" w:hAnsi="Times New Roman" w:cs="Times New Roman"/>
            <w:color w:val="007377"/>
            <w:sz w:val="27"/>
            <w:szCs w:val="27"/>
            <w:lang w:eastAsia="en-GB"/>
          </w:rPr>
          <w:t>cjs/trabinfo.html</w:t>
        </w:r>
      </w:hyperlink>
      <w:r w:rsidRPr="00EC6721">
        <w:rPr>
          <w:rFonts w:ascii="Times New Roman" w:eastAsia="Times New Roman" w:hAnsi="Times New Roman" w:cs="Times New Roman"/>
          <w:b/>
          <w:bCs/>
          <w:sz w:val="27"/>
          <w:szCs w:val="27"/>
          <w:lang w:eastAsia="en-GB"/>
        </w:rPr>
        <w:t>, 17 October, p. 1.</w:t>
      </w:r>
    </w:p>
    <w:p w14:paraId="40CD299A"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 xml:space="preserve">Local Authorities of </w:t>
      </w:r>
      <w:proofErr w:type="spellStart"/>
      <w:r w:rsidRPr="00EC6721">
        <w:rPr>
          <w:rFonts w:ascii="Times New Roman" w:eastAsia="Times New Roman" w:hAnsi="Times New Roman" w:cs="Times New Roman"/>
          <w:b/>
          <w:bCs/>
          <w:sz w:val="27"/>
          <w:szCs w:val="27"/>
          <w:lang w:eastAsia="en-GB"/>
        </w:rPr>
        <w:t>Alsbach‐Haehnlein</w:t>
      </w:r>
      <w:proofErr w:type="spellEnd"/>
      <w:r w:rsidRPr="00EC6721">
        <w:rPr>
          <w:rFonts w:ascii="Times New Roman" w:eastAsia="Times New Roman" w:hAnsi="Times New Roman" w:cs="Times New Roman"/>
          <w:b/>
          <w:bCs/>
          <w:sz w:val="27"/>
          <w:szCs w:val="27"/>
          <w:lang w:eastAsia="en-GB"/>
        </w:rPr>
        <w:t xml:space="preserve">, (1992, Germany, </w:t>
      </w:r>
      <w:proofErr w:type="spellStart"/>
      <w:r w:rsidRPr="00EC6721">
        <w:rPr>
          <w:rFonts w:ascii="Times New Roman" w:eastAsia="Times New Roman" w:hAnsi="Times New Roman" w:cs="Times New Roman"/>
          <w:b/>
          <w:bCs/>
          <w:sz w:val="27"/>
          <w:szCs w:val="27"/>
          <w:lang w:eastAsia="en-GB"/>
        </w:rPr>
        <w:t>Abwassersatzung</w:t>
      </w:r>
      <w:proofErr w:type="spellEnd"/>
      <w:r w:rsidRPr="00EC6721">
        <w:rPr>
          <w:rFonts w:ascii="Times New Roman" w:eastAsia="Times New Roman" w:hAnsi="Times New Roman" w:cs="Times New Roman"/>
          <w:b/>
          <w:bCs/>
          <w:sz w:val="27"/>
          <w:szCs w:val="27"/>
          <w:lang w:eastAsia="en-GB"/>
        </w:rPr>
        <w:t xml:space="preserve"> der </w:t>
      </w:r>
      <w:proofErr w:type="spellStart"/>
      <w:r w:rsidRPr="00EC6721">
        <w:rPr>
          <w:rFonts w:ascii="Times New Roman" w:eastAsia="Times New Roman" w:hAnsi="Times New Roman" w:cs="Times New Roman"/>
          <w:b/>
          <w:bCs/>
          <w:sz w:val="27"/>
          <w:szCs w:val="27"/>
          <w:lang w:eastAsia="en-GB"/>
        </w:rPr>
        <w:t>Gemeinde</w:t>
      </w:r>
      <w:proofErr w:type="spellEnd"/>
      <w:r w:rsidRPr="00EC6721">
        <w:rPr>
          <w:rFonts w:ascii="Times New Roman" w:eastAsia="Times New Roman" w:hAnsi="Times New Roman" w:cs="Times New Roman"/>
          <w:b/>
          <w:bCs/>
          <w:sz w:val="27"/>
          <w:szCs w:val="27"/>
          <w:lang w:eastAsia="en-GB"/>
        </w:rPr>
        <w:t xml:space="preserve"> </w:t>
      </w:r>
      <w:proofErr w:type="spellStart"/>
      <w:r w:rsidRPr="00EC6721">
        <w:rPr>
          <w:rFonts w:ascii="Times New Roman" w:eastAsia="Times New Roman" w:hAnsi="Times New Roman" w:cs="Times New Roman"/>
          <w:b/>
          <w:bCs/>
          <w:sz w:val="27"/>
          <w:szCs w:val="27"/>
          <w:lang w:eastAsia="en-GB"/>
        </w:rPr>
        <w:t>Alsbach‐Hähnlein</w:t>
      </w:r>
      <w:proofErr w:type="spellEnd"/>
      <w:r w:rsidRPr="00EC6721">
        <w:rPr>
          <w:rFonts w:ascii="Times New Roman" w:eastAsia="Times New Roman" w:hAnsi="Times New Roman" w:cs="Times New Roman"/>
          <w:b/>
          <w:bCs/>
          <w:sz w:val="27"/>
          <w:szCs w:val="27"/>
          <w:lang w:eastAsia="en-GB"/>
        </w:rPr>
        <w:t>.</w:t>
      </w:r>
    </w:p>
    <w:p w14:paraId="19C1CFCA"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The Open University (1996, </w:t>
      </w:r>
      <w:r w:rsidRPr="00EC6721">
        <w:rPr>
          <w:rFonts w:ascii="Times New Roman" w:eastAsia="Times New Roman" w:hAnsi="Times New Roman" w:cs="Times New Roman"/>
          <w:b/>
          <w:bCs/>
          <w:i/>
          <w:iCs/>
          <w:sz w:val="27"/>
          <w:szCs w:val="27"/>
          <w:lang w:eastAsia="en-GB"/>
        </w:rPr>
        <w:t>Renewable Energy</w:t>
      </w:r>
      <w:r w:rsidRPr="00EC6721">
        <w:rPr>
          <w:rFonts w:ascii="Times New Roman" w:eastAsia="Times New Roman" w:hAnsi="Times New Roman" w:cs="Times New Roman"/>
          <w:b/>
          <w:bCs/>
          <w:sz w:val="27"/>
          <w:szCs w:val="27"/>
          <w:lang w:eastAsia="en-GB"/>
        </w:rPr>
        <w:t>, BBC2, 27 November.</w:t>
      </w:r>
    </w:p>
    <w:p w14:paraId="3B4D3FDD"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lastRenderedPageBreak/>
        <w:t>Pickard, J., (1996, “</w:t>
      </w:r>
      <w:r w:rsidRPr="00EC6721">
        <w:rPr>
          <w:rFonts w:ascii="Times New Roman" w:eastAsia="Times New Roman" w:hAnsi="Times New Roman" w:cs="Times New Roman"/>
          <w:b/>
          <w:bCs/>
          <w:i/>
          <w:iCs/>
          <w:sz w:val="27"/>
          <w:szCs w:val="27"/>
          <w:lang w:eastAsia="en-GB"/>
        </w:rPr>
        <w:t>A fertile grounding</w:t>
      </w:r>
      <w:r w:rsidRPr="00EC6721">
        <w:rPr>
          <w:rFonts w:ascii="Times New Roman" w:eastAsia="Times New Roman" w:hAnsi="Times New Roman" w:cs="Times New Roman"/>
          <w:b/>
          <w:bCs/>
          <w:sz w:val="27"/>
          <w:szCs w:val="27"/>
          <w:lang w:eastAsia="en-GB"/>
        </w:rPr>
        <w:t>”, </w:t>
      </w:r>
      <w:r w:rsidRPr="00EC6721">
        <w:rPr>
          <w:rFonts w:ascii="Times New Roman" w:eastAsia="Times New Roman" w:hAnsi="Times New Roman" w:cs="Times New Roman"/>
          <w:b/>
          <w:bCs/>
          <w:i/>
          <w:iCs/>
          <w:sz w:val="27"/>
          <w:szCs w:val="27"/>
          <w:lang w:eastAsia="en-GB"/>
        </w:rPr>
        <w:t>People Management</w:t>
      </w:r>
      <w:r w:rsidRPr="00EC6721">
        <w:rPr>
          <w:rFonts w:ascii="Times New Roman" w:eastAsia="Times New Roman" w:hAnsi="Times New Roman" w:cs="Times New Roman"/>
          <w:b/>
          <w:bCs/>
          <w:sz w:val="27"/>
          <w:szCs w:val="27"/>
          <w:lang w:eastAsia="en-GB"/>
        </w:rPr>
        <w:t>, Vol. 2 No. 21, 24October, pp. 28‐37.</w:t>
      </w:r>
    </w:p>
    <w:p w14:paraId="1D97E611"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Porter, M.E. and van der Linde, C. (1995, “</w:t>
      </w:r>
      <w:r w:rsidRPr="00EC6721">
        <w:rPr>
          <w:rFonts w:ascii="Times New Roman" w:eastAsia="Times New Roman" w:hAnsi="Times New Roman" w:cs="Times New Roman"/>
          <w:b/>
          <w:bCs/>
          <w:i/>
          <w:iCs/>
          <w:sz w:val="27"/>
          <w:szCs w:val="27"/>
          <w:lang w:eastAsia="en-GB"/>
        </w:rPr>
        <w:t>Green and competitive</w:t>
      </w:r>
      <w:r w:rsidRPr="00EC6721">
        <w:rPr>
          <w:rFonts w:ascii="Times New Roman" w:eastAsia="Times New Roman" w:hAnsi="Times New Roman" w:cs="Times New Roman"/>
          <w:b/>
          <w:bCs/>
          <w:sz w:val="27"/>
          <w:szCs w:val="27"/>
          <w:lang w:eastAsia="en-GB"/>
        </w:rPr>
        <w:t>”, </w:t>
      </w:r>
      <w:r w:rsidRPr="00EC6721">
        <w:rPr>
          <w:rFonts w:ascii="Times New Roman" w:eastAsia="Times New Roman" w:hAnsi="Times New Roman" w:cs="Times New Roman"/>
          <w:b/>
          <w:bCs/>
          <w:i/>
          <w:iCs/>
          <w:sz w:val="27"/>
          <w:szCs w:val="27"/>
          <w:lang w:eastAsia="en-GB"/>
        </w:rPr>
        <w:t>Harvard Business Review</w:t>
      </w:r>
      <w:r w:rsidRPr="00EC6721">
        <w:rPr>
          <w:rFonts w:ascii="Times New Roman" w:eastAsia="Times New Roman" w:hAnsi="Times New Roman" w:cs="Times New Roman"/>
          <w:b/>
          <w:bCs/>
          <w:sz w:val="27"/>
          <w:szCs w:val="27"/>
          <w:lang w:eastAsia="en-GB"/>
        </w:rPr>
        <w:t>, September/October, pp. 120‐34.</w:t>
      </w:r>
    </w:p>
    <w:p w14:paraId="6761D96A"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proofErr w:type="spellStart"/>
      <w:r w:rsidRPr="00EC6721">
        <w:rPr>
          <w:rFonts w:ascii="Times New Roman" w:eastAsia="Times New Roman" w:hAnsi="Times New Roman" w:cs="Times New Roman"/>
          <w:b/>
          <w:bCs/>
          <w:sz w:val="27"/>
          <w:szCs w:val="27"/>
          <w:lang w:eastAsia="en-GB"/>
        </w:rPr>
        <w:t>Stahlmann</w:t>
      </w:r>
      <w:proofErr w:type="spellEnd"/>
      <w:r w:rsidRPr="00EC6721">
        <w:rPr>
          <w:rFonts w:ascii="Times New Roman" w:eastAsia="Times New Roman" w:hAnsi="Times New Roman" w:cs="Times New Roman"/>
          <w:b/>
          <w:bCs/>
          <w:sz w:val="27"/>
          <w:szCs w:val="27"/>
          <w:lang w:eastAsia="en-GB"/>
        </w:rPr>
        <w:t>, V. (1993, “</w:t>
      </w:r>
      <w:r w:rsidRPr="00EC6721">
        <w:rPr>
          <w:rFonts w:ascii="Times New Roman" w:eastAsia="Times New Roman" w:hAnsi="Times New Roman" w:cs="Times New Roman"/>
          <w:b/>
          <w:bCs/>
          <w:i/>
          <w:iCs/>
          <w:sz w:val="27"/>
          <w:szCs w:val="27"/>
          <w:lang w:eastAsia="en-GB"/>
        </w:rPr>
        <w:t xml:space="preserve">Die </w:t>
      </w:r>
      <w:proofErr w:type="spellStart"/>
      <w:r w:rsidRPr="00EC6721">
        <w:rPr>
          <w:rFonts w:ascii="Times New Roman" w:eastAsia="Times New Roman" w:hAnsi="Times New Roman" w:cs="Times New Roman"/>
          <w:b/>
          <w:bCs/>
          <w:i/>
          <w:iCs/>
          <w:sz w:val="27"/>
          <w:szCs w:val="27"/>
          <w:lang w:eastAsia="en-GB"/>
        </w:rPr>
        <w:t>Methode</w:t>
      </w:r>
      <w:proofErr w:type="spellEnd"/>
      <w:r w:rsidRPr="00EC6721">
        <w:rPr>
          <w:rFonts w:ascii="Times New Roman" w:eastAsia="Times New Roman" w:hAnsi="Times New Roman" w:cs="Times New Roman"/>
          <w:b/>
          <w:bCs/>
          <w:i/>
          <w:iCs/>
          <w:sz w:val="27"/>
          <w:szCs w:val="27"/>
          <w:lang w:eastAsia="en-GB"/>
        </w:rPr>
        <w:t xml:space="preserve"> der ABC‐/XYZ </w:t>
      </w:r>
      <w:proofErr w:type="spellStart"/>
      <w:r w:rsidRPr="00EC6721">
        <w:rPr>
          <w:rFonts w:ascii="Times New Roman" w:eastAsia="Times New Roman" w:hAnsi="Times New Roman" w:cs="Times New Roman"/>
          <w:b/>
          <w:bCs/>
          <w:i/>
          <w:iCs/>
          <w:sz w:val="27"/>
          <w:szCs w:val="27"/>
          <w:lang w:eastAsia="en-GB"/>
        </w:rPr>
        <w:t>Bewertung</w:t>
      </w:r>
      <w:proofErr w:type="spellEnd"/>
      <w:r w:rsidRPr="00EC6721">
        <w:rPr>
          <w:rFonts w:ascii="Times New Roman" w:eastAsia="Times New Roman" w:hAnsi="Times New Roman" w:cs="Times New Roman"/>
          <w:b/>
          <w:bCs/>
          <w:sz w:val="27"/>
          <w:szCs w:val="27"/>
          <w:lang w:eastAsia="en-GB"/>
        </w:rPr>
        <w:t>”, in Beck, M. (Ed.), </w:t>
      </w:r>
      <w:proofErr w:type="spellStart"/>
      <w:r w:rsidRPr="00EC6721">
        <w:rPr>
          <w:rFonts w:ascii="Times New Roman" w:eastAsia="Times New Roman" w:hAnsi="Times New Roman" w:cs="Times New Roman"/>
          <w:b/>
          <w:bCs/>
          <w:i/>
          <w:iCs/>
          <w:sz w:val="27"/>
          <w:szCs w:val="27"/>
          <w:lang w:eastAsia="en-GB"/>
        </w:rPr>
        <w:t>Oekobilanzierung</w:t>
      </w:r>
      <w:proofErr w:type="spellEnd"/>
      <w:r w:rsidRPr="00EC6721">
        <w:rPr>
          <w:rFonts w:ascii="Times New Roman" w:eastAsia="Times New Roman" w:hAnsi="Times New Roman" w:cs="Times New Roman"/>
          <w:b/>
          <w:bCs/>
          <w:i/>
          <w:iCs/>
          <w:sz w:val="27"/>
          <w:szCs w:val="27"/>
          <w:lang w:eastAsia="en-GB"/>
        </w:rPr>
        <w:t xml:space="preserve"> </w:t>
      </w:r>
      <w:proofErr w:type="spellStart"/>
      <w:r w:rsidRPr="00EC6721">
        <w:rPr>
          <w:rFonts w:ascii="Times New Roman" w:eastAsia="Times New Roman" w:hAnsi="Times New Roman" w:cs="Times New Roman"/>
          <w:b/>
          <w:bCs/>
          <w:i/>
          <w:iCs/>
          <w:sz w:val="27"/>
          <w:szCs w:val="27"/>
          <w:lang w:eastAsia="en-GB"/>
        </w:rPr>
        <w:t>im</w:t>
      </w:r>
      <w:proofErr w:type="spellEnd"/>
      <w:r w:rsidRPr="00EC6721">
        <w:rPr>
          <w:rFonts w:ascii="Times New Roman" w:eastAsia="Times New Roman" w:hAnsi="Times New Roman" w:cs="Times New Roman"/>
          <w:b/>
          <w:bCs/>
          <w:i/>
          <w:iCs/>
          <w:sz w:val="27"/>
          <w:szCs w:val="27"/>
          <w:lang w:eastAsia="en-GB"/>
        </w:rPr>
        <w:t xml:space="preserve"> </w:t>
      </w:r>
      <w:proofErr w:type="spellStart"/>
      <w:r w:rsidRPr="00EC6721">
        <w:rPr>
          <w:rFonts w:ascii="Times New Roman" w:eastAsia="Times New Roman" w:hAnsi="Times New Roman" w:cs="Times New Roman"/>
          <w:b/>
          <w:bCs/>
          <w:i/>
          <w:iCs/>
          <w:sz w:val="27"/>
          <w:szCs w:val="27"/>
          <w:lang w:eastAsia="en-GB"/>
        </w:rPr>
        <w:t>betrieblichen</w:t>
      </w:r>
      <w:proofErr w:type="spellEnd"/>
      <w:r w:rsidRPr="00EC6721">
        <w:rPr>
          <w:rFonts w:ascii="Times New Roman" w:eastAsia="Times New Roman" w:hAnsi="Times New Roman" w:cs="Times New Roman"/>
          <w:b/>
          <w:bCs/>
          <w:i/>
          <w:iCs/>
          <w:sz w:val="27"/>
          <w:szCs w:val="27"/>
          <w:lang w:eastAsia="en-GB"/>
        </w:rPr>
        <w:t xml:space="preserve"> Management</w:t>
      </w:r>
      <w:r w:rsidRPr="00EC6721">
        <w:rPr>
          <w:rFonts w:ascii="Times New Roman" w:eastAsia="Times New Roman" w:hAnsi="Times New Roman" w:cs="Times New Roman"/>
          <w:b/>
          <w:bCs/>
          <w:sz w:val="27"/>
          <w:szCs w:val="27"/>
          <w:lang w:eastAsia="en-GB"/>
        </w:rPr>
        <w:t>, Vogel Verlag, </w:t>
      </w:r>
      <w:proofErr w:type="spellStart"/>
      <w:r w:rsidRPr="00EC6721">
        <w:rPr>
          <w:rFonts w:ascii="Times New Roman" w:eastAsia="Times New Roman" w:hAnsi="Times New Roman" w:cs="Times New Roman"/>
          <w:b/>
          <w:bCs/>
          <w:sz w:val="27"/>
          <w:szCs w:val="27"/>
          <w:lang w:eastAsia="en-GB"/>
        </w:rPr>
        <w:t>Wuerzburg</w:t>
      </w:r>
      <w:proofErr w:type="spellEnd"/>
      <w:r w:rsidRPr="00EC6721">
        <w:rPr>
          <w:rFonts w:ascii="Times New Roman" w:eastAsia="Times New Roman" w:hAnsi="Times New Roman" w:cs="Times New Roman"/>
          <w:b/>
          <w:bCs/>
          <w:sz w:val="27"/>
          <w:szCs w:val="27"/>
          <w:lang w:eastAsia="en-GB"/>
        </w:rPr>
        <w:t>, pp. 131‐39.</w:t>
      </w:r>
    </w:p>
    <w:p w14:paraId="2FDE9D09"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proofErr w:type="spellStart"/>
      <w:r w:rsidRPr="00EC6721">
        <w:rPr>
          <w:rFonts w:ascii="Times New Roman" w:eastAsia="Times New Roman" w:hAnsi="Times New Roman" w:cs="Times New Roman"/>
          <w:b/>
          <w:bCs/>
          <w:sz w:val="27"/>
          <w:szCs w:val="27"/>
          <w:lang w:eastAsia="en-GB"/>
        </w:rPr>
        <w:t>Tuppen</w:t>
      </w:r>
      <w:proofErr w:type="spellEnd"/>
      <w:r w:rsidRPr="00EC6721">
        <w:rPr>
          <w:rFonts w:ascii="Times New Roman" w:eastAsia="Times New Roman" w:hAnsi="Times New Roman" w:cs="Times New Roman"/>
          <w:b/>
          <w:bCs/>
          <w:sz w:val="27"/>
          <w:szCs w:val="27"/>
          <w:lang w:eastAsia="en-GB"/>
        </w:rPr>
        <w:t>, C. (1993, “</w:t>
      </w:r>
      <w:r w:rsidRPr="00EC6721">
        <w:rPr>
          <w:rFonts w:ascii="Times New Roman" w:eastAsia="Times New Roman" w:hAnsi="Times New Roman" w:cs="Times New Roman"/>
          <w:b/>
          <w:bCs/>
          <w:i/>
          <w:iCs/>
          <w:sz w:val="27"/>
          <w:szCs w:val="27"/>
          <w:lang w:eastAsia="en-GB"/>
        </w:rPr>
        <w:t>An environmental policy for British Telecommunications</w:t>
      </w:r>
      <w:r w:rsidRPr="00EC6721">
        <w:rPr>
          <w:rFonts w:ascii="Times New Roman" w:eastAsia="Times New Roman" w:hAnsi="Times New Roman" w:cs="Times New Roman"/>
          <w:b/>
          <w:bCs/>
          <w:sz w:val="27"/>
          <w:szCs w:val="27"/>
          <w:lang w:eastAsia="en-GB"/>
        </w:rPr>
        <w:t>”, </w:t>
      </w:r>
      <w:r w:rsidRPr="00EC6721">
        <w:rPr>
          <w:rFonts w:ascii="Times New Roman" w:eastAsia="Times New Roman" w:hAnsi="Times New Roman" w:cs="Times New Roman"/>
          <w:b/>
          <w:bCs/>
          <w:i/>
          <w:iCs/>
          <w:sz w:val="27"/>
          <w:szCs w:val="27"/>
          <w:lang w:eastAsia="en-GB"/>
        </w:rPr>
        <w:t>Long Range Planning</w:t>
      </w:r>
      <w:r w:rsidRPr="00EC6721">
        <w:rPr>
          <w:rFonts w:ascii="Times New Roman" w:eastAsia="Times New Roman" w:hAnsi="Times New Roman" w:cs="Times New Roman"/>
          <w:b/>
          <w:bCs/>
          <w:sz w:val="27"/>
          <w:szCs w:val="27"/>
          <w:lang w:eastAsia="en-GB"/>
        </w:rPr>
        <w:t>, Vol. 26 No. 5, pp 24‐6.</w:t>
      </w:r>
    </w:p>
    <w:p w14:paraId="0A3B40D5"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r w:rsidRPr="00EC6721">
        <w:rPr>
          <w:rFonts w:ascii="Times New Roman" w:eastAsia="Times New Roman" w:hAnsi="Times New Roman" w:cs="Times New Roman"/>
          <w:b/>
          <w:bCs/>
          <w:sz w:val="27"/>
          <w:szCs w:val="27"/>
          <w:lang w:eastAsia="en-GB"/>
        </w:rPr>
        <w:t>van Dijk, G. (1996, presentation during EURESCOM conference, Frankfurt, 6‐7 November.</w:t>
      </w:r>
    </w:p>
    <w:p w14:paraId="1E32E7B3" w14:textId="77777777" w:rsidR="00EC6721" w:rsidRPr="00EC6721" w:rsidRDefault="00EC6721" w:rsidP="00EC6721">
      <w:pPr>
        <w:spacing w:before="100" w:beforeAutospacing="1"/>
        <w:outlineLvl w:val="3"/>
        <w:rPr>
          <w:rFonts w:ascii="Times New Roman" w:eastAsia="Times New Roman" w:hAnsi="Times New Roman" w:cs="Times New Roman"/>
          <w:b/>
          <w:bCs/>
          <w:sz w:val="27"/>
          <w:szCs w:val="27"/>
          <w:lang w:eastAsia="en-GB"/>
        </w:rPr>
      </w:pPr>
      <w:proofErr w:type="spellStart"/>
      <w:r w:rsidRPr="00EC6721">
        <w:rPr>
          <w:rFonts w:ascii="Times New Roman" w:eastAsia="Times New Roman" w:hAnsi="Times New Roman" w:cs="Times New Roman"/>
          <w:b/>
          <w:bCs/>
          <w:sz w:val="27"/>
          <w:szCs w:val="27"/>
          <w:lang w:eastAsia="en-GB"/>
        </w:rPr>
        <w:t>Vollmuth</w:t>
      </w:r>
      <w:proofErr w:type="spellEnd"/>
      <w:r w:rsidRPr="00EC6721">
        <w:rPr>
          <w:rFonts w:ascii="Times New Roman" w:eastAsia="Times New Roman" w:hAnsi="Times New Roman" w:cs="Times New Roman"/>
          <w:b/>
          <w:bCs/>
          <w:sz w:val="27"/>
          <w:szCs w:val="27"/>
          <w:lang w:eastAsia="en-GB"/>
        </w:rPr>
        <w:t>, H. (1994, </w:t>
      </w:r>
      <w:r w:rsidRPr="00EC6721">
        <w:rPr>
          <w:rFonts w:ascii="Times New Roman" w:eastAsia="Times New Roman" w:hAnsi="Times New Roman" w:cs="Times New Roman"/>
          <w:b/>
          <w:bCs/>
          <w:i/>
          <w:iCs/>
          <w:sz w:val="27"/>
          <w:szCs w:val="27"/>
          <w:lang w:eastAsia="en-GB"/>
        </w:rPr>
        <w:t>Controlling‐</w:t>
      </w:r>
      <w:proofErr w:type="spellStart"/>
      <w:r w:rsidRPr="00EC6721">
        <w:rPr>
          <w:rFonts w:ascii="Times New Roman" w:eastAsia="Times New Roman" w:hAnsi="Times New Roman" w:cs="Times New Roman"/>
          <w:b/>
          <w:bCs/>
          <w:i/>
          <w:iCs/>
          <w:sz w:val="27"/>
          <w:szCs w:val="27"/>
          <w:lang w:eastAsia="en-GB"/>
        </w:rPr>
        <w:t>Instrumente</w:t>
      </w:r>
      <w:proofErr w:type="spellEnd"/>
      <w:r w:rsidRPr="00EC6721">
        <w:rPr>
          <w:rFonts w:ascii="Times New Roman" w:eastAsia="Times New Roman" w:hAnsi="Times New Roman" w:cs="Times New Roman"/>
          <w:b/>
          <w:bCs/>
          <w:i/>
          <w:iCs/>
          <w:sz w:val="27"/>
          <w:szCs w:val="27"/>
          <w:lang w:eastAsia="en-GB"/>
        </w:rPr>
        <w:t xml:space="preserve"> von A‐Z</w:t>
      </w:r>
      <w:r w:rsidRPr="00EC6721">
        <w:rPr>
          <w:rFonts w:ascii="Times New Roman" w:eastAsia="Times New Roman" w:hAnsi="Times New Roman" w:cs="Times New Roman"/>
          <w:b/>
          <w:bCs/>
          <w:sz w:val="27"/>
          <w:szCs w:val="27"/>
          <w:lang w:eastAsia="en-GB"/>
        </w:rPr>
        <w:t xml:space="preserve">, 2nd ed., </w:t>
      </w:r>
      <w:proofErr w:type="spellStart"/>
      <w:r w:rsidRPr="00EC6721">
        <w:rPr>
          <w:rFonts w:ascii="Times New Roman" w:eastAsia="Times New Roman" w:hAnsi="Times New Roman" w:cs="Times New Roman"/>
          <w:b/>
          <w:bCs/>
          <w:sz w:val="27"/>
          <w:szCs w:val="27"/>
          <w:lang w:eastAsia="en-GB"/>
        </w:rPr>
        <w:t>Planegg</w:t>
      </w:r>
      <w:proofErr w:type="spellEnd"/>
      <w:r w:rsidRPr="00EC6721">
        <w:rPr>
          <w:rFonts w:ascii="Times New Roman" w:eastAsia="Times New Roman" w:hAnsi="Times New Roman" w:cs="Times New Roman"/>
          <w:b/>
          <w:bCs/>
          <w:sz w:val="27"/>
          <w:szCs w:val="27"/>
          <w:lang w:eastAsia="en-GB"/>
        </w:rPr>
        <w:t>/</w:t>
      </w:r>
      <w:proofErr w:type="gramStart"/>
      <w:r w:rsidRPr="00EC6721">
        <w:rPr>
          <w:rFonts w:ascii="Times New Roman" w:eastAsia="Times New Roman" w:hAnsi="Times New Roman" w:cs="Times New Roman"/>
          <w:b/>
          <w:bCs/>
          <w:sz w:val="27"/>
          <w:szCs w:val="27"/>
          <w:lang w:eastAsia="en-GB"/>
        </w:rPr>
        <w:t>München..</w:t>
      </w:r>
      <w:proofErr w:type="gramEnd"/>
    </w:p>
    <w:p w14:paraId="2D7A8106" w14:textId="77777777" w:rsidR="00EC6721" w:rsidRDefault="00EC6721"/>
    <w:sectPr w:rsidR="00EC67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9C140D"/>
    <w:multiLevelType w:val="multilevel"/>
    <w:tmpl w:val="B8E26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9563BB"/>
    <w:multiLevelType w:val="multilevel"/>
    <w:tmpl w:val="A8EE3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721"/>
    <w:rsid w:val="00317641"/>
    <w:rsid w:val="00EC6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FB469"/>
  <w15:chartTrackingRefBased/>
  <w15:docId w15:val="{80412A0C-7907-3E43-81A5-9EFCADBE0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EC6721"/>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C6721"/>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C672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C6721"/>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EC672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C6721"/>
  </w:style>
  <w:style w:type="character" w:styleId="Hyperlink">
    <w:name w:val="Hyperlink"/>
    <w:basedOn w:val="DefaultParagraphFont"/>
    <w:uiPriority w:val="99"/>
    <w:semiHidden/>
    <w:unhideWhenUsed/>
    <w:rsid w:val="00EC6721"/>
    <w:rPr>
      <w:color w:val="0000FF"/>
      <w:u w:val="single"/>
    </w:rPr>
  </w:style>
  <w:style w:type="character" w:styleId="Emphasis">
    <w:name w:val="Emphasis"/>
    <w:basedOn w:val="DefaultParagraphFont"/>
    <w:uiPriority w:val="20"/>
    <w:qFormat/>
    <w:rsid w:val="00EC6721"/>
    <w:rPr>
      <w:i/>
      <w:iCs/>
    </w:rPr>
  </w:style>
  <w:style w:type="paragraph" w:customStyle="1" w:styleId="intentitem">
    <w:name w:val="intent_item"/>
    <w:basedOn w:val="Normal"/>
    <w:rsid w:val="00EC6721"/>
    <w:pPr>
      <w:spacing w:before="100" w:beforeAutospacing="1" w:after="100" w:afterAutospacing="1"/>
    </w:pPr>
    <w:rPr>
      <w:rFonts w:ascii="Times New Roman" w:eastAsia="Times New Roman" w:hAnsi="Times New Roman" w:cs="Times New Roman"/>
      <w:lang w:eastAsia="en-GB"/>
    </w:rPr>
  </w:style>
  <w:style w:type="character" w:customStyle="1" w:styleId="listitemlabel">
    <w:name w:val="listitemlabel"/>
    <w:basedOn w:val="DefaultParagraphFont"/>
    <w:rsid w:val="00EC6721"/>
  </w:style>
  <w:style w:type="character" w:styleId="Strong">
    <w:name w:val="Strong"/>
    <w:basedOn w:val="DefaultParagraphFont"/>
    <w:uiPriority w:val="22"/>
    <w:qFormat/>
    <w:rsid w:val="00EC6721"/>
    <w:rPr>
      <w:b/>
      <w:bCs/>
    </w:rPr>
  </w:style>
  <w:style w:type="paragraph" w:customStyle="1" w:styleId="reference">
    <w:name w:val="reference"/>
    <w:basedOn w:val="Normal"/>
    <w:rsid w:val="00EC6721"/>
    <w:pPr>
      <w:spacing w:before="100" w:beforeAutospacing="1" w:after="100" w:afterAutospacing="1"/>
    </w:pPr>
    <w:rPr>
      <w:rFonts w:ascii="Times New Roman" w:eastAsia="Times New Roman" w:hAnsi="Times New Roman" w:cs="Times New Roman"/>
      <w:lang w:eastAsia="en-GB"/>
    </w:rPr>
  </w:style>
  <w:style w:type="character" w:customStyle="1" w:styleId="referencemixed-citation">
    <w:name w:val="reference__mixed-citation"/>
    <w:basedOn w:val="DefaultParagraphFont"/>
    <w:rsid w:val="00EC6721"/>
  </w:style>
  <w:style w:type="character" w:customStyle="1" w:styleId="referencestring-name">
    <w:name w:val="reference__string-name"/>
    <w:basedOn w:val="DefaultParagraphFont"/>
    <w:rsid w:val="00EC6721"/>
  </w:style>
  <w:style w:type="character" w:customStyle="1" w:styleId="referenceyear">
    <w:name w:val="reference__year"/>
    <w:basedOn w:val="DefaultParagraphFont"/>
    <w:rsid w:val="00EC6721"/>
  </w:style>
  <w:style w:type="character" w:customStyle="1" w:styleId="referencepublisher-name">
    <w:name w:val="reference__publisher-name"/>
    <w:basedOn w:val="DefaultParagraphFont"/>
    <w:rsid w:val="00EC6721"/>
  </w:style>
  <w:style w:type="character" w:customStyle="1" w:styleId="referencesurname">
    <w:name w:val="reference__surname"/>
    <w:basedOn w:val="DefaultParagraphFont"/>
    <w:rsid w:val="00EC6721"/>
  </w:style>
  <w:style w:type="character" w:customStyle="1" w:styleId="referencegiven-names">
    <w:name w:val="reference__given-names"/>
    <w:basedOn w:val="DefaultParagraphFont"/>
    <w:rsid w:val="00EC6721"/>
  </w:style>
  <w:style w:type="character" w:customStyle="1" w:styleId="referencepublisher-loc">
    <w:name w:val="reference__publisher-loc"/>
    <w:basedOn w:val="DefaultParagraphFont"/>
    <w:rsid w:val="00EC6721"/>
  </w:style>
  <w:style w:type="character" w:customStyle="1" w:styleId="referencevolume">
    <w:name w:val="reference__volume"/>
    <w:basedOn w:val="DefaultParagraphFont"/>
    <w:rsid w:val="00EC6721"/>
  </w:style>
  <w:style w:type="character" w:customStyle="1" w:styleId="referenceissue">
    <w:name w:val="reference__issue"/>
    <w:basedOn w:val="DefaultParagraphFont"/>
    <w:rsid w:val="00EC6721"/>
  </w:style>
  <w:style w:type="character" w:customStyle="1" w:styleId="referencefpage">
    <w:name w:val="reference__fpage"/>
    <w:basedOn w:val="DefaultParagraphFont"/>
    <w:rsid w:val="00EC6721"/>
  </w:style>
  <w:style w:type="character" w:customStyle="1" w:styleId="referencex">
    <w:name w:val="reference__x"/>
    <w:basedOn w:val="DefaultParagraphFont"/>
    <w:rsid w:val="00EC6721"/>
  </w:style>
  <w:style w:type="character" w:customStyle="1" w:styleId="referencelpage">
    <w:name w:val="reference__lpage"/>
    <w:basedOn w:val="DefaultParagraphFont"/>
    <w:rsid w:val="00EC6721"/>
  </w:style>
  <w:style w:type="character" w:customStyle="1" w:styleId="referenceitalic">
    <w:name w:val="reference__italic"/>
    <w:basedOn w:val="DefaultParagraphFont"/>
    <w:rsid w:val="00EC67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2520374">
      <w:bodyDiv w:val="1"/>
      <w:marLeft w:val="0"/>
      <w:marRight w:val="0"/>
      <w:marTop w:val="0"/>
      <w:marBottom w:val="0"/>
      <w:divBdr>
        <w:top w:val="none" w:sz="0" w:space="0" w:color="auto"/>
        <w:left w:val="none" w:sz="0" w:space="0" w:color="auto"/>
        <w:bottom w:val="none" w:sz="0" w:space="0" w:color="auto"/>
        <w:right w:val="none" w:sz="0" w:space="0" w:color="auto"/>
      </w:divBdr>
      <w:divsChild>
        <w:div w:id="501746652">
          <w:marLeft w:val="0"/>
          <w:marRight w:val="0"/>
          <w:marTop w:val="0"/>
          <w:marBottom w:val="0"/>
          <w:divBdr>
            <w:top w:val="none" w:sz="0" w:space="0" w:color="auto"/>
            <w:left w:val="none" w:sz="0" w:space="0" w:color="auto"/>
            <w:bottom w:val="none" w:sz="0" w:space="0" w:color="auto"/>
            <w:right w:val="none" w:sz="0" w:space="0" w:color="auto"/>
          </w:divBdr>
        </w:div>
        <w:div w:id="2133285524">
          <w:marLeft w:val="0"/>
          <w:marRight w:val="0"/>
          <w:marTop w:val="0"/>
          <w:marBottom w:val="0"/>
          <w:divBdr>
            <w:top w:val="none" w:sz="0" w:space="0" w:color="auto"/>
            <w:left w:val="none" w:sz="0" w:space="0" w:color="auto"/>
            <w:bottom w:val="none" w:sz="0" w:space="0" w:color="auto"/>
            <w:right w:val="none" w:sz="0" w:space="0" w:color="auto"/>
          </w:divBdr>
        </w:div>
        <w:div w:id="78909964">
          <w:marLeft w:val="0"/>
          <w:marRight w:val="0"/>
          <w:marTop w:val="0"/>
          <w:marBottom w:val="0"/>
          <w:divBdr>
            <w:top w:val="none" w:sz="0" w:space="0" w:color="auto"/>
            <w:left w:val="none" w:sz="0" w:space="0" w:color="auto"/>
            <w:bottom w:val="none" w:sz="0" w:space="0" w:color="auto"/>
            <w:right w:val="none" w:sz="0" w:space="0" w:color="auto"/>
          </w:divBdr>
        </w:div>
        <w:div w:id="1379236240">
          <w:marLeft w:val="0"/>
          <w:marRight w:val="0"/>
          <w:marTop w:val="0"/>
          <w:marBottom w:val="0"/>
          <w:divBdr>
            <w:top w:val="none" w:sz="0" w:space="0" w:color="auto"/>
            <w:left w:val="none" w:sz="0" w:space="0" w:color="auto"/>
            <w:bottom w:val="none" w:sz="0" w:space="0" w:color="auto"/>
            <w:right w:val="none" w:sz="0" w:space="0" w:color="auto"/>
          </w:divBdr>
        </w:div>
        <w:div w:id="2096169005">
          <w:marLeft w:val="0"/>
          <w:marRight w:val="0"/>
          <w:marTop w:val="0"/>
          <w:marBottom w:val="0"/>
          <w:divBdr>
            <w:top w:val="none" w:sz="0" w:space="0" w:color="auto"/>
            <w:left w:val="none" w:sz="0" w:space="0" w:color="auto"/>
            <w:bottom w:val="none" w:sz="0" w:space="0" w:color="auto"/>
            <w:right w:val="none" w:sz="0" w:space="0" w:color="auto"/>
          </w:divBdr>
        </w:div>
        <w:div w:id="963076587">
          <w:marLeft w:val="0"/>
          <w:marRight w:val="0"/>
          <w:marTop w:val="0"/>
          <w:marBottom w:val="0"/>
          <w:divBdr>
            <w:top w:val="none" w:sz="0" w:space="0" w:color="auto"/>
            <w:left w:val="none" w:sz="0" w:space="0" w:color="auto"/>
            <w:bottom w:val="none" w:sz="0" w:space="0" w:color="auto"/>
            <w:right w:val="none" w:sz="0" w:space="0" w:color="auto"/>
          </w:divBdr>
        </w:div>
        <w:div w:id="381370877">
          <w:marLeft w:val="0"/>
          <w:marRight w:val="0"/>
          <w:marTop w:val="0"/>
          <w:marBottom w:val="0"/>
          <w:divBdr>
            <w:top w:val="none" w:sz="0" w:space="0" w:color="auto"/>
            <w:left w:val="none" w:sz="0" w:space="0" w:color="auto"/>
            <w:bottom w:val="none" w:sz="0" w:space="0" w:color="auto"/>
            <w:right w:val="none" w:sz="0" w:space="0" w:color="auto"/>
          </w:divBdr>
        </w:div>
        <w:div w:id="538054969">
          <w:marLeft w:val="0"/>
          <w:marRight w:val="0"/>
          <w:marTop w:val="0"/>
          <w:marBottom w:val="0"/>
          <w:divBdr>
            <w:top w:val="none" w:sz="0" w:space="0" w:color="auto"/>
            <w:left w:val="none" w:sz="0" w:space="0" w:color="auto"/>
            <w:bottom w:val="none" w:sz="0" w:space="0" w:color="auto"/>
            <w:right w:val="none" w:sz="0" w:space="0" w:color="auto"/>
          </w:divBdr>
        </w:div>
        <w:div w:id="996805035">
          <w:marLeft w:val="0"/>
          <w:marRight w:val="0"/>
          <w:marTop w:val="0"/>
          <w:marBottom w:val="0"/>
          <w:divBdr>
            <w:top w:val="none" w:sz="0" w:space="0" w:color="auto"/>
            <w:left w:val="none" w:sz="0" w:space="0" w:color="auto"/>
            <w:bottom w:val="none" w:sz="0" w:space="0" w:color="auto"/>
            <w:right w:val="none" w:sz="0" w:space="0" w:color="auto"/>
          </w:divBdr>
        </w:div>
        <w:div w:id="1893691870">
          <w:marLeft w:val="0"/>
          <w:marRight w:val="0"/>
          <w:marTop w:val="0"/>
          <w:marBottom w:val="0"/>
          <w:divBdr>
            <w:top w:val="none" w:sz="0" w:space="0" w:color="auto"/>
            <w:left w:val="none" w:sz="0" w:space="0" w:color="auto"/>
            <w:bottom w:val="none" w:sz="0" w:space="0" w:color="auto"/>
            <w:right w:val="none" w:sz="0" w:space="0" w:color="auto"/>
          </w:divBdr>
        </w:div>
        <w:div w:id="293947036">
          <w:marLeft w:val="0"/>
          <w:marRight w:val="0"/>
          <w:marTop w:val="0"/>
          <w:marBottom w:val="0"/>
          <w:divBdr>
            <w:top w:val="none" w:sz="0" w:space="0" w:color="auto"/>
            <w:left w:val="none" w:sz="0" w:space="0" w:color="auto"/>
            <w:bottom w:val="none" w:sz="0" w:space="0" w:color="auto"/>
            <w:right w:val="none" w:sz="0" w:space="0" w:color="auto"/>
          </w:divBdr>
          <w:divsChild>
            <w:div w:id="164706195">
              <w:marLeft w:val="0"/>
              <w:marRight w:val="0"/>
              <w:marTop w:val="0"/>
              <w:marBottom w:val="0"/>
              <w:divBdr>
                <w:top w:val="none" w:sz="0" w:space="0" w:color="auto"/>
                <w:left w:val="none" w:sz="0" w:space="0" w:color="auto"/>
                <w:bottom w:val="none" w:sz="0" w:space="0" w:color="auto"/>
                <w:right w:val="none" w:sz="0" w:space="0" w:color="auto"/>
              </w:divBdr>
              <w:divsChild>
                <w:div w:id="191747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620686">
          <w:marLeft w:val="0"/>
          <w:marRight w:val="0"/>
          <w:marTop w:val="0"/>
          <w:marBottom w:val="0"/>
          <w:divBdr>
            <w:top w:val="none" w:sz="0" w:space="0" w:color="auto"/>
            <w:left w:val="none" w:sz="0" w:space="0" w:color="auto"/>
            <w:bottom w:val="none" w:sz="0" w:space="0" w:color="auto"/>
            <w:right w:val="none" w:sz="0" w:space="0" w:color="auto"/>
          </w:divBdr>
          <w:divsChild>
            <w:div w:id="527835503">
              <w:marLeft w:val="0"/>
              <w:marRight w:val="0"/>
              <w:marTop w:val="0"/>
              <w:marBottom w:val="0"/>
              <w:divBdr>
                <w:top w:val="none" w:sz="0" w:space="0" w:color="auto"/>
                <w:left w:val="none" w:sz="0" w:space="0" w:color="auto"/>
                <w:bottom w:val="none" w:sz="0" w:space="0" w:color="auto"/>
                <w:right w:val="none" w:sz="0" w:space="0" w:color="auto"/>
              </w:divBdr>
              <w:divsChild>
                <w:div w:id="212619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505681">
          <w:marLeft w:val="0"/>
          <w:marRight w:val="0"/>
          <w:marTop w:val="0"/>
          <w:marBottom w:val="0"/>
          <w:divBdr>
            <w:top w:val="none" w:sz="0" w:space="0" w:color="auto"/>
            <w:left w:val="none" w:sz="0" w:space="0" w:color="auto"/>
            <w:bottom w:val="none" w:sz="0" w:space="0" w:color="auto"/>
            <w:right w:val="none" w:sz="0" w:space="0" w:color="auto"/>
          </w:divBdr>
          <w:divsChild>
            <w:div w:id="1912735312">
              <w:marLeft w:val="0"/>
              <w:marRight w:val="0"/>
              <w:marTop w:val="0"/>
              <w:marBottom w:val="0"/>
              <w:divBdr>
                <w:top w:val="none" w:sz="0" w:space="0" w:color="auto"/>
                <w:left w:val="none" w:sz="0" w:space="0" w:color="auto"/>
                <w:bottom w:val="none" w:sz="0" w:space="0" w:color="auto"/>
                <w:right w:val="none" w:sz="0" w:space="0" w:color="auto"/>
              </w:divBdr>
              <w:divsChild>
                <w:div w:id="199394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419303">
          <w:marLeft w:val="0"/>
          <w:marRight w:val="0"/>
          <w:marTop w:val="0"/>
          <w:marBottom w:val="0"/>
          <w:divBdr>
            <w:top w:val="none" w:sz="0" w:space="0" w:color="auto"/>
            <w:left w:val="none" w:sz="0" w:space="0" w:color="auto"/>
            <w:bottom w:val="none" w:sz="0" w:space="0" w:color="auto"/>
            <w:right w:val="none" w:sz="0" w:space="0" w:color="auto"/>
          </w:divBdr>
          <w:divsChild>
            <w:div w:id="1317950829">
              <w:marLeft w:val="0"/>
              <w:marRight w:val="0"/>
              <w:marTop w:val="0"/>
              <w:marBottom w:val="0"/>
              <w:divBdr>
                <w:top w:val="none" w:sz="0" w:space="0" w:color="auto"/>
                <w:left w:val="none" w:sz="0" w:space="0" w:color="auto"/>
                <w:bottom w:val="none" w:sz="0" w:space="0" w:color="auto"/>
                <w:right w:val="none" w:sz="0" w:space="0" w:color="auto"/>
              </w:divBdr>
              <w:divsChild>
                <w:div w:id="154895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047117">
          <w:marLeft w:val="0"/>
          <w:marRight w:val="0"/>
          <w:marTop w:val="0"/>
          <w:marBottom w:val="0"/>
          <w:divBdr>
            <w:top w:val="none" w:sz="0" w:space="0" w:color="auto"/>
            <w:left w:val="none" w:sz="0" w:space="0" w:color="auto"/>
            <w:bottom w:val="none" w:sz="0" w:space="0" w:color="auto"/>
            <w:right w:val="none" w:sz="0" w:space="0" w:color="auto"/>
          </w:divBdr>
          <w:divsChild>
            <w:div w:id="1646816920">
              <w:marLeft w:val="0"/>
              <w:marRight w:val="0"/>
              <w:marTop w:val="0"/>
              <w:marBottom w:val="0"/>
              <w:divBdr>
                <w:top w:val="none" w:sz="0" w:space="0" w:color="auto"/>
                <w:left w:val="none" w:sz="0" w:space="0" w:color="auto"/>
                <w:bottom w:val="none" w:sz="0" w:space="0" w:color="auto"/>
                <w:right w:val="none" w:sz="0" w:space="0" w:color="auto"/>
              </w:divBdr>
              <w:divsChild>
                <w:div w:id="248774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332435">
          <w:marLeft w:val="0"/>
          <w:marRight w:val="0"/>
          <w:marTop w:val="0"/>
          <w:marBottom w:val="0"/>
          <w:divBdr>
            <w:top w:val="none" w:sz="0" w:space="0" w:color="auto"/>
            <w:left w:val="none" w:sz="0" w:space="0" w:color="auto"/>
            <w:bottom w:val="none" w:sz="0" w:space="0" w:color="auto"/>
            <w:right w:val="none" w:sz="0" w:space="0" w:color="auto"/>
          </w:divBdr>
          <w:divsChild>
            <w:div w:id="1695839407">
              <w:marLeft w:val="0"/>
              <w:marRight w:val="0"/>
              <w:marTop w:val="0"/>
              <w:marBottom w:val="0"/>
              <w:divBdr>
                <w:top w:val="none" w:sz="0" w:space="0" w:color="auto"/>
                <w:left w:val="none" w:sz="0" w:space="0" w:color="auto"/>
                <w:bottom w:val="none" w:sz="0" w:space="0" w:color="auto"/>
                <w:right w:val="none" w:sz="0" w:space="0" w:color="auto"/>
              </w:divBdr>
              <w:divsChild>
                <w:div w:id="83908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9416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09555349710179852/full/html" TargetMode="Externa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merald.com/insight/content/doi/10.1108/09555349710179852/full/html" TargetMode="External"/><Relationship Id="rId12" Type="http://schemas.openxmlformats.org/officeDocument/2006/relationships/image" Target="media/image2.png"/><Relationship Id="rId17" Type="http://schemas.openxmlformats.org/officeDocument/2006/relationships/hyperlink" Target="http://www.icbl.hw..../~cjs/trabinfo.html" TargetMode="External"/><Relationship Id="rId2" Type="http://schemas.openxmlformats.org/officeDocument/2006/relationships/styles" Target="styles.xml"/><Relationship Id="rId16"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hyperlink" Target="https://www.emerald.com/insight/content/doi/10.1108/09555349710179852/full/html" TargetMode="External"/><Relationship Id="rId11" Type="http://schemas.openxmlformats.org/officeDocument/2006/relationships/image" Target="media/image1.png"/><Relationship Id="rId5" Type="http://schemas.openxmlformats.org/officeDocument/2006/relationships/hyperlink" Target="https://www.emerald.com/insight/content/doi/10.1108/09555349710179852/full/html" TargetMode="External"/><Relationship Id="rId15" Type="http://schemas.openxmlformats.org/officeDocument/2006/relationships/image" Target="media/image5.png"/><Relationship Id="rId10" Type="http://schemas.openxmlformats.org/officeDocument/2006/relationships/hyperlink" Target="https://www.emerald.com/insight/content/doi/10.1108/09555349710179852/full/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merald.com/insight/content/doi/10.1108/09555349710179852/full/html"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3622</Words>
  <Characters>20646</Characters>
  <Application>Microsoft Office Word</Application>
  <DocSecurity>0</DocSecurity>
  <Lines>172</Lines>
  <Paragraphs>48</Paragraphs>
  <ScaleCrop>false</ScaleCrop>
  <Company/>
  <LinksUpToDate>false</LinksUpToDate>
  <CharactersWithSpaces>24220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Abdirahman Nuur Mahamed (PhD Ironbridge +Cult Herit PT)</dc:creator>
  <cp:keywords/>
  <dc:description/>
  <cp:lastModifiedBy>Abdirahman Nuur Mahamed (PhD Ironbridge +Cult Herit PT)</cp:lastModifiedBy>
  <cp:revision>2</cp:revision>
  <dcterms:created xsi:type="dcterms:W3CDTF">2020-06-23T16:05:00Z</dcterms:created>
  <dcterms:modified xsi:type="dcterms:W3CDTF">2020-06-23T16:05:00Z</dcterms:modified>
</cp:coreProperties>
</file>