
<file path=[Content_Types].xml><?xml version="1.0" encoding="utf-8"?>
<Types xmlns="http://schemas.openxmlformats.org/package/2006/content-types">
  <Override PartName="/customXml/itemProps1.xml" ContentType="application/vnd.openxmlformats-officedocument.customXmlProperties+xml"/>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id w:val="1328403971"/>
        <w:docPartObj>
          <w:docPartGallery w:val="Cover Pages"/>
          <w:docPartUnique/>
        </w:docPartObj>
      </w:sdtPr>
      <w:sdtContent>
        <w:p w:rsidR="000670B4" w:rsidRDefault="000670B4"/>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tblPr>
          <w:tblGrid>
            <w:gridCol w:w="7405"/>
          </w:tblGrid>
          <w:tr w:rsidR="00F54226" w:rsidRPr="00F54226">
            <w:sdt>
              <w:sdtPr>
                <w:rPr>
                  <w:rFonts w:ascii="Arial" w:hAnsi="Arial" w:cs="Arial"/>
                  <w:sz w:val="24"/>
                  <w:szCs w:val="24"/>
                </w:rPr>
                <w:alias w:val="Company"/>
                <w:id w:val="13406915"/>
                <w:placeholder>
                  <w:docPart w:val="AF948E3D1AC040DC944224A3B7FA1D47"/>
                </w:placeholder>
                <w:dataBinding w:prefixMappings="xmlns:ns0='http://schemas.openxmlformats.org/officeDocument/2006/extended-properties'" w:xpath="/ns0:Properties[1]/ns0:Company[1]" w:storeItemID="{6668398D-A668-4E3E-A5EB-62B293D839F1}"/>
                <w:text/>
              </w:sdtPr>
              <w:sdtContent>
                <w:tc>
                  <w:tcPr>
                    <w:tcW w:w="7672" w:type="dxa"/>
                    <w:tcMar>
                      <w:top w:w="216" w:type="dxa"/>
                      <w:left w:w="115" w:type="dxa"/>
                      <w:bottom w:w="216" w:type="dxa"/>
                      <w:right w:w="115" w:type="dxa"/>
                    </w:tcMar>
                  </w:tcPr>
                  <w:p w:rsidR="000670B4" w:rsidRPr="00F54226" w:rsidRDefault="000670B4" w:rsidP="00060504">
                    <w:pPr>
                      <w:pStyle w:val="NoSpacing"/>
                      <w:spacing w:line="360" w:lineRule="auto"/>
                      <w:rPr>
                        <w:rFonts w:ascii="Arial" w:hAnsi="Arial" w:cs="Arial"/>
                        <w:sz w:val="24"/>
                        <w:szCs w:val="24"/>
                      </w:rPr>
                    </w:pPr>
                    <w:r w:rsidRPr="00F54226">
                      <w:rPr>
                        <w:rFonts w:ascii="Arial" w:hAnsi="Arial" w:cs="Arial"/>
                        <w:sz w:val="24"/>
                        <w:szCs w:val="24"/>
                      </w:rPr>
                      <w:t>University of Wales Trinity Saint David’s</w:t>
                    </w:r>
                  </w:p>
                </w:tc>
              </w:sdtContent>
            </w:sdt>
          </w:tr>
          <w:tr w:rsidR="00F54226" w:rsidRPr="00F54226">
            <w:tc>
              <w:tcPr>
                <w:tcW w:w="7672" w:type="dxa"/>
              </w:tcPr>
              <w:sdt>
                <w:sdtPr>
                  <w:rPr>
                    <w:rFonts w:ascii="Arial" w:eastAsiaTheme="majorEastAsia" w:hAnsi="Arial" w:cs="Arial"/>
                    <w:b/>
                    <w:bCs/>
                    <w:sz w:val="24"/>
                    <w:szCs w:val="24"/>
                  </w:rPr>
                  <w:alias w:val="Title"/>
                  <w:id w:val="13406919"/>
                  <w:placeholder>
                    <w:docPart w:val="9BB52D2123D547B0B57419761D606213"/>
                  </w:placeholder>
                  <w:dataBinding w:prefixMappings="xmlns:ns0='http://schemas.openxmlformats.org/package/2006/metadata/core-properties' xmlns:ns1='http://purl.org/dc/elements/1.1/'" w:xpath="/ns0:coreProperties[1]/ns1:title[1]" w:storeItemID="{6C3C8BC8-F283-45AE-878A-BAB7291924A1}"/>
                  <w:text/>
                </w:sdtPr>
                <w:sdtContent>
                  <w:p w:rsidR="000670B4" w:rsidRPr="00F54226" w:rsidRDefault="008520A1" w:rsidP="00060504">
                    <w:pPr>
                      <w:pStyle w:val="NoSpacing"/>
                      <w:spacing w:line="360" w:lineRule="auto"/>
                      <w:rPr>
                        <w:rFonts w:ascii="Arial" w:eastAsiaTheme="majorEastAsia" w:hAnsi="Arial" w:cs="Arial"/>
                        <w:sz w:val="24"/>
                        <w:szCs w:val="24"/>
                      </w:rPr>
                    </w:pPr>
                    <w:r w:rsidRPr="00133F50">
                      <w:rPr>
                        <w:rFonts w:ascii="Arial" w:eastAsiaTheme="majorEastAsia" w:hAnsi="Arial" w:cs="Arial"/>
                        <w:b/>
                        <w:bCs/>
                        <w:sz w:val="24"/>
                        <w:szCs w:val="24"/>
                      </w:rPr>
                      <w:t>Critically evaluate the arguments for and against raising the MACR (minimum age of criminal responsibility) in England and Wales.</w:t>
                    </w:r>
                  </w:p>
                </w:sdtContent>
              </w:sdt>
            </w:tc>
          </w:tr>
          <w:tr w:rsidR="00F54226" w:rsidRPr="00F54226">
            <w:sdt>
              <w:sdtPr>
                <w:rPr>
                  <w:rFonts w:ascii="Arial" w:hAnsi="Arial" w:cs="Arial"/>
                  <w:sz w:val="24"/>
                  <w:szCs w:val="24"/>
                </w:rPr>
                <w:alias w:val="Subtitle"/>
                <w:id w:val="13406923"/>
                <w:placeholder>
                  <w:docPart w:val="AB61E6B4D9894CACA1C90290F103758E"/>
                </w:placeholder>
                <w:dataBinding w:prefixMappings="xmlns:ns0='http://schemas.openxmlformats.org/package/2006/metadata/core-properties' xmlns:ns1='http://purl.org/dc/elements/1.1/'" w:xpath="/ns0:coreProperties[1]/ns1:subject[1]" w:storeItemID="{6C3C8BC8-F283-45AE-878A-BAB7291924A1}"/>
                <w:text/>
              </w:sdtPr>
              <w:sdtContent>
                <w:tc>
                  <w:tcPr>
                    <w:tcW w:w="7672" w:type="dxa"/>
                    <w:tcMar>
                      <w:top w:w="216" w:type="dxa"/>
                      <w:left w:w="115" w:type="dxa"/>
                      <w:bottom w:w="216" w:type="dxa"/>
                      <w:right w:w="115" w:type="dxa"/>
                    </w:tcMar>
                  </w:tcPr>
                  <w:p w:rsidR="000670B4" w:rsidRPr="00F54226" w:rsidRDefault="000670B4" w:rsidP="00060504">
                    <w:pPr>
                      <w:pStyle w:val="NoSpacing"/>
                      <w:spacing w:line="360" w:lineRule="auto"/>
                      <w:rPr>
                        <w:rFonts w:ascii="Arial" w:hAnsi="Arial" w:cs="Arial"/>
                        <w:sz w:val="24"/>
                        <w:szCs w:val="24"/>
                      </w:rPr>
                    </w:pPr>
                    <w:r w:rsidRPr="00F54226">
                      <w:rPr>
                        <w:rFonts w:ascii="Arial" w:hAnsi="Arial" w:cs="Arial"/>
                        <w:sz w:val="24"/>
                        <w:szCs w:val="24"/>
                      </w:rPr>
                      <w:t xml:space="preserve">The Criminal Justice System, </w:t>
                    </w:r>
                    <w:r w:rsidR="00923A4C" w:rsidRPr="00F54226">
                      <w:rPr>
                        <w:rFonts w:ascii="Arial" w:hAnsi="Arial" w:cs="Arial"/>
                        <w:sz w:val="24"/>
                        <w:szCs w:val="24"/>
                      </w:rPr>
                      <w:t>Youth Justice and Prison Systems in England and Wales</w:t>
                    </w:r>
                  </w:p>
                </w:tc>
              </w:sdtContent>
            </w:sdt>
          </w:tr>
        </w:tbl>
        <w:tbl>
          <w:tblPr>
            <w:tblpPr w:leftFromText="187" w:rightFromText="187" w:horzAnchor="margin" w:tblpXSpec="center" w:tblpYSpec="bottom"/>
            <w:tblW w:w="3857" w:type="pct"/>
            <w:tblLook w:val="04A0"/>
          </w:tblPr>
          <w:tblGrid>
            <w:gridCol w:w="7140"/>
          </w:tblGrid>
          <w:tr w:rsidR="00F54226" w:rsidRPr="00F54226">
            <w:tc>
              <w:tcPr>
                <w:tcW w:w="7221" w:type="dxa"/>
                <w:tcMar>
                  <w:top w:w="216" w:type="dxa"/>
                  <w:left w:w="115" w:type="dxa"/>
                  <w:bottom w:w="216" w:type="dxa"/>
                  <w:right w:w="115" w:type="dxa"/>
                </w:tcMar>
              </w:tcPr>
              <w:sdt>
                <w:sdtPr>
                  <w:rPr>
                    <w:rFonts w:ascii="Arial" w:hAnsi="Arial" w:cs="Arial"/>
                    <w:sz w:val="24"/>
                    <w:szCs w:val="24"/>
                  </w:rPr>
                  <w:alias w:val="Author"/>
                  <w:id w:val="13406928"/>
                  <w:placeholder>
                    <w:docPart w:val="F789756DA534457CA9A3B3A8D601FDF5"/>
                  </w:placeholder>
                  <w:dataBinding w:prefixMappings="xmlns:ns0='http://schemas.openxmlformats.org/package/2006/metadata/core-properties' xmlns:ns1='http://purl.org/dc/elements/1.1/'" w:xpath="/ns0:coreProperties[1]/ns1:creator[1]" w:storeItemID="{6C3C8BC8-F283-45AE-878A-BAB7291924A1}"/>
                  <w:text/>
                </w:sdtPr>
                <w:sdtContent>
                  <w:p w:rsidR="000670B4" w:rsidRPr="00F54226" w:rsidRDefault="000670B4" w:rsidP="00060504">
                    <w:pPr>
                      <w:pStyle w:val="NoSpacing"/>
                      <w:spacing w:line="360" w:lineRule="auto"/>
                      <w:rPr>
                        <w:rFonts w:ascii="Arial" w:hAnsi="Arial" w:cs="Arial"/>
                        <w:sz w:val="24"/>
                        <w:szCs w:val="24"/>
                      </w:rPr>
                    </w:pPr>
                    <w:r w:rsidRPr="00F54226">
                      <w:rPr>
                        <w:rFonts w:ascii="Arial" w:hAnsi="Arial" w:cs="Arial"/>
                        <w:sz w:val="24"/>
                        <w:szCs w:val="24"/>
                      </w:rPr>
                      <w:t>Sophia Ivens - 1801465</w:t>
                    </w:r>
                  </w:p>
                </w:sdtContent>
              </w:sdt>
              <w:sdt>
                <w:sdtPr>
                  <w:rPr>
                    <w:rFonts w:ascii="Arial" w:hAnsi="Arial" w:cs="Arial"/>
                    <w:sz w:val="24"/>
                    <w:szCs w:val="24"/>
                  </w:rPr>
                  <w:alias w:val="Date"/>
                  <w:tag w:val="Date"/>
                  <w:id w:val="13406932"/>
                  <w:placeholder>
                    <w:docPart w:val="CF7CD8106FD047938776756B310BF2B0"/>
                  </w:placeholder>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Content>
                  <w:p w:rsidR="000670B4" w:rsidRPr="00F54226" w:rsidRDefault="000670B4" w:rsidP="00060504">
                    <w:pPr>
                      <w:pStyle w:val="NoSpacing"/>
                      <w:spacing w:line="360" w:lineRule="auto"/>
                      <w:rPr>
                        <w:rFonts w:ascii="Arial" w:hAnsi="Arial" w:cs="Arial"/>
                        <w:sz w:val="24"/>
                        <w:szCs w:val="24"/>
                      </w:rPr>
                    </w:pPr>
                    <w:r w:rsidRPr="00F54226">
                      <w:rPr>
                        <w:rFonts w:ascii="Arial" w:hAnsi="Arial" w:cs="Arial"/>
                        <w:sz w:val="24"/>
                        <w:szCs w:val="24"/>
                      </w:rPr>
                      <w:t xml:space="preserve">Word count: </w:t>
                    </w:r>
                    <w:r w:rsidR="00741022">
                      <w:rPr>
                        <w:rFonts w:ascii="Arial" w:hAnsi="Arial" w:cs="Arial"/>
                        <w:sz w:val="24"/>
                        <w:szCs w:val="24"/>
                      </w:rPr>
                      <w:t>2932</w:t>
                    </w:r>
                  </w:p>
                </w:sdtContent>
              </w:sdt>
              <w:p w:rsidR="000670B4" w:rsidRPr="00F54226" w:rsidRDefault="000670B4" w:rsidP="00060504">
                <w:pPr>
                  <w:pStyle w:val="NoSpacing"/>
                  <w:spacing w:line="360" w:lineRule="auto"/>
                  <w:rPr>
                    <w:rFonts w:ascii="Arial" w:hAnsi="Arial" w:cs="Arial"/>
                    <w:sz w:val="24"/>
                    <w:szCs w:val="24"/>
                  </w:rPr>
                </w:pPr>
              </w:p>
            </w:tc>
          </w:tr>
        </w:tbl>
        <w:p w:rsidR="000670B4" w:rsidRDefault="000670B4">
          <w:r>
            <w:br w:type="page"/>
          </w:r>
        </w:p>
      </w:sdtContent>
    </w:sdt>
    <w:p w:rsidR="00824A14" w:rsidRDefault="00824A14" w:rsidP="00824A14">
      <w:pPr>
        <w:spacing w:line="360" w:lineRule="auto"/>
        <w:rPr>
          <w:rFonts w:ascii="Arial" w:hAnsi="Arial" w:cs="Arial"/>
          <w:sz w:val="24"/>
          <w:szCs w:val="24"/>
        </w:rPr>
      </w:pPr>
      <w:r>
        <w:rPr>
          <w:rFonts w:ascii="Arial" w:hAnsi="Arial" w:cs="Arial"/>
          <w:sz w:val="24"/>
          <w:szCs w:val="24"/>
        </w:rPr>
        <w:lastRenderedPageBreak/>
        <w:t xml:space="preserve">The minimum age of criminal </w:t>
      </w:r>
      <w:r w:rsidR="00B54B20">
        <w:rPr>
          <w:rFonts w:ascii="Arial" w:hAnsi="Arial" w:cs="Arial"/>
          <w:sz w:val="24"/>
          <w:szCs w:val="24"/>
        </w:rPr>
        <w:t>liability</w:t>
      </w:r>
      <w:r>
        <w:rPr>
          <w:rFonts w:ascii="Arial" w:hAnsi="Arial" w:cs="Arial"/>
          <w:sz w:val="24"/>
          <w:szCs w:val="24"/>
        </w:rPr>
        <w:t xml:space="preserve"> in England and Wales is aged ten years old as </w:t>
      </w:r>
      <w:r w:rsidR="00B54B20">
        <w:rPr>
          <w:rFonts w:ascii="Arial" w:hAnsi="Arial" w:cs="Arial"/>
          <w:sz w:val="24"/>
          <w:szCs w:val="24"/>
        </w:rPr>
        <w:t>declared</w:t>
      </w:r>
      <w:r>
        <w:rPr>
          <w:rFonts w:ascii="Arial" w:hAnsi="Arial" w:cs="Arial"/>
          <w:sz w:val="24"/>
          <w:szCs w:val="24"/>
        </w:rPr>
        <w:t xml:space="preserve"> in the Children and Young Persons Act 1963 section sixteen. </w:t>
      </w:r>
      <w:r w:rsidR="00B54B20">
        <w:rPr>
          <w:rFonts w:ascii="Arial" w:hAnsi="Arial" w:cs="Arial"/>
          <w:sz w:val="24"/>
          <w:szCs w:val="24"/>
        </w:rPr>
        <w:t xml:space="preserve">In other terms, for the past almost six decades as soon as children reach the age of ten they are subjected to the complete mass of the fundamental criminal law and justice system in England and Wales in an equal sense as adults (Gelsthorpe and Sharpe, 2006). </w:t>
      </w:r>
      <w:r w:rsidR="00DC1E7B">
        <w:rPr>
          <w:rFonts w:ascii="Arial" w:hAnsi="Arial" w:cs="Arial"/>
          <w:sz w:val="24"/>
          <w:szCs w:val="24"/>
        </w:rPr>
        <w:t>There have been several disputes for and contrary to the increasing of this age in England and Wales for numerous years. The justification for, and consequences of</w:t>
      </w:r>
      <w:r w:rsidR="00670593">
        <w:rPr>
          <w:rFonts w:ascii="Arial" w:hAnsi="Arial" w:cs="Arial"/>
          <w:sz w:val="24"/>
          <w:szCs w:val="24"/>
        </w:rPr>
        <w:t xml:space="preserve"> </w:t>
      </w:r>
      <w:r w:rsidR="00DC1E7B">
        <w:rPr>
          <w:rFonts w:ascii="Arial" w:hAnsi="Arial" w:cs="Arial"/>
          <w:sz w:val="24"/>
          <w:szCs w:val="24"/>
        </w:rPr>
        <w:t>these concerns were de</w:t>
      </w:r>
      <w:r w:rsidR="004F6DEB">
        <w:rPr>
          <w:rFonts w:ascii="Arial" w:hAnsi="Arial" w:cs="Arial"/>
          <w:sz w:val="24"/>
          <w:szCs w:val="24"/>
        </w:rPr>
        <w:t>p</w:t>
      </w:r>
      <w:r w:rsidR="00DC1E7B">
        <w:rPr>
          <w:rFonts w:ascii="Arial" w:hAnsi="Arial" w:cs="Arial"/>
          <w:sz w:val="24"/>
          <w:szCs w:val="24"/>
        </w:rPr>
        <w:t>icted concisely by the Conservative Home Secretary in 1993 – Michael Howard</w:t>
      </w:r>
      <w:r w:rsidR="00302DB6">
        <w:rPr>
          <w:rFonts w:ascii="Arial" w:hAnsi="Arial" w:cs="Arial"/>
          <w:sz w:val="24"/>
          <w:szCs w:val="24"/>
        </w:rPr>
        <w:t xml:space="preserve">, </w:t>
      </w:r>
      <w:r w:rsidR="00DC1E7B">
        <w:rPr>
          <w:rFonts w:ascii="Arial" w:hAnsi="Arial" w:cs="Arial"/>
          <w:sz w:val="24"/>
          <w:szCs w:val="24"/>
        </w:rPr>
        <w:t>subsequent to the killing of James Bulger. He used the phrase ‘offenders’ when defining Robert Thompson and Jon Venables, both aged ten years old at the time of the James Bulger homicide</w:t>
      </w:r>
      <w:r w:rsidR="003E001D">
        <w:rPr>
          <w:rFonts w:ascii="Arial" w:hAnsi="Arial" w:cs="Arial"/>
          <w:sz w:val="24"/>
          <w:szCs w:val="24"/>
        </w:rPr>
        <w:t xml:space="preserve"> which is similarly the equivalent to the minimum age of criminal responsibility in England – where the killing took place.</w:t>
      </w:r>
      <w:r w:rsidR="00DC1E7B">
        <w:rPr>
          <w:rFonts w:ascii="Arial" w:hAnsi="Arial" w:cs="Arial"/>
          <w:sz w:val="24"/>
          <w:szCs w:val="24"/>
        </w:rPr>
        <w:t xml:space="preserve"> He additionally depicted them as ‘adult in everything except years’ and indicated that they would not be able to ‘use age as an excuse for immunity from effective punishment</w:t>
      </w:r>
      <w:r w:rsidR="00807C79">
        <w:rPr>
          <w:rFonts w:ascii="Arial" w:hAnsi="Arial" w:cs="Arial"/>
          <w:sz w:val="24"/>
          <w:szCs w:val="24"/>
        </w:rPr>
        <w:t xml:space="preserve">’ (Goldson, 1997). </w:t>
      </w:r>
    </w:p>
    <w:p w:rsidR="00501B2F" w:rsidRDefault="009D072F" w:rsidP="009D072F">
      <w:pPr>
        <w:spacing w:line="360" w:lineRule="auto"/>
        <w:rPr>
          <w:rFonts w:ascii="Arial" w:hAnsi="Arial" w:cs="Arial"/>
          <w:sz w:val="24"/>
          <w:szCs w:val="24"/>
        </w:rPr>
      </w:pPr>
      <w:r>
        <w:rPr>
          <w:rFonts w:ascii="Arial" w:hAnsi="Arial" w:cs="Arial"/>
          <w:sz w:val="24"/>
          <w:szCs w:val="24"/>
        </w:rPr>
        <w:t>The preliminary form of c</w:t>
      </w:r>
      <w:r w:rsidRPr="009D072F">
        <w:rPr>
          <w:rFonts w:ascii="Arial" w:hAnsi="Arial" w:cs="Arial"/>
          <w:sz w:val="24"/>
          <w:szCs w:val="24"/>
        </w:rPr>
        <w:t xml:space="preserve">onceptualization </w:t>
      </w:r>
      <w:r>
        <w:rPr>
          <w:rFonts w:ascii="Arial" w:hAnsi="Arial" w:cs="Arial"/>
          <w:sz w:val="24"/>
          <w:szCs w:val="24"/>
        </w:rPr>
        <w:t>originates from the notions of whether or not a ten-year-old child essentially obtains criminal capabilities, illegal intent or mens rea. This is the stage at which a young person is regarded as sufficiently knowledgeable enough to differentiate between right and wrong and effectively build a perception of morals</w:t>
      </w:r>
      <w:r w:rsidR="006C2108">
        <w:rPr>
          <w:rFonts w:ascii="Arial" w:hAnsi="Arial" w:cs="Arial"/>
          <w:sz w:val="24"/>
          <w:szCs w:val="24"/>
        </w:rPr>
        <w:t xml:space="preserve"> (Bateman, 2012). </w:t>
      </w:r>
      <w:r w:rsidR="008B6458">
        <w:rPr>
          <w:rFonts w:ascii="Arial" w:hAnsi="Arial" w:cs="Arial"/>
          <w:sz w:val="24"/>
          <w:szCs w:val="24"/>
        </w:rPr>
        <w:t>According to (Bernberg and Krohn, 2003), t</w:t>
      </w:r>
      <w:r w:rsidR="007F507D">
        <w:rPr>
          <w:rFonts w:ascii="Arial" w:hAnsi="Arial" w:cs="Arial"/>
          <w:sz w:val="24"/>
          <w:szCs w:val="24"/>
        </w:rPr>
        <w:t>he application of these principles concerning unlawful capability, criminal intent or mens rea in this context</w:t>
      </w:r>
      <w:r w:rsidR="00302DB6">
        <w:rPr>
          <w:rFonts w:ascii="Arial" w:hAnsi="Arial" w:cs="Arial"/>
          <w:sz w:val="24"/>
          <w:szCs w:val="24"/>
        </w:rPr>
        <w:t xml:space="preserve">, </w:t>
      </w:r>
      <w:r w:rsidR="007F507D">
        <w:rPr>
          <w:rFonts w:ascii="Arial" w:hAnsi="Arial" w:cs="Arial"/>
          <w:sz w:val="24"/>
          <w:szCs w:val="24"/>
        </w:rPr>
        <w:t xml:space="preserve">is evidently coherent with the standard interpretations of the criminal justice system in England and Wales. </w:t>
      </w:r>
      <w:r w:rsidR="00501B2F">
        <w:rPr>
          <w:rFonts w:ascii="Arial" w:hAnsi="Arial" w:cs="Arial"/>
          <w:sz w:val="24"/>
          <w:szCs w:val="24"/>
        </w:rPr>
        <w:t xml:space="preserve">Nevertheless, it has been disputed that the slavish use of such laws which many would argue are out of date lead to the prominence of several limitations in this instance. </w:t>
      </w:r>
      <w:r w:rsidR="008B6458">
        <w:rPr>
          <w:rFonts w:ascii="Arial" w:hAnsi="Arial" w:cs="Arial"/>
          <w:sz w:val="24"/>
          <w:szCs w:val="24"/>
        </w:rPr>
        <w:t xml:space="preserve">To begin with, it suggests that it is feasible to decide upon an illogical minimum age of criminal responsibility in a manner which </w:t>
      </w:r>
      <w:r w:rsidR="00C26E55">
        <w:rPr>
          <w:rFonts w:ascii="Arial" w:hAnsi="Arial" w:cs="Arial"/>
          <w:sz w:val="24"/>
          <w:szCs w:val="24"/>
        </w:rPr>
        <w:t>meets</w:t>
      </w:r>
      <w:r w:rsidR="008B6458">
        <w:rPr>
          <w:rFonts w:ascii="Arial" w:hAnsi="Arial" w:cs="Arial"/>
          <w:sz w:val="24"/>
          <w:szCs w:val="24"/>
        </w:rPr>
        <w:t xml:space="preserve"> the </w:t>
      </w:r>
      <w:r w:rsidR="00C26E55">
        <w:rPr>
          <w:rFonts w:ascii="Arial" w:hAnsi="Arial" w:cs="Arial"/>
          <w:sz w:val="24"/>
          <w:szCs w:val="24"/>
        </w:rPr>
        <w:t>competence</w:t>
      </w:r>
      <w:r w:rsidR="00670593">
        <w:rPr>
          <w:rFonts w:ascii="Arial" w:hAnsi="Arial" w:cs="Arial"/>
          <w:sz w:val="24"/>
          <w:szCs w:val="24"/>
        </w:rPr>
        <w:t xml:space="preserve"> </w:t>
      </w:r>
      <w:r w:rsidR="00C26E55">
        <w:rPr>
          <w:rFonts w:ascii="Arial" w:hAnsi="Arial" w:cs="Arial"/>
          <w:sz w:val="24"/>
          <w:szCs w:val="24"/>
        </w:rPr>
        <w:t>check</w:t>
      </w:r>
      <w:r w:rsidR="008B6458">
        <w:rPr>
          <w:rFonts w:ascii="Arial" w:hAnsi="Arial" w:cs="Arial"/>
          <w:sz w:val="24"/>
          <w:szCs w:val="24"/>
        </w:rPr>
        <w:t xml:space="preserve">. </w:t>
      </w:r>
      <w:r w:rsidR="00C26E55">
        <w:rPr>
          <w:rFonts w:ascii="Arial" w:hAnsi="Arial" w:cs="Arial"/>
          <w:sz w:val="24"/>
          <w:szCs w:val="24"/>
        </w:rPr>
        <w:t>This suggestion has been doubted not simply in itself</w:t>
      </w:r>
      <w:r w:rsidR="00302DB6">
        <w:rPr>
          <w:rFonts w:ascii="Arial" w:hAnsi="Arial" w:cs="Arial"/>
          <w:sz w:val="24"/>
          <w:szCs w:val="24"/>
        </w:rPr>
        <w:t>,</w:t>
      </w:r>
      <w:r w:rsidR="00C26E55">
        <w:rPr>
          <w:rFonts w:ascii="Arial" w:hAnsi="Arial" w:cs="Arial"/>
          <w:sz w:val="24"/>
          <w:szCs w:val="24"/>
        </w:rPr>
        <w:t xml:space="preserve"> but moreover manages to restrict the provisions of the argument</w:t>
      </w:r>
      <w:r w:rsidR="00302DB6">
        <w:rPr>
          <w:rFonts w:ascii="Arial" w:hAnsi="Arial" w:cs="Arial"/>
          <w:sz w:val="24"/>
          <w:szCs w:val="24"/>
        </w:rPr>
        <w:t xml:space="preserve">, </w:t>
      </w:r>
      <w:r w:rsidR="00C26E55">
        <w:rPr>
          <w:rFonts w:ascii="Arial" w:hAnsi="Arial" w:cs="Arial"/>
          <w:sz w:val="24"/>
          <w:szCs w:val="24"/>
        </w:rPr>
        <w:t xml:space="preserve">to take into consideration the fairness of this rationale or even just by pushing the minimum age of criminal accountability up or down by a year or two (Bateman, 2013). </w:t>
      </w:r>
      <w:r w:rsidR="009B4F86">
        <w:rPr>
          <w:rFonts w:ascii="Arial" w:hAnsi="Arial" w:cs="Arial"/>
          <w:sz w:val="24"/>
          <w:szCs w:val="24"/>
        </w:rPr>
        <w:t>Secondly, it can and has been contended that abstracting criminal responsibility is less wo</w:t>
      </w:r>
      <w:r w:rsidR="00302DB6">
        <w:rPr>
          <w:rFonts w:ascii="Arial" w:hAnsi="Arial" w:cs="Arial"/>
          <w:sz w:val="24"/>
          <w:szCs w:val="24"/>
        </w:rPr>
        <w:t>rried</w:t>
      </w:r>
      <w:r w:rsidR="009B4F86">
        <w:rPr>
          <w:rFonts w:ascii="Arial" w:hAnsi="Arial" w:cs="Arial"/>
          <w:sz w:val="24"/>
          <w:szCs w:val="24"/>
        </w:rPr>
        <w:t xml:space="preserve"> with the concept of unlawful ability in itself however more so on the basis of protection from the prosecution. </w:t>
      </w:r>
      <w:r w:rsidR="00901D36">
        <w:rPr>
          <w:rFonts w:ascii="Arial" w:hAnsi="Arial" w:cs="Arial"/>
          <w:sz w:val="24"/>
          <w:szCs w:val="24"/>
        </w:rPr>
        <w:t xml:space="preserve">To encapsulate what is </w:t>
      </w:r>
      <w:r w:rsidR="00901D36">
        <w:rPr>
          <w:rFonts w:ascii="Arial" w:hAnsi="Arial" w:cs="Arial"/>
          <w:sz w:val="24"/>
          <w:szCs w:val="24"/>
        </w:rPr>
        <w:lastRenderedPageBreak/>
        <w:t xml:space="preserve">intended by this argument is that the emphasis ought not to be on whether or not the child is considered competent </w:t>
      </w:r>
      <w:r w:rsidR="00D00606">
        <w:rPr>
          <w:rFonts w:ascii="Arial" w:hAnsi="Arial" w:cs="Arial"/>
          <w:sz w:val="24"/>
          <w:szCs w:val="24"/>
        </w:rPr>
        <w:t xml:space="preserve">enough </w:t>
      </w:r>
      <w:r w:rsidR="00901D36">
        <w:rPr>
          <w:rFonts w:ascii="Arial" w:hAnsi="Arial" w:cs="Arial"/>
          <w:sz w:val="24"/>
          <w:szCs w:val="24"/>
        </w:rPr>
        <w:t>to perpetrate unlawful behaviour. Instead, the suitability of exposing children and young individuals to the criminal justice procedure as a way of addressing their wrongdoings. Several reason that the attention ought not to be on this but more so on assisting these young people into restorative practices for their preceding criminal conduct</w:t>
      </w:r>
      <w:r w:rsidR="00302DB6">
        <w:rPr>
          <w:rFonts w:ascii="Arial" w:hAnsi="Arial" w:cs="Arial"/>
          <w:sz w:val="24"/>
          <w:szCs w:val="24"/>
        </w:rPr>
        <w:t xml:space="preserve"> (Croft, 2009). </w:t>
      </w:r>
      <w:r w:rsidR="002C56ED">
        <w:rPr>
          <w:rFonts w:ascii="Arial" w:hAnsi="Arial" w:cs="Arial"/>
          <w:sz w:val="24"/>
          <w:szCs w:val="24"/>
        </w:rPr>
        <w:t>According to (Pillay,2015), t</w:t>
      </w:r>
      <w:r w:rsidR="00BE225F">
        <w:rPr>
          <w:rFonts w:ascii="Arial" w:hAnsi="Arial" w:cs="Arial"/>
          <w:sz w:val="24"/>
          <w:szCs w:val="24"/>
        </w:rPr>
        <w:t xml:space="preserve">he issue of how children and young people who carry out offences should be dealt with is of indisputable significance. Nevertheless, it has been challenged that the attention ought not be on the age of unlawful liability but the age at which it is considered applicable to bring children into the criminal justice system in England and Wales completely. </w:t>
      </w:r>
    </w:p>
    <w:p w:rsidR="0061223F" w:rsidRDefault="00C6658E" w:rsidP="009D072F">
      <w:pPr>
        <w:spacing w:line="360" w:lineRule="auto"/>
        <w:rPr>
          <w:rFonts w:ascii="Arial" w:hAnsi="Arial" w:cs="Arial"/>
          <w:sz w:val="24"/>
          <w:szCs w:val="24"/>
        </w:rPr>
      </w:pPr>
      <w:r>
        <w:rPr>
          <w:rFonts w:ascii="Arial" w:hAnsi="Arial" w:cs="Arial"/>
          <w:sz w:val="24"/>
          <w:szCs w:val="24"/>
        </w:rPr>
        <w:t xml:space="preserve">On the other hand, there is a </w:t>
      </w:r>
      <w:r w:rsidR="0061223F">
        <w:rPr>
          <w:rFonts w:ascii="Arial" w:hAnsi="Arial" w:cs="Arial"/>
          <w:sz w:val="24"/>
          <w:szCs w:val="24"/>
        </w:rPr>
        <w:t>clear</w:t>
      </w:r>
      <w:r>
        <w:rPr>
          <w:rFonts w:ascii="Arial" w:hAnsi="Arial" w:cs="Arial"/>
          <w:sz w:val="24"/>
          <w:szCs w:val="24"/>
        </w:rPr>
        <w:t xml:space="preserve"> argument in </w:t>
      </w:r>
      <w:r w:rsidR="0061223F">
        <w:rPr>
          <w:rFonts w:ascii="Arial" w:hAnsi="Arial" w:cs="Arial"/>
          <w:sz w:val="24"/>
          <w:szCs w:val="24"/>
        </w:rPr>
        <w:t>disagreement</w:t>
      </w:r>
      <w:r>
        <w:rPr>
          <w:rFonts w:ascii="Arial" w:hAnsi="Arial" w:cs="Arial"/>
          <w:sz w:val="24"/>
          <w:szCs w:val="24"/>
        </w:rPr>
        <w:t xml:space="preserve"> to the increasing of the minimum age of criminal responsibility in England and Wales. </w:t>
      </w:r>
      <w:r w:rsidR="0061223F">
        <w:rPr>
          <w:rFonts w:ascii="Arial" w:hAnsi="Arial" w:cs="Arial"/>
          <w:sz w:val="24"/>
          <w:szCs w:val="24"/>
        </w:rPr>
        <w:t>One central idea of this contention is in respects to cybercrime. It has been challenged over the years that as the times progress with modern-day technology, the age at which children are introduced to this</w:t>
      </w:r>
      <w:r w:rsidR="00D00606">
        <w:rPr>
          <w:rFonts w:ascii="Arial" w:hAnsi="Arial" w:cs="Arial"/>
          <w:sz w:val="24"/>
          <w:szCs w:val="24"/>
        </w:rPr>
        <w:t>,</w:t>
      </w:r>
      <w:r w:rsidR="0061223F">
        <w:rPr>
          <w:rFonts w:ascii="Arial" w:hAnsi="Arial" w:cs="Arial"/>
          <w:sz w:val="24"/>
          <w:szCs w:val="24"/>
        </w:rPr>
        <w:t xml:space="preserve"> is and has gradually become younger following the Children and Young Persons Act in 1963</w:t>
      </w:r>
      <w:r w:rsidR="007E49DB">
        <w:rPr>
          <w:rFonts w:ascii="Arial" w:hAnsi="Arial" w:cs="Arial"/>
          <w:sz w:val="24"/>
          <w:szCs w:val="24"/>
        </w:rPr>
        <w:t xml:space="preserve"> (Balajanov, 2018). </w:t>
      </w:r>
      <w:r w:rsidR="00DC7FFE">
        <w:rPr>
          <w:rFonts w:ascii="Arial" w:hAnsi="Arial" w:cs="Arial"/>
          <w:sz w:val="24"/>
          <w:szCs w:val="24"/>
        </w:rPr>
        <w:t>It c</w:t>
      </w:r>
      <w:r w:rsidR="001A781E">
        <w:rPr>
          <w:rFonts w:ascii="Arial" w:hAnsi="Arial" w:cs="Arial"/>
          <w:sz w:val="24"/>
          <w:szCs w:val="24"/>
        </w:rPr>
        <w:t>ould</w:t>
      </w:r>
      <w:r w:rsidR="00DC7FFE">
        <w:rPr>
          <w:rFonts w:ascii="Arial" w:hAnsi="Arial" w:cs="Arial"/>
          <w:sz w:val="24"/>
          <w:szCs w:val="24"/>
        </w:rPr>
        <w:t xml:space="preserve"> be </w:t>
      </w:r>
      <w:r w:rsidR="001A781E">
        <w:rPr>
          <w:rFonts w:ascii="Arial" w:hAnsi="Arial" w:cs="Arial"/>
          <w:sz w:val="24"/>
          <w:szCs w:val="24"/>
        </w:rPr>
        <w:t>debated</w:t>
      </w:r>
      <w:r w:rsidR="0038523F">
        <w:rPr>
          <w:rFonts w:ascii="Arial" w:hAnsi="Arial" w:cs="Arial"/>
          <w:sz w:val="24"/>
          <w:szCs w:val="24"/>
        </w:rPr>
        <w:t xml:space="preserve"> </w:t>
      </w:r>
      <w:r w:rsidR="001A781E">
        <w:rPr>
          <w:rFonts w:ascii="Arial" w:hAnsi="Arial" w:cs="Arial"/>
          <w:sz w:val="24"/>
          <w:szCs w:val="24"/>
        </w:rPr>
        <w:t xml:space="preserve">that the existing minimum age of criminal responsibility insufficiently considers cybercrimes as they are primarily manipulated by physical offences rather than those that are simulated. The </w:t>
      </w:r>
      <w:r w:rsidR="00F642B3">
        <w:rPr>
          <w:rFonts w:ascii="Arial" w:hAnsi="Arial" w:cs="Arial"/>
          <w:sz w:val="24"/>
          <w:szCs w:val="24"/>
        </w:rPr>
        <w:t>distinctive</w:t>
      </w:r>
      <w:r w:rsidR="001A781E">
        <w:rPr>
          <w:rFonts w:ascii="Arial" w:hAnsi="Arial" w:cs="Arial"/>
          <w:sz w:val="24"/>
          <w:szCs w:val="24"/>
        </w:rPr>
        <w:t xml:space="preserve"> nature of </w:t>
      </w:r>
      <w:r w:rsidR="00F642B3">
        <w:rPr>
          <w:rFonts w:ascii="Arial" w:hAnsi="Arial" w:cs="Arial"/>
          <w:sz w:val="24"/>
          <w:szCs w:val="24"/>
        </w:rPr>
        <w:t>current</w:t>
      </w:r>
      <w:r w:rsidR="001A781E">
        <w:rPr>
          <w:rFonts w:ascii="Arial" w:hAnsi="Arial" w:cs="Arial"/>
          <w:sz w:val="24"/>
          <w:szCs w:val="24"/>
        </w:rPr>
        <w:t xml:space="preserve"> technology makes the application of </w:t>
      </w:r>
      <w:r w:rsidR="00F642B3">
        <w:rPr>
          <w:rFonts w:ascii="Arial" w:hAnsi="Arial" w:cs="Arial"/>
          <w:sz w:val="24"/>
          <w:szCs w:val="24"/>
        </w:rPr>
        <w:t>common</w:t>
      </w:r>
      <w:r w:rsidR="00A048B1">
        <w:rPr>
          <w:rFonts w:ascii="Arial" w:hAnsi="Arial" w:cs="Arial"/>
          <w:sz w:val="24"/>
          <w:szCs w:val="24"/>
        </w:rPr>
        <w:t xml:space="preserve"> </w:t>
      </w:r>
      <w:r w:rsidR="00F642B3">
        <w:rPr>
          <w:rFonts w:ascii="Arial" w:hAnsi="Arial" w:cs="Arial"/>
          <w:sz w:val="24"/>
          <w:szCs w:val="24"/>
        </w:rPr>
        <w:t>misconduct</w:t>
      </w:r>
      <w:r w:rsidR="001A781E">
        <w:rPr>
          <w:rFonts w:ascii="Arial" w:hAnsi="Arial" w:cs="Arial"/>
          <w:sz w:val="24"/>
          <w:szCs w:val="24"/>
        </w:rPr>
        <w:t xml:space="preserve"> and </w:t>
      </w:r>
      <w:r w:rsidR="00F642B3">
        <w:rPr>
          <w:rFonts w:ascii="Arial" w:hAnsi="Arial" w:cs="Arial"/>
          <w:sz w:val="24"/>
          <w:szCs w:val="24"/>
        </w:rPr>
        <w:t>concepts</w:t>
      </w:r>
      <w:r w:rsidR="001A781E">
        <w:rPr>
          <w:rFonts w:ascii="Arial" w:hAnsi="Arial" w:cs="Arial"/>
          <w:sz w:val="24"/>
          <w:szCs w:val="24"/>
        </w:rPr>
        <w:t xml:space="preserve"> of responsibility outdated it has been argued</w:t>
      </w:r>
      <w:r w:rsidR="00A36A3F">
        <w:rPr>
          <w:rFonts w:ascii="Arial" w:hAnsi="Arial" w:cs="Arial"/>
          <w:sz w:val="24"/>
          <w:szCs w:val="24"/>
        </w:rPr>
        <w:t xml:space="preserve"> (Bell, 2004). According to (Archard, 2004), it could be said that setting the most appropriate minimum age for criminal responsibility for certain groups of crime such as cybercrime in this case, therefore, requires a better understanding of cybercrime from the perspective of those theories of criminal behaviour that can be linked to these types of offences. </w:t>
      </w:r>
      <w:r w:rsidR="003E001D">
        <w:rPr>
          <w:rFonts w:ascii="Arial" w:hAnsi="Arial" w:cs="Arial"/>
          <w:sz w:val="24"/>
          <w:szCs w:val="24"/>
        </w:rPr>
        <w:t xml:space="preserve">In summary to this, it has been claimed that each grouping of misconduct should respectively have its individual minimum age of criminal responsibility dependent on the varying aspects of these collections of delinquency. </w:t>
      </w:r>
    </w:p>
    <w:p w:rsidR="00E640AF" w:rsidRDefault="00F0521D" w:rsidP="009D072F">
      <w:pPr>
        <w:spacing w:line="360" w:lineRule="auto"/>
        <w:rPr>
          <w:rFonts w:ascii="Arial" w:hAnsi="Arial" w:cs="Arial"/>
          <w:sz w:val="24"/>
          <w:szCs w:val="24"/>
        </w:rPr>
      </w:pPr>
      <w:r>
        <w:rPr>
          <w:rFonts w:ascii="Arial" w:hAnsi="Arial" w:cs="Arial"/>
          <w:sz w:val="24"/>
          <w:szCs w:val="24"/>
        </w:rPr>
        <w:t xml:space="preserve">A study was conducted according to (Wagland and Bussey, 2015), which involved a sum of over one hundred individuals, from four various age groups – </w:t>
      </w:r>
      <w:r w:rsidR="00D90832">
        <w:rPr>
          <w:rFonts w:ascii="Arial" w:hAnsi="Arial" w:cs="Arial"/>
          <w:sz w:val="24"/>
          <w:szCs w:val="24"/>
        </w:rPr>
        <w:t>eight-, twelve- and sixteen-year-olds</w:t>
      </w:r>
      <w:r>
        <w:rPr>
          <w:rFonts w:ascii="Arial" w:hAnsi="Arial" w:cs="Arial"/>
          <w:sz w:val="24"/>
          <w:szCs w:val="24"/>
        </w:rPr>
        <w:t xml:space="preserve"> as well as adults. </w:t>
      </w:r>
      <w:r w:rsidR="007F03D1">
        <w:rPr>
          <w:rFonts w:ascii="Arial" w:hAnsi="Arial" w:cs="Arial"/>
          <w:sz w:val="24"/>
          <w:szCs w:val="24"/>
        </w:rPr>
        <w:t xml:space="preserve">Those who participated in this investigation listened to a sequence of vignettes which portrayed an individual perpetrating an offence. The severity of the crimes being </w:t>
      </w:r>
      <w:r w:rsidR="007B71D5">
        <w:rPr>
          <w:rFonts w:ascii="Arial" w:hAnsi="Arial" w:cs="Arial"/>
          <w:sz w:val="24"/>
          <w:szCs w:val="24"/>
        </w:rPr>
        <w:t>executed</w:t>
      </w:r>
      <w:r w:rsidR="007F03D1">
        <w:rPr>
          <w:rFonts w:ascii="Arial" w:hAnsi="Arial" w:cs="Arial"/>
          <w:sz w:val="24"/>
          <w:szCs w:val="24"/>
        </w:rPr>
        <w:t xml:space="preserve"> varied. The participants would </w:t>
      </w:r>
      <w:r w:rsidR="007F03D1">
        <w:rPr>
          <w:rFonts w:ascii="Arial" w:hAnsi="Arial" w:cs="Arial"/>
          <w:sz w:val="24"/>
          <w:szCs w:val="24"/>
        </w:rPr>
        <w:lastRenderedPageBreak/>
        <w:t xml:space="preserve">then </w:t>
      </w:r>
      <w:r w:rsidR="007B71D5">
        <w:rPr>
          <w:rFonts w:ascii="Arial" w:hAnsi="Arial" w:cs="Arial"/>
          <w:sz w:val="24"/>
          <w:szCs w:val="24"/>
        </w:rPr>
        <w:t>deliver</w:t>
      </w:r>
      <w:r w:rsidR="00A048B1">
        <w:rPr>
          <w:rFonts w:ascii="Arial" w:hAnsi="Arial" w:cs="Arial"/>
          <w:sz w:val="24"/>
          <w:szCs w:val="24"/>
        </w:rPr>
        <w:t xml:space="preserve"> </w:t>
      </w:r>
      <w:r w:rsidR="007B71D5">
        <w:rPr>
          <w:rFonts w:ascii="Arial" w:hAnsi="Arial" w:cs="Arial"/>
          <w:sz w:val="24"/>
          <w:szCs w:val="24"/>
        </w:rPr>
        <w:t>rankings</w:t>
      </w:r>
      <w:r w:rsidR="007F03D1">
        <w:rPr>
          <w:rFonts w:ascii="Arial" w:hAnsi="Arial" w:cs="Arial"/>
          <w:sz w:val="24"/>
          <w:szCs w:val="24"/>
        </w:rPr>
        <w:t xml:space="preserve"> on the wrongfulness and </w:t>
      </w:r>
      <w:r w:rsidR="007B71D5">
        <w:rPr>
          <w:rFonts w:ascii="Arial" w:hAnsi="Arial" w:cs="Arial"/>
          <w:sz w:val="24"/>
          <w:szCs w:val="24"/>
        </w:rPr>
        <w:t>likely</w:t>
      </w:r>
      <w:r w:rsidR="00287A7B">
        <w:rPr>
          <w:rFonts w:ascii="Arial" w:hAnsi="Arial" w:cs="Arial"/>
          <w:sz w:val="24"/>
          <w:szCs w:val="24"/>
        </w:rPr>
        <w:t xml:space="preserve"> </w:t>
      </w:r>
      <w:r w:rsidR="007B71D5">
        <w:rPr>
          <w:rFonts w:ascii="Arial" w:hAnsi="Arial" w:cs="Arial"/>
          <w:sz w:val="24"/>
          <w:szCs w:val="24"/>
        </w:rPr>
        <w:t>consequences</w:t>
      </w:r>
      <w:r w:rsidR="00287A7B">
        <w:rPr>
          <w:rFonts w:ascii="Arial" w:hAnsi="Arial" w:cs="Arial"/>
          <w:sz w:val="24"/>
          <w:szCs w:val="24"/>
        </w:rPr>
        <w:t xml:space="preserve"> </w:t>
      </w:r>
      <w:r w:rsidR="007B71D5">
        <w:rPr>
          <w:rFonts w:ascii="Arial" w:hAnsi="Arial" w:cs="Arial"/>
          <w:sz w:val="24"/>
          <w:szCs w:val="24"/>
        </w:rPr>
        <w:t>linked</w:t>
      </w:r>
      <w:r w:rsidR="007F03D1">
        <w:rPr>
          <w:rFonts w:ascii="Arial" w:hAnsi="Arial" w:cs="Arial"/>
          <w:sz w:val="24"/>
          <w:szCs w:val="24"/>
        </w:rPr>
        <w:t xml:space="preserve"> with each </w:t>
      </w:r>
      <w:r w:rsidR="007B71D5">
        <w:rPr>
          <w:rFonts w:ascii="Arial" w:hAnsi="Arial" w:cs="Arial"/>
          <w:sz w:val="24"/>
          <w:szCs w:val="24"/>
        </w:rPr>
        <w:t>misdemeanour</w:t>
      </w:r>
      <w:r w:rsidR="00287A7B">
        <w:rPr>
          <w:rFonts w:ascii="Arial" w:hAnsi="Arial" w:cs="Arial"/>
          <w:sz w:val="24"/>
          <w:szCs w:val="24"/>
        </w:rPr>
        <w:t xml:space="preserve"> </w:t>
      </w:r>
      <w:r w:rsidR="007B71D5">
        <w:rPr>
          <w:rFonts w:ascii="Arial" w:hAnsi="Arial" w:cs="Arial"/>
          <w:sz w:val="24"/>
          <w:szCs w:val="24"/>
        </w:rPr>
        <w:t xml:space="preserve">depicted in </w:t>
      </w:r>
      <w:r w:rsidR="007F03D1">
        <w:rPr>
          <w:rFonts w:ascii="Arial" w:hAnsi="Arial" w:cs="Arial"/>
          <w:sz w:val="24"/>
          <w:szCs w:val="24"/>
        </w:rPr>
        <w:t xml:space="preserve">the vignette. </w:t>
      </w:r>
      <w:r w:rsidR="007B71D5">
        <w:rPr>
          <w:rFonts w:ascii="Arial" w:hAnsi="Arial" w:cs="Arial"/>
          <w:sz w:val="24"/>
          <w:szCs w:val="24"/>
        </w:rPr>
        <w:t>It was a surprising conclusion to uncover that those within the eight-year-old age group where capable of meeting the existing mental specification related to reaching the age of criminal responsibility</w:t>
      </w:r>
      <w:r w:rsidR="00E640AF">
        <w:rPr>
          <w:rFonts w:ascii="Arial" w:hAnsi="Arial" w:cs="Arial"/>
          <w:sz w:val="24"/>
          <w:szCs w:val="24"/>
        </w:rPr>
        <w:t xml:space="preserve"> in England and Wales. </w:t>
      </w:r>
      <w:r w:rsidR="000115C7">
        <w:rPr>
          <w:rFonts w:ascii="Arial" w:hAnsi="Arial" w:cs="Arial"/>
          <w:sz w:val="24"/>
          <w:szCs w:val="24"/>
        </w:rPr>
        <w:t xml:space="preserve">This is a strong argument for those who believe the minimum age of criminal responsibility ought to be reduced. These </w:t>
      </w:r>
      <w:r w:rsidR="00976450">
        <w:rPr>
          <w:rFonts w:ascii="Arial" w:hAnsi="Arial" w:cs="Arial"/>
          <w:sz w:val="24"/>
          <w:szCs w:val="24"/>
        </w:rPr>
        <w:t>eight-year-olds</w:t>
      </w:r>
      <w:r w:rsidR="000115C7">
        <w:rPr>
          <w:rFonts w:ascii="Arial" w:hAnsi="Arial" w:cs="Arial"/>
          <w:sz w:val="24"/>
          <w:szCs w:val="24"/>
        </w:rPr>
        <w:t xml:space="preserve"> were able to </w:t>
      </w:r>
      <w:r w:rsidR="00976450">
        <w:rPr>
          <w:rFonts w:ascii="Arial" w:hAnsi="Arial" w:cs="Arial"/>
          <w:sz w:val="24"/>
          <w:szCs w:val="24"/>
        </w:rPr>
        <w:t>present</w:t>
      </w:r>
      <w:r w:rsidR="000115C7">
        <w:rPr>
          <w:rFonts w:ascii="Arial" w:hAnsi="Arial" w:cs="Arial"/>
          <w:sz w:val="24"/>
          <w:szCs w:val="24"/>
        </w:rPr>
        <w:t xml:space="preserve"> evidence </w:t>
      </w:r>
      <w:r w:rsidR="00976450">
        <w:rPr>
          <w:rFonts w:ascii="Arial" w:hAnsi="Arial" w:cs="Arial"/>
          <w:sz w:val="24"/>
          <w:szCs w:val="24"/>
        </w:rPr>
        <w:t>throughout</w:t>
      </w:r>
      <w:r w:rsidR="000115C7">
        <w:rPr>
          <w:rFonts w:ascii="Arial" w:hAnsi="Arial" w:cs="Arial"/>
          <w:sz w:val="24"/>
          <w:szCs w:val="24"/>
        </w:rPr>
        <w:t xml:space="preserve"> this </w:t>
      </w:r>
      <w:r w:rsidR="00976450">
        <w:rPr>
          <w:rFonts w:ascii="Arial" w:hAnsi="Arial" w:cs="Arial"/>
          <w:sz w:val="24"/>
          <w:szCs w:val="24"/>
        </w:rPr>
        <w:t>experimentation</w:t>
      </w:r>
      <w:r w:rsidR="000115C7">
        <w:rPr>
          <w:rFonts w:ascii="Arial" w:hAnsi="Arial" w:cs="Arial"/>
          <w:sz w:val="24"/>
          <w:szCs w:val="24"/>
        </w:rPr>
        <w:t xml:space="preserve"> in regards to their </w:t>
      </w:r>
      <w:r w:rsidR="00976450">
        <w:rPr>
          <w:rFonts w:ascii="Arial" w:hAnsi="Arial" w:cs="Arial"/>
          <w:sz w:val="24"/>
          <w:szCs w:val="24"/>
        </w:rPr>
        <w:t>perception</w:t>
      </w:r>
      <w:r w:rsidR="00287A7B">
        <w:rPr>
          <w:rFonts w:ascii="Arial" w:hAnsi="Arial" w:cs="Arial"/>
          <w:sz w:val="24"/>
          <w:szCs w:val="24"/>
        </w:rPr>
        <w:t xml:space="preserve"> </w:t>
      </w:r>
      <w:r w:rsidR="00976450">
        <w:rPr>
          <w:rFonts w:ascii="Arial" w:hAnsi="Arial" w:cs="Arial"/>
          <w:sz w:val="24"/>
          <w:szCs w:val="24"/>
        </w:rPr>
        <w:t>of the wrongfulness of unlawful conduct. As well as this was their capability to differentiate between illegal behaviour and mischievous all of which were equivalent to older children and even adults.</w:t>
      </w:r>
    </w:p>
    <w:p w:rsidR="00F0521D" w:rsidRDefault="00F8135F" w:rsidP="009D072F">
      <w:pPr>
        <w:spacing w:line="360" w:lineRule="auto"/>
        <w:rPr>
          <w:rFonts w:ascii="Arial" w:hAnsi="Arial" w:cs="Arial"/>
          <w:sz w:val="24"/>
          <w:szCs w:val="24"/>
        </w:rPr>
      </w:pPr>
      <w:r>
        <w:rPr>
          <w:rFonts w:ascii="Arial" w:hAnsi="Arial" w:cs="Arial"/>
          <w:sz w:val="24"/>
          <w:szCs w:val="24"/>
        </w:rPr>
        <w:t>In addition to this, more evidence was uncovered concerning the minimum age of criminal responsibility versus the minimum age for m</w:t>
      </w:r>
      <w:r w:rsidR="00AD6187">
        <w:rPr>
          <w:rFonts w:ascii="Arial" w:hAnsi="Arial" w:cs="Arial"/>
          <w:sz w:val="24"/>
          <w:szCs w:val="24"/>
        </w:rPr>
        <w:t>edical h</w:t>
      </w:r>
      <w:r>
        <w:rPr>
          <w:rFonts w:ascii="Arial" w:hAnsi="Arial" w:cs="Arial"/>
          <w:sz w:val="24"/>
          <w:szCs w:val="24"/>
        </w:rPr>
        <w:t>ealth c</w:t>
      </w:r>
      <w:r w:rsidR="00AD6187">
        <w:rPr>
          <w:rFonts w:ascii="Arial" w:hAnsi="Arial" w:cs="Arial"/>
          <w:sz w:val="24"/>
          <w:szCs w:val="24"/>
        </w:rPr>
        <w:t>onsent</w:t>
      </w:r>
      <w:r>
        <w:rPr>
          <w:rFonts w:ascii="Arial" w:hAnsi="Arial" w:cs="Arial"/>
          <w:sz w:val="24"/>
          <w:szCs w:val="24"/>
        </w:rPr>
        <w:t xml:space="preserve"> which numerous </w:t>
      </w:r>
      <w:r w:rsidR="00AD6187">
        <w:rPr>
          <w:rFonts w:ascii="Arial" w:hAnsi="Arial" w:cs="Arial"/>
          <w:sz w:val="24"/>
          <w:szCs w:val="24"/>
        </w:rPr>
        <w:t>individuals’</w:t>
      </w:r>
      <w:r>
        <w:rPr>
          <w:rFonts w:ascii="Arial" w:hAnsi="Arial" w:cs="Arial"/>
          <w:sz w:val="24"/>
          <w:szCs w:val="24"/>
        </w:rPr>
        <w:t xml:space="preserve"> question ought to be the same. </w:t>
      </w:r>
      <w:r w:rsidR="00AD6187">
        <w:rPr>
          <w:rFonts w:ascii="Arial" w:hAnsi="Arial" w:cs="Arial"/>
          <w:sz w:val="24"/>
          <w:szCs w:val="24"/>
        </w:rPr>
        <w:t>In England and Wales for instance</w:t>
      </w:r>
      <w:r w:rsidR="00E640AF">
        <w:rPr>
          <w:rFonts w:ascii="Arial" w:hAnsi="Arial" w:cs="Arial"/>
          <w:sz w:val="24"/>
          <w:szCs w:val="24"/>
        </w:rPr>
        <w:t>,</w:t>
      </w:r>
      <w:r w:rsidR="00AD6187">
        <w:rPr>
          <w:rFonts w:ascii="Arial" w:hAnsi="Arial" w:cs="Arial"/>
          <w:sz w:val="24"/>
          <w:szCs w:val="24"/>
        </w:rPr>
        <w:t xml:space="preserve"> the minimum age for medical health consent is aged sixteen years old yet the minimum age of criminal responsibility is ten. It has been debated that an individual under the age of sixteen in England and Wales who pursues medical assistance</w:t>
      </w:r>
      <w:r w:rsidR="00E640AF">
        <w:rPr>
          <w:rFonts w:ascii="Arial" w:hAnsi="Arial" w:cs="Arial"/>
          <w:sz w:val="24"/>
          <w:szCs w:val="24"/>
        </w:rPr>
        <w:t>,</w:t>
      </w:r>
      <w:r w:rsidR="00AD6187">
        <w:rPr>
          <w:rFonts w:ascii="Arial" w:hAnsi="Arial" w:cs="Arial"/>
          <w:sz w:val="24"/>
          <w:szCs w:val="24"/>
        </w:rPr>
        <w:t xml:space="preserve"> cannot independently consent to assessment short of parental authorization beforehand. However, withstanding this, that identical adolescent can be put on trial in the court of law for a criminal offence</w:t>
      </w:r>
      <w:r w:rsidR="005C01C8">
        <w:rPr>
          <w:rFonts w:ascii="Arial" w:hAnsi="Arial" w:cs="Arial"/>
          <w:sz w:val="24"/>
          <w:szCs w:val="24"/>
        </w:rPr>
        <w:t xml:space="preserve"> (Noroozi, Singh and Fazel, 2018). </w:t>
      </w:r>
    </w:p>
    <w:p w:rsidR="00803F96" w:rsidRDefault="00803F96" w:rsidP="00976450">
      <w:pPr>
        <w:spacing w:line="360" w:lineRule="auto"/>
        <w:rPr>
          <w:rFonts w:ascii="Arial" w:hAnsi="Arial" w:cs="Arial"/>
          <w:sz w:val="24"/>
          <w:szCs w:val="24"/>
        </w:rPr>
      </w:pPr>
      <w:r>
        <w:rPr>
          <w:rFonts w:ascii="Arial" w:hAnsi="Arial" w:cs="Arial"/>
          <w:sz w:val="24"/>
          <w:szCs w:val="24"/>
        </w:rPr>
        <w:t xml:space="preserve">Research uncovered has similarly raised uncomfortable questions with regards to the legitimacy of holding responsible a ten-year-old child in an equivalent sense to adults in the criminal justice system. </w:t>
      </w:r>
      <w:r w:rsidR="00627AD3">
        <w:rPr>
          <w:rFonts w:ascii="Arial" w:hAnsi="Arial" w:cs="Arial"/>
          <w:sz w:val="24"/>
          <w:szCs w:val="24"/>
        </w:rPr>
        <w:t>Another argument for the minimum age of criminal responsibility in England and Wales to be raised is that since the Children and Young Persons Act in 1963 where this age was set at aged ten years</w:t>
      </w:r>
      <w:r w:rsidR="00E640AF">
        <w:rPr>
          <w:rFonts w:ascii="Arial" w:hAnsi="Arial" w:cs="Arial"/>
          <w:sz w:val="24"/>
          <w:szCs w:val="24"/>
        </w:rPr>
        <w:t>,</w:t>
      </w:r>
      <w:r w:rsidR="00627AD3">
        <w:rPr>
          <w:rFonts w:ascii="Arial" w:hAnsi="Arial" w:cs="Arial"/>
          <w:sz w:val="24"/>
          <w:szCs w:val="24"/>
        </w:rPr>
        <w:t xml:space="preserve"> there has been no liberal restructuring at all</w:t>
      </w:r>
      <w:r w:rsidR="005878F2">
        <w:rPr>
          <w:rFonts w:ascii="Arial" w:hAnsi="Arial" w:cs="Arial"/>
          <w:sz w:val="24"/>
          <w:szCs w:val="24"/>
        </w:rPr>
        <w:t xml:space="preserve"> (Bottoms, 1974). </w:t>
      </w:r>
      <w:r w:rsidR="00356C2B">
        <w:rPr>
          <w:rFonts w:ascii="Arial" w:hAnsi="Arial" w:cs="Arial"/>
          <w:sz w:val="24"/>
          <w:szCs w:val="24"/>
        </w:rPr>
        <w:t>According to (Bandalli, 2000), t</w:t>
      </w:r>
      <w:r w:rsidR="005878F2">
        <w:rPr>
          <w:rFonts w:ascii="Arial" w:hAnsi="Arial" w:cs="Arial"/>
          <w:sz w:val="24"/>
          <w:szCs w:val="24"/>
        </w:rPr>
        <w:t xml:space="preserve">his argument supports the preceding claim concerning this act being out of date in our </w:t>
      </w:r>
      <w:r w:rsidR="007312EA">
        <w:rPr>
          <w:rFonts w:ascii="Arial" w:hAnsi="Arial" w:cs="Arial"/>
          <w:sz w:val="24"/>
          <w:szCs w:val="24"/>
        </w:rPr>
        <w:t>modern-day</w:t>
      </w:r>
      <w:r w:rsidR="005878F2">
        <w:rPr>
          <w:rFonts w:ascii="Arial" w:hAnsi="Arial" w:cs="Arial"/>
          <w:sz w:val="24"/>
          <w:szCs w:val="24"/>
        </w:rPr>
        <w:t xml:space="preserve"> civilisation since not being edited </w:t>
      </w:r>
      <w:r w:rsidR="00E640AF">
        <w:rPr>
          <w:rFonts w:ascii="Arial" w:hAnsi="Arial" w:cs="Arial"/>
          <w:sz w:val="24"/>
          <w:szCs w:val="24"/>
        </w:rPr>
        <w:t xml:space="preserve">in regard to the minimum age of criminal responsibility </w:t>
      </w:r>
      <w:r w:rsidR="005878F2">
        <w:rPr>
          <w:rFonts w:ascii="Arial" w:hAnsi="Arial" w:cs="Arial"/>
          <w:sz w:val="24"/>
          <w:szCs w:val="24"/>
        </w:rPr>
        <w:t>for almost six decades.</w:t>
      </w:r>
      <w:r w:rsidR="007312EA">
        <w:rPr>
          <w:rFonts w:ascii="Arial" w:hAnsi="Arial" w:cs="Arial"/>
          <w:sz w:val="24"/>
          <w:szCs w:val="24"/>
        </w:rPr>
        <w:t xml:space="preserve"> It is </w:t>
      </w:r>
      <w:r w:rsidR="004817E9">
        <w:rPr>
          <w:rFonts w:ascii="Arial" w:hAnsi="Arial" w:cs="Arial"/>
          <w:sz w:val="24"/>
          <w:szCs w:val="24"/>
        </w:rPr>
        <w:t>clearlysignificant</w:t>
      </w:r>
      <w:r w:rsidR="007312EA">
        <w:rPr>
          <w:rFonts w:ascii="Arial" w:hAnsi="Arial" w:cs="Arial"/>
          <w:sz w:val="24"/>
          <w:szCs w:val="24"/>
        </w:rPr>
        <w:t xml:space="preserve"> to address that the Children and Young Persons Act </w:t>
      </w:r>
      <w:r w:rsidR="004817E9">
        <w:rPr>
          <w:rFonts w:ascii="Arial" w:hAnsi="Arial" w:cs="Arial"/>
          <w:sz w:val="24"/>
          <w:szCs w:val="24"/>
        </w:rPr>
        <w:t xml:space="preserve">1969 contained requirements in order to eradicate juvenile courts and increase the minimum age of unlawful responsibility to aged sixteen years old. </w:t>
      </w:r>
      <w:r w:rsidR="00631C28">
        <w:rPr>
          <w:rFonts w:ascii="Arial" w:hAnsi="Arial" w:cs="Arial"/>
          <w:sz w:val="24"/>
          <w:szCs w:val="24"/>
        </w:rPr>
        <w:t xml:space="preserve">For </w:t>
      </w:r>
      <w:r w:rsidR="00246E92">
        <w:rPr>
          <w:rFonts w:ascii="Arial" w:hAnsi="Arial" w:cs="Arial"/>
          <w:sz w:val="24"/>
          <w:szCs w:val="24"/>
        </w:rPr>
        <w:t xml:space="preserve">numerous, complex reasons which have largely been resulting from radical domineering and professional self-regard, these segments of </w:t>
      </w:r>
      <w:r w:rsidR="00246E92">
        <w:rPr>
          <w:rFonts w:ascii="Arial" w:hAnsi="Arial" w:cs="Arial"/>
          <w:sz w:val="24"/>
          <w:szCs w:val="24"/>
        </w:rPr>
        <w:lastRenderedPageBreak/>
        <w:t xml:space="preserve">the 1969 act which promised to legalise juvenile courts in England </w:t>
      </w:r>
      <w:r w:rsidR="00E640AF">
        <w:rPr>
          <w:rFonts w:ascii="Arial" w:hAnsi="Arial" w:cs="Arial"/>
          <w:sz w:val="24"/>
          <w:szCs w:val="24"/>
        </w:rPr>
        <w:t xml:space="preserve">and Wales </w:t>
      </w:r>
      <w:r w:rsidR="00246E92">
        <w:rPr>
          <w:rFonts w:ascii="Arial" w:hAnsi="Arial" w:cs="Arial"/>
          <w:sz w:val="24"/>
          <w:szCs w:val="24"/>
        </w:rPr>
        <w:t>were not acted upon. Perhaps even more significantly though, they have also never been relooked at</w:t>
      </w:r>
      <w:r w:rsidR="00356C2B">
        <w:rPr>
          <w:rFonts w:ascii="Arial" w:hAnsi="Arial" w:cs="Arial"/>
          <w:sz w:val="24"/>
          <w:szCs w:val="24"/>
        </w:rPr>
        <w:t xml:space="preserve"> (Coleman, 2011). Such statis within England and Wales is out of date with both trends happening </w:t>
      </w:r>
      <w:r w:rsidR="00AD38C4">
        <w:rPr>
          <w:rFonts w:ascii="Arial" w:hAnsi="Arial" w:cs="Arial"/>
          <w:sz w:val="24"/>
          <w:szCs w:val="24"/>
        </w:rPr>
        <w:t>worldwidetogether withcurrentimprovements going on</w:t>
      </w:r>
      <w:r w:rsidR="00356C2B">
        <w:rPr>
          <w:rFonts w:ascii="Arial" w:hAnsi="Arial" w:cs="Arial"/>
          <w:sz w:val="24"/>
          <w:szCs w:val="24"/>
        </w:rPr>
        <w:t xml:space="preserve"> in </w:t>
      </w:r>
      <w:r w:rsidR="00AD38C4">
        <w:rPr>
          <w:rFonts w:ascii="Arial" w:hAnsi="Arial" w:cs="Arial"/>
          <w:sz w:val="24"/>
          <w:szCs w:val="24"/>
        </w:rPr>
        <w:t>adjacent</w:t>
      </w:r>
      <w:r w:rsidR="00356C2B">
        <w:rPr>
          <w:rFonts w:ascii="Arial" w:hAnsi="Arial" w:cs="Arial"/>
          <w:sz w:val="24"/>
          <w:szCs w:val="24"/>
        </w:rPr>
        <w:t xml:space="preserve"> countries</w:t>
      </w:r>
      <w:r w:rsidR="006B1FBC">
        <w:rPr>
          <w:rFonts w:ascii="Arial" w:hAnsi="Arial" w:cs="Arial"/>
          <w:sz w:val="24"/>
          <w:szCs w:val="24"/>
        </w:rPr>
        <w:t xml:space="preserve"> (Commission of the European Countries, 2006). </w:t>
      </w:r>
      <w:r w:rsidR="005E4FF3">
        <w:rPr>
          <w:rFonts w:ascii="Arial" w:hAnsi="Arial" w:cs="Arial"/>
          <w:sz w:val="24"/>
          <w:szCs w:val="24"/>
        </w:rPr>
        <w:t>According to the (</w:t>
      </w:r>
      <w:r w:rsidR="005E4FF3" w:rsidRPr="005E4FF3">
        <w:rPr>
          <w:rFonts w:ascii="Arial" w:hAnsi="Arial" w:cs="Arial"/>
          <w:sz w:val="24"/>
          <w:szCs w:val="24"/>
        </w:rPr>
        <w:t>House of Lord</w:t>
      </w:r>
      <w:r w:rsidR="005E4FF3">
        <w:rPr>
          <w:rFonts w:ascii="Arial" w:hAnsi="Arial" w:cs="Arial"/>
          <w:sz w:val="24"/>
          <w:szCs w:val="24"/>
        </w:rPr>
        <w:t>s</w:t>
      </w:r>
      <w:r w:rsidR="005E4FF3" w:rsidRPr="005E4FF3">
        <w:rPr>
          <w:rFonts w:ascii="Arial" w:hAnsi="Arial" w:cs="Arial"/>
          <w:sz w:val="24"/>
          <w:szCs w:val="24"/>
        </w:rPr>
        <w:t xml:space="preserve"> House of Commons Joint Committee on Human Rights</w:t>
      </w:r>
      <w:r w:rsidR="00C6191F">
        <w:rPr>
          <w:rFonts w:ascii="Arial" w:hAnsi="Arial" w:cs="Arial"/>
          <w:sz w:val="24"/>
          <w:szCs w:val="24"/>
        </w:rPr>
        <w:t>, 2003), t</w:t>
      </w:r>
      <w:r w:rsidR="005E4FF3">
        <w:rPr>
          <w:rFonts w:ascii="Arial" w:hAnsi="Arial" w:cs="Arial"/>
          <w:sz w:val="24"/>
          <w:szCs w:val="24"/>
        </w:rPr>
        <w:t xml:space="preserve">he minimum age of criminal responsibility being set at the age of ten in England and Wales is the lowest in the European Union in conjunction with Northern Ireland. </w:t>
      </w:r>
      <w:r w:rsidR="00C6191F">
        <w:rPr>
          <w:rFonts w:ascii="Arial" w:hAnsi="Arial" w:cs="Arial"/>
          <w:sz w:val="24"/>
          <w:szCs w:val="24"/>
        </w:rPr>
        <w:t>The average minimum age of illegal accountability in Europe is aged fourteen-year</w:t>
      </w:r>
      <w:r w:rsidR="00E640AF">
        <w:rPr>
          <w:rFonts w:ascii="Arial" w:hAnsi="Arial" w:cs="Arial"/>
          <w:sz w:val="24"/>
          <w:szCs w:val="24"/>
        </w:rPr>
        <w:t>s</w:t>
      </w:r>
      <w:r w:rsidR="00C6191F">
        <w:rPr>
          <w:rFonts w:ascii="Arial" w:hAnsi="Arial" w:cs="Arial"/>
          <w:sz w:val="24"/>
          <w:szCs w:val="24"/>
        </w:rPr>
        <w:t xml:space="preserve">-old. Keeping this in mind, the argument for raising the age in England and Wales seems to build in strength as it appears to be so out of line in regards to the principal practices throughout the rest of Europe and their criminal justice systems (Hazel, 2008). </w:t>
      </w:r>
    </w:p>
    <w:p w:rsidR="00EA3355" w:rsidRDefault="00EA3355" w:rsidP="00976450">
      <w:pPr>
        <w:spacing w:line="360" w:lineRule="auto"/>
        <w:rPr>
          <w:rFonts w:ascii="Arial" w:hAnsi="Arial" w:cs="Arial"/>
          <w:sz w:val="24"/>
          <w:szCs w:val="24"/>
        </w:rPr>
      </w:pPr>
      <w:r>
        <w:rPr>
          <w:rFonts w:ascii="Arial" w:hAnsi="Arial" w:cs="Arial"/>
          <w:sz w:val="24"/>
          <w:szCs w:val="24"/>
        </w:rPr>
        <w:t xml:space="preserve">Following on from this, according to (Erikson, 1966), numerous countries around the world manage their adolescence justice organisations where the minimum age of illegal accountability is significantly higher than it is in England and Wales. As well as this it has been </w:t>
      </w:r>
      <w:r w:rsidR="00767514">
        <w:rPr>
          <w:rFonts w:ascii="Arial" w:hAnsi="Arial" w:cs="Arial"/>
          <w:sz w:val="24"/>
          <w:szCs w:val="24"/>
        </w:rPr>
        <w:t>revealed</w:t>
      </w:r>
      <w:r>
        <w:rPr>
          <w:rFonts w:ascii="Arial" w:hAnsi="Arial" w:cs="Arial"/>
          <w:sz w:val="24"/>
          <w:szCs w:val="24"/>
        </w:rPr>
        <w:t xml:space="preserve"> that there are no negative </w:t>
      </w:r>
      <w:r w:rsidR="00767514">
        <w:rPr>
          <w:rFonts w:ascii="Arial" w:hAnsi="Arial" w:cs="Arial"/>
          <w:sz w:val="24"/>
          <w:szCs w:val="24"/>
        </w:rPr>
        <w:t>significances</w:t>
      </w:r>
      <w:r>
        <w:rPr>
          <w:rFonts w:ascii="Arial" w:hAnsi="Arial" w:cs="Arial"/>
          <w:sz w:val="24"/>
          <w:szCs w:val="24"/>
        </w:rPr>
        <w:t xml:space="preserve"> to be seen in regards to these countries rates of young </w:t>
      </w:r>
      <w:r w:rsidR="00767514">
        <w:rPr>
          <w:rFonts w:ascii="Arial" w:hAnsi="Arial" w:cs="Arial"/>
          <w:sz w:val="24"/>
          <w:szCs w:val="24"/>
        </w:rPr>
        <w:t>individuals</w:t>
      </w:r>
      <w:r>
        <w:rPr>
          <w:rFonts w:ascii="Arial" w:hAnsi="Arial" w:cs="Arial"/>
          <w:sz w:val="24"/>
          <w:szCs w:val="24"/>
        </w:rPr>
        <w:t xml:space="preserve"> com</w:t>
      </w:r>
      <w:r w:rsidR="00767514">
        <w:rPr>
          <w:rFonts w:ascii="Arial" w:hAnsi="Arial" w:cs="Arial"/>
          <w:sz w:val="24"/>
          <w:szCs w:val="24"/>
        </w:rPr>
        <w:t>mitting crimes</w:t>
      </w:r>
      <w:r w:rsidR="00E640AF">
        <w:rPr>
          <w:rFonts w:ascii="Arial" w:hAnsi="Arial" w:cs="Arial"/>
          <w:sz w:val="24"/>
          <w:szCs w:val="24"/>
        </w:rPr>
        <w:t xml:space="preserve">. Even </w:t>
      </w:r>
      <w:r w:rsidR="00767514">
        <w:rPr>
          <w:rFonts w:ascii="Arial" w:hAnsi="Arial" w:cs="Arial"/>
          <w:sz w:val="24"/>
          <w:szCs w:val="24"/>
        </w:rPr>
        <w:t xml:space="preserve">in comparison to England and Wales in spite of the variance in minimum age of criminal accountability. </w:t>
      </w:r>
      <w:r w:rsidR="000D07F4">
        <w:rPr>
          <w:rFonts w:ascii="Arial" w:hAnsi="Arial" w:cs="Arial"/>
          <w:sz w:val="24"/>
          <w:szCs w:val="24"/>
        </w:rPr>
        <w:t xml:space="preserve">Secondly to this, in countless other European countries and others around the world there are controls in place which differentiates between relative and full criminal responsibility. It has been contended in England and Wales that this ought to be something which is put into place. It can help safeguard that cases concerning children are dealt within distinct juvenile courts in which informative clearances are favoured. </w:t>
      </w:r>
      <w:r w:rsidR="00531172">
        <w:rPr>
          <w:rFonts w:ascii="Arial" w:hAnsi="Arial" w:cs="Arial"/>
          <w:sz w:val="24"/>
          <w:szCs w:val="24"/>
        </w:rPr>
        <w:t xml:space="preserve">It has been questioned as to whether in England and Wales </w:t>
      </w:r>
      <w:r w:rsidR="00504363">
        <w:rPr>
          <w:rFonts w:ascii="Arial" w:hAnsi="Arial" w:cs="Arial"/>
          <w:sz w:val="24"/>
          <w:szCs w:val="24"/>
        </w:rPr>
        <w:t>a practice could be</w:t>
      </w:r>
      <w:r w:rsidR="00531172">
        <w:rPr>
          <w:rFonts w:ascii="Arial" w:hAnsi="Arial" w:cs="Arial"/>
          <w:sz w:val="24"/>
          <w:szCs w:val="24"/>
        </w:rPr>
        <w:t xml:space="preserve"> set in place in which </w:t>
      </w:r>
      <w:r w:rsidR="00504363">
        <w:rPr>
          <w:rFonts w:ascii="Arial" w:hAnsi="Arial" w:cs="Arial"/>
          <w:sz w:val="24"/>
          <w:szCs w:val="24"/>
        </w:rPr>
        <w:t>complete</w:t>
      </w:r>
      <w:r w:rsidR="00DF464D">
        <w:rPr>
          <w:rFonts w:ascii="Arial" w:hAnsi="Arial" w:cs="Arial"/>
          <w:sz w:val="24"/>
          <w:szCs w:val="24"/>
        </w:rPr>
        <w:t xml:space="preserve"> </w:t>
      </w:r>
      <w:r w:rsidR="00504363">
        <w:rPr>
          <w:rFonts w:ascii="Arial" w:hAnsi="Arial" w:cs="Arial"/>
          <w:sz w:val="24"/>
          <w:szCs w:val="24"/>
        </w:rPr>
        <w:t>illegal</w:t>
      </w:r>
      <w:r w:rsidR="00531172">
        <w:rPr>
          <w:rFonts w:ascii="Arial" w:hAnsi="Arial" w:cs="Arial"/>
          <w:sz w:val="24"/>
          <w:szCs w:val="24"/>
        </w:rPr>
        <w:t xml:space="preserve"> responsibility does not </w:t>
      </w:r>
      <w:r w:rsidR="00504363">
        <w:rPr>
          <w:rFonts w:ascii="Arial" w:hAnsi="Arial" w:cs="Arial"/>
          <w:sz w:val="24"/>
          <w:szCs w:val="24"/>
        </w:rPr>
        <w:t>become operative pending an individual reaches the age of eighteen</w:t>
      </w:r>
      <w:r w:rsidR="00DF464D">
        <w:rPr>
          <w:rFonts w:ascii="Arial" w:hAnsi="Arial" w:cs="Arial"/>
          <w:sz w:val="24"/>
          <w:szCs w:val="24"/>
        </w:rPr>
        <w:t xml:space="preserve"> </w:t>
      </w:r>
      <w:r w:rsidR="00504363">
        <w:rPr>
          <w:rFonts w:ascii="Arial" w:hAnsi="Arial" w:cs="Arial"/>
          <w:sz w:val="24"/>
          <w:szCs w:val="24"/>
        </w:rPr>
        <w:t xml:space="preserve">(Maher, 2005). </w:t>
      </w:r>
      <w:r w:rsidR="00FE127E">
        <w:rPr>
          <w:rFonts w:ascii="Arial" w:hAnsi="Arial" w:cs="Arial"/>
          <w:sz w:val="24"/>
          <w:szCs w:val="24"/>
        </w:rPr>
        <w:t>In</w:t>
      </w:r>
      <w:r w:rsidR="00DF464D">
        <w:rPr>
          <w:rFonts w:ascii="Arial" w:hAnsi="Arial" w:cs="Arial"/>
          <w:sz w:val="24"/>
          <w:szCs w:val="24"/>
        </w:rPr>
        <w:t xml:space="preserve"> brief, as a result of, </w:t>
      </w:r>
      <w:r w:rsidR="00FE127E">
        <w:rPr>
          <w:rFonts w:ascii="Arial" w:hAnsi="Arial" w:cs="Arial"/>
          <w:sz w:val="24"/>
          <w:szCs w:val="24"/>
        </w:rPr>
        <w:t>the relatively low age of criminal responsibility in England and Wales in contrast to the remainder of the European Union, as well as the absolute exposure of children to the criminal justice system completely. This jurisdiction in England and Wales has been a</w:t>
      </w:r>
      <w:r w:rsidR="00526679">
        <w:rPr>
          <w:rFonts w:ascii="Arial" w:hAnsi="Arial" w:cs="Arial"/>
          <w:sz w:val="24"/>
          <w:szCs w:val="24"/>
        </w:rPr>
        <w:t xml:space="preserve">ccused </w:t>
      </w:r>
      <w:r w:rsidR="00FE127E">
        <w:rPr>
          <w:rFonts w:ascii="Arial" w:hAnsi="Arial" w:cs="Arial"/>
          <w:sz w:val="24"/>
          <w:szCs w:val="24"/>
        </w:rPr>
        <w:t xml:space="preserve">of being out of date in </w:t>
      </w:r>
      <w:r w:rsidR="00526679">
        <w:rPr>
          <w:rFonts w:ascii="Arial" w:hAnsi="Arial" w:cs="Arial"/>
          <w:sz w:val="24"/>
          <w:szCs w:val="24"/>
        </w:rPr>
        <w:t>parallel</w:t>
      </w:r>
      <w:r w:rsidR="00FE127E">
        <w:rPr>
          <w:rFonts w:ascii="Arial" w:hAnsi="Arial" w:cs="Arial"/>
          <w:sz w:val="24"/>
          <w:szCs w:val="24"/>
        </w:rPr>
        <w:t xml:space="preserve"> to the </w:t>
      </w:r>
      <w:r w:rsidR="00526679">
        <w:rPr>
          <w:rFonts w:ascii="Arial" w:hAnsi="Arial" w:cs="Arial"/>
          <w:sz w:val="24"/>
          <w:szCs w:val="24"/>
        </w:rPr>
        <w:t>standards</w:t>
      </w:r>
      <w:r w:rsidR="00FE127E">
        <w:rPr>
          <w:rFonts w:ascii="Arial" w:hAnsi="Arial" w:cs="Arial"/>
          <w:sz w:val="24"/>
          <w:szCs w:val="24"/>
        </w:rPr>
        <w:t xml:space="preserve"> of the European and </w:t>
      </w:r>
      <w:r w:rsidR="00526679">
        <w:rPr>
          <w:rFonts w:ascii="Arial" w:hAnsi="Arial" w:cs="Arial"/>
          <w:sz w:val="24"/>
          <w:szCs w:val="24"/>
        </w:rPr>
        <w:t>international</w:t>
      </w:r>
      <w:r w:rsidR="00DF464D">
        <w:rPr>
          <w:rFonts w:ascii="Arial" w:hAnsi="Arial" w:cs="Arial"/>
          <w:sz w:val="24"/>
          <w:szCs w:val="24"/>
        </w:rPr>
        <w:t xml:space="preserve"> </w:t>
      </w:r>
      <w:r w:rsidR="00526679">
        <w:rPr>
          <w:rFonts w:ascii="Arial" w:hAnsi="Arial" w:cs="Arial"/>
          <w:sz w:val="24"/>
          <w:szCs w:val="24"/>
        </w:rPr>
        <w:t>regulations, procedures and systems relating to youth justice</w:t>
      </w:r>
      <w:r w:rsidR="002D071E">
        <w:rPr>
          <w:rFonts w:ascii="Arial" w:hAnsi="Arial" w:cs="Arial"/>
          <w:sz w:val="24"/>
          <w:szCs w:val="24"/>
        </w:rPr>
        <w:t xml:space="preserve"> (Scottish Law Commission, 2002). </w:t>
      </w:r>
    </w:p>
    <w:p w:rsidR="002D071E" w:rsidRDefault="00017D1C" w:rsidP="00976450">
      <w:pPr>
        <w:spacing w:line="360" w:lineRule="auto"/>
        <w:rPr>
          <w:rFonts w:ascii="Arial" w:hAnsi="Arial" w:cs="Arial"/>
          <w:sz w:val="24"/>
          <w:szCs w:val="24"/>
        </w:rPr>
      </w:pPr>
      <w:r>
        <w:rPr>
          <w:rFonts w:ascii="Arial" w:hAnsi="Arial" w:cs="Arial"/>
          <w:sz w:val="24"/>
          <w:szCs w:val="24"/>
        </w:rPr>
        <w:lastRenderedPageBreak/>
        <w:t>The homicide ca</w:t>
      </w:r>
      <w:r w:rsidR="00084E51">
        <w:rPr>
          <w:rFonts w:ascii="Arial" w:hAnsi="Arial" w:cs="Arial"/>
          <w:sz w:val="24"/>
          <w:szCs w:val="24"/>
        </w:rPr>
        <w:t>se of three-year-old James Bulge</w:t>
      </w:r>
      <w:r>
        <w:rPr>
          <w:rFonts w:ascii="Arial" w:hAnsi="Arial" w:cs="Arial"/>
          <w:sz w:val="24"/>
          <w:szCs w:val="24"/>
        </w:rPr>
        <w:t>r</w:t>
      </w:r>
      <w:r w:rsidR="002D071E">
        <w:rPr>
          <w:rFonts w:ascii="Arial" w:hAnsi="Arial" w:cs="Arial"/>
          <w:sz w:val="24"/>
          <w:szCs w:val="24"/>
        </w:rPr>
        <w:t xml:space="preserve"> is one in which is addressed regularly in regards to why the minimum age of criminal responsibility ought to remain the same or even be dropped several may well contend</w:t>
      </w:r>
      <w:r w:rsidR="006E64D4">
        <w:rPr>
          <w:rFonts w:ascii="Arial" w:hAnsi="Arial" w:cs="Arial"/>
          <w:sz w:val="24"/>
          <w:szCs w:val="24"/>
        </w:rPr>
        <w:t xml:space="preserve"> (Rice and Thomas, 2013).</w:t>
      </w:r>
      <w:r w:rsidR="0087411E">
        <w:rPr>
          <w:rFonts w:ascii="Arial" w:hAnsi="Arial" w:cs="Arial"/>
          <w:sz w:val="24"/>
          <w:szCs w:val="24"/>
        </w:rPr>
        <w:t xml:space="preserve"> James</w:t>
      </w:r>
      <w:r w:rsidR="00DF464D">
        <w:rPr>
          <w:rFonts w:ascii="Arial" w:hAnsi="Arial" w:cs="Arial"/>
          <w:sz w:val="24"/>
          <w:szCs w:val="24"/>
        </w:rPr>
        <w:t xml:space="preserve"> </w:t>
      </w:r>
      <w:r w:rsidR="00084E51">
        <w:rPr>
          <w:rFonts w:ascii="Arial" w:hAnsi="Arial" w:cs="Arial"/>
          <w:sz w:val="24"/>
          <w:szCs w:val="24"/>
        </w:rPr>
        <w:t>Bulge</w:t>
      </w:r>
      <w:r w:rsidR="0087411E">
        <w:rPr>
          <w:rFonts w:ascii="Arial" w:hAnsi="Arial" w:cs="Arial"/>
          <w:sz w:val="24"/>
          <w:szCs w:val="24"/>
        </w:rPr>
        <w:t>r was kidnapped, tormented, and killed in Liverpool, England by two ten-year-old boys named Robert Thompson and Jon Venables in 1993. It has been thought that if the minimum age of criminal responsibility in England at this point in time had not been ten years old, these two juvenile offenders would not have been reprimanded in the manner that they did for their crimes</w:t>
      </w:r>
      <w:r w:rsidR="00D23D5A">
        <w:rPr>
          <w:rFonts w:ascii="Arial" w:hAnsi="Arial" w:cs="Arial"/>
          <w:sz w:val="24"/>
          <w:szCs w:val="24"/>
        </w:rPr>
        <w:t xml:space="preserve"> (Roberts, 2014). </w:t>
      </w:r>
      <w:r w:rsidR="004751D4">
        <w:rPr>
          <w:rFonts w:ascii="Arial" w:hAnsi="Arial" w:cs="Arial"/>
          <w:sz w:val="24"/>
          <w:szCs w:val="24"/>
        </w:rPr>
        <w:t xml:space="preserve">According to (Siddique, 2010), both individuals were sentenced to life imprisonment, </w:t>
      </w:r>
      <w:r w:rsidR="00087E23">
        <w:rPr>
          <w:rFonts w:ascii="Arial" w:hAnsi="Arial" w:cs="Arial"/>
          <w:sz w:val="24"/>
          <w:szCs w:val="24"/>
        </w:rPr>
        <w:t>however,</w:t>
      </w:r>
      <w:r w:rsidR="004751D4">
        <w:rPr>
          <w:rFonts w:ascii="Arial" w:hAnsi="Arial" w:cs="Arial"/>
          <w:sz w:val="24"/>
          <w:szCs w:val="24"/>
        </w:rPr>
        <w:t xml:space="preserve"> were released on license with brand new identities in 2001, less than ten years following the murder. </w:t>
      </w:r>
      <w:r w:rsidR="00087E23">
        <w:rPr>
          <w:rFonts w:ascii="Arial" w:hAnsi="Arial" w:cs="Arial"/>
          <w:sz w:val="24"/>
          <w:szCs w:val="24"/>
        </w:rPr>
        <w:t xml:space="preserve">Some individuals </w:t>
      </w:r>
      <w:r w:rsidR="00E03560">
        <w:rPr>
          <w:rFonts w:ascii="Arial" w:hAnsi="Arial" w:cs="Arial"/>
          <w:sz w:val="24"/>
          <w:szCs w:val="24"/>
        </w:rPr>
        <w:t>debate</w:t>
      </w:r>
      <w:r w:rsidR="00087E23">
        <w:rPr>
          <w:rFonts w:ascii="Arial" w:hAnsi="Arial" w:cs="Arial"/>
          <w:sz w:val="24"/>
          <w:szCs w:val="24"/>
        </w:rPr>
        <w:t xml:space="preserve"> that the minimum age of criminal </w:t>
      </w:r>
      <w:r w:rsidR="00E03560">
        <w:rPr>
          <w:rFonts w:ascii="Arial" w:hAnsi="Arial" w:cs="Arial"/>
          <w:sz w:val="24"/>
          <w:szCs w:val="24"/>
        </w:rPr>
        <w:t>responsibility</w:t>
      </w:r>
      <w:r w:rsidR="00087E23">
        <w:rPr>
          <w:rFonts w:ascii="Arial" w:hAnsi="Arial" w:cs="Arial"/>
          <w:sz w:val="24"/>
          <w:szCs w:val="24"/>
        </w:rPr>
        <w:t xml:space="preserve"> ought to be lowered </w:t>
      </w:r>
      <w:r w:rsidR="00E03560">
        <w:rPr>
          <w:rFonts w:ascii="Arial" w:hAnsi="Arial" w:cs="Arial"/>
          <w:sz w:val="24"/>
          <w:szCs w:val="24"/>
        </w:rPr>
        <w:t xml:space="preserve">as these two young offenders were merely of age to be subjected to the complete mass of the criminal justice system in England and Wales. Nevertheless, in spite of this, numerous individuals ask what would have happened to the two if not, bearing in mind the seriousness of what the two boys did to their victim. </w:t>
      </w:r>
      <w:r w:rsidR="002D2E59">
        <w:rPr>
          <w:rFonts w:ascii="Arial" w:hAnsi="Arial" w:cs="Arial"/>
          <w:sz w:val="24"/>
          <w:szCs w:val="24"/>
        </w:rPr>
        <w:t xml:space="preserve">In addition to this, others consider that the offences perpetrated by Robert Thompson and Jon Venables are to the equal extent if not greater than those of adult offenders, committing crimes of the same kind. Due to this belief, countless individuals claim that the two </w:t>
      </w:r>
      <w:r w:rsidR="00147516">
        <w:rPr>
          <w:rFonts w:ascii="Arial" w:hAnsi="Arial" w:cs="Arial"/>
          <w:sz w:val="24"/>
          <w:szCs w:val="24"/>
        </w:rPr>
        <w:t>ten-year-olds</w:t>
      </w:r>
      <w:r w:rsidR="002D2E59">
        <w:rPr>
          <w:rFonts w:ascii="Arial" w:hAnsi="Arial" w:cs="Arial"/>
          <w:sz w:val="24"/>
          <w:szCs w:val="24"/>
        </w:rPr>
        <w:t xml:space="preserve"> deserved to be subjected to the seriousness of the criminal justice system solely as an adult would</w:t>
      </w:r>
      <w:r w:rsidR="006816FF">
        <w:rPr>
          <w:rFonts w:ascii="Arial" w:hAnsi="Arial" w:cs="Arial"/>
          <w:sz w:val="24"/>
          <w:szCs w:val="24"/>
        </w:rPr>
        <w:br/>
        <w:t>(Levine, 1999). In short, the case for preserving the age of criminal responsibility in England and Wales at the age of ten - with the support of this case - is that if a young person is capable of perpetrating the equivalent level of crime as an adult, then why should they not similarly be reprimanded as one?</w:t>
      </w:r>
    </w:p>
    <w:p w:rsidR="00B013FC" w:rsidRDefault="00473760" w:rsidP="00976450">
      <w:pPr>
        <w:spacing w:line="360" w:lineRule="auto"/>
        <w:rPr>
          <w:rFonts w:ascii="Arial" w:hAnsi="Arial" w:cs="Arial"/>
          <w:sz w:val="24"/>
          <w:szCs w:val="24"/>
        </w:rPr>
      </w:pPr>
      <w:r>
        <w:rPr>
          <w:rFonts w:ascii="Arial" w:hAnsi="Arial" w:cs="Arial"/>
          <w:sz w:val="24"/>
          <w:szCs w:val="24"/>
        </w:rPr>
        <w:t>According to (Mehta, 2011), i</w:t>
      </w:r>
      <w:r w:rsidR="00B013FC">
        <w:rPr>
          <w:rFonts w:ascii="Arial" w:hAnsi="Arial" w:cs="Arial"/>
          <w:sz w:val="24"/>
          <w:szCs w:val="24"/>
        </w:rPr>
        <w:t xml:space="preserve">n further </w:t>
      </w:r>
      <w:r w:rsidR="00B21911">
        <w:rPr>
          <w:rFonts w:ascii="Arial" w:hAnsi="Arial" w:cs="Arial"/>
          <w:sz w:val="24"/>
          <w:szCs w:val="24"/>
        </w:rPr>
        <w:t>debate</w:t>
      </w:r>
      <w:r w:rsidR="00DF464D">
        <w:rPr>
          <w:rFonts w:ascii="Arial" w:hAnsi="Arial" w:cs="Arial"/>
          <w:sz w:val="24"/>
          <w:szCs w:val="24"/>
        </w:rPr>
        <w:t xml:space="preserve"> </w:t>
      </w:r>
      <w:r w:rsidR="00B21911">
        <w:rPr>
          <w:rFonts w:ascii="Arial" w:hAnsi="Arial" w:cs="Arial"/>
          <w:sz w:val="24"/>
          <w:szCs w:val="24"/>
        </w:rPr>
        <w:t>in relation to the case of James Bulg</w:t>
      </w:r>
      <w:r w:rsidR="00084E51">
        <w:rPr>
          <w:rFonts w:ascii="Arial" w:hAnsi="Arial" w:cs="Arial"/>
          <w:sz w:val="24"/>
          <w:szCs w:val="24"/>
        </w:rPr>
        <w:t>e</w:t>
      </w:r>
      <w:r w:rsidR="00B21911">
        <w:rPr>
          <w:rFonts w:ascii="Arial" w:hAnsi="Arial" w:cs="Arial"/>
          <w:sz w:val="24"/>
          <w:szCs w:val="24"/>
        </w:rPr>
        <w:t>r</w:t>
      </w:r>
      <w:r w:rsidR="00B013FC">
        <w:rPr>
          <w:rFonts w:ascii="Arial" w:hAnsi="Arial" w:cs="Arial"/>
          <w:sz w:val="24"/>
          <w:szCs w:val="24"/>
        </w:rPr>
        <w:t xml:space="preserve">, </w:t>
      </w:r>
      <w:r w:rsidR="00B21911">
        <w:rPr>
          <w:rFonts w:ascii="Arial" w:hAnsi="Arial" w:cs="Arial"/>
          <w:sz w:val="24"/>
          <w:szCs w:val="24"/>
        </w:rPr>
        <w:t>several</w:t>
      </w:r>
      <w:r w:rsidR="00DF464D">
        <w:rPr>
          <w:rFonts w:ascii="Arial" w:hAnsi="Arial" w:cs="Arial"/>
          <w:sz w:val="24"/>
          <w:szCs w:val="24"/>
        </w:rPr>
        <w:t xml:space="preserve"> </w:t>
      </w:r>
      <w:r w:rsidR="00B21911">
        <w:rPr>
          <w:rFonts w:ascii="Arial" w:hAnsi="Arial" w:cs="Arial"/>
          <w:sz w:val="24"/>
          <w:szCs w:val="24"/>
        </w:rPr>
        <w:t>argue against</w:t>
      </w:r>
      <w:r w:rsidR="00B013FC">
        <w:rPr>
          <w:rFonts w:ascii="Arial" w:hAnsi="Arial" w:cs="Arial"/>
          <w:sz w:val="24"/>
          <w:szCs w:val="24"/>
        </w:rPr>
        <w:t xml:space="preserve"> this with the </w:t>
      </w:r>
      <w:r w:rsidR="00B21911">
        <w:rPr>
          <w:rFonts w:ascii="Arial" w:hAnsi="Arial" w:cs="Arial"/>
          <w:sz w:val="24"/>
          <w:szCs w:val="24"/>
        </w:rPr>
        <w:t>reality</w:t>
      </w:r>
      <w:r w:rsidR="00B013FC">
        <w:rPr>
          <w:rFonts w:ascii="Arial" w:hAnsi="Arial" w:cs="Arial"/>
          <w:sz w:val="24"/>
          <w:szCs w:val="24"/>
        </w:rPr>
        <w:t xml:space="preserve"> that </w:t>
      </w:r>
      <w:r w:rsidR="00B21911">
        <w:rPr>
          <w:rFonts w:ascii="Arial" w:hAnsi="Arial" w:cs="Arial"/>
          <w:sz w:val="24"/>
          <w:szCs w:val="24"/>
        </w:rPr>
        <w:t>ever since</w:t>
      </w:r>
      <w:r w:rsidR="00B013FC">
        <w:rPr>
          <w:rFonts w:ascii="Arial" w:hAnsi="Arial" w:cs="Arial"/>
          <w:sz w:val="24"/>
          <w:szCs w:val="24"/>
        </w:rPr>
        <w:t xml:space="preserve">, Jon Venables (now aged </w:t>
      </w:r>
      <w:r w:rsidR="00892B71">
        <w:rPr>
          <w:rFonts w:ascii="Arial" w:hAnsi="Arial" w:cs="Arial"/>
          <w:sz w:val="24"/>
          <w:szCs w:val="24"/>
        </w:rPr>
        <w:t>thirty-nine</w:t>
      </w:r>
      <w:r w:rsidR="00B013FC">
        <w:rPr>
          <w:rFonts w:ascii="Arial" w:hAnsi="Arial" w:cs="Arial"/>
          <w:sz w:val="24"/>
          <w:szCs w:val="24"/>
        </w:rPr>
        <w:t xml:space="preserve">) </w:t>
      </w:r>
      <w:r w:rsidR="00892B71">
        <w:rPr>
          <w:rFonts w:ascii="Arial" w:hAnsi="Arial" w:cs="Arial"/>
          <w:sz w:val="24"/>
          <w:szCs w:val="24"/>
        </w:rPr>
        <w:t>has been prosecuted twice for further</w:t>
      </w:r>
      <w:r w:rsidR="00B21911">
        <w:rPr>
          <w:rFonts w:ascii="Arial" w:hAnsi="Arial" w:cs="Arial"/>
          <w:sz w:val="24"/>
          <w:szCs w:val="24"/>
        </w:rPr>
        <w:t xml:space="preserve"> illegal behaviour</w:t>
      </w:r>
      <w:r w:rsidR="00892B71">
        <w:rPr>
          <w:rFonts w:ascii="Arial" w:hAnsi="Arial" w:cs="Arial"/>
          <w:sz w:val="24"/>
          <w:szCs w:val="24"/>
        </w:rPr>
        <w:t xml:space="preserve">. He </w:t>
      </w:r>
      <w:r w:rsidR="00B21911">
        <w:rPr>
          <w:rFonts w:ascii="Arial" w:hAnsi="Arial" w:cs="Arial"/>
          <w:sz w:val="24"/>
          <w:szCs w:val="24"/>
        </w:rPr>
        <w:t>was sentenced for the second time to a forty-month</w:t>
      </w:r>
      <w:r w:rsidR="0089134A">
        <w:rPr>
          <w:rFonts w:ascii="Arial" w:hAnsi="Arial" w:cs="Arial"/>
          <w:sz w:val="24"/>
          <w:szCs w:val="24"/>
        </w:rPr>
        <w:t xml:space="preserve"> </w:t>
      </w:r>
      <w:r w:rsidR="00B21911">
        <w:rPr>
          <w:rFonts w:ascii="Arial" w:hAnsi="Arial" w:cs="Arial"/>
          <w:sz w:val="24"/>
          <w:szCs w:val="24"/>
        </w:rPr>
        <w:t>imprisonment</w:t>
      </w:r>
      <w:r w:rsidR="00892B71">
        <w:rPr>
          <w:rFonts w:ascii="Arial" w:hAnsi="Arial" w:cs="Arial"/>
          <w:sz w:val="24"/>
          <w:szCs w:val="24"/>
        </w:rPr>
        <w:t xml:space="preserve"> sentence </w:t>
      </w:r>
      <w:r>
        <w:rPr>
          <w:rFonts w:ascii="Arial" w:hAnsi="Arial" w:cs="Arial"/>
          <w:sz w:val="24"/>
          <w:szCs w:val="24"/>
        </w:rPr>
        <w:t xml:space="preserve">in February 2018, </w:t>
      </w:r>
      <w:r w:rsidR="00B21911">
        <w:rPr>
          <w:rFonts w:ascii="Arial" w:hAnsi="Arial" w:cs="Arial"/>
          <w:sz w:val="24"/>
          <w:szCs w:val="24"/>
        </w:rPr>
        <w:t>subsequent to</w:t>
      </w:r>
      <w:r w:rsidR="0089134A">
        <w:rPr>
          <w:rFonts w:ascii="Arial" w:hAnsi="Arial" w:cs="Arial"/>
          <w:sz w:val="24"/>
          <w:szCs w:val="24"/>
        </w:rPr>
        <w:t xml:space="preserve"> </w:t>
      </w:r>
      <w:r w:rsidR="00B21911">
        <w:rPr>
          <w:rFonts w:ascii="Arial" w:hAnsi="Arial" w:cs="Arial"/>
          <w:sz w:val="24"/>
          <w:szCs w:val="24"/>
        </w:rPr>
        <w:t>a</w:t>
      </w:r>
      <w:r w:rsidR="00892B71">
        <w:rPr>
          <w:rFonts w:ascii="Arial" w:hAnsi="Arial" w:cs="Arial"/>
          <w:sz w:val="24"/>
          <w:szCs w:val="24"/>
        </w:rPr>
        <w:t xml:space="preserve"> guilty </w:t>
      </w:r>
      <w:r w:rsidR="00B21911">
        <w:rPr>
          <w:rFonts w:ascii="Arial" w:hAnsi="Arial" w:cs="Arial"/>
          <w:sz w:val="24"/>
          <w:szCs w:val="24"/>
        </w:rPr>
        <w:t>appeal</w:t>
      </w:r>
      <w:r w:rsidR="00892B71">
        <w:rPr>
          <w:rFonts w:ascii="Arial" w:hAnsi="Arial" w:cs="Arial"/>
          <w:sz w:val="24"/>
          <w:szCs w:val="24"/>
        </w:rPr>
        <w:t xml:space="preserve"> of</w:t>
      </w:r>
      <w:r w:rsidR="00B21911">
        <w:rPr>
          <w:rFonts w:ascii="Arial" w:hAnsi="Arial" w:cs="Arial"/>
          <w:sz w:val="24"/>
          <w:szCs w:val="24"/>
        </w:rPr>
        <w:t xml:space="preserve"> the</w:t>
      </w:r>
      <w:r w:rsidR="00892B71">
        <w:rPr>
          <w:rFonts w:ascii="Arial" w:hAnsi="Arial" w:cs="Arial"/>
          <w:sz w:val="24"/>
          <w:szCs w:val="24"/>
        </w:rPr>
        <w:t xml:space="preserve"> possess</w:t>
      </w:r>
      <w:r w:rsidR="00B21911">
        <w:rPr>
          <w:rFonts w:ascii="Arial" w:hAnsi="Arial" w:cs="Arial"/>
          <w:sz w:val="24"/>
          <w:szCs w:val="24"/>
        </w:rPr>
        <w:t xml:space="preserve">ion of </w:t>
      </w:r>
      <w:r w:rsidR="00892B71">
        <w:rPr>
          <w:rFonts w:ascii="Arial" w:hAnsi="Arial" w:cs="Arial"/>
          <w:sz w:val="24"/>
          <w:szCs w:val="24"/>
        </w:rPr>
        <w:t xml:space="preserve">over a thousand </w:t>
      </w:r>
      <w:r w:rsidR="00B21911">
        <w:rPr>
          <w:rFonts w:ascii="Arial" w:hAnsi="Arial" w:cs="Arial"/>
          <w:sz w:val="24"/>
          <w:szCs w:val="24"/>
        </w:rPr>
        <w:t>indecent</w:t>
      </w:r>
      <w:r w:rsidR="0089134A">
        <w:rPr>
          <w:rFonts w:ascii="Arial" w:hAnsi="Arial" w:cs="Arial"/>
          <w:sz w:val="24"/>
          <w:szCs w:val="24"/>
        </w:rPr>
        <w:t xml:space="preserve"> </w:t>
      </w:r>
      <w:r w:rsidR="00B21911">
        <w:rPr>
          <w:rFonts w:ascii="Arial" w:hAnsi="Arial" w:cs="Arial"/>
          <w:sz w:val="24"/>
          <w:szCs w:val="24"/>
        </w:rPr>
        <w:t>pictures</w:t>
      </w:r>
      <w:r w:rsidR="00892B71">
        <w:rPr>
          <w:rFonts w:ascii="Arial" w:hAnsi="Arial" w:cs="Arial"/>
          <w:sz w:val="24"/>
          <w:szCs w:val="24"/>
        </w:rPr>
        <w:t xml:space="preserve"> of children</w:t>
      </w:r>
      <w:r w:rsidR="00980FCD">
        <w:rPr>
          <w:rFonts w:ascii="Arial" w:hAnsi="Arial" w:cs="Arial"/>
          <w:sz w:val="24"/>
          <w:szCs w:val="24"/>
        </w:rPr>
        <w:t xml:space="preserve"> (Gore, 2018). On one side, </w:t>
      </w:r>
      <w:r w:rsidR="00643D20">
        <w:rPr>
          <w:rFonts w:ascii="Arial" w:hAnsi="Arial" w:cs="Arial"/>
          <w:sz w:val="24"/>
          <w:szCs w:val="24"/>
        </w:rPr>
        <w:t>numerous</w:t>
      </w:r>
      <w:r w:rsidR="00980FCD">
        <w:rPr>
          <w:rFonts w:ascii="Arial" w:hAnsi="Arial" w:cs="Arial"/>
          <w:sz w:val="24"/>
          <w:szCs w:val="24"/>
        </w:rPr>
        <w:t xml:space="preserve"> individuals contend that if the minimum age of criminal </w:t>
      </w:r>
      <w:r w:rsidR="00643D20">
        <w:rPr>
          <w:rFonts w:ascii="Arial" w:hAnsi="Arial" w:cs="Arial"/>
          <w:sz w:val="24"/>
          <w:szCs w:val="24"/>
        </w:rPr>
        <w:t>accountability</w:t>
      </w:r>
      <w:r w:rsidR="00980FCD">
        <w:rPr>
          <w:rFonts w:ascii="Arial" w:hAnsi="Arial" w:cs="Arial"/>
          <w:sz w:val="24"/>
          <w:szCs w:val="24"/>
        </w:rPr>
        <w:t xml:space="preserve"> was </w:t>
      </w:r>
      <w:r w:rsidR="00643D20">
        <w:rPr>
          <w:rFonts w:ascii="Arial" w:hAnsi="Arial" w:cs="Arial"/>
          <w:sz w:val="24"/>
          <w:szCs w:val="24"/>
        </w:rPr>
        <w:t>increased</w:t>
      </w:r>
      <w:r w:rsidR="00980FCD">
        <w:rPr>
          <w:rFonts w:ascii="Arial" w:hAnsi="Arial" w:cs="Arial"/>
          <w:sz w:val="24"/>
          <w:szCs w:val="24"/>
        </w:rPr>
        <w:t xml:space="preserve">, it would have allowed these two individuals to be </w:t>
      </w:r>
      <w:r w:rsidR="00643D20">
        <w:rPr>
          <w:rFonts w:ascii="Arial" w:hAnsi="Arial" w:cs="Arial"/>
          <w:sz w:val="24"/>
          <w:szCs w:val="24"/>
        </w:rPr>
        <w:t>assigned</w:t>
      </w:r>
      <w:r w:rsidR="00AC5582">
        <w:rPr>
          <w:rFonts w:ascii="Arial" w:hAnsi="Arial" w:cs="Arial"/>
          <w:sz w:val="24"/>
          <w:szCs w:val="24"/>
        </w:rPr>
        <w:t xml:space="preserve"> </w:t>
      </w:r>
      <w:r w:rsidR="00643D20">
        <w:rPr>
          <w:rFonts w:ascii="Arial" w:hAnsi="Arial" w:cs="Arial"/>
          <w:sz w:val="24"/>
          <w:szCs w:val="24"/>
        </w:rPr>
        <w:t>to</w:t>
      </w:r>
      <w:r w:rsidR="00980FCD">
        <w:rPr>
          <w:rFonts w:ascii="Arial" w:hAnsi="Arial" w:cs="Arial"/>
          <w:sz w:val="24"/>
          <w:szCs w:val="24"/>
        </w:rPr>
        <w:t xml:space="preserve"> restorative </w:t>
      </w:r>
      <w:r w:rsidR="00643D20">
        <w:rPr>
          <w:rFonts w:ascii="Arial" w:hAnsi="Arial" w:cs="Arial"/>
          <w:sz w:val="24"/>
          <w:szCs w:val="24"/>
        </w:rPr>
        <w:t>courses and practices</w:t>
      </w:r>
      <w:r w:rsidR="00980FCD">
        <w:rPr>
          <w:rFonts w:ascii="Arial" w:hAnsi="Arial" w:cs="Arial"/>
          <w:sz w:val="24"/>
          <w:szCs w:val="24"/>
        </w:rPr>
        <w:t xml:space="preserve">. It has been </w:t>
      </w:r>
      <w:r w:rsidR="00643D20">
        <w:rPr>
          <w:rFonts w:ascii="Arial" w:hAnsi="Arial" w:cs="Arial"/>
          <w:sz w:val="24"/>
          <w:szCs w:val="24"/>
        </w:rPr>
        <w:t>claimed</w:t>
      </w:r>
      <w:r w:rsidR="00980FCD">
        <w:rPr>
          <w:rFonts w:ascii="Arial" w:hAnsi="Arial" w:cs="Arial"/>
          <w:sz w:val="24"/>
          <w:szCs w:val="24"/>
        </w:rPr>
        <w:t xml:space="preserve"> that this would have</w:t>
      </w:r>
      <w:r w:rsidR="00643D20">
        <w:rPr>
          <w:rFonts w:ascii="Arial" w:hAnsi="Arial" w:cs="Arial"/>
          <w:sz w:val="24"/>
          <w:szCs w:val="24"/>
        </w:rPr>
        <w:t xml:space="preserve"> conceivably</w:t>
      </w:r>
      <w:r w:rsidR="00980FCD">
        <w:rPr>
          <w:rFonts w:ascii="Arial" w:hAnsi="Arial" w:cs="Arial"/>
          <w:sz w:val="24"/>
          <w:szCs w:val="24"/>
        </w:rPr>
        <w:t xml:space="preserve"> led to no </w:t>
      </w:r>
      <w:r w:rsidR="00643D20">
        <w:rPr>
          <w:rFonts w:ascii="Arial" w:hAnsi="Arial" w:cs="Arial"/>
          <w:sz w:val="24"/>
          <w:szCs w:val="24"/>
        </w:rPr>
        <w:t>additional</w:t>
      </w:r>
      <w:r w:rsidR="00980FCD">
        <w:rPr>
          <w:rFonts w:ascii="Arial" w:hAnsi="Arial" w:cs="Arial"/>
          <w:sz w:val="24"/>
          <w:szCs w:val="24"/>
        </w:rPr>
        <w:t xml:space="preserve"> convictions from either </w:t>
      </w:r>
      <w:r w:rsidR="00643D20">
        <w:rPr>
          <w:rFonts w:ascii="Arial" w:hAnsi="Arial" w:cs="Arial"/>
          <w:sz w:val="24"/>
          <w:szCs w:val="24"/>
        </w:rPr>
        <w:lastRenderedPageBreak/>
        <w:t xml:space="preserve">offender </w:t>
      </w:r>
      <w:r w:rsidR="00980FCD">
        <w:rPr>
          <w:rFonts w:ascii="Arial" w:hAnsi="Arial" w:cs="Arial"/>
          <w:sz w:val="24"/>
          <w:szCs w:val="24"/>
        </w:rPr>
        <w:t xml:space="preserve">and </w:t>
      </w:r>
      <w:r w:rsidR="00643D20">
        <w:rPr>
          <w:rFonts w:ascii="Arial" w:hAnsi="Arial" w:cs="Arial"/>
          <w:sz w:val="24"/>
          <w:szCs w:val="24"/>
        </w:rPr>
        <w:t>ultimately</w:t>
      </w:r>
      <w:r w:rsidR="00980FCD">
        <w:rPr>
          <w:rFonts w:ascii="Arial" w:hAnsi="Arial" w:cs="Arial"/>
          <w:sz w:val="24"/>
          <w:szCs w:val="24"/>
        </w:rPr>
        <w:t xml:space="preserve"> taught them morals and </w:t>
      </w:r>
      <w:r w:rsidR="00643D20">
        <w:rPr>
          <w:rFonts w:ascii="Arial" w:hAnsi="Arial" w:cs="Arial"/>
          <w:sz w:val="24"/>
          <w:szCs w:val="24"/>
        </w:rPr>
        <w:t>ideals</w:t>
      </w:r>
      <w:r w:rsidR="00980FCD">
        <w:rPr>
          <w:rFonts w:ascii="Arial" w:hAnsi="Arial" w:cs="Arial"/>
          <w:sz w:val="24"/>
          <w:szCs w:val="24"/>
        </w:rPr>
        <w:t xml:space="preserve"> which would have allowed them to be </w:t>
      </w:r>
      <w:r w:rsidR="00643D20">
        <w:rPr>
          <w:rFonts w:ascii="Arial" w:hAnsi="Arial" w:cs="Arial"/>
          <w:sz w:val="24"/>
          <w:szCs w:val="24"/>
        </w:rPr>
        <w:t>repentant</w:t>
      </w:r>
      <w:r w:rsidR="00980FCD">
        <w:rPr>
          <w:rFonts w:ascii="Arial" w:hAnsi="Arial" w:cs="Arial"/>
          <w:sz w:val="24"/>
          <w:szCs w:val="24"/>
        </w:rPr>
        <w:t xml:space="preserve"> and go on to live </w:t>
      </w:r>
      <w:r w:rsidR="00643D20">
        <w:rPr>
          <w:rFonts w:ascii="Arial" w:hAnsi="Arial" w:cs="Arial"/>
          <w:sz w:val="24"/>
          <w:szCs w:val="24"/>
        </w:rPr>
        <w:t>corruption</w:t>
      </w:r>
      <w:r w:rsidR="00980FCD">
        <w:rPr>
          <w:rFonts w:ascii="Arial" w:hAnsi="Arial" w:cs="Arial"/>
          <w:sz w:val="24"/>
          <w:szCs w:val="24"/>
        </w:rPr>
        <w:t xml:space="preserve"> free lives</w:t>
      </w:r>
      <w:r w:rsidR="00FA652F">
        <w:rPr>
          <w:rFonts w:ascii="Arial" w:hAnsi="Arial" w:cs="Arial"/>
          <w:sz w:val="24"/>
          <w:szCs w:val="24"/>
        </w:rPr>
        <w:t xml:space="preserve"> (Tumin, 2001). </w:t>
      </w:r>
      <w:r w:rsidR="001F4A7E">
        <w:rPr>
          <w:rFonts w:ascii="Arial" w:hAnsi="Arial" w:cs="Arial"/>
          <w:sz w:val="24"/>
          <w:szCs w:val="24"/>
        </w:rPr>
        <w:t>According to (Smith, 2017) o</w:t>
      </w:r>
      <w:r w:rsidR="00B845DA">
        <w:rPr>
          <w:rFonts w:ascii="Arial" w:hAnsi="Arial" w:cs="Arial"/>
          <w:sz w:val="24"/>
          <w:szCs w:val="24"/>
        </w:rPr>
        <w:t>n the opposing side to this, due to Jon Venables reoffending and recall t</w:t>
      </w:r>
      <w:r w:rsidR="001F4A7E">
        <w:rPr>
          <w:rFonts w:ascii="Arial" w:hAnsi="Arial" w:cs="Arial"/>
          <w:sz w:val="24"/>
          <w:szCs w:val="24"/>
        </w:rPr>
        <w:t xml:space="preserve">o </w:t>
      </w:r>
      <w:r w:rsidR="008947F7">
        <w:rPr>
          <w:rFonts w:ascii="Arial" w:hAnsi="Arial" w:cs="Arial"/>
          <w:sz w:val="24"/>
          <w:szCs w:val="24"/>
        </w:rPr>
        <w:t>imprisonment</w:t>
      </w:r>
      <w:r w:rsidR="00B845DA">
        <w:rPr>
          <w:rFonts w:ascii="Arial" w:hAnsi="Arial" w:cs="Arial"/>
          <w:sz w:val="24"/>
          <w:szCs w:val="24"/>
        </w:rPr>
        <w:t xml:space="preserve">, this then </w:t>
      </w:r>
      <w:r w:rsidR="008947F7">
        <w:rPr>
          <w:rFonts w:ascii="Arial" w:hAnsi="Arial" w:cs="Arial"/>
          <w:sz w:val="24"/>
          <w:szCs w:val="24"/>
        </w:rPr>
        <w:t>ignited</w:t>
      </w:r>
      <w:r w:rsidR="00B845DA">
        <w:rPr>
          <w:rFonts w:ascii="Arial" w:hAnsi="Arial" w:cs="Arial"/>
          <w:sz w:val="24"/>
          <w:szCs w:val="24"/>
        </w:rPr>
        <w:t xml:space="preserve"> the </w:t>
      </w:r>
      <w:r w:rsidR="008947F7">
        <w:rPr>
          <w:rFonts w:ascii="Arial" w:hAnsi="Arial" w:cs="Arial"/>
          <w:sz w:val="24"/>
          <w:szCs w:val="24"/>
        </w:rPr>
        <w:t>discussion</w:t>
      </w:r>
      <w:r w:rsidR="00B845DA">
        <w:rPr>
          <w:rFonts w:ascii="Arial" w:hAnsi="Arial" w:cs="Arial"/>
          <w:sz w:val="24"/>
          <w:szCs w:val="24"/>
        </w:rPr>
        <w:t xml:space="preserve"> over the minimum age of criminal responsibility in England and Wales. </w:t>
      </w:r>
      <w:r w:rsidR="00FE221F">
        <w:rPr>
          <w:rFonts w:ascii="Arial" w:hAnsi="Arial" w:cs="Arial"/>
          <w:sz w:val="24"/>
          <w:szCs w:val="24"/>
        </w:rPr>
        <w:t>Several</w:t>
      </w:r>
      <w:r w:rsidR="008947F7">
        <w:rPr>
          <w:rFonts w:ascii="Arial" w:hAnsi="Arial" w:cs="Arial"/>
          <w:sz w:val="24"/>
          <w:szCs w:val="24"/>
        </w:rPr>
        <w:t xml:space="preserve"> individuals,</w:t>
      </w:r>
      <w:r w:rsidR="00FE221F">
        <w:rPr>
          <w:rFonts w:ascii="Arial" w:hAnsi="Arial" w:cs="Arial"/>
          <w:sz w:val="24"/>
          <w:szCs w:val="24"/>
        </w:rPr>
        <w:t xml:space="preserve"> as well as the media have formerly doubted whether Jon Venables and Robert Thompson were detained long enough for the murder of James Bulgar. In supplement to this, countless individuals contend that if they had in fact been imprisoned for longer it would have severely diminished the prospects of reoffending in later life. This is an argument in opposition to increasing the age of criminal responsibility in England and Wales. </w:t>
      </w:r>
      <w:r w:rsidR="0038683F">
        <w:rPr>
          <w:rFonts w:ascii="Arial" w:hAnsi="Arial" w:cs="Arial"/>
          <w:sz w:val="24"/>
          <w:szCs w:val="24"/>
        </w:rPr>
        <w:t>In summary to these facts, youth justice experts have even questioned whether it was in fact how these two juvenile offenders were dealt with in the criminal justice system that could have added to the reoffences committed by Jon Venables</w:t>
      </w:r>
      <w:r w:rsidR="009A29DE">
        <w:rPr>
          <w:rFonts w:ascii="Arial" w:hAnsi="Arial" w:cs="Arial"/>
          <w:sz w:val="24"/>
          <w:szCs w:val="24"/>
        </w:rPr>
        <w:t xml:space="preserve"> </w:t>
      </w:r>
      <w:r w:rsidR="00AC5582">
        <w:rPr>
          <w:rFonts w:ascii="Arial" w:hAnsi="Arial" w:cs="Arial"/>
          <w:sz w:val="24"/>
          <w:szCs w:val="24"/>
        </w:rPr>
        <w:t xml:space="preserve">in England </w:t>
      </w:r>
      <w:r w:rsidR="009A29DE">
        <w:rPr>
          <w:rFonts w:ascii="Arial" w:hAnsi="Arial" w:cs="Arial"/>
          <w:sz w:val="24"/>
          <w:szCs w:val="24"/>
        </w:rPr>
        <w:t xml:space="preserve">(Hay, 1995). </w:t>
      </w:r>
    </w:p>
    <w:p w:rsidR="00553469" w:rsidRDefault="00B35815" w:rsidP="00FE221F">
      <w:pPr>
        <w:spacing w:line="360" w:lineRule="auto"/>
        <w:rPr>
          <w:rFonts w:ascii="Arial" w:hAnsi="Arial" w:cs="Arial"/>
          <w:sz w:val="24"/>
          <w:szCs w:val="24"/>
        </w:rPr>
      </w:pPr>
      <w:r>
        <w:rPr>
          <w:rFonts w:ascii="Arial" w:hAnsi="Arial" w:cs="Arial"/>
          <w:sz w:val="24"/>
          <w:szCs w:val="24"/>
        </w:rPr>
        <w:t xml:space="preserve">In conclusion, according to (Brown and Charles, 2019), it has been contended that if the minimum age of criminal accountability be raised to age fourteen, there would not be a lack of support for these children. Current law and strategy requirement would guarantee that children were not neglected by the criminal justice system at a time when they may well be susceptible. </w:t>
      </w:r>
      <w:r w:rsidR="002047E9">
        <w:rPr>
          <w:rFonts w:ascii="Arial" w:hAnsi="Arial" w:cs="Arial"/>
          <w:sz w:val="24"/>
          <w:szCs w:val="24"/>
        </w:rPr>
        <w:t xml:space="preserve">Nevertheless, several individuals argue that this kind of developing adolescence support model may perhaps aid children who could have fundamental wellbeing, social </w:t>
      </w:r>
      <w:r w:rsidR="002C2EE5">
        <w:rPr>
          <w:rFonts w:ascii="Arial" w:hAnsi="Arial" w:cs="Arial"/>
          <w:sz w:val="24"/>
          <w:szCs w:val="24"/>
        </w:rPr>
        <w:t>care,</w:t>
      </w:r>
      <w:r w:rsidR="002047E9">
        <w:rPr>
          <w:rFonts w:ascii="Arial" w:hAnsi="Arial" w:cs="Arial"/>
          <w:sz w:val="24"/>
          <w:szCs w:val="24"/>
        </w:rPr>
        <w:t xml:space="preserve"> or educational problems (Arthur, 2012). </w:t>
      </w:r>
      <w:r w:rsidR="002C2EE5">
        <w:rPr>
          <w:rFonts w:ascii="Arial" w:hAnsi="Arial" w:cs="Arial"/>
          <w:sz w:val="24"/>
          <w:szCs w:val="24"/>
        </w:rPr>
        <w:t xml:space="preserve">This could well be accomplished through non-justice organizations such as community authorities and schools, consequently being able to make use of this new space minimum age of criminal liability development would produce to unravel these inherent concerns. This could similarly avert reoffending in later life, thus being considerably more valuable than sending adolescents to prison which </w:t>
      </w:r>
      <w:r w:rsidR="00FD18DE">
        <w:rPr>
          <w:rFonts w:ascii="Arial" w:hAnsi="Arial" w:cs="Arial"/>
          <w:sz w:val="24"/>
          <w:szCs w:val="24"/>
        </w:rPr>
        <w:t>several</w:t>
      </w:r>
      <w:r w:rsidR="002C2EE5">
        <w:rPr>
          <w:rFonts w:ascii="Arial" w:hAnsi="Arial" w:cs="Arial"/>
          <w:sz w:val="24"/>
          <w:szCs w:val="24"/>
        </w:rPr>
        <w:t xml:space="preserve"> would argue does the opposite of reforming these young individuals</w:t>
      </w:r>
      <w:r w:rsidR="00734710">
        <w:rPr>
          <w:rFonts w:ascii="Arial" w:hAnsi="Arial" w:cs="Arial"/>
          <w:sz w:val="24"/>
          <w:szCs w:val="24"/>
        </w:rPr>
        <w:t xml:space="preserve"> (Ball, 2014). </w:t>
      </w:r>
      <w:r w:rsidR="004158BC">
        <w:rPr>
          <w:rFonts w:ascii="Arial" w:hAnsi="Arial" w:cs="Arial"/>
          <w:sz w:val="24"/>
          <w:szCs w:val="24"/>
        </w:rPr>
        <w:t>In brief, many individuals in England and Wales firmly believe the minimum age of criminal responsibility ought to be increased as the emphasis for children should be on reforming and learning from their criminal behaviour over punishment. Some individuals even consider that punishment of young offenders can regularly raise their prospects of perpetrating corruption again</w:t>
      </w:r>
      <w:r w:rsidR="00D62415">
        <w:rPr>
          <w:rFonts w:ascii="Arial" w:hAnsi="Arial" w:cs="Arial"/>
          <w:sz w:val="24"/>
          <w:szCs w:val="24"/>
        </w:rPr>
        <w:t xml:space="preserve"> (Bateman, 2014). </w:t>
      </w:r>
      <w:r w:rsidR="000978BB">
        <w:rPr>
          <w:rFonts w:ascii="Arial" w:hAnsi="Arial" w:cs="Arial"/>
          <w:sz w:val="24"/>
          <w:szCs w:val="24"/>
        </w:rPr>
        <w:t>Nevertheless</w:t>
      </w:r>
      <w:r w:rsidR="001545EF">
        <w:rPr>
          <w:rFonts w:ascii="Arial" w:hAnsi="Arial" w:cs="Arial"/>
          <w:sz w:val="24"/>
          <w:szCs w:val="24"/>
        </w:rPr>
        <w:t xml:space="preserve">, according to (Crofts, 2009), it is contended that the minimum age of criminal </w:t>
      </w:r>
      <w:r w:rsidR="001545EF">
        <w:rPr>
          <w:rFonts w:ascii="Arial" w:hAnsi="Arial" w:cs="Arial"/>
          <w:sz w:val="24"/>
          <w:szCs w:val="24"/>
        </w:rPr>
        <w:lastRenderedPageBreak/>
        <w:t xml:space="preserve">responsibility </w:t>
      </w:r>
      <w:r w:rsidR="000978BB">
        <w:rPr>
          <w:rFonts w:ascii="Arial" w:hAnsi="Arial" w:cs="Arial"/>
          <w:sz w:val="24"/>
          <w:szCs w:val="24"/>
        </w:rPr>
        <w:t xml:space="preserve">has ‘moved on’ and any dispute concerning this point ought to be placed within a wider discussion relating to rights of young offenders. On top of this, recognizing the applicable involvements for children and the implementation of diverting methodologies rather than being limited to issues from a legitimate point of view and structure. </w:t>
      </w:r>
      <w:r w:rsidR="00366836">
        <w:rPr>
          <w:rFonts w:ascii="Arial" w:hAnsi="Arial" w:cs="Arial"/>
          <w:sz w:val="24"/>
          <w:szCs w:val="24"/>
        </w:rPr>
        <w:t>In England and Wales, there is already an existing construct of adolescent support and diversionary provision which would add to a liberal minimum age of criminal responsibility development.</w:t>
      </w:r>
      <w:r w:rsidR="00E37718">
        <w:rPr>
          <w:rFonts w:ascii="Arial" w:hAnsi="Arial" w:cs="Arial"/>
          <w:sz w:val="24"/>
          <w:szCs w:val="24"/>
        </w:rPr>
        <w:t xml:space="preserve"> The prospect of establishing a unique model and one that captures the concept of supporting child offenders in their journey of reform rather than punishment seems feasible some say</w:t>
      </w:r>
      <w:r w:rsidR="007F7B06">
        <w:rPr>
          <w:rFonts w:ascii="Arial" w:hAnsi="Arial" w:cs="Arial"/>
          <w:sz w:val="24"/>
          <w:szCs w:val="24"/>
        </w:rPr>
        <w:t xml:space="preserve"> (Byrne and Lundy, 2015). </w:t>
      </w:r>
    </w:p>
    <w:p w:rsidR="00DF464D" w:rsidRPr="00DF464D" w:rsidRDefault="00162BA8" w:rsidP="004B2EF4">
      <w:pPr>
        <w:spacing w:line="360" w:lineRule="auto"/>
        <w:rPr>
          <w:rFonts w:ascii="Arial" w:hAnsi="Arial" w:cs="Arial"/>
          <w:sz w:val="24"/>
          <w:szCs w:val="24"/>
        </w:rPr>
      </w:pPr>
      <w:r>
        <w:rPr>
          <w:rFonts w:ascii="Arial" w:hAnsi="Arial" w:cs="Arial"/>
          <w:sz w:val="24"/>
          <w:szCs w:val="24"/>
        </w:rPr>
        <w:t>In supplement to this, various individuals contend that branding a young person as a</w:t>
      </w:r>
      <w:r w:rsidR="006162E4">
        <w:rPr>
          <w:rFonts w:ascii="Arial" w:hAnsi="Arial" w:cs="Arial"/>
          <w:sz w:val="24"/>
          <w:szCs w:val="24"/>
        </w:rPr>
        <w:t xml:space="preserve">n </w:t>
      </w:r>
      <w:r>
        <w:rPr>
          <w:rFonts w:ascii="Arial" w:hAnsi="Arial" w:cs="Arial"/>
          <w:sz w:val="24"/>
          <w:szCs w:val="24"/>
        </w:rPr>
        <w:t xml:space="preserve">offender will have an enormous effect on them and their life particularly in concerns to potential employment as well as their psychological wellbeing. </w:t>
      </w:r>
      <w:r w:rsidR="006162E4">
        <w:rPr>
          <w:rFonts w:ascii="Arial" w:hAnsi="Arial" w:cs="Arial"/>
          <w:sz w:val="24"/>
          <w:szCs w:val="24"/>
        </w:rPr>
        <w:t>Arguably</w:t>
      </w:r>
      <w:r>
        <w:rPr>
          <w:rFonts w:ascii="Arial" w:hAnsi="Arial" w:cs="Arial"/>
          <w:sz w:val="24"/>
          <w:szCs w:val="24"/>
        </w:rPr>
        <w:t xml:space="preserve">, it would be more </w:t>
      </w:r>
      <w:r w:rsidR="006162E4">
        <w:rPr>
          <w:rFonts w:ascii="Arial" w:hAnsi="Arial" w:cs="Arial"/>
          <w:sz w:val="24"/>
          <w:szCs w:val="24"/>
        </w:rPr>
        <w:t>valuable</w:t>
      </w:r>
      <w:r>
        <w:rPr>
          <w:rFonts w:ascii="Arial" w:hAnsi="Arial" w:cs="Arial"/>
          <w:sz w:val="24"/>
          <w:szCs w:val="24"/>
        </w:rPr>
        <w:t xml:space="preserve"> to both the child and the </w:t>
      </w:r>
      <w:r w:rsidR="006162E4">
        <w:rPr>
          <w:rFonts w:ascii="Arial" w:hAnsi="Arial" w:cs="Arial"/>
          <w:sz w:val="24"/>
          <w:szCs w:val="24"/>
        </w:rPr>
        <w:t>broader</w:t>
      </w:r>
      <w:r w:rsidR="00AC5582">
        <w:rPr>
          <w:rFonts w:ascii="Arial" w:hAnsi="Arial" w:cs="Arial"/>
          <w:sz w:val="24"/>
          <w:szCs w:val="24"/>
        </w:rPr>
        <w:t xml:space="preserve"> </w:t>
      </w:r>
      <w:r w:rsidR="006162E4">
        <w:rPr>
          <w:rFonts w:ascii="Arial" w:hAnsi="Arial" w:cs="Arial"/>
          <w:sz w:val="24"/>
          <w:szCs w:val="24"/>
        </w:rPr>
        <w:t>society</w:t>
      </w:r>
      <w:r>
        <w:rPr>
          <w:rFonts w:ascii="Arial" w:hAnsi="Arial" w:cs="Arial"/>
          <w:sz w:val="24"/>
          <w:szCs w:val="24"/>
        </w:rPr>
        <w:t xml:space="preserve"> as a whole if the criminal justice system in England and Wales worked </w:t>
      </w:r>
      <w:r w:rsidR="006162E4">
        <w:rPr>
          <w:rFonts w:ascii="Arial" w:hAnsi="Arial" w:cs="Arial"/>
          <w:sz w:val="24"/>
          <w:szCs w:val="24"/>
        </w:rPr>
        <w:t xml:space="preserve">to deal with the core purpose for the offending instead of merely condemning the young individual (Delmage, 2013). According to, </w:t>
      </w:r>
      <w:r w:rsidR="00553469">
        <w:rPr>
          <w:rFonts w:ascii="Arial" w:hAnsi="Arial" w:cs="Arial"/>
          <w:sz w:val="24"/>
          <w:szCs w:val="24"/>
        </w:rPr>
        <w:t xml:space="preserve">(Elliot, 2011), by increasing the age of criminal accountability in England and Wales, this will allow young offenders to be taught by the mistakes they have made through rehabilitative facilities. This has been debated to be more helpful as they would be able to continue living their lives devoid of an illegal history hanging over them whilst attempting to do so. </w:t>
      </w:r>
      <w:r w:rsidR="007138FB">
        <w:rPr>
          <w:rFonts w:ascii="Arial" w:hAnsi="Arial" w:cs="Arial"/>
          <w:sz w:val="24"/>
          <w:szCs w:val="24"/>
        </w:rPr>
        <w:t xml:space="preserve">However, in opposition to this, countless individuals consider that the minimum age of criminal accountability ought to be eradicated completely in England and Wales. The logic behind this mainly being that many people believe that each and every case should be considered independently. </w:t>
      </w:r>
      <w:r w:rsidR="00CF3D8B">
        <w:rPr>
          <w:rFonts w:ascii="Arial" w:hAnsi="Arial" w:cs="Arial"/>
          <w:sz w:val="24"/>
          <w:szCs w:val="24"/>
        </w:rPr>
        <w:t>Consequently, assessments can be carried out on the young perpetrators in order to measure criminal capacity for instance, to examine whether or not the child would have the psychological ability to understand what they have done is wrong</w:t>
      </w:r>
      <w:r w:rsidR="006877BF">
        <w:rPr>
          <w:rFonts w:ascii="Arial" w:hAnsi="Arial" w:cs="Arial"/>
          <w:sz w:val="24"/>
          <w:szCs w:val="24"/>
        </w:rPr>
        <w:t xml:space="preserve"> (Farmer, 2011). </w:t>
      </w:r>
      <w:r w:rsidR="00D13FC0">
        <w:rPr>
          <w:rFonts w:ascii="Arial" w:hAnsi="Arial" w:cs="Arial"/>
          <w:sz w:val="24"/>
          <w:szCs w:val="24"/>
        </w:rPr>
        <w:t>In opposition to this is the argument that this is an impractical notion in concerns to the extent of money this would cost the criminal justi</w:t>
      </w:r>
      <w:r w:rsidR="00741022">
        <w:rPr>
          <w:rFonts w:ascii="Arial" w:hAnsi="Arial" w:cs="Arial"/>
          <w:sz w:val="24"/>
          <w:szCs w:val="24"/>
        </w:rPr>
        <w:t>ce system in.</w:t>
      </w:r>
      <w:r w:rsidR="00D13FC0">
        <w:rPr>
          <w:rFonts w:ascii="Arial" w:hAnsi="Arial" w:cs="Arial"/>
          <w:sz w:val="24"/>
          <w:szCs w:val="24"/>
        </w:rPr>
        <w:t xml:space="preserve"> In conclusion, there are reasons in favour of and in opposition to the increasing of the minimum age of criminal liability in England and Wales, however the United Kingdom government have no proposals on moving this number or even revaluating it (Haines and Case, 2015). </w:t>
      </w:r>
    </w:p>
    <w:p w:rsidR="00473760" w:rsidRDefault="009A2419" w:rsidP="004B2EF4">
      <w:pPr>
        <w:spacing w:line="360" w:lineRule="auto"/>
        <w:rPr>
          <w:rFonts w:ascii="Arial" w:hAnsi="Arial" w:cs="Arial"/>
          <w:sz w:val="24"/>
          <w:szCs w:val="24"/>
          <w:u w:val="single"/>
        </w:rPr>
      </w:pPr>
      <w:r w:rsidRPr="009A2419">
        <w:rPr>
          <w:rFonts w:ascii="Arial" w:hAnsi="Arial" w:cs="Arial"/>
          <w:sz w:val="24"/>
          <w:szCs w:val="24"/>
          <w:u w:val="single"/>
        </w:rPr>
        <w:lastRenderedPageBreak/>
        <w:t>Reference List:</w:t>
      </w:r>
    </w:p>
    <w:p w:rsidR="00D13FC0" w:rsidRPr="00133F50" w:rsidRDefault="00D13FC0" w:rsidP="004B2EF4">
      <w:pPr>
        <w:spacing w:line="360" w:lineRule="auto"/>
        <w:rPr>
          <w:rFonts w:ascii="Arial" w:hAnsi="Arial" w:cs="Arial"/>
          <w:sz w:val="24"/>
          <w:szCs w:val="24"/>
        </w:rPr>
      </w:pPr>
      <w:r>
        <w:rPr>
          <w:rFonts w:ascii="Arial" w:hAnsi="Arial" w:cs="Arial"/>
          <w:sz w:val="24"/>
          <w:szCs w:val="24"/>
        </w:rPr>
        <w:t>Archard, D. (2004), ‘</w:t>
      </w:r>
      <w:r w:rsidRPr="00133F50">
        <w:rPr>
          <w:rFonts w:ascii="Arial" w:hAnsi="Arial" w:cs="Arial"/>
          <w:i/>
          <w:iCs/>
          <w:sz w:val="24"/>
          <w:szCs w:val="24"/>
        </w:rPr>
        <w:t>Children: Rights and Childhood’</w:t>
      </w:r>
      <w:r>
        <w:rPr>
          <w:rFonts w:ascii="Arial" w:hAnsi="Arial" w:cs="Arial"/>
          <w:sz w:val="24"/>
          <w:szCs w:val="24"/>
        </w:rPr>
        <w:t xml:space="preserve">, second edition, Routledge, London. </w:t>
      </w:r>
    </w:p>
    <w:p w:rsidR="00D13FC0" w:rsidRPr="002047E9" w:rsidRDefault="00D13FC0" w:rsidP="004B2EF4">
      <w:pPr>
        <w:spacing w:line="360" w:lineRule="auto"/>
        <w:rPr>
          <w:rFonts w:ascii="Arial" w:hAnsi="Arial" w:cs="Arial"/>
          <w:sz w:val="24"/>
          <w:szCs w:val="24"/>
        </w:rPr>
      </w:pPr>
      <w:r w:rsidRPr="002047E9">
        <w:rPr>
          <w:rFonts w:ascii="Arial" w:hAnsi="Arial" w:cs="Arial"/>
          <w:sz w:val="24"/>
          <w:szCs w:val="24"/>
        </w:rPr>
        <w:t>Arthur, R</w:t>
      </w:r>
      <w:r>
        <w:rPr>
          <w:rFonts w:ascii="Arial" w:hAnsi="Arial" w:cs="Arial"/>
          <w:sz w:val="24"/>
          <w:szCs w:val="24"/>
        </w:rPr>
        <w:t>.</w:t>
      </w:r>
      <w:r w:rsidRPr="002047E9">
        <w:rPr>
          <w:rFonts w:ascii="Arial" w:hAnsi="Arial" w:cs="Arial"/>
          <w:sz w:val="24"/>
          <w:szCs w:val="24"/>
        </w:rPr>
        <w:t xml:space="preserve"> (2012)</w:t>
      </w:r>
      <w:r>
        <w:rPr>
          <w:rFonts w:ascii="Arial" w:hAnsi="Arial" w:cs="Arial"/>
          <w:sz w:val="24"/>
          <w:szCs w:val="24"/>
        </w:rPr>
        <w:t>, ‘</w:t>
      </w:r>
      <w:r w:rsidRPr="002047E9">
        <w:rPr>
          <w:rFonts w:ascii="Arial" w:hAnsi="Arial" w:cs="Arial"/>
          <w:i/>
          <w:iCs/>
          <w:sz w:val="24"/>
          <w:szCs w:val="24"/>
        </w:rPr>
        <w:t xml:space="preserve">Rethinking the criminal responsibility of young people in England and Wales’, </w:t>
      </w:r>
      <w:r>
        <w:rPr>
          <w:rFonts w:ascii="Arial" w:hAnsi="Arial" w:cs="Arial"/>
          <w:sz w:val="24"/>
          <w:szCs w:val="24"/>
        </w:rPr>
        <w:t xml:space="preserve">Brill Publishing, London. </w:t>
      </w:r>
    </w:p>
    <w:p w:rsidR="00D13FC0" w:rsidRDefault="00D13FC0" w:rsidP="004B2EF4">
      <w:pPr>
        <w:spacing w:line="360" w:lineRule="auto"/>
        <w:rPr>
          <w:rFonts w:ascii="Arial" w:hAnsi="Arial" w:cs="Arial"/>
          <w:sz w:val="24"/>
          <w:szCs w:val="24"/>
        </w:rPr>
      </w:pPr>
      <w:r>
        <w:rPr>
          <w:rFonts w:ascii="Arial" w:hAnsi="Arial" w:cs="Arial"/>
          <w:sz w:val="24"/>
          <w:szCs w:val="24"/>
        </w:rPr>
        <w:t>Balajanov, E. (2018), ‘</w:t>
      </w:r>
      <w:r w:rsidRPr="007E49DB">
        <w:rPr>
          <w:rFonts w:ascii="Arial" w:hAnsi="Arial" w:cs="Arial"/>
          <w:i/>
          <w:iCs/>
          <w:sz w:val="24"/>
          <w:szCs w:val="24"/>
        </w:rPr>
        <w:t>Setting The Minimum Age Of Criminal Responsibility For Cybercrime’,</w:t>
      </w:r>
      <w:r>
        <w:rPr>
          <w:rFonts w:ascii="Arial" w:hAnsi="Arial" w:cs="Arial"/>
          <w:sz w:val="24"/>
          <w:szCs w:val="24"/>
        </w:rPr>
        <w:t xml:space="preserve"> Taylor and Francis, UK. </w:t>
      </w:r>
    </w:p>
    <w:p w:rsidR="00D13FC0" w:rsidRDefault="00D13FC0" w:rsidP="004B2EF4">
      <w:pPr>
        <w:spacing w:line="360" w:lineRule="auto"/>
        <w:rPr>
          <w:rFonts w:ascii="Arial" w:hAnsi="Arial" w:cs="Arial"/>
          <w:sz w:val="24"/>
          <w:szCs w:val="24"/>
        </w:rPr>
      </w:pPr>
      <w:r w:rsidRPr="00FD18DE">
        <w:rPr>
          <w:rFonts w:ascii="Arial" w:hAnsi="Arial" w:cs="Arial"/>
          <w:sz w:val="24"/>
          <w:szCs w:val="24"/>
        </w:rPr>
        <w:t>Ball, W. (2014)</w:t>
      </w:r>
      <w:r>
        <w:rPr>
          <w:rFonts w:ascii="Arial" w:hAnsi="Arial" w:cs="Arial"/>
          <w:sz w:val="24"/>
          <w:szCs w:val="24"/>
        </w:rPr>
        <w:t>, ‘</w:t>
      </w:r>
      <w:r w:rsidRPr="00FD18DE">
        <w:rPr>
          <w:rFonts w:ascii="Arial" w:hAnsi="Arial" w:cs="Arial"/>
          <w:i/>
          <w:iCs/>
          <w:sz w:val="24"/>
          <w:szCs w:val="24"/>
        </w:rPr>
        <w:t xml:space="preserve">Providing Multi-Agency Children’s Services In An Austere Climate: Professional Narratives On Parenting Support In Wales’, </w:t>
      </w:r>
      <w:r>
        <w:rPr>
          <w:rFonts w:ascii="Arial" w:hAnsi="Arial" w:cs="Arial"/>
          <w:sz w:val="24"/>
          <w:szCs w:val="24"/>
        </w:rPr>
        <w:t xml:space="preserve">Policy Press, Bristol. </w:t>
      </w:r>
    </w:p>
    <w:p w:rsidR="00D13FC0" w:rsidRPr="005878F2" w:rsidRDefault="00D13FC0" w:rsidP="004B2EF4">
      <w:pPr>
        <w:spacing w:line="360" w:lineRule="auto"/>
        <w:rPr>
          <w:rFonts w:ascii="Arial" w:hAnsi="Arial" w:cs="Arial"/>
          <w:sz w:val="24"/>
          <w:szCs w:val="24"/>
        </w:rPr>
      </w:pPr>
      <w:r w:rsidRPr="00246E92">
        <w:rPr>
          <w:rFonts w:ascii="Arial" w:hAnsi="Arial" w:cs="Arial"/>
          <w:sz w:val="24"/>
          <w:szCs w:val="24"/>
        </w:rPr>
        <w:t>Bandalli, S. (2000)</w:t>
      </w:r>
      <w:r>
        <w:rPr>
          <w:rFonts w:ascii="Arial" w:hAnsi="Arial" w:cs="Arial"/>
          <w:sz w:val="24"/>
          <w:szCs w:val="24"/>
        </w:rPr>
        <w:t>, ‘</w:t>
      </w:r>
      <w:r w:rsidRPr="00356C2B">
        <w:rPr>
          <w:rFonts w:ascii="Arial" w:hAnsi="Arial" w:cs="Arial"/>
          <w:i/>
          <w:iCs/>
          <w:sz w:val="24"/>
          <w:szCs w:val="24"/>
        </w:rPr>
        <w:t>Children, Responsibility And The New Youth Justice’</w:t>
      </w:r>
      <w:r>
        <w:rPr>
          <w:rFonts w:ascii="Arial" w:hAnsi="Arial" w:cs="Arial"/>
          <w:sz w:val="24"/>
          <w:szCs w:val="24"/>
        </w:rPr>
        <w:t>,</w:t>
      </w:r>
      <w:r w:rsidRPr="00246E92">
        <w:rPr>
          <w:rFonts w:ascii="Arial" w:hAnsi="Arial" w:cs="Arial"/>
          <w:sz w:val="24"/>
          <w:szCs w:val="24"/>
        </w:rPr>
        <w:t xml:space="preserve"> Russell House Publishing</w:t>
      </w:r>
      <w:r>
        <w:rPr>
          <w:rFonts w:ascii="Arial" w:hAnsi="Arial" w:cs="Arial"/>
          <w:sz w:val="24"/>
          <w:szCs w:val="24"/>
        </w:rPr>
        <w:t>, UK.</w:t>
      </w:r>
    </w:p>
    <w:p w:rsidR="00D13FC0" w:rsidRPr="006C2108" w:rsidRDefault="00D13FC0" w:rsidP="006C2108">
      <w:pPr>
        <w:spacing w:line="360" w:lineRule="auto"/>
        <w:rPr>
          <w:rFonts w:ascii="Arial" w:hAnsi="Arial" w:cs="Arial"/>
          <w:sz w:val="24"/>
          <w:szCs w:val="24"/>
        </w:rPr>
      </w:pPr>
      <w:r>
        <w:rPr>
          <w:rFonts w:ascii="Arial" w:hAnsi="Arial" w:cs="Arial"/>
          <w:sz w:val="24"/>
          <w:szCs w:val="24"/>
        </w:rPr>
        <w:t>Bateman, T. (2012), ‘</w:t>
      </w:r>
      <w:r w:rsidRPr="006C2108">
        <w:rPr>
          <w:rFonts w:ascii="Arial" w:hAnsi="Arial" w:cs="Arial"/>
          <w:i/>
          <w:iCs/>
          <w:sz w:val="24"/>
          <w:szCs w:val="24"/>
        </w:rPr>
        <w:t>Criminalising Children For No Good Purpose: The Age Of Criminal Responsibility In England And Wales’,</w:t>
      </w:r>
      <w:r>
        <w:rPr>
          <w:rFonts w:ascii="Arial" w:hAnsi="Arial" w:cs="Arial"/>
          <w:sz w:val="24"/>
          <w:szCs w:val="24"/>
        </w:rPr>
        <w:t xml:space="preserve"> available at: </w:t>
      </w:r>
      <w:hyperlink r:id="rId6" w:history="1">
        <w:r w:rsidRPr="00101E30">
          <w:rPr>
            <w:rStyle w:val="Hyperlink"/>
            <w:rFonts w:ascii="Arial" w:hAnsi="Arial" w:cs="Arial"/>
            <w:sz w:val="24"/>
            <w:szCs w:val="24"/>
          </w:rPr>
          <w:t>https://thenayj.org.uk/wp-content/uploads/2015/06/2012-NAYJ_briefing_Children_in_conflict_with_the_law.pdf</w:t>
        </w:r>
      </w:hyperlink>
      <w:r>
        <w:rPr>
          <w:rFonts w:ascii="Arial" w:hAnsi="Arial" w:cs="Arial"/>
          <w:sz w:val="24"/>
          <w:szCs w:val="24"/>
        </w:rPr>
        <w:t>, accessed on (18</w:t>
      </w:r>
      <w:r w:rsidRPr="006C2108">
        <w:rPr>
          <w:rFonts w:ascii="Arial" w:hAnsi="Arial" w:cs="Arial"/>
          <w:sz w:val="24"/>
          <w:szCs w:val="24"/>
          <w:vertAlign w:val="superscript"/>
        </w:rPr>
        <w:t>th</w:t>
      </w:r>
      <w:r>
        <w:rPr>
          <w:rFonts w:ascii="Arial" w:hAnsi="Arial" w:cs="Arial"/>
          <w:sz w:val="24"/>
          <w:szCs w:val="24"/>
        </w:rPr>
        <w:t xml:space="preserve"> October 2021). </w:t>
      </w:r>
    </w:p>
    <w:p w:rsidR="00D13FC0" w:rsidRDefault="00D13FC0" w:rsidP="00C26E55">
      <w:pPr>
        <w:spacing w:line="360" w:lineRule="auto"/>
        <w:rPr>
          <w:rFonts w:ascii="Arial" w:hAnsi="Arial" w:cs="Arial"/>
          <w:sz w:val="24"/>
          <w:szCs w:val="24"/>
        </w:rPr>
      </w:pPr>
      <w:r>
        <w:rPr>
          <w:rFonts w:ascii="Arial" w:hAnsi="Arial" w:cs="Arial"/>
          <w:sz w:val="24"/>
          <w:szCs w:val="24"/>
        </w:rPr>
        <w:t>Bateman, T. (2013), ‘</w:t>
      </w:r>
      <w:r w:rsidRPr="00C26E55">
        <w:rPr>
          <w:rFonts w:ascii="Arial" w:hAnsi="Arial" w:cs="Arial"/>
          <w:i/>
          <w:iCs/>
          <w:sz w:val="24"/>
          <w:szCs w:val="24"/>
        </w:rPr>
        <w:t>Children In Conflict With The Law’,</w:t>
      </w:r>
      <w:r>
        <w:rPr>
          <w:rFonts w:ascii="Arial" w:hAnsi="Arial" w:cs="Arial"/>
          <w:sz w:val="24"/>
          <w:szCs w:val="24"/>
        </w:rPr>
        <w:t xml:space="preserve"> National Association for Youth Justice, UK.</w:t>
      </w:r>
    </w:p>
    <w:p w:rsidR="00D13FC0" w:rsidRPr="00D62415" w:rsidRDefault="00D13FC0" w:rsidP="004B2EF4">
      <w:pPr>
        <w:spacing w:line="360" w:lineRule="auto"/>
        <w:rPr>
          <w:rFonts w:ascii="Arial" w:hAnsi="Arial" w:cs="Arial"/>
          <w:sz w:val="24"/>
          <w:szCs w:val="24"/>
        </w:rPr>
      </w:pPr>
      <w:r w:rsidRPr="00D62415">
        <w:rPr>
          <w:rFonts w:ascii="Arial" w:hAnsi="Arial" w:cs="Arial"/>
          <w:sz w:val="24"/>
          <w:szCs w:val="24"/>
        </w:rPr>
        <w:t>Bateman, T</w:t>
      </w:r>
      <w:r>
        <w:rPr>
          <w:rFonts w:ascii="Arial" w:hAnsi="Arial" w:cs="Arial"/>
          <w:sz w:val="24"/>
          <w:szCs w:val="24"/>
        </w:rPr>
        <w:t>.</w:t>
      </w:r>
      <w:r w:rsidRPr="00D62415">
        <w:rPr>
          <w:rFonts w:ascii="Arial" w:hAnsi="Arial" w:cs="Arial"/>
          <w:sz w:val="24"/>
          <w:szCs w:val="24"/>
        </w:rPr>
        <w:t xml:space="preserve"> (2014)</w:t>
      </w:r>
      <w:r>
        <w:rPr>
          <w:rFonts w:ascii="Arial" w:hAnsi="Arial" w:cs="Arial"/>
          <w:sz w:val="24"/>
          <w:szCs w:val="24"/>
        </w:rPr>
        <w:t xml:space="preserve">, </w:t>
      </w:r>
      <w:r w:rsidRPr="00D62415">
        <w:rPr>
          <w:rFonts w:ascii="Arial" w:hAnsi="Arial" w:cs="Arial"/>
          <w:sz w:val="24"/>
          <w:szCs w:val="24"/>
        </w:rPr>
        <w:t>‘</w:t>
      </w:r>
      <w:r w:rsidRPr="00D62415">
        <w:rPr>
          <w:rFonts w:ascii="Arial" w:hAnsi="Arial" w:cs="Arial"/>
          <w:i/>
          <w:iCs/>
          <w:sz w:val="24"/>
          <w:szCs w:val="24"/>
        </w:rPr>
        <w:t xml:space="preserve">Catching Them Young’ – Some Reflections On The Meaning Of The Age Of Criminal Responsibility In England And Wales’, </w:t>
      </w:r>
      <w:r>
        <w:rPr>
          <w:rFonts w:ascii="Arial" w:hAnsi="Arial" w:cs="Arial"/>
          <w:sz w:val="24"/>
          <w:szCs w:val="24"/>
        </w:rPr>
        <w:t xml:space="preserve">Emerald Group Publishing, Brighton. </w:t>
      </w:r>
    </w:p>
    <w:p w:rsidR="00D13FC0" w:rsidRDefault="00D13FC0" w:rsidP="008B6458">
      <w:pPr>
        <w:spacing w:line="360" w:lineRule="auto"/>
        <w:rPr>
          <w:rFonts w:ascii="Arial" w:hAnsi="Arial" w:cs="Arial"/>
          <w:sz w:val="24"/>
          <w:szCs w:val="24"/>
        </w:rPr>
      </w:pPr>
      <w:r w:rsidRPr="008B6458">
        <w:rPr>
          <w:rFonts w:ascii="Arial" w:hAnsi="Arial" w:cs="Arial"/>
          <w:sz w:val="24"/>
          <w:szCs w:val="24"/>
        </w:rPr>
        <w:t>Bernberg</w:t>
      </w:r>
      <w:r>
        <w:rPr>
          <w:rFonts w:ascii="Arial" w:hAnsi="Arial" w:cs="Arial"/>
          <w:sz w:val="24"/>
          <w:szCs w:val="24"/>
        </w:rPr>
        <w:t xml:space="preserve">, </w:t>
      </w:r>
      <w:r w:rsidRPr="008B6458">
        <w:rPr>
          <w:rFonts w:ascii="Arial" w:hAnsi="Arial" w:cs="Arial"/>
          <w:sz w:val="24"/>
          <w:szCs w:val="24"/>
        </w:rPr>
        <w:t>J and Krohn</w:t>
      </w:r>
      <w:r>
        <w:rPr>
          <w:rFonts w:ascii="Arial" w:hAnsi="Arial" w:cs="Arial"/>
          <w:sz w:val="24"/>
          <w:szCs w:val="24"/>
        </w:rPr>
        <w:t>,</w:t>
      </w:r>
      <w:r w:rsidRPr="008B6458">
        <w:rPr>
          <w:rFonts w:ascii="Arial" w:hAnsi="Arial" w:cs="Arial"/>
          <w:sz w:val="24"/>
          <w:szCs w:val="24"/>
        </w:rPr>
        <w:t xml:space="preserve"> M</w:t>
      </w:r>
      <w:r>
        <w:rPr>
          <w:rFonts w:ascii="Arial" w:hAnsi="Arial" w:cs="Arial"/>
          <w:sz w:val="24"/>
          <w:szCs w:val="24"/>
        </w:rPr>
        <w:t>.</w:t>
      </w:r>
      <w:r w:rsidRPr="008B6458">
        <w:rPr>
          <w:rFonts w:ascii="Arial" w:hAnsi="Arial" w:cs="Arial"/>
          <w:sz w:val="24"/>
          <w:szCs w:val="24"/>
        </w:rPr>
        <w:t xml:space="preserve"> (2003)</w:t>
      </w:r>
      <w:r>
        <w:rPr>
          <w:rFonts w:ascii="Arial" w:hAnsi="Arial" w:cs="Arial"/>
          <w:sz w:val="24"/>
          <w:szCs w:val="24"/>
        </w:rPr>
        <w:t>, ‘</w:t>
      </w:r>
      <w:r w:rsidRPr="008B6458">
        <w:rPr>
          <w:rFonts w:ascii="Arial" w:hAnsi="Arial" w:cs="Arial"/>
          <w:i/>
          <w:iCs/>
          <w:sz w:val="24"/>
          <w:szCs w:val="24"/>
        </w:rPr>
        <w:t>Labelling, Life Chances And Adult Crime: The Direct And Indirect Effects Of Official Intervention In Adolescence On Crime In Early Adulthood’</w:t>
      </w:r>
      <w:r>
        <w:rPr>
          <w:rFonts w:ascii="Arial" w:hAnsi="Arial" w:cs="Arial"/>
          <w:sz w:val="24"/>
          <w:szCs w:val="24"/>
        </w:rPr>
        <w:t xml:space="preserve">, available at: </w:t>
      </w:r>
      <w:hyperlink r:id="rId7" w:history="1">
        <w:r w:rsidRPr="00101E30">
          <w:rPr>
            <w:rStyle w:val="Hyperlink"/>
            <w:rFonts w:ascii="Arial" w:hAnsi="Arial" w:cs="Arial"/>
            <w:sz w:val="24"/>
            <w:szCs w:val="24"/>
          </w:rPr>
          <w:t>https://www.proquest.com/docview/220692162/fulltextPDF/64C76CBEE24F4E96PQ/1?accountid=130472</w:t>
        </w:r>
      </w:hyperlink>
      <w:r>
        <w:rPr>
          <w:rFonts w:ascii="Arial" w:hAnsi="Arial" w:cs="Arial"/>
          <w:sz w:val="24"/>
          <w:szCs w:val="24"/>
        </w:rPr>
        <w:t>, accessed on (18</w:t>
      </w:r>
      <w:r w:rsidRPr="008B6458">
        <w:rPr>
          <w:rFonts w:ascii="Arial" w:hAnsi="Arial" w:cs="Arial"/>
          <w:sz w:val="24"/>
          <w:szCs w:val="24"/>
          <w:vertAlign w:val="superscript"/>
        </w:rPr>
        <w:t>th</w:t>
      </w:r>
      <w:r>
        <w:rPr>
          <w:rFonts w:ascii="Arial" w:hAnsi="Arial" w:cs="Arial"/>
          <w:sz w:val="24"/>
          <w:szCs w:val="24"/>
        </w:rPr>
        <w:t xml:space="preserve"> October 2021). </w:t>
      </w:r>
    </w:p>
    <w:p w:rsidR="00D13FC0" w:rsidRDefault="00D13FC0" w:rsidP="004B2EF4">
      <w:pPr>
        <w:spacing w:line="360" w:lineRule="auto"/>
        <w:rPr>
          <w:rFonts w:ascii="Arial" w:hAnsi="Arial" w:cs="Arial"/>
          <w:sz w:val="24"/>
          <w:szCs w:val="24"/>
        </w:rPr>
      </w:pPr>
      <w:r w:rsidRPr="005878F2">
        <w:rPr>
          <w:rFonts w:ascii="Arial" w:hAnsi="Arial" w:cs="Arial"/>
          <w:sz w:val="24"/>
          <w:szCs w:val="24"/>
        </w:rPr>
        <w:t>Bottoms, A. (1974)</w:t>
      </w:r>
      <w:r>
        <w:rPr>
          <w:rFonts w:ascii="Arial" w:hAnsi="Arial" w:cs="Arial"/>
          <w:sz w:val="24"/>
          <w:szCs w:val="24"/>
        </w:rPr>
        <w:t>, ‘</w:t>
      </w:r>
      <w:r w:rsidRPr="005878F2">
        <w:rPr>
          <w:rFonts w:ascii="Arial" w:hAnsi="Arial" w:cs="Arial"/>
          <w:i/>
          <w:iCs/>
          <w:sz w:val="24"/>
          <w:szCs w:val="24"/>
        </w:rPr>
        <w:t xml:space="preserve">On The Decriminalisation Of English Juvenile Courts’, </w:t>
      </w:r>
      <w:r w:rsidRPr="005878F2">
        <w:rPr>
          <w:rFonts w:ascii="Arial" w:hAnsi="Arial" w:cs="Arial"/>
          <w:sz w:val="24"/>
          <w:szCs w:val="24"/>
        </w:rPr>
        <w:t>Heinemann Educational</w:t>
      </w:r>
      <w:r>
        <w:rPr>
          <w:rFonts w:ascii="Arial" w:hAnsi="Arial" w:cs="Arial"/>
          <w:sz w:val="24"/>
          <w:szCs w:val="24"/>
        </w:rPr>
        <w:t xml:space="preserve">, London. </w:t>
      </w:r>
    </w:p>
    <w:p w:rsidR="00D13FC0" w:rsidRDefault="00D13FC0" w:rsidP="004B2EF4">
      <w:pPr>
        <w:spacing w:line="360" w:lineRule="auto"/>
        <w:rPr>
          <w:rFonts w:ascii="Arial" w:hAnsi="Arial" w:cs="Arial"/>
          <w:sz w:val="24"/>
          <w:szCs w:val="24"/>
        </w:rPr>
      </w:pPr>
      <w:r w:rsidRPr="007F7B06">
        <w:rPr>
          <w:rFonts w:ascii="Arial" w:hAnsi="Arial" w:cs="Arial"/>
          <w:sz w:val="24"/>
          <w:szCs w:val="24"/>
        </w:rPr>
        <w:lastRenderedPageBreak/>
        <w:t>Byrne, B</w:t>
      </w:r>
      <w:r>
        <w:rPr>
          <w:rFonts w:ascii="Arial" w:hAnsi="Arial" w:cs="Arial"/>
          <w:sz w:val="24"/>
          <w:szCs w:val="24"/>
        </w:rPr>
        <w:t xml:space="preserve"> and </w:t>
      </w:r>
      <w:r w:rsidRPr="007F7B06">
        <w:rPr>
          <w:rFonts w:ascii="Arial" w:hAnsi="Arial" w:cs="Arial"/>
          <w:sz w:val="24"/>
          <w:szCs w:val="24"/>
        </w:rPr>
        <w:t>Lundy, L</w:t>
      </w:r>
      <w:r>
        <w:rPr>
          <w:rFonts w:ascii="Arial" w:hAnsi="Arial" w:cs="Arial"/>
          <w:sz w:val="24"/>
          <w:szCs w:val="24"/>
        </w:rPr>
        <w:t>.</w:t>
      </w:r>
      <w:r w:rsidRPr="007F7B06">
        <w:rPr>
          <w:rFonts w:ascii="Arial" w:hAnsi="Arial" w:cs="Arial"/>
          <w:sz w:val="24"/>
          <w:szCs w:val="24"/>
        </w:rPr>
        <w:t xml:space="preserve"> (2015)</w:t>
      </w:r>
      <w:r>
        <w:rPr>
          <w:rFonts w:ascii="Arial" w:hAnsi="Arial" w:cs="Arial"/>
          <w:sz w:val="24"/>
          <w:szCs w:val="24"/>
        </w:rPr>
        <w:t>, ‘</w:t>
      </w:r>
      <w:r w:rsidRPr="007F7B06">
        <w:rPr>
          <w:rFonts w:ascii="Arial" w:hAnsi="Arial" w:cs="Arial"/>
          <w:i/>
          <w:iCs/>
          <w:sz w:val="24"/>
          <w:szCs w:val="24"/>
        </w:rPr>
        <w:t>Reconciling Children’s Policy And Children’s Rights: Barriers To Effective Government Delivery’,</w:t>
      </w:r>
      <w:r>
        <w:rPr>
          <w:rFonts w:ascii="Arial" w:hAnsi="Arial" w:cs="Arial"/>
          <w:sz w:val="24"/>
          <w:szCs w:val="24"/>
        </w:rPr>
        <w:t xml:space="preserve"> Wiley, UK. </w:t>
      </w:r>
    </w:p>
    <w:p w:rsidR="00D13FC0" w:rsidRDefault="00D13FC0" w:rsidP="004B2EF4">
      <w:pPr>
        <w:spacing w:line="360" w:lineRule="auto"/>
        <w:rPr>
          <w:rFonts w:ascii="Arial" w:hAnsi="Arial" w:cs="Arial"/>
          <w:sz w:val="24"/>
          <w:szCs w:val="24"/>
        </w:rPr>
      </w:pPr>
      <w:r w:rsidRPr="00356C2B">
        <w:rPr>
          <w:rFonts w:ascii="Arial" w:hAnsi="Arial" w:cs="Arial"/>
          <w:sz w:val="24"/>
          <w:szCs w:val="24"/>
        </w:rPr>
        <w:t>Coleman, J (2011)</w:t>
      </w:r>
      <w:r>
        <w:rPr>
          <w:rFonts w:ascii="Arial" w:hAnsi="Arial" w:cs="Arial"/>
          <w:sz w:val="24"/>
          <w:szCs w:val="24"/>
        </w:rPr>
        <w:t>, ‘</w:t>
      </w:r>
      <w:r w:rsidRPr="00356C2B">
        <w:rPr>
          <w:rFonts w:ascii="Arial" w:hAnsi="Arial" w:cs="Arial"/>
          <w:i/>
          <w:iCs/>
          <w:sz w:val="24"/>
          <w:szCs w:val="24"/>
        </w:rPr>
        <w:t>The Nature of Adolescence’</w:t>
      </w:r>
      <w:r>
        <w:rPr>
          <w:rFonts w:ascii="Arial" w:hAnsi="Arial" w:cs="Arial"/>
          <w:sz w:val="24"/>
          <w:szCs w:val="24"/>
        </w:rPr>
        <w:t xml:space="preserve">, Routledge, </w:t>
      </w:r>
      <w:r w:rsidRPr="00356C2B">
        <w:rPr>
          <w:rFonts w:ascii="Arial" w:hAnsi="Arial" w:cs="Arial"/>
          <w:sz w:val="24"/>
          <w:szCs w:val="24"/>
        </w:rPr>
        <w:t>London</w:t>
      </w:r>
      <w:r>
        <w:rPr>
          <w:rFonts w:ascii="Arial" w:hAnsi="Arial" w:cs="Arial"/>
          <w:sz w:val="24"/>
          <w:szCs w:val="24"/>
        </w:rPr>
        <w:t>.</w:t>
      </w:r>
    </w:p>
    <w:p w:rsidR="00D13FC0" w:rsidRDefault="00D13FC0" w:rsidP="004B2EF4">
      <w:pPr>
        <w:spacing w:line="360" w:lineRule="auto"/>
        <w:rPr>
          <w:rFonts w:ascii="Arial" w:hAnsi="Arial" w:cs="Arial"/>
          <w:sz w:val="24"/>
          <w:szCs w:val="24"/>
        </w:rPr>
      </w:pPr>
      <w:r w:rsidRPr="00AD38C4">
        <w:rPr>
          <w:rFonts w:ascii="Arial" w:hAnsi="Arial" w:cs="Arial"/>
          <w:sz w:val="24"/>
          <w:szCs w:val="24"/>
        </w:rPr>
        <w:t>Commission of the European Communities</w:t>
      </w:r>
      <w:r>
        <w:rPr>
          <w:rFonts w:ascii="Arial" w:hAnsi="Arial" w:cs="Arial"/>
          <w:sz w:val="24"/>
          <w:szCs w:val="24"/>
        </w:rPr>
        <w:t xml:space="preserve">. </w:t>
      </w:r>
      <w:r w:rsidRPr="00AD38C4">
        <w:rPr>
          <w:rFonts w:ascii="Arial" w:hAnsi="Arial" w:cs="Arial"/>
          <w:sz w:val="24"/>
          <w:szCs w:val="24"/>
        </w:rPr>
        <w:t>(2006)</w:t>
      </w:r>
      <w:r>
        <w:rPr>
          <w:rFonts w:ascii="Arial" w:hAnsi="Arial" w:cs="Arial"/>
          <w:sz w:val="24"/>
          <w:szCs w:val="24"/>
        </w:rPr>
        <w:t>, ‘</w:t>
      </w:r>
      <w:r w:rsidRPr="006B1FBC">
        <w:rPr>
          <w:rFonts w:ascii="Arial" w:hAnsi="Arial" w:cs="Arial"/>
          <w:i/>
          <w:iCs/>
          <w:sz w:val="24"/>
          <w:szCs w:val="24"/>
        </w:rPr>
        <w:t>Towards an EU Strategy on the Rights of the Child’</w:t>
      </w:r>
      <w:r>
        <w:rPr>
          <w:rFonts w:ascii="Arial" w:hAnsi="Arial" w:cs="Arial"/>
          <w:sz w:val="24"/>
          <w:szCs w:val="24"/>
        </w:rPr>
        <w:t xml:space="preserve">, </w:t>
      </w:r>
      <w:r w:rsidRPr="00AD38C4">
        <w:rPr>
          <w:rFonts w:ascii="Arial" w:hAnsi="Arial" w:cs="Arial"/>
          <w:sz w:val="24"/>
          <w:szCs w:val="24"/>
        </w:rPr>
        <w:t>Commission of the European Communities</w:t>
      </w:r>
      <w:r>
        <w:rPr>
          <w:rFonts w:ascii="Arial" w:hAnsi="Arial" w:cs="Arial"/>
          <w:sz w:val="24"/>
          <w:szCs w:val="24"/>
        </w:rPr>
        <w:t xml:space="preserve">, Brussels. </w:t>
      </w:r>
    </w:p>
    <w:p w:rsidR="00D13FC0" w:rsidRDefault="00D13FC0" w:rsidP="004B2EF4">
      <w:pPr>
        <w:spacing w:line="360" w:lineRule="auto"/>
        <w:rPr>
          <w:rFonts w:ascii="Arial" w:hAnsi="Arial" w:cs="Arial"/>
          <w:sz w:val="24"/>
          <w:szCs w:val="24"/>
        </w:rPr>
      </w:pPr>
      <w:r w:rsidRPr="006162E4">
        <w:rPr>
          <w:rFonts w:ascii="Arial" w:hAnsi="Arial" w:cs="Arial"/>
          <w:sz w:val="24"/>
          <w:szCs w:val="24"/>
        </w:rPr>
        <w:t>Crofts, T</w:t>
      </w:r>
      <w:r>
        <w:rPr>
          <w:rFonts w:ascii="Arial" w:hAnsi="Arial" w:cs="Arial"/>
          <w:sz w:val="24"/>
          <w:szCs w:val="24"/>
        </w:rPr>
        <w:t xml:space="preserve">. </w:t>
      </w:r>
      <w:r w:rsidRPr="006162E4">
        <w:rPr>
          <w:rFonts w:ascii="Arial" w:hAnsi="Arial" w:cs="Arial"/>
          <w:sz w:val="24"/>
          <w:szCs w:val="24"/>
        </w:rPr>
        <w:t>(2009)</w:t>
      </w:r>
      <w:r>
        <w:rPr>
          <w:rFonts w:ascii="Arial" w:hAnsi="Arial" w:cs="Arial"/>
          <w:sz w:val="24"/>
          <w:szCs w:val="24"/>
        </w:rPr>
        <w:t>, ‘</w:t>
      </w:r>
      <w:r w:rsidRPr="006162E4">
        <w:rPr>
          <w:rFonts w:ascii="Arial" w:hAnsi="Arial" w:cs="Arial"/>
          <w:i/>
          <w:iCs/>
          <w:sz w:val="24"/>
          <w:szCs w:val="24"/>
        </w:rPr>
        <w:t>Catching up with Europe: Taking the age of criminal responsibility seriously in England’,</w:t>
      </w:r>
      <w:r w:rsidRPr="006162E4">
        <w:rPr>
          <w:rFonts w:ascii="Arial" w:hAnsi="Arial" w:cs="Arial"/>
          <w:sz w:val="24"/>
          <w:szCs w:val="24"/>
        </w:rPr>
        <w:t>European Journal of Crime,</w:t>
      </w:r>
      <w:r>
        <w:rPr>
          <w:rFonts w:ascii="Arial" w:hAnsi="Arial" w:cs="Arial"/>
          <w:sz w:val="24"/>
          <w:szCs w:val="24"/>
        </w:rPr>
        <w:t xml:space="preserve"> UK. </w:t>
      </w:r>
    </w:p>
    <w:p w:rsidR="00D13FC0" w:rsidRPr="00302DB6" w:rsidRDefault="00D13FC0" w:rsidP="00302DB6">
      <w:pPr>
        <w:spacing w:line="360" w:lineRule="auto"/>
        <w:rPr>
          <w:rFonts w:ascii="Arial" w:hAnsi="Arial" w:cs="Arial"/>
          <w:sz w:val="24"/>
          <w:szCs w:val="24"/>
        </w:rPr>
      </w:pPr>
      <w:r w:rsidRPr="00302DB6">
        <w:rPr>
          <w:rFonts w:ascii="Arial" w:hAnsi="Arial" w:cs="Arial"/>
          <w:sz w:val="24"/>
          <w:szCs w:val="24"/>
        </w:rPr>
        <w:t>Crofts</w:t>
      </w:r>
      <w:r>
        <w:rPr>
          <w:rFonts w:ascii="Arial" w:hAnsi="Arial" w:cs="Arial"/>
          <w:sz w:val="24"/>
          <w:szCs w:val="24"/>
        </w:rPr>
        <w:t>,</w:t>
      </w:r>
      <w:r w:rsidRPr="00302DB6">
        <w:rPr>
          <w:rFonts w:ascii="Arial" w:hAnsi="Arial" w:cs="Arial"/>
          <w:sz w:val="24"/>
          <w:szCs w:val="24"/>
        </w:rPr>
        <w:t xml:space="preserve"> T</w:t>
      </w:r>
      <w:r>
        <w:rPr>
          <w:rFonts w:ascii="Arial" w:hAnsi="Arial" w:cs="Arial"/>
          <w:sz w:val="24"/>
          <w:szCs w:val="24"/>
        </w:rPr>
        <w:t>.</w:t>
      </w:r>
      <w:r w:rsidRPr="00302DB6">
        <w:rPr>
          <w:rFonts w:ascii="Arial" w:hAnsi="Arial" w:cs="Arial"/>
          <w:sz w:val="24"/>
          <w:szCs w:val="24"/>
        </w:rPr>
        <w:t xml:space="preserve"> (20</w:t>
      </w:r>
      <w:r>
        <w:rPr>
          <w:rFonts w:ascii="Arial" w:hAnsi="Arial" w:cs="Arial"/>
          <w:sz w:val="24"/>
          <w:szCs w:val="24"/>
        </w:rPr>
        <w:t>16), ‘</w:t>
      </w:r>
      <w:r w:rsidRPr="00302DB6">
        <w:rPr>
          <w:rFonts w:ascii="Arial" w:hAnsi="Arial" w:cs="Arial"/>
          <w:i/>
          <w:iCs/>
          <w:sz w:val="24"/>
          <w:szCs w:val="24"/>
        </w:rPr>
        <w:t>Reforming the Age of Criminal Responsibility</w:t>
      </w:r>
      <w:r>
        <w:rPr>
          <w:rFonts w:ascii="Arial" w:hAnsi="Arial" w:cs="Arial"/>
          <w:sz w:val="24"/>
          <w:szCs w:val="24"/>
        </w:rPr>
        <w:t xml:space="preserve">’, Sage Publications, London.  </w:t>
      </w:r>
    </w:p>
    <w:p w:rsidR="00D13FC0" w:rsidRPr="006162E4" w:rsidRDefault="00D13FC0" w:rsidP="004B2EF4">
      <w:pPr>
        <w:spacing w:line="360" w:lineRule="auto"/>
        <w:rPr>
          <w:rFonts w:ascii="Arial" w:hAnsi="Arial" w:cs="Arial"/>
          <w:sz w:val="24"/>
          <w:szCs w:val="24"/>
        </w:rPr>
      </w:pPr>
      <w:r w:rsidRPr="006162E4">
        <w:rPr>
          <w:rFonts w:ascii="Arial" w:hAnsi="Arial" w:cs="Arial"/>
          <w:sz w:val="24"/>
          <w:szCs w:val="24"/>
        </w:rPr>
        <w:t>Delmage, E</w:t>
      </w:r>
      <w:r>
        <w:rPr>
          <w:rFonts w:ascii="Arial" w:hAnsi="Arial" w:cs="Arial"/>
          <w:sz w:val="24"/>
          <w:szCs w:val="24"/>
        </w:rPr>
        <w:t>.</w:t>
      </w:r>
      <w:r w:rsidRPr="006162E4">
        <w:rPr>
          <w:rFonts w:ascii="Arial" w:hAnsi="Arial" w:cs="Arial"/>
          <w:sz w:val="24"/>
          <w:szCs w:val="24"/>
        </w:rPr>
        <w:t xml:space="preserve"> (2013)</w:t>
      </w:r>
      <w:r>
        <w:rPr>
          <w:rFonts w:ascii="Arial" w:hAnsi="Arial" w:cs="Arial"/>
          <w:sz w:val="24"/>
          <w:szCs w:val="24"/>
        </w:rPr>
        <w:t>, ‘</w:t>
      </w:r>
      <w:r w:rsidRPr="006162E4">
        <w:rPr>
          <w:rFonts w:ascii="Arial" w:hAnsi="Arial" w:cs="Arial"/>
          <w:i/>
          <w:iCs/>
          <w:sz w:val="24"/>
          <w:szCs w:val="24"/>
        </w:rPr>
        <w:t xml:space="preserve">The Minimum Age Of Criminal Responsibility: A Medico Legal Perspective’, </w:t>
      </w:r>
      <w:r>
        <w:rPr>
          <w:rFonts w:ascii="Arial" w:hAnsi="Arial" w:cs="Arial"/>
          <w:sz w:val="24"/>
          <w:szCs w:val="24"/>
        </w:rPr>
        <w:t>Sage Publications, UK.</w:t>
      </w:r>
    </w:p>
    <w:p w:rsidR="00D13FC0" w:rsidRDefault="00D13FC0" w:rsidP="004B2EF4">
      <w:pPr>
        <w:spacing w:line="360" w:lineRule="auto"/>
        <w:rPr>
          <w:rFonts w:ascii="Arial" w:hAnsi="Arial" w:cs="Arial"/>
          <w:sz w:val="24"/>
          <w:szCs w:val="24"/>
        </w:rPr>
      </w:pPr>
      <w:r w:rsidRPr="00EA3355">
        <w:rPr>
          <w:rFonts w:ascii="Arial" w:hAnsi="Arial" w:cs="Arial"/>
          <w:sz w:val="24"/>
          <w:szCs w:val="24"/>
        </w:rPr>
        <w:t>Erikson, K. (1966)</w:t>
      </w:r>
      <w:r>
        <w:rPr>
          <w:rFonts w:ascii="Arial" w:hAnsi="Arial" w:cs="Arial"/>
          <w:sz w:val="24"/>
          <w:szCs w:val="24"/>
        </w:rPr>
        <w:t>, ‘</w:t>
      </w:r>
      <w:r w:rsidRPr="00EA3355">
        <w:rPr>
          <w:rFonts w:ascii="Arial" w:hAnsi="Arial" w:cs="Arial"/>
          <w:i/>
          <w:iCs/>
          <w:sz w:val="24"/>
          <w:szCs w:val="24"/>
        </w:rPr>
        <w:t>Wayward Puritans: A Study in the Sociology of Deviance’</w:t>
      </w:r>
      <w:r>
        <w:rPr>
          <w:rFonts w:ascii="Arial" w:hAnsi="Arial" w:cs="Arial"/>
          <w:sz w:val="24"/>
          <w:szCs w:val="24"/>
        </w:rPr>
        <w:t>,</w:t>
      </w:r>
      <w:r w:rsidRPr="00EA3355">
        <w:rPr>
          <w:rFonts w:ascii="Arial" w:hAnsi="Arial" w:cs="Arial"/>
          <w:sz w:val="24"/>
          <w:szCs w:val="24"/>
        </w:rPr>
        <w:t xml:space="preserve"> Wile</w:t>
      </w:r>
      <w:r>
        <w:rPr>
          <w:rFonts w:ascii="Arial" w:hAnsi="Arial" w:cs="Arial"/>
          <w:sz w:val="24"/>
          <w:szCs w:val="24"/>
        </w:rPr>
        <w:t xml:space="preserve">y, New York. </w:t>
      </w:r>
    </w:p>
    <w:p w:rsidR="00D13FC0" w:rsidRPr="006877BF" w:rsidRDefault="00D13FC0" w:rsidP="004B2EF4">
      <w:pPr>
        <w:spacing w:line="360" w:lineRule="auto"/>
        <w:rPr>
          <w:rFonts w:ascii="Arial" w:hAnsi="Arial" w:cs="Arial"/>
          <w:sz w:val="24"/>
          <w:szCs w:val="24"/>
        </w:rPr>
      </w:pPr>
      <w:r w:rsidRPr="006877BF">
        <w:rPr>
          <w:rFonts w:ascii="Arial" w:hAnsi="Arial" w:cs="Arial"/>
          <w:sz w:val="24"/>
          <w:szCs w:val="24"/>
        </w:rPr>
        <w:t>Farmer, E</w:t>
      </w:r>
      <w:r>
        <w:rPr>
          <w:rFonts w:ascii="Arial" w:hAnsi="Arial" w:cs="Arial"/>
          <w:sz w:val="24"/>
          <w:szCs w:val="24"/>
        </w:rPr>
        <w:t xml:space="preserve">. </w:t>
      </w:r>
      <w:r w:rsidRPr="006877BF">
        <w:rPr>
          <w:rFonts w:ascii="Arial" w:hAnsi="Arial" w:cs="Arial"/>
          <w:sz w:val="24"/>
          <w:szCs w:val="24"/>
        </w:rPr>
        <w:t>(2011)</w:t>
      </w:r>
      <w:r>
        <w:rPr>
          <w:rFonts w:ascii="Arial" w:hAnsi="Arial" w:cs="Arial"/>
          <w:sz w:val="24"/>
          <w:szCs w:val="24"/>
        </w:rPr>
        <w:t>, ‘</w:t>
      </w:r>
      <w:r w:rsidRPr="006877BF">
        <w:rPr>
          <w:rFonts w:ascii="Arial" w:hAnsi="Arial" w:cs="Arial"/>
          <w:i/>
          <w:iCs/>
          <w:sz w:val="24"/>
          <w:szCs w:val="24"/>
        </w:rPr>
        <w:t>The Age Of Criminal Responsibility: Developmental Science And Human Rights Perspectives’,</w:t>
      </w:r>
      <w:r w:rsidRPr="006877BF">
        <w:rPr>
          <w:rFonts w:ascii="Arial" w:hAnsi="Arial" w:cs="Arial"/>
          <w:sz w:val="24"/>
          <w:szCs w:val="24"/>
        </w:rPr>
        <w:t>Journal Of Children’s Services: Research Informing Policy And Practice</w:t>
      </w:r>
      <w:r>
        <w:rPr>
          <w:rFonts w:ascii="Arial" w:hAnsi="Arial" w:cs="Arial"/>
          <w:sz w:val="24"/>
          <w:szCs w:val="24"/>
        </w:rPr>
        <w:t>, UK.</w:t>
      </w:r>
    </w:p>
    <w:p w:rsidR="00D13FC0" w:rsidRDefault="00D13FC0" w:rsidP="00B54B20">
      <w:pPr>
        <w:spacing w:line="360" w:lineRule="auto"/>
        <w:rPr>
          <w:rFonts w:ascii="Arial" w:hAnsi="Arial" w:cs="Arial"/>
          <w:sz w:val="24"/>
          <w:szCs w:val="24"/>
        </w:rPr>
      </w:pPr>
      <w:r w:rsidRPr="00B54B20">
        <w:rPr>
          <w:rFonts w:ascii="Arial" w:hAnsi="Arial" w:cs="Arial"/>
          <w:sz w:val="24"/>
          <w:szCs w:val="24"/>
        </w:rPr>
        <w:t>Gelsthorpe</w:t>
      </w:r>
      <w:r>
        <w:rPr>
          <w:rFonts w:ascii="Arial" w:hAnsi="Arial" w:cs="Arial"/>
          <w:sz w:val="24"/>
          <w:szCs w:val="24"/>
        </w:rPr>
        <w:t>,</w:t>
      </w:r>
      <w:r w:rsidRPr="00B54B20">
        <w:rPr>
          <w:rFonts w:ascii="Arial" w:hAnsi="Arial" w:cs="Arial"/>
          <w:sz w:val="24"/>
          <w:szCs w:val="24"/>
        </w:rPr>
        <w:t xml:space="preserve"> L and Sharpe</w:t>
      </w:r>
      <w:r>
        <w:rPr>
          <w:rFonts w:ascii="Arial" w:hAnsi="Arial" w:cs="Arial"/>
          <w:sz w:val="24"/>
          <w:szCs w:val="24"/>
        </w:rPr>
        <w:t>,</w:t>
      </w:r>
      <w:r w:rsidRPr="00B54B20">
        <w:rPr>
          <w:rFonts w:ascii="Arial" w:hAnsi="Arial" w:cs="Arial"/>
          <w:sz w:val="24"/>
          <w:szCs w:val="24"/>
        </w:rPr>
        <w:t xml:space="preserve"> G</w:t>
      </w:r>
      <w:r>
        <w:rPr>
          <w:rFonts w:ascii="Arial" w:hAnsi="Arial" w:cs="Arial"/>
          <w:sz w:val="24"/>
          <w:szCs w:val="24"/>
        </w:rPr>
        <w:t>.</w:t>
      </w:r>
      <w:r w:rsidRPr="00B54B20">
        <w:rPr>
          <w:rFonts w:ascii="Arial" w:hAnsi="Arial" w:cs="Arial"/>
          <w:sz w:val="24"/>
          <w:szCs w:val="24"/>
        </w:rPr>
        <w:t xml:space="preserve"> (2006)</w:t>
      </w:r>
      <w:r>
        <w:rPr>
          <w:rFonts w:ascii="Arial" w:hAnsi="Arial" w:cs="Arial"/>
          <w:sz w:val="24"/>
          <w:szCs w:val="24"/>
        </w:rPr>
        <w:t xml:space="preserve">, </w:t>
      </w:r>
      <w:r w:rsidRPr="00B54B20">
        <w:rPr>
          <w:rFonts w:ascii="Arial" w:hAnsi="Arial" w:cs="Arial"/>
          <w:i/>
          <w:iCs/>
          <w:sz w:val="24"/>
          <w:szCs w:val="24"/>
        </w:rPr>
        <w:t>‘Gender, Youth Crime And Justice’</w:t>
      </w:r>
      <w:r>
        <w:rPr>
          <w:rFonts w:ascii="Arial" w:hAnsi="Arial" w:cs="Arial"/>
          <w:sz w:val="24"/>
          <w:szCs w:val="24"/>
        </w:rPr>
        <w:t xml:space="preserve">, Sage Publications, London. </w:t>
      </w:r>
    </w:p>
    <w:p w:rsidR="00D13FC0" w:rsidRDefault="00D13FC0" w:rsidP="00807C79">
      <w:pPr>
        <w:spacing w:line="360" w:lineRule="auto"/>
        <w:rPr>
          <w:rFonts w:ascii="Arial" w:hAnsi="Arial" w:cs="Arial"/>
          <w:sz w:val="24"/>
          <w:szCs w:val="24"/>
        </w:rPr>
      </w:pPr>
      <w:r w:rsidRPr="00807C79">
        <w:rPr>
          <w:rFonts w:ascii="Arial" w:hAnsi="Arial" w:cs="Arial"/>
          <w:sz w:val="24"/>
          <w:szCs w:val="24"/>
        </w:rPr>
        <w:t>Goldson</w:t>
      </w:r>
      <w:r>
        <w:rPr>
          <w:rFonts w:ascii="Arial" w:hAnsi="Arial" w:cs="Arial"/>
          <w:sz w:val="24"/>
          <w:szCs w:val="24"/>
        </w:rPr>
        <w:t>,</w:t>
      </w:r>
      <w:r w:rsidRPr="00807C79">
        <w:rPr>
          <w:rFonts w:ascii="Arial" w:hAnsi="Arial" w:cs="Arial"/>
          <w:sz w:val="24"/>
          <w:szCs w:val="24"/>
        </w:rPr>
        <w:t xml:space="preserve"> B</w:t>
      </w:r>
      <w:r>
        <w:rPr>
          <w:rFonts w:ascii="Arial" w:hAnsi="Arial" w:cs="Arial"/>
          <w:sz w:val="24"/>
          <w:szCs w:val="24"/>
        </w:rPr>
        <w:t>.</w:t>
      </w:r>
      <w:r w:rsidRPr="00807C79">
        <w:rPr>
          <w:rFonts w:ascii="Arial" w:hAnsi="Arial" w:cs="Arial"/>
          <w:sz w:val="24"/>
          <w:szCs w:val="24"/>
        </w:rPr>
        <w:t xml:space="preserve"> (1997)</w:t>
      </w:r>
      <w:r>
        <w:rPr>
          <w:rFonts w:ascii="Arial" w:hAnsi="Arial" w:cs="Arial"/>
          <w:sz w:val="24"/>
          <w:szCs w:val="24"/>
        </w:rPr>
        <w:t>,</w:t>
      </w:r>
      <w:r w:rsidRPr="00807C79">
        <w:rPr>
          <w:rFonts w:ascii="Arial" w:hAnsi="Arial" w:cs="Arial"/>
          <w:i/>
          <w:iCs/>
          <w:sz w:val="24"/>
          <w:szCs w:val="24"/>
        </w:rPr>
        <w:t>‘Childhood’: An Introduction To Historical And Theoretical Analyses’</w:t>
      </w:r>
      <w:r>
        <w:rPr>
          <w:rFonts w:ascii="Arial" w:hAnsi="Arial" w:cs="Arial"/>
          <w:sz w:val="24"/>
          <w:szCs w:val="24"/>
        </w:rPr>
        <w:t xml:space="preserve">, UCL Press, </w:t>
      </w:r>
      <w:r w:rsidRPr="00807C79">
        <w:rPr>
          <w:rFonts w:ascii="Arial" w:hAnsi="Arial" w:cs="Arial"/>
          <w:sz w:val="24"/>
          <w:szCs w:val="24"/>
        </w:rPr>
        <w:t>London</w:t>
      </w:r>
      <w:r>
        <w:rPr>
          <w:rFonts w:ascii="Arial" w:hAnsi="Arial" w:cs="Arial"/>
          <w:sz w:val="24"/>
          <w:szCs w:val="24"/>
        </w:rPr>
        <w:t>.</w:t>
      </w:r>
    </w:p>
    <w:p w:rsidR="00D13FC0" w:rsidRDefault="00D13FC0" w:rsidP="004B2EF4">
      <w:pPr>
        <w:spacing w:line="360" w:lineRule="auto"/>
        <w:rPr>
          <w:rFonts w:ascii="Arial" w:hAnsi="Arial" w:cs="Arial"/>
          <w:sz w:val="24"/>
          <w:szCs w:val="24"/>
        </w:rPr>
      </w:pPr>
      <w:r>
        <w:rPr>
          <w:rFonts w:ascii="Arial" w:hAnsi="Arial" w:cs="Arial"/>
          <w:sz w:val="24"/>
          <w:szCs w:val="24"/>
        </w:rPr>
        <w:t xml:space="preserve">Gore, W. </w:t>
      </w:r>
      <w:r w:rsidRPr="00473760">
        <w:rPr>
          <w:rFonts w:ascii="Arial" w:hAnsi="Arial" w:cs="Arial"/>
          <w:sz w:val="24"/>
          <w:szCs w:val="24"/>
        </w:rPr>
        <w:t>(2018)</w:t>
      </w:r>
      <w:r>
        <w:rPr>
          <w:rFonts w:ascii="Arial" w:hAnsi="Arial" w:cs="Arial"/>
          <w:sz w:val="24"/>
          <w:szCs w:val="24"/>
        </w:rPr>
        <w:t>, ‘</w:t>
      </w:r>
      <w:r w:rsidRPr="00980FCD">
        <w:rPr>
          <w:rFonts w:ascii="Arial" w:hAnsi="Arial" w:cs="Arial"/>
          <w:i/>
          <w:iCs/>
          <w:sz w:val="24"/>
          <w:szCs w:val="24"/>
        </w:rPr>
        <w:t>Jon Venables’ Grotesque Crime Is Not Reason Enough To Unmask His Identity 25 Years After Killing James Bulger’,</w:t>
      </w:r>
      <w:r>
        <w:rPr>
          <w:rFonts w:ascii="Arial" w:hAnsi="Arial" w:cs="Arial"/>
          <w:sz w:val="24"/>
          <w:szCs w:val="24"/>
        </w:rPr>
        <w:t xml:space="preserve"> The Independent, London. </w:t>
      </w:r>
    </w:p>
    <w:p w:rsidR="00D13FC0" w:rsidRDefault="00D13FC0" w:rsidP="004B2EF4">
      <w:pPr>
        <w:spacing w:line="360" w:lineRule="auto"/>
        <w:rPr>
          <w:rFonts w:ascii="Arial" w:hAnsi="Arial" w:cs="Arial"/>
          <w:sz w:val="24"/>
          <w:szCs w:val="24"/>
        </w:rPr>
      </w:pPr>
      <w:r w:rsidRPr="00D13FC0">
        <w:rPr>
          <w:rFonts w:ascii="Arial" w:hAnsi="Arial" w:cs="Arial"/>
          <w:sz w:val="24"/>
          <w:szCs w:val="24"/>
        </w:rPr>
        <w:t>Haines, K</w:t>
      </w:r>
      <w:r>
        <w:rPr>
          <w:rFonts w:ascii="Arial" w:hAnsi="Arial" w:cs="Arial"/>
          <w:sz w:val="24"/>
          <w:szCs w:val="24"/>
        </w:rPr>
        <w:t xml:space="preserve"> and </w:t>
      </w:r>
      <w:r w:rsidRPr="00D13FC0">
        <w:rPr>
          <w:rFonts w:ascii="Arial" w:hAnsi="Arial" w:cs="Arial"/>
          <w:sz w:val="24"/>
          <w:szCs w:val="24"/>
        </w:rPr>
        <w:t>Case, SP</w:t>
      </w:r>
      <w:r>
        <w:rPr>
          <w:rFonts w:ascii="Arial" w:hAnsi="Arial" w:cs="Arial"/>
          <w:sz w:val="24"/>
          <w:szCs w:val="24"/>
        </w:rPr>
        <w:t>.</w:t>
      </w:r>
      <w:r w:rsidRPr="00D13FC0">
        <w:rPr>
          <w:rFonts w:ascii="Arial" w:hAnsi="Arial" w:cs="Arial"/>
          <w:sz w:val="24"/>
          <w:szCs w:val="24"/>
        </w:rPr>
        <w:t xml:space="preserve"> (2015)</w:t>
      </w:r>
      <w:r>
        <w:rPr>
          <w:rFonts w:ascii="Arial" w:hAnsi="Arial" w:cs="Arial"/>
          <w:sz w:val="24"/>
          <w:szCs w:val="24"/>
        </w:rPr>
        <w:t xml:space="preserve">, </w:t>
      </w:r>
      <w:r w:rsidRPr="00D13FC0">
        <w:rPr>
          <w:rFonts w:ascii="Arial" w:hAnsi="Arial" w:cs="Arial"/>
          <w:i/>
          <w:iCs/>
          <w:sz w:val="24"/>
          <w:szCs w:val="24"/>
        </w:rPr>
        <w:t>‘Positive Youth Justice: Children First, Offenders Second’,</w:t>
      </w:r>
      <w:r>
        <w:rPr>
          <w:rFonts w:ascii="Arial" w:hAnsi="Arial" w:cs="Arial"/>
          <w:sz w:val="24"/>
          <w:szCs w:val="24"/>
        </w:rPr>
        <w:t xml:space="preserve"> Policy Press, </w:t>
      </w:r>
      <w:r w:rsidRPr="00D13FC0">
        <w:rPr>
          <w:rFonts w:ascii="Arial" w:hAnsi="Arial" w:cs="Arial"/>
          <w:sz w:val="24"/>
          <w:szCs w:val="24"/>
        </w:rPr>
        <w:t>Bristol</w:t>
      </w:r>
      <w:r>
        <w:rPr>
          <w:rFonts w:ascii="Arial" w:hAnsi="Arial" w:cs="Arial"/>
          <w:sz w:val="24"/>
          <w:szCs w:val="24"/>
        </w:rPr>
        <w:t xml:space="preserve">. </w:t>
      </w:r>
    </w:p>
    <w:p w:rsidR="00D13FC0" w:rsidRPr="009A29DE" w:rsidRDefault="00D13FC0" w:rsidP="004B2EF4">
      <w:pPr>
        <w:spacing w:line="360" w:lineRule="auto"/>
        <w:rPr>
          <w:rFonts w:ascii="Arial" w:hAnsi="Arial" w:cs="Arial"/>
          <w:sz w:val="24"/>
          <w:szCs w:val="24"/>
        </w:rPr>
      </w:pPr>
      <w:r>
        <w:rPr>
          <w:rFonts w:ascii="Arial" w:hAnsi="Arial" w:cs="Arial"/>
          <w:sz w:val="24"/>
          <w:szCs w:val="24"/>
        </w:rPr>
        <w:t>Hay, C. (1995), ‘</w:t>
      </w:r>
      <w:r w:rsidRPr="009A29DE">
        <w:rPr>
          <w:rFonts w:ascii="Arial" w:hAnsi="Arial" w:cs="Arial"/>
          <w:i/>
          <w:iCs/>
          <w:sz w:val="24"/>
          <w:szCs w:val="24"/>
        </w:rPr>
        <w:t xml:space="preserve">Mobilization Through Interpellation: James Bulger, Juvenile Crime and the Construction of a Moral Panic’, </w:t>
      </w:r>
      <w:r>
        <w:rPr>
          <w:rFonts w:ascii="Arial" w:hAnsi="Arial" w:cs="Arial"/>
          <w:sz w:val="24"/>
          <w:szCs w:val="24"/>
        </w:rPr>
        <w:t xml:space="preserve">Sage Publications, London. </w:t>
      </w:r>
    </w:p>
    <w:p w:rsidR="00D13FC0" w:rsidRDefault="00D13FC0" w:rsidP="004B2EF4">
      <w:pPr>
        <w:spacing w:line="360" w:lineRule="auto"/>
        <w:rPr>
          <w:rFonts w:ascii="Arial" w:hAnsi="Arial" w:cs="Arial"/>
          <w:sz w:val="24"/>
          <w:szCs w:val="24"/>
        </w:rPr>
      </w:pPr>
      <w:r>
        <w:rPr>
          <w:rFonts w:ascii="Arial" w:hAnsi="Arial" w:cs="Arial"/>
          <w:sz w:val="24"/>
          <w:szCs w:val="24"/>
        </w:rPr>
        <w:t>Hazel, N. (2008), ‘</w:t>
      </w:r>
      <w:r w:rsidRPr="00C6191F">
        <w:rPr>
          <w:rFonts w:ascii="Arial" w:hAnsi="Arial" w:cs="Arial"/>
          <w:i/>
          <w:iCs/>
          <w:sz w:val="24"/>
          <w:szCs w:val="24"/>
        </w:rPr>
        <w:t>Cross-national Comparison of Youth Justice’</w:t>
      </w:r>
      <w:r>
        <w:rPr>
          <w:rFonts w:ascii="Arial" w:hAnsi="Arial" w:cs="Arial"/>
          <w:sz w:val="24"/>
          <w:szCs w:val="24"/>
        </w:rPr>
        <w:t>,</w:t>
      </w:r>
      <w:r w:rsidRPr="00C6191F">
        <w:rPr>
          <w:rFonts w:ascii="Arial" w:hAnsi="Arial" w:cs="Arial"/>
          <w:sz w:val="24"/>
          <w:szCs w:val="24"/>
        </w:rPr>
        <w:t xml:space="preserve"> Youth Justice Board</w:t>
      </w:r>
      <w:r>
        <w:rPr>
          <w:rFonts w:ascii="Arial" w:hAnsi="Arial" w:cs="Arial"/>
          <w:sz w:val="24"/>
          <w:szCs w:val="24"/>
        </w:rPr>
        <w:t xml:space="preserve">, London. </w:t>
      </w:r>
    </w:p>
    <w:p w:rsidR="00D13FC0" w:rsidRDefault="00D13FC0" w:rsidP="004B2EF4">
      <w:pPr>
        <w:spacing w:line="360" w:lineRule="auto"/>
        <w:rPr>
          <w:rFonts w:ascii="Arial" w:hAnsi="Arial" w:cs="Arial"/>
          <w:sz w:val="24"/>
          <w:szCs w:val="24"/>
        </w:rPr>
      </w:pPr>
      <w:r w:rsidRPr="00C6191F">
        <w:rPr>
          <w:rFonts w:ascii="Arial" w:hAnsi="Arial" w:cs="Arial"/>
          <w:sz w:val="24"/>
          <w:szCs w:val="24"/>
        </w:rPr>
        <w:lastRenderedPageBreak/>
        <w:t>House of Lords House of Commons Joint Committee on Human Rights</w:t>
      </w:r>
      <w:r>
        <w:rPr>
          <w:rFonts w:ascii="Arial" w:hAnsi="Arial" w:cs="Arial"/>
          <w:sz w:val="24"/>
          <w:szCs w:val="24"/>
        </w:rPr>
        <w:t xml:space="preserve">. (2003), </w:t>
      </w:r>
      <w:r w:rsidRPr="00C6191F">
        <w:rPr>
          <w:rFonts w:ascii="Arial" w:hAnsi="Arial" w:cs="Arial"/>
          <w:i/>
          <w:iCs/>
          <w:sz w:val="24"/>
          <w:szCs w:val="24"/>
        </w:rPr>
        <w:t>‘Punishing Children: A Survey of Criminal Responsibility and Approaches across Europe’,</w:t>
      </w:r>
      <w:r>
        <w:rPr>
          <w:rFonts w:ascii="Arial" w:hAnsi="Arial" w:cs="Arial"/>
          <w:sz w:val="24"/>
          <w:szCs w:val="24"/>
        </w:rPr>
        <w:t xml:space="preserve"> The Howard Legal for Penal Reform, London. </w:t>
      </w:r>
    </w:p>
    <w:p w:rsidR="00D13FC0" w:rsidRPr="006816FF" w:rsidRDefault="00D13FC0" w:rsidP="004B2EF4">
      <w:pPr>
        <w:spacing w:line="360" w:lineRule="auto"/>
        <w:rPr>
          <w:rFonts w:ascii="Arial" w:hAnsi="Arial" w:cs="Arial"/>
          <w:sz w:val="24"/>
          <w:szCs w:val="24"/>
        </w:rPr>
      </w:pPr>
      <w:r w:rsidRPr="006816FF">
        <w:rPr>
          <w:rFonts w:ascii="Arial" w:hAnsi="Arial" w:cs="Arial"/>
          <w:sz w:val="24"/>
          <w:szCs w:val="24"/>
        </w:rPr>
        <w:t>Levine, M. (1999)</w:t>
      </w:r>
      <w:r>
        <w:rPr>
          <w:rFonts w:ascii="Arial" w:hAnsi="Arial" w:cs="Arial"/>
          <w:sz w:val="24"/>
          <w:szCs w:val="24"/>
        </w:rPr>
        <w:t>, ‘</w:t>
      </w:r>
      <w:r w:rsidRPr="006816FF">
        <w:rPr>
          <w:rFonts w:ascii="Arial" w:hAnsi="Arial" w:cs="Arial"/>
          <w:i/>
          <w:iCs/>
          <w:sz w:val="24"/>
          <w:szCs w:val="24"/>
        </w:rPr>
        <w:t>Rethinking Bystander Non-Intervention: Social Categorization And The Evidence Of Witnesses At The James Bulger Murder Trial’,</w:t>
      </w:r>
      <w:r>
        <w:rPr>
          <w:rFonts w:ascii="Arial" w:hAnsi="Arial" w:cs="Arial"/>
          <w:sz w:val="24"/>
          <w:szCs w:val="24"/>
        </w:rPr>
        <w:t xml:space="preserve">Sage Publications, New York. </w:t>
      </w:r>
    </w:p>
    <w:p w:rsidR="00D13FC0" w:rsidRDefault="00D13FC0" w:rsidP="004B2EF4">
      <w:pPr>
        <w:spacing w:line="360" w:lineRule="auto"/>
        <w:rPr>
          <w:rFonts w:ascii="Arial" w:hAnsi="Arial" w:cs="Arial"/>
          <w:sz w:val="24"/>
          <w:szCs w:val="24"/>
        </w:rPr>
      </w:pPr>
      <w:r w:rsidRPr="00504363">
        <w:rPr>
          <w:rFonts w:ascii="Arial" w:hAnsi="Arial" w:cs="Arial"/>
          <w:sz w:val="24"/>
          <w:szCs w:val="24"/>
        </w:rPr>
        <w:t>Maher, G. (2005)</w:t>
      </w:r>
      <w:r>
        <w:rPr>
          <w:rFonts w:ascii="Arial" w:hAnsi="Arial" w:cs="Arial"/>
          <w:sz w:val="24"/>
          <w:szCs w:val="24"/>
        </w:rPr>
        <w:t xml:space="preserve">, </w:t>
      </w:r>
      <w:r w:rsidRPr="00504363">
        <w:rPr>
          <w:rFonts w:ascii="Arial" w:hAnsi="Arial" w:cs="Arial"/>
          <w:i/>
          <w:iCs/>
          <w:sz w:val="24"/>
          <w:szCs w:val="24"/>
        </w:rPr>
        <w:t>‘Age And Criminal Responsibility’</w:t>
      </w:r>
      <w:r>
        <w:rPr>
          <w:rFonts w:ascii="Arial" w:hAnsi="Arial" w:cs="Arial"/>
          <w:sz w:val="24"/>
          <w:szCs w:val="24"/>
        </w:rPr>
        <w:t>,</w:t>
      </w:r>
      <w:r w:rsidRPr="00504363">
        <w:rPr>
          <w:rFonts w:ascii="Arial" w:hAnsi="Arial" w:cs="Arial"/>
          <w:sz w:val="24"/>
          <w:szCs w:val="24"/>
        </w:rPr>
        <w:t xml:space="preserve"> Ohio State Journal of Criminal Law</w:t>
      </w:r>
      <w:r>
        <w:rPr>
          <w:rFonts w:ascii="Arial" w:hAnsi="Arial" w:cs="Arial"/>
          <w:sz w:val="24"/>
          <w:szCs w:val="24"/>
        </w:rPr>
        <w:t xml:space="preserve">, Ohio. </w:t>
      </w:r>
    </w:p>
    <w:p w:rsidR="00D13FC0" w:rsidRDefault="00D13FC0" w:rsidP="004B2EF4">
      <w:pPr>
        <w:spacing w:line="360" w:lineRule="auto"/>
        <w:rPr>
          <w:rFonts w:ascii="Arial" w:hAnsi="Arial" w:cs="Arial"/>
          <w:sz w:val="24"/>
          <w:szCs w:val="24"/>
        </w:rPr>
      </w:pPr>
      <w:r>
        <w:rPr>
          <w:rFonts w:ascii="Arial" w:hAnsi="Arial" w:cs="Arial"/>
          <w:sz w:val="24"/>
          <w:szCs w:val="24"/>
        </w:rPr>
        <w:t xml:space="preserve">Mehta, A. (2011), </w:t>
      </w:r>
      <w:r w:rsidRPr="00473760">
        <w:rPr>
          <w:rFonts w:ascii="Arial" w:hAnsi="Arial" w:cs="Arial"/>
          <w:i/>
          <w:iCs/>
          <w:sz w:val="24"/>
          <w:szCs w:val="24"/>
        </w:rPr>
        <w:t>‘Independent Serious Further Offence Review: The Case of Jon Venables’</w:t>
      </w:r>
      <w:r>
        <w:rPr>
          <w:rFonts w:ascii="Arial" w:hAnsi="Arial" w:cs="Arial"/>
          <w:sz w:val="24"/>
          <w:szCs w:val="24"/>
        </w:rPr>
        <w:t xml:space="preserve">, Sage Publications, England. </w:t>
      </w:r>
    </w:p>
    <w:p w:rsidR="00D13FC0" w:rsidRPr="005C01C8" w:rsidRDefault="00D13FC0" w:rsidP="004B2EF4">
      <w:pPr>
        <w:spacing w:line="360" w:lineRule="auto"/>
        <w:rPr>
          <w:rFonts w:ascii="Arial" w:hAnsi="Arial" w:cs="Arial"/>
          <w:sz w:val="24"/>
          <w:szCs w:val="24"/>
        </w:rPr>
      </w:pPr>
      <w:r>
        <w:rPr>
          <w:rFonts w:ascii="Arial" w:hAnsi="Arial" w:cs="Arial"/>
          <w:sz w:val="24"/>
          <w:szCs w:val="24"/>
        </w:rPr>
        <w:t>Noroozi, M, Singh, I and Fazel, M. (2018), ‘</w:t>
      </w:r>
      <w:r w:rsidRPr="005C01C8">
        <w:rPr>
          <w:rFonts w:ascii="Arial" w:hAnsi="Arial" w:cs="Arial"/>
          <w:i/>
          <w:iCs/>
          <w:sz w:val="24"/>
          <w:szCs w:val="24"/>
        </w:rPr>
        <w:t>Evaluation Of The Minimum Age For Consent To Mental Health Treatment With The Minimum Age Of Criminal Responsibility In Children And Adolescents: A Global Comparison</w:t>
      </w:r>
      <w:r>
        <w:rPr>
          <w:rFonts w:ascii="Arial" w:hAnsi="Arial" w:cs="Arial"/>
          <w:i/>
          <w:iCs/>
          <w:sz w:val="24"/>
          <w:szCs w:val="24"/>
        </w:rPr>
        <w:t xml:space="preserve">’, </w:t>
      </w:r>
      <w:r>
        <w:rPr>
          <w:rFonts w:ascii="Arial" w:hAnsi="Arial" w:cs="Arial"/>
          <w:sz w:val="24"/>
          <w:szCs w:val="24"/>
        </w:rPr>
        <w:t xml:space="preserve">BMJ Publishing, London. </w:t>
      </w:r>
    </w:p>
    <w:p w:rsidR="00D13FC0" w:rsidRDefault="00D13FC0" w:rsidP="004B2EF4">
      <w:pPr>
        <w:spacing w:line="360" w:lineRule="auto"/>
        <w:rPr>
          <w:rFonts w:ascii="Arial" w:hAnsi="Arial" w:cs="Arial"/>
          <w:sz w:val="24"/>
          <w:szCs w:val="24"/>
        </w:rPr>
      </w:pPr>
      <w:r>
        <w:rPr>
          <w:rFonts w:ascii="Arial" w:hAnsi="Arial" w:cs="Arial"/>
          <w:sz w:val="24"/>
          <w:szCs w:val="24"/>
        </w:rPr>
        <w:t>Pillay, A.L. (2015), ‘</w:t>
      </w:r>
      <w:r w:rsidRPr="002C56ED">
        <w:rPr>
          <w:rFonts w:ascii="Arial" w:hAnsi="Arial" w:cs="Arial"/>
          <w:i/>
          <w:iCs/>
          <w:sz w:val="24"/>
          <w:szCs w:val="24"/>
        </w:rPr>
        <w:t>Deliberating The Minimum Age Of Criminal Responsibility’,</w:t>
      </w:r>
      <w:r>
        <w:rPr>
          <w:rFonts w:ascii="Arial" w:hAnsi="Arial" w:cs="Arial"/>
          <w:sz w:val="24"/>
          <w:szCs w:val="24"/>
        </w:rPr>
        <w:t xml:space="preserve"> Sage Publications, London. </w:t>
      </w:r>
    </w:p>
    <w:p w:rsidR="00D13FC0" w:rsidRDefault="00D13FC0" w:rsidP="004B2EF4">
      <w:pPr>
        <w:spacing w:line="360" w:lineRule="auto"/>
        <w:rPr>
          <w:rFonts w:ascii="Arial" w:hAnsi="Arial" w:cs="Arial"/>
          <w:sz w:val="24"/>
          <w:szCs w:val="24"/>
        </w:rPr>
      </w:pPr>
      <w:r w:rsidRPr="00A65AFC">
        <w:rPr>
          <w:rFonts w:ascii="Arial" w:hAnsi="Arial" w:cs="Arial"/>
          <w:sz w:val="24"/>
          <w:szCs w:val="24"/>
        </w:rPr>
        <w:t>Ravenhill, M. (2004)</w:t>
      </w:r>
      <w:r>
        <w:rPr>
          <w:rFonts w:ascii="Arial" w:hAnsi="Arial" w:cs="Arial"/>
          <w:sz w:val="24"/>
          <w:szCs w:val="24"/>
        </w:rPr>
        <w:t>,</w:t>
      </w:r>
      <w:r w:rsidRPr="00A65AFC">
        <w:rPr>
          <w:rFonts w:ascii="Arial" w:hAnsi="Arial" w:cs="Arial"/>
          <w:i/>
          <w:iCs/>
          <w:sz w:val="24"/>
          <w:szCs w:val="24"/>
        </w:rPr>
        <w:t>‘A Tear In The Fabric: The James Bulger Murder And New Theatre Writing In The ‘Nineties’,</w:t>
      </w:r>
      <w:r>
        <w:rPr>
          <w:rFonts w:ascii="Arial" w:hAnsi="Arial" w:cs="Arial"/>
          <w:sz w:val="24"/>
          <w:szCs w:val="24"/>
        </w:rPr>
        <w:t xml:space="preserve"> Cambridge University Press, Cambridge. </w:t>
      </w:r>
    </w:p>
    <w:p w:rsidR="00D13FC0" w:rsidRDefault="00D13FC0" w:rsidP="004B2EF4">
      <w:pPr>
        <w:spacing w:line="360" w:lineRule="auto"/>
        <w:rPr>
          <w:rFonts w:ascii="Arial" w:hAnsi="Arial" w:cs="Arial"/>
          <w:sz w:val="24"/>
          <w:szCs w:val="24"/>
        </w:rPr>
      </w:pPr>
      <w:r>
        <w:rPr>
          <w:rFonts w:ascii="Arial" w:hAnsi="Arial" w:cs="Arial"/>
          <w:sz w:val="24"/>
          <w:szCs w:val="24"/>
        </w:rPr>
        <w:t>Rice, G and Thomas, T. (</w:t>
      </w:r>
      <w:r w:rsidRPr="006E64D4">
        <w:rPr>
          <w:rFonts w:ascii="Arial" w:hAnsi="Arial" w:cs="Arial"/>
          <w:sz w:val="24"/>
          <w:szCs w:val="24"/>
        </w:rPr>
        <w:t>2013)</w:t>
      </w:r>
      <w:r>
        <w:rPr>
          <w:rFonts w:ascii="Arial" w:hAnsi="Arial" w:cs="Arial"/>
          <w:sz w:val="24"/>
          <w:szCs w:val="24"/>
        </w:rPr>
        <w:t>, ‘</w:t>
      </w:r>
      <w:r w:rsidRPr="006E64D4">
        <w:rPr>
          <w:rFonts w:ascii="Arial" w:hAnsi="Arial" w:cs="Arial"/>
          <w:i/>
          <w:iCs/>
          <w:sz w:val="24"/>
          <w:szCs w:val="24"/>
        </w:rPr>
        <w:t>James Bulger - A Matter Of Public Interest?’</w:t>
      </w:r>
      <w:r>
        <w:rPr>
          <w:rFonts w:ascii="Arial" w:hAnsi="Arial" w:cs="Arial"/>
          <w:sz w:val="24"/>
          <w:szCs w:val="24"/>
        </w:rPr>
        <w:t xml:space="preserve">, </w:t>
      </w:r>
      <w:r w:rsidRPr="006E64D4">
        <w:rPr>
          <w:rFonts w:ascii="Arial" w:hAnsi="Arial" w:cs="Arial"/>
          <w:sz w:val="24"/>
          <w:szCs w:val="24"/>
        </w:rPr>
        <w:t>The International Journal Of Children’s Rights</w:t>
      </w:r>
      <w:r>
        <w:rPr>
          <w:rFonts w:ascii="Arial" w:hAnsi="Arial" w:cs="Arial"/>
          <w:sz w:val="24"/>
          <w:szCs w:val="24"/>
        </w:rPr>
        <w:t>, UK.</w:t>
      </w:r>
    </w:p>
    <w:p w:rsidR="00D13FC0" w:rsidRDefault="00D13FC0" w:rsidP="004B2EF4">
      <w:pPr>
        <w:spacing w:line="360" w:lineRule="auto"/>
        <w:rPr>
          <w:rFonts w:ascii="Arial" w:hAnsi="Arial" w:cs="Arial"/>
          <w:sz w:val="24"/>
          <w:szCs w:val="24"/>
        </w:rPr>
      </w:pPr>
      <w:r>
        <w:rPr>
          <w:rFonts w:ascii="Arial" w:hAnsi="Arial" w:cs="Arial"/>
          <w:sz w:val="24"/>
          <w:szCs w:val="24"/>
        </w:rPr>
        <w:t>Roberts, L. (2014), ‘</w:t>
      </w:r>
      <w:r w:rsidRPr="003652B6">
        <w:rPr>
          <w:rFonts w:ascii="Arial" w:hAnsi="Arial" w:cs="Arial"/>
          <w:i/>
          <w:iCs/>
          <w:sz w:val="24"/>
          <w:szCs w:val="24"/>
        </w:rPr>
        <w:t>The Bulger Case: A Spatial Story’</w:t>
      </w:r>
      <w:r>
        <w:rPr>
          <w:rFonts w:ascii="Arial" w:hAnsi="Arial" w:cs="Arial"/>
          <w:sz w:val="24"/>
          <w:szCs w:val="24"/>
        </w:rPr>
        <w:t xml:space="preserve">, Taylor and Francis, England. </w:t>
      </w:r>
    </w:p>
    <w:p w:rsidR="00D13FC0" w:rsidRPr="002D071E" w:rsidRDefault="00D13FC0" w:rsidP="004B2EF4">
      <w:pPr>
        <w:spacing w:line="360" w:lineRule="auto"/>
        <w:rPr>
          <w:rFonts w:ascii="Arial" w:hAnsi="Arial" w:cs="Arial"/>
          <w:sz w:val="24"/>
          <w:szCs w:val="24"/>
        </w:rPr>
      </w:pPr>
      <w:r>
        <w:rPr>
          <w:rFonts w:ascii="Arial" w:hAnsi="Arial" w:cs="Arial"/>
          <w:sz w:val="24"/>
          <w:szCs w:val="24"/>
        </w:rPr>
        <w:t>Scottish Law Commission. (2002), ‘</w:t>
      </w:r>
      <w:r w:rsidRPr="002D071E">
        <w:rPr>
          <w:rFonts w:ascii="Arial" w:hAnsi="Arial" w:cs="Arial"/>
          <w:i/>
          <w:iCs/>
          <w:sz w:val="24"/>
          <w:szCs w:val="24"/>
        </w:rPr>
        <w:t>Report on Age of Criminal Responsibility’</w:t>
      </w:r>
      <w:r>
        <w:rPr>
          <w:rFonts w:ascii="Arial" w:hAnsi="Arial" w:cs="Arial"/>
          <w:sz w:val="24"/>
          <w:szCs w:val="24"/>
        </w:rPr>
        <w:t>,</w:t>
      </w:r>
      <w:r w:rsidRPr="002D071E">
        <w:rPr>
          <w:rFonts w:ascii="Arial" w:hAnsi="Arial" w:cs="Arial"/>
          <w:sz w:val="24"/>
          <w:szCs w:val="24"/>
        </w:rPr>
        <w:t xml:space="preserve"> The Stationery Office</w:t>
      </w:r>
      <w:r>
        <w:rPr>
          <w:rFonts w:ascii="Arial" w:hAnsi="Arial" w:cs="Arial"/>
          <w:sz w:val="24"/>
          <w:szCs w:val="24"/>
        </w:rPr>
        <w:t xml:space="preserve">, Edinburgh. </w:t>
      </w:r>
    </w:p>
    <w:p w:rsidR="00D13FC0" w:rsidRPr="00CF2BF7" w:rsidRDefault="00D13FC0" w:rsidP="004B2EF4">
      <w:pPr>
        <w:spacing w:line="360" w:lineRule="auto"/>
        <w:rPr>
          <w:rFonts w:ascii="Arial" w:hAnsi="Arial" w:cs="Arial"/>
          <w:sz w:val="24"/>
          <w:szCs w:val="24"/>
        </w:rPr>
      </w:pPr>
      <w:r>
        <w:rPr>
          <w:rFonts w:ascii="Arial" w:hAnsi="Arial" w:cs="Arial"/>
          <w:sz w:val="24"/>
          <w:szCs w:val="24"/>
        </w:rPr>
        <w:t>Siddique, H. (2010), ‘</w:t>
      </w:r>
      <w:r w:rsidRPr="00CF2BF7">
        <w:rPr>
          <w:rFonts w:ascii="Arial" w:hAnsi="Arial" w:cs="Arial"/>
          <w:i/>
          <w:iCs/>
          <w:sz w:val="24"/>
          <w:szCs w:val="24"/>
        </w:rPr>
        <w:t>James Bulger Killing: The Case History Of Jon Venables And Robert Thompson</w:t>
      </w:r>
      <w:r>
        <w:rPr>
          <w:rFonts w:ascii="Arial" w:hAnsi="Arial" w:cs="Arial"/>
          <w:i/>
          <w:iCs/>
          <w:sz w:val="24"/>
          <w:szCs w:val="24"/>
        </w:rPr>
        <w:t xml:space="preserve">’, </w:t>
      </w:r>
      <w:r>
        <w:rPr>
          <w:rFonts w:ascii="Arial" w:hAnsi="Arial" w:cs="Arial"/>
          <w:sz w:val="24"/>
          <w:szCs w:val="24"/>
        </w:rPr>
        <w:t xml:space="preserve">The Guardian, UK. </w:t>
      </w:r>
    </w:p>
    <w:p w:rsidR="00D13FC0" w:rsidRPr="001F4A7E" w:rsidRDefault="00D13FC0" w:rsidP="001F4A7E">
      <w:pPr>
        <w:spacing w:line="360" w:lineRule="auto"/>
        <w:rPr>
          <w:rFonts w:ascii="Arial" w:hAnsi="Arial" w:cs="Arial"/>
          <w:sz w:val="24"/>
          <w:szCs w:val="24"/>
        </w:rPr>
      </w:pPr>
      <w:r>
        <w:rPr>
          <w:rFonts w:ascii="Arial" w:hAnsi="Arial" w:cs="Arial"/>
          <w:sz w:val="24"/>
          <w:szCs w:val="24"/>
        </w:rPr>
        <w:t>Smith, D. (2017), ‘</w:t>
      </w:r>
      <w:r w:rsidRPr="001F4A7E">
        <w:rPr>
          <w:rFonts w:ascii="Arial" w:hAnsi="Arial" w:cs="Arial"/>
          <w:i/>
          <w:iCs/>
          <w:sz w:val="24"/>
          <w:szCs w:val="24"/>
        </w:rPr>
        <w:t>The Sleep of Reason The James Bulger Case’</w:t>
      </w:r>
      <w:r>
        <w:rPr>
          <w:rFonts w:ascii="Arial" w:hAnsi="Arial" w:cs="Arial"/>
          <w:sz w:val="24"/>
          <w:szCs w:val="24"/>
        </w:rPr>
        <w:t>, Faber and Faber, UK.</w:t>
      </w:r>
    </w:p>
    <w:p w:rsidR="00D13FC0" w:rsidRPr="00FA652F" w:rsidRDefault="00D13FC0" w:rsidP="004B2EF4">
      <w:pPr>
        <w:spacing w:line="360" w:lineRule="auto"/>
        <w:rPr>
          <w:rFonts w:ascii="Arial" w:hAnsi="Arial" w:cs="Arial"/>
          <w:sz w:val="24"/>
          <w:szCs w:val="24"/>
        </w:rPr>
      </w:pPr>
      <w:r>
        <w:rPr>
          <w:rFonts w:ascii="Arial" w:hAnsi="Arial" w:cs="Arial"/>
          <w:sz w:val="24"/>
          <w:szCs w:val="24"/>
        </w:rPr>
        <w:t>Tumin, S. (2001), ‘</w:t>
      </w:r>
      <w:r w:rsidRPr="00FA652F">
        <w:rPr>
          <w:rFonts w:ascii="Arial" w:hAnsi="Arial" w:cs="Arial"/>
          <w:i/>
          <w:iCs/>
          <w:sz w:val="24"/>
          <w:szCs w:val="24"/>
        </w:rPr>
        <w:t>Don’t Let Revenge Win The Day’,</w:t>
      </w:r>
      <w:r>
        <w:rPr>
          <w:rFonts w:ascii="Arial" w:hAnsi="Arial" w:cs="Arial"/>
          <w:sz w:val="24"/>
          <w:szCs w:val="24"/>
        </w:rPr>
        <w:t xml:space="preserve"> New Statesmen, London. </w:t>
      </w:r>
    </w:p>
    <w:p w:rsidR="00D13FC0" w:rsidRDefault="00D13FC0" w:rsidP="004B2EF4">
      <w:pPr>
        <w:spacing w:line="360" w:lineRule="auto"/>
        <w:rPr>
          <w:rFonts w:ascii="Arial" w:hAnsi="Arial" w:cs="Arial"/>
          <w:sz w:val="24"/>
          <w:szCs w:val="24"/>
        </w:rPr>
      </w:pPr>
      <w:r>
        <w:rPr>
          <w:rFonts w:ascii="Arial" w:hAnsi="Arial" w:cs="Arial"/>
          <w:sz w:val="24"/>
          <w:szCs w:val="24"/>
        </w:rPr>
        <w:lastRenderedPageBreak/>
        <w:t>Wagland, B and Bussey, K. (2015), ‘</w:t>
      </w:r>
      <w:r w:rsidRPr="00687500">
        <w:rPr>
          <w:rFonts w:ascii="Arial" w:hAnsi="Arial" w:cs="Arial"/>
          <w:i/>
          <w:iCs/>
          <w:sz w:val="24"/>
          <w:szCs w:val="24"/>
        </w:rPr>
        <w:t>Appreciating The Wrongfulness Of Criminal Conduct: Implications For The Age Of Criminal Responsibility’,</w:t>
      </w:r>
      <w:r>
        <w:rPr>
          <w:rFonts w:ascii="Arial" w:hAnsi="Arial" w:cs="Arial"/>
          <w:sz w:val="24"/>
          <w:szCs w:val="24"/>
        </w:rPr>
        <w:t xml:space="preserve"> Wiley, UK. </w:t>
      </w:r>
    </w:p>
    <w:p w:rsidR="006162E4" w:rsidRDefault="006162E4" w:rsidP="004B2EF4">
      <w:pPr>
        <w:spacing w:line="360" w:lineRule="auto"/>
        <w:rPr>
          <w:rFonts w:ascii="Arial" w:hAnsi="Arial" w:cs="Arial"/>
          <w:sz w:val="24"/>
          <w:szCs w:val="24"/>
          <w:u w:val="single"/>
        </w:rPr>
      </w:pPr>
    </w:p>
    <w:p w:rsidR="006F09A7" w:rsidRDefault="006F09A7" w:rsidP="004B2EF4">
      <w:pPr>
        <w:spacing w:line="360" w:lineRule="auto"/>
        <w:rPr>
          <w:rFonts w:ascii="Arial" w:hAnsi="Arial" w:cs="Arial"/>
          <w:sz w:val="24"/>
          <w:szCs w:val="24"/>
          <w:u w:val="single"/>
        </w:rPr>
      </w:pPr>
    </w:p>
    <w:p w:rsidR="006F09A7" w:rsidRDefault="006F09A7" w:rsidP="004B2EF4">
      <w:pPr>
        <w:spacing w:line="360" w:lineRule="auto"/>
        <w:rPr>
          <w:rFonts w:ascii="Arial" w:hAnsi="Arial" w:cs="Arial"/>
          <w:sz w:val="24"/>
          <w:szCs w:val="24"/>
          <w:u w:val="single"/>
        </w:rPr>
      </w:pPr>
    </w:p>
    <w:p w:rsidR="006F09A7" w:rsidRDefault="006F09A7" w:rsidP="004B2EF4">
      <w:pPr>
        <w:spacing w:line="360" w:lineRule="auto"/>
        <w:rPr>
          <w:rFonts w:ascii="Arial" w:hAnsi="Arial" w:cs="Arial"/>
          <w:sz w:val="24"/>
          <w:szCs w:val="24"/>
          <w:u w:val="single"/>
        </w:rPr>
      </w:pPr>
    </w:p>
    <w:p w:rsidR="006F09A7" w:rsidRDefault="006F09A7" w:rsidP="004B2EF4">
      <w:pPr>
        <w:spacing w:line="360" w:lineRule="auto"/>
        <w:rPr>
          <w:rFonts w:ascii="Arial" w:hAnsi="Arial" w:cs="Arial"/>
          <w:sz w:val="24"/>
          <w:szCs w:val="24"/>
          <w:u w:val="single"/>
        </w:rPr>
      </w:pPr>
    </w:p>
    <w:p w:rsidR="006F09A7" w:rsidRDefault="006F09A7" w:rsidP="004B2EF4">
      <w:pPr>
        <w:spacing w:line="360" w:lineRule="auto"/>
        <w:rPr>
          <w:rFonts w:ascii="Arial" w:hAnsi="Arial" w:cs="Arial"/>
          <w:sz w:val="24"/>
          <w:szCs w:val="24"/>
          <w:u w:val="single"/>
        </w:rPr>
      </w:pPr>
    </w:p>
    <w:p w:rsidR="006F09A7" w:rsidRDefault="006F09A7" w:rsidP="004B2EF4">
      <w:pPr>
        <w:spacing w:line="360" w:lineRule="auto"/>
        <w:rPr>
          <w:rFonts w:ascii="Arial" w:hAnsi="Arial" w:cs="Arial"/>
          <w:sz w:val="24"/>
          <w:szCs w:val="24"/>
          <w:u w:val="single"/>
        </w:rPr>
      </w:pPr>
    </w:p>
    <w:p w:rsidR="006F09A7" w:rsidRDefault="006F09A7" w:rsidP="004B2EF4">
      <w:pPr>
        <w:spacing w:line="360" w:lineRule="auto"/>
        <w:rPr>
          <w:rFonts w:ascii="Arial" w:hAnsi="Arial" w:cs="Arial"/>
          <w:sz w:val="24"/>
          <w:szCs w:val="24"/>
          <w:u w:val="single"/>
        </w:rPr>
      </w:pPr>
    </w:p>
    <w:p w:rsidR="006F09A7" w:rsidRDefault="006F09A7" w:rsidP="004B2EF4">
      <w:pPr>
        <w:spacing w:line="360" w:lineRule="auto"/>
        <w:rPr>
          <w:rFonts w:ascii="Arial" w:hAnsi="Arial" w:cs="Arial"/>
          <w:sz w:val="24"/>
          <w:szCs w:val="24"/>
          <w:u w:val="single"/>
        </w:rPr>
      </w:pPr>
    </w:p>
    <w:p w:rsidR="006F09A7" w:rsidRDefault="006F09A7" w:rsidP="004B2EF4">
      <w:pPr>
        <w:spacing w:line="360" w:lineRule="auto"/>
        <w:rPr>
          <w:rFonts w:ascii="Arial" w:hAnsi="Arial" w:cs="Arial"/>
          <w:sz w:val="24"/>
          <w:szCs w:val="24"/>
          <w:u w:val="single"/>
        </w:rPr>
      </w:pPr>
    </w:p>
    <w:p w:rsidR="006F09A7" w:rsidRDefault="006F09A7" w:rsidP="004B2EF4">
      <w:pPr>
        <w:spacing w:line="360" w:lineRule="auto"/>
        <w:rPr>
          <w:rFonts w:ascii="Arial" w:hAnsi="Arial" w:cs="Arial"/>
          <w:sz w:val="24"/>
          <w:szCs w:val="24"/>
          <w:u w:val="single"/>
        </w:rPr>
      </w:pPr>
    </w:p>
    <w:p w:rsidR="006F09A7" w:rsidRDefault="006F09A7" w:rsidP="004B2EF4">
      <w:pPr>
        <w:spacing w:line="360" w:lineRule="auto"/>
        <w:rPr>
          <w:rFonts w:ascii="Arial" w:hAnsi="Arial" w:cs="Arial"/>
          <w:sz w:val="24"/>
          <w:szCs w:val="24"/>
          <w:u w:val="single"/>
        </w:rPr>
      </w:pPr>
    </w:p>
    <w:p w:rsidR="006F09A7" w:rsidRDefault="006F09A7" w:rsidP="004B2EF4">
      <w:pPr>
        <w:spacing w:line="360" w:lineRule="auto"/>
        <w:rPr>
          <w:rFonts w:ascii="Arial" w:hAnsi="Arial" w:cs="Arial"/>
          <w:sz w:val="24"/>
          <w:szCs w:val="24"/>
          <w:u w:val="single"/>
        </w:rPr>
      </w:pPr>
    </w:p>
    <w:p w:rsidR="006F09A7" w:rsidRDefault="006F09A7" w:rsidP="004B2EF4">
      <w:pPr>
        <w:spacing w:line="360" w:lineRule="auto"/>
        <w:rPr>
          <w:rFonts w:ascii="Arial" w:hAnsi="Arial" w:cs="Arial"/>
          <w:sz w:val="24"/>
          <w:szCs w:val="24"/>
          <w:u w:val="single"/>
        </w:rPr>
      </w:pPr>
    </w:p>
    <w:p w:rsidR="006F09A7" w:rsidRDefault="006F09A7" w:rsidP="004B2EF4">
      <w:pPr>
        <w:spacing w:line="360" w:lineRule="auto"/>
        <w:rPr>
          <w:rFonts w:ascii="Arial" w:hAnsi="Arial" w:cs="Arial"/>
          <w:sz w:val="24"/>
          <w:szCs w:val="24"/>
          <w:u w:val="single"/>
        </w:rPr>
      </w:pPr>
    </w:p>
    <w:p w:rsidR="006F09A7" w:rsidRDefault="006F09A7" w:rsidP="004B2EF4">
      <w:pPr>
        <w:spacing w:line="360" w:lineRule="auto"/>
        <w:rPr>
          <w:rFonts w:ascii="Arial" w:hAnsi="Arial" w:cs="Arial"/>
          <w:sz w:val="24"/>
          <w:szCs w:val="24"/>
          <w:u w:val="single"/>
        </w:rPr>
      </w:pPr>
    </w:p>
    <w:p w:rsidR="006F09A7" w:rsidRDefault="006F09A7" w:rsidP="004B2EF4">
      <w:pPr>
        <w:spacing w:line="360" w:lineRule="auto"/>
        <w:rPr>
          <w:rFonts w:ascii="Arial" w:hAnsi="Arial" w:cs="Arial"/>
          <w:sz w:val="24"/>
          <w:szCs w:val="24"/>
          <w:u w:val="single"/>
        </w:rPr>
      </w:pPr>
    </w:p>
    <w:p w:rsidR="006F09A7" w:rsidRDefault="006F09A7" w:rsidP="004B2EF4">
      <w:pPr>
        <w:spacing w:line="360" w:lineRule="auto"/>
        <w:rPr>
          <w:rFonts w:ascii="Arial" w:hAnsi="Arial" w:cs="Arial"/>
          <w:sz w:val="24"/>
          <w:szCs w:val="24"/>
          <w:u w:val="single"/>
        </w:rPr>
      </w:pPr>
    </w:p>
    <w:p w:rsidR="006F09A7" w:rsidRDefault="006F09A7" w:rsidP="004B2EF4">
      <w:pPr>
        <w:spacing w:line="360" w:lineRule="auto"/>
        <w:rPr>
          <w:rFonts w:ascii="Arial" w:hAnsi="Arial" w:cs="Arial"/>
          <w:sz w:val="24"/>
          <w:szCs w:val="24"/>
          <w:u w:val="single"/>
        </w:rPr>
      </w:pPr>
    </w:p>
    <w:p w:rsidR="006F09A7" w:rsidRDefault="006F09A7" w:rsidP="004B2EF4">
      <w:pPr>
        <w:spacing w:line="360" w:lineRule="auto"/>
        <w:rPr>
          <w:rFonts w:ascii="Arial" w:hAnsi="Arial" w:cs="Arial"/>
          <w:sz w:val="24"/>
          <w:szCs w:val="24"/>
          <w:u w:val="single"/>
        </w:rPr>
      </w:pPr>
    </w:p>
    <w:p w:rsidR="006F09A7" w:rsidRDefault="006F09A7" w:rsidP="004B2EF4">
      <w:pPr>
        <w:spacing w:line="360" w:lineRule="auto"/>
        <w:rPr>
          <w:rFonts w:ascii="Arial" w:hAnsi="Arial" w:cs="Arial"/>
          <w:sz w:val="24"/>
          <w:szCs w:val="24"/>
          <w:u w:val="single"/>
        </w:rPr>
      </w:pPr>
    </w:p>
    <w:p w:rsidR="006F09A7" w:rsidRDefault="006F09A7" w:rsidP="004B2EF4">
      <w:pPr>
        <w:spacing w:line="360" w:lineRule="auto"/>
        <w:rPr>
          <w:rFonts w:ascii="Arial" w:hAnsi="Arial" w:cs="Arial"/>
          <w:sz w:val="24"/>
          <w:szCs w:val="24"/>
          <w:u w:val="single"/>
        </w:rPr>
      </w:pPr>
    </w:p>
    <w:p w:rsidR="006F09A7" w:rsidRDefault="006F09A7" w:rsidP="004B2EF4">
      <w:pPr>
        <w:spacing w:line="360" w:lineRule="auto"/>
        <w:rPr>
          <w:rFonts w:ascii="Arial" w:hAnsi="Arial" w:cs="Arial"/>
          <w:sz w:val="24"/>
          <w:szCs w:val="24"/>
          <w:u w:val="single"/>
        </w:rPr>
      </w:pPr>
    </w:p>
    <w:p w:rsidR="00B54B20" w:rsidRPr="005750AF" w:rsidRDefault="005750AF" w:rsidP="004B2EF4">
      <w:pPr>
        <w:spacing w:line="360" w:lineRule="auto"/>
        <w:rPr>
          <w:rFonts w:ascii="Arial" w:hAnsi="Arial" w:cs="Arial"/>
          <w:sz w:val="24"/>
          <w:szCs w:val="24"/>
          <w:u w:val="single"/>
        </w:rPr>
      </w:pPr>
      <w:r w:rsidRPr="005750AF">
        <w:rPr>
          <w:rFonts w:ascii="Arial" w:hAnsi="Arial" w:cs="Arial"/>
          <w:sz w:val="24"/>
          <w:szCs w:val="24"/>
          <w:u w:val="single"/>
        </w:rPr>
        <w:lastRenderedPageBreak/>
        <w:t xml:space="preserve">Bibliography: </w:t>
      </w:r>
    </w:p>
    <w:p w:rsidR="001B764B" w:rsidRDefault="001B764B" w:rsidP="004B2EF4">
      <w:pPr>
        <w:spacing w:line="360" w:lineRule="auto"/>
        <w:rPr>
          <w:rFonts w:ascii="Arial" w:hAnsi="Arial" w:cs="Arial"/>
          <w:sz w:val="24"/>
          <w:szCs w:val="24"/>
        </w:rPr>
      </w:pPr>
      <w:r w:rsidRPr="00CB746E">
        <w:rPr>
          <w:rFonts w:ascii="Arial" w:hAnsi="Arial" w:cs="Arial"/>
          <w:sz w:val="24"/>
          <w:szCs w:val="24"/>
        </w:rPr>
        <w:t>Cipriani, D. (2009)</w:t>
      </w:r>
      <w:r>
        <w:rPr>
          <w:rFonts w:ascii="Arial" w:hAnsi="Arial" w:cs="Arial"/>
          <w:sz w:val="24"/>
          <w:szCs w:val="24"/>
        </w:rPr>
        <w:t>, ‘</w:t>
      </w:r>
      <w:r w:rsidRPr="00393743">
        <w:rPr>
          <w:rFonts w:ascii="Arial" w:hAnsi="Arial" w:cs="Arial"/>
          <w:i/>
          <w:iCs/>
          <w:sz w:val="24"/>
          <w:szCs w:val="24"/>
        </w:rPr>
        <w:t>Children’s Rights And The Minimum Age Of Criminal Responsibility: A Global Perspective’,</w:t>
      </w:r>
      <w:r w:rsidRPr="00CB746E">
        <w:rPr>
          <w:rFonts w:ascii="Arial" w:hAnsi="Arial" w:cs="Arial"/>
          <w:sz w:val="24"/>
          <w:szCs w:val="24"/>
        </w:rPr>
        <w:t xml:space="preserve"> Aldershot: Ashgate</w:t>
      </w:r>
      <w:r>
        <w:rPr>
          <w:rFonts w:ascii="Arial" w:hAnsi="Arial" w:cs="Arial"/>
          <w:sz w:val="24"/>
          <w:szCs w:val="24"/>
        </w:rPr>
        <w:t xml:space="preserve">, New York. </w:t>
      </w:r>
    </w:p>
    <w:p w:rsidR="001B764B" w:rsidRDefault="001B764B" w:rsidP="004B2EF4">
      <w:pPr>
        <w:spacing w:line="360" w:lineRule="auto"/>
        <w:rPr>
          <w:rFonts w:ascii="Arial" w:hAnsi="Arial" w:cs="Arial"/>
          <w:sz w:val="24"/>
          <w:szCs w:val="24"/>
        </w:rPr>
      </w:pPr>
      <w:r>
        <w:rPr>
          <w:rFonts w:ascii="Arial" w:hAnsi="Arial" w:cs="Arial"/>
          <w:sz w:val="24"/>
          <w:szCs w:val="24"/>
        </w:rPr>
        <w:t>Crown Prosecution Service. (2017), ‘</w:t>
      </w:r>
      <w:r w:rsidRPr="009A2419">
        <w:rPr>
          <w:rFonts w:ascii="Arial" w:hAnsi="Arial" w:cs="Arial"/>
          <w:i/>
          <w:iCs/>
          <w:sz w:val="24"/>
          <w:szCs w:val="24"/>
        </w:rPr>
        <w:t>Youth Crime’,</w:t>
      </w:r>
      <w:r>
        <w:rPr>
          <w:rFonts w:ascii="Arial" w:hAnsi="Arial" w:cs="Arial"/>
          <w:sz w:val="24"/>
          <w:szCs w:val="24"/>
        </w:rPr>
        <w:t xml:space="preserve"> available at: </w:t>
      </w:r>
      <w:hyperlink r:id="rId8" w:history="1">
        <w:r w:rsidRPr="00F73979">
          <w:rPr>
            <w:rStyle w:val="Hyperlink"/>
            <w:rFonts w:ascii="Arial" w:hAnsi="Arial" w:cs="Arial"/>
            <w:sz w:val="24"/>
            <w:szCs w:val="24"/>
          </w:rPr>
          <w:t>https://www.cps.gov.uk/crime-info/youth-crime</w:t>
        </w:r>
      </w:hyperlink>
      <w:r>
        <w:rPr>
          <w:rFonts w:ascii="Arial" w:hAnsi="Arial" w:cs="Arial"/>
          <w:sz w:val="24"/>
          <w:szCs w:val="24"/>
        </w:rPr>
        <w:t>, accessed on (14</w:t>
      </w:r>
      <w:r w:rsidRPr="009A2419">
        <w:rPr>
          <w:rFonts w:ascii="Arial" w:hAnsi="Arial" w:cs="Arial"/>
          <w:sz w:val="24"/>
          <w:szCs w:val="24"/>
          <w:vertAlign w:val="superscript"/>
        </w:rPr>
        <w:t>th</w:t>
      </w:r>
      <w:r>
        <w:rPr>
          <w:rFonts w:ascii="Arial" w:hAnsi="Arial" w:cs="Arial"/>
          <w:sz w:val="24"/>
          <w:szCs w:val="24"/>
        </w:rPr>
        <w:t xml:space="preserve"> October 2021). </w:t>
      </w:r>
    </w:p>
    <w:p w:rsidR="001B764B" w:rsidRDefault="001B764B" w:rsidP="004B2EF4">
      <w:pPr>
        <w:spacing w:line="360" w:lineRule="auto"/>
        <w:rPr>
          <w:rFonts w:ascii="Arial" w:hAnsi="Arial" w:cs="Arial"/>
          <w:sz w:val="24"/>
          <w:szCs w:val="24"/>
        </w:rPr>
      </w:pPr>
      <w:r w:rsidRPr="001B764B">
        <w:rPr>
          <w:rFonts w:ascii="Arial" w:hAnsi="Arial" w:cs="Arial"/>
          <w:sz w:val="24"/>
          <w:szCs w:val="24"/>
        </w:rPr>
        <w:t>Dünkel, F</w:t>
      </w:r>
      <w:r w:rsidR="007F224B">
        <w:rPr>
          <w:rFonts w:ascii="Arial" w:hAnsi="Arial" w:cs="Arial"/>
          <w:sz w:val="24"/>
          <w:szCs w:val="24"/>
        </w:rPr>
        <w:t>.</w:t>
      </w:r>
      <w:r w:rsidRPr="001B764B">
        <w:rPr>
          <w:rFonts w:ascii="Arial" w:hAnsi="Arial" w:cs="Arial"/>
          <w:sz w:val="24"/>
          <w:szCs w:val="24"/>
        </w:rPr>
        <w:t xml:space="preserve"> (1996)</w:t>
      </w:r>
      <w:r>
        <w:rPr>
          <w:rFonts w:ascii="Arial" w:hAnsi="Arial" w:cs="Arial"/>
          <w:sz w:val="24"/>
          <w:szCs w:val="24"/>
        </w:rPr>
        <w:t>, ‘</w:t>
      </w:r>
      <w:r w:rsidRPr="001B764B">
        <w:rPr>
          <w:rFonts w:ascii="Arial" w:hAnsi="Arial" w:cs="Arial"/>
          <w:i/>
          <w:iCs/>
          <w:sz w:val="24"/>
          <w:szCs w:val="24"/>
        </w:rPr>
        <w:t>Current Directions In Criminal Policy’</w:t>
      </w:r>
      <w:r>
        <w:rPr>
          <w:rFonts w:ascii="Arial" w:hAnsi="Arial" w:cs="Arial"/>
          <w:sz w:val="24"/>
          <w:szCs w:val="24"/>
        </w:rPr>
        <w:t xml:space="preserve">, Waterside Books, Winchester. </w:t>
      </w:r>
    </w:p>
    <w:p w:rsidR="001B764B" w:rsidRDefault="001B764B" w:rsidP="00843873">
      <w:pPr>
        <w:spacing w:line="360" w:lineRule="auto"/>
        <w:rPr>
          <w:rFonts w:ascii="Arial" w:hAnsi="Arial" w:cs="Arial"/>
          <w:sz w:val="24"/>
          <w:szCs w:val="24"/>
        </w:rPr>
      </w:pPr>
      <w:r>
        <w:rPr>
          <w:rFonts w:ascii="Arial" w:hAnsi="Arial" w:cs="Arial"/>
          <w:sz w:val="24"/>
          <w:szCs w:val="24"/>
        </w:rPr>
        <w:t xml:space="preserve">Goldson, B. (2013), </w:t>
      </w:r>
      <w:r w:rsidRPr="00843873">
        <w:rPr>
          <w:rFonts w:ascii="Arial" w:hAnsi="Arial" w:cs="Arial"/>
          <w:i/>
          <w:iCs/>
          <w:sz w:val="24"/>
          <w:szCs w:val="24"/>
        </w:rPr>
        <w:t>‘‘Unsafe, Unjust and Harmful to Wider Society’: Grounds for Raising the Minimum Age of Criminal Responsibility in England and Wales’</w:t>
      </w:r>
      <w:r>
        <w:rPr>
          <w:rFonts w:ascii="Arial" w:hAnsi="Arial" w:cs="Arial"/>
          <w:sz w:val="24"/>
          <w:szCs w:val="24"/>
        </w:rPr>
        <w:t xml:space="preserve">, Sage Publications, UK. </w:t>
      </w:r>
    </w:p>
    <w:p w:rsidR="001B764B" w:rsidRPr="004B2EF4" w:rsidRDefault="001B764B" w:rsidP="004B2EF4">
      <w:pPr>
        <w:spacing w:line="360" w:lineRule="auto"/>
        <w:rPr>
          <w:rFonts w:ascii="Arial" w:hAnsi="Arial" w:cs="Arial"/>
          <w:sz w:val="24"/>
          <w:szCs w:val="24"/>
        </w:rPr>
      </w:pPr>
      <w:r>
        <w:rPr>
          <w:rFonts w:ascii="Arial" w:hAnsi="Arial" w:cs="Arial"/>
          <w:sz w:val="24"/>
          <w:szCs w:val="24"/>
        </w:rPr>
        <w:t>Kerr, O.S. (2008), ‘</w:t>
      </w:r>
      <w:r w:rsidRPr="00A36A3F">
        <w:rPr>
          <w:rFonts w:ascii="Arial" w:hAnsi="Arial" w:cs="Arial"/>
          <w:i/>
          <w:iCs/>
          <w:sz w:val="24"/>
          <w:szCs w:val="24"/>
        </w:rPr>
        <w:t>Criminal Law in Virtual Worlds’,</w:t>
      </w:r>
      <w:r>
        <w:rPr>
          <w:rFonts w:ascii="Arial" w:hAnsi="Arial" w:cs="Arial"/>
          <w:sz w:val="24"/>
          <w:szCs w:val="24"/>
        </w:rPr>
        <w:t xml:space="preserve"> University of Chicago, Chicago. </w:t>
      </w:r>
    </w:p>
    <w:p w:rsidR="001B764B" w:rsidRDefault="001B764B" w:rsidP="004B2EF4">
      <w:pPr>
        <w:spacing w:line="360" w:lineRule="auto"/>
        <w:rPr>
          <w:rFonts w:ascii="Arial" w:hAnsi="Arial" w:cs="Arial"/>
          <w:sz w:val="24"/>
          <w:szCs w:val="24"/>
        </w:rPr>
      </w:pPr>
      <w:r>
        <w:rPr>
          <w:rFonts w:ascii="Arial" w:hAnsi="Arial" w:cs="Arial"/>
          <w:sz w:val="24"/>
          <w:szCs w:val="24"/>
        </w:rPr>
        <w:t>UK Government. (2021), ‘</w:t>
      </w:r>
      <w:r w:rsidRPr="00B64F1B">
        <w:rPr>
          <w:rFonts w:ascii="Arial" w:hAnsi="Arial" w:cs="Arial"/>
          <w:i/>
          <w:iCs/>
          <w:sz w:val="24"/>
          <w:szCs w:val="24"/>
        </w:rPr>
        <w:t>Age Of Criminal Responsibility’</w:t>
      </w:r>
      <w:r>
        <w:rPr>
          <w:rFonts w:ascii="Arial" w:hAnsi="Arial" w:cs="Arial"/>
          <w:sz w:val="24"/>
          <w:szCs w:val="24"/>
        </w:rPr>
        <w:t xml:space="preserve">, available at: </w:t>
      </w:r>
      <w:hyperlink r:id="rId9" w:history="1">
        <w:r w:rsidRPr="00F73979">
          <w:rPr>
            <w:rStyle w:val="Hyperlink"/>
            <w:rFonts w:ascii="Arial" w:hAnsi="Arial" w:cs="Arial"/>
            <w:sz w:val="24"/>
            <w:szCs w:val="24"/>
          </w:rPr>
          <w:t>https://www.gov.uk/age-of-criminal-responsibility</w:t>
        </w:r>
      </w:hyperlink>
      <w:r>
        <w:rPr>
          <w:rFonts w:ascii="Arial" w:hAnsi="Arial" w:cs="Arial"/>
          <w:sz w:val="24"/>
          <w:szCs w:val="24"/>
        </w:rPr>
        <w:t>, accessed on (14</w:t>
      </w:r>
      <w:r w:rsidRPr="00B64F1B">
        <w:rPr>
          <w:rFonts w:ascii="Arial" w:hAnsi="Arial" w:cs="Arial"/>
          <w:sz w:val="24"/>
          <w:szCs w:val="24"/>
          <w:vertAlign w:val="superscript"/>
        </w:rPr>
        <w:t>th</w:t>
      </w:r>
      <w:r>
        <w:rPr>
          <w:rFonts w:ascii="Arial" w:hAnsi="Arial" w:cs="Arial"/>
          <w:sz w:val="24"/>
          <w:szCs w:val="24"/>
        </w:rPr>
        <w:t xml:space="preserve"> October 2021). </w:t>
      </w:r>
    </w:p>
    <w:p w:rsidR="00704BB4" w:rsidRDefault="00704BB4" w:rsidP="004B2EF4">
      <w:pPr>
        <w:spacing w:line="360" w:lineRule="auto"/>
        <w:rPr>
          <w:rFonts w:ascii="Arial" w:hAnsi="Arial" w:cs="Arial"/>
          <w:sz w:val="24"/>
          <w:szCs w:val="24"/>
        </w:rPr>
      </w:pPr>
    </w:p>
    <w:sectPr w:rsidR="00704BB4" w:rsidSect="000670B4">
      <w:pgSz w:w="11906" w:h="16838"/>
      <w:pgMar w:top="1440" w:right="1440" w:bottom="1440" w:left="1440" w:header="708" w:footer="708" w:gutter="0"/>
      <w:pgNumType w:start="0"/>
      <w:cols w:space="708"/>
      <w:titlePg/>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A6927C8"/>
    <w:multiLevelType w:val="hybridMultilevel"/>
    <w:tmpl w:val="D21C22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55101BFB"/>
    <w:multiLevelType w:val="hybridMultilevel"/>
    <w:tmpl w:val="643251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0670B4"/>
    <w:rsid w:val="000115C7"/>
    <w:rsid w:val="00014269"/>
    <w:rsid w:val="00017D1C"/>
    <w:rsid w:val="000241E6"/>
    <w:rsid w:val="00060504"/>
    <w:rsid w:val="000670B4"/>
    <w:rsid w:val="00084E51"/>
    <w:rsid w:val="00087E23"/>
    <w:rsid w:val="000978BB"/>
    <w:rsid w:val="000D07F4"/>
    <w:rsid w:val="000F2050"/>
    <w:rsid w:val="00133F50"/>
    <w:rsid w:val="00147516"/>
    <w:rsid w:val="001545EF"/>
    <w:rsid w:val="00162BA8"/>
    <w:rsid w:val="001A781E"/>
    <w:rsid w:val="001B764B"/>
    <w:rsid w:val="001C3CAE"/>
    <w:rsid w:val="001F407E"/>
    <w:rsid w:val="001F4A7E"/>
    <w:rsid w:val="002047E9"/>
    <w:rsid w:val="002220B5"/>
    <w:rsid w:val="0022249C"/>
    <w:rsid w:val="00246E92"/>
    <w:rsid w:val="00280B34"/>
    <w:rsid w:val="00285E9F"/>
    <w:rsid w:val="00287A7B"/>
    <w:rsid w:val="00296068"/>
    <w:rsid w:val="002B0B0F"/>
    <w:rsid w:val="002C2EE5"/>
    <w:rsid w:val="002C56ED"/>
    <w:rsid w:val="002D071E"/>
    <w:rsid w:val="002D2E59"/>
    <w:rsid w:val="00302DB6"/>
    <w:rsid w:val="0034450B"/>
    <w:rsid w:val="00356C2B"/>
    <w:rsid w:val="003652B6"/>
    <w:rsid w:val="00366836"/>
    <w:rsid w:val="0038523F"/>
    <w:rsid w:val="0038683F"/>
    <w:rsid w:val="00393743"/>
    <w:rsid w:val="003E001D"/>
    <w:rsid w:val="00402050"/>
    <w:rsid w:val="004158BC"/>
    <w:rsid w:val="00451456"/>
    <w:rsid w:val="00473760"/>
    <w:rsid w:val="004751D4"/>
    <w:rsid w:val="004817E9"/>
    <w:rsid w:val="004A503D"/>
    <w:rsid w:val="004B2EF4"/>
    <w:rsid w:val="004D3767"/>
    <w:rsid w:val="004F6DEB"/>
    <w:rsid w:val="00501B2F"/>
    <w:rsid w:val="00504363"/>
    <w:rsid w:val="00526679"/>
    <w:rsid w:val="00527011"/>
    <w:rsid w:val="00531172"/>
    <w:rsid w:val="00550D9E"/>
    <w:rsid w:val="00553469"/>
    <w:rsid w:val="005750AF"/>
    <w:rsid w:val="005878F2"/>
    <w:rsid w:val="005C01C8"/>
    <w:rsid w:val="005E4FF3"/>
    <w:rsid w:val="0061223F"/>
    <w:rsid w:val="006162E4"/>
    <w:rsid w:val="00627AD3"/>
    <w:rsid w:val="00631C28"/>
    <w:rsid w:val="00643D20"/>
    <w:rsid w:val="00654774"/>
    <w:rsid w:val="00670593"/>
    <w:rsid w:val="006816FF"/>
    <w:rsid w:val="00687500"/>
    <w:rsid w:val="006877BF"/>
    <w:rsid w:val="006B1FBC"/>
    <w:rsid w:val="006C2108"/>
    <w:rsid w:val="006E64D4"/>
    <w:rsid w:val="006F09A7"/>
    <w:rsid w:val="00704BB4"/>
    <w:rsid w:val="007138FB"/>
    <w:rsid w:val="00713AA4"/>
    <w:rsid w:val="007312EA"/>
    <w:rsid w:val="00734710"/>
    <w:rsid w:val="00741022"/>
    <w:rsid w:val="00752917"/>
    <w:rsid w:val="00767514"/>
    <w:rsid w:val="007B71D5"/>
    <w:rsid w:val="007E49DB"/>
    <w:rsid w:val="007F03D1"/>
    <w:rsid w:val="007F224B"/>
    <w:rsid w:val="007F507D"/>
    <w:rsid w:val="007F7B06"/>
    <w:rsid w:val="00803F96"/>
    <w:rsid w:val="00807C79"/>
    <w:rsid w:val="00813145"/>
    <w:rsid w:val="00817872"/>
    <w:rsid w:val="008231AF"/>
    <w:rsid w:val="00824A14"/>
    <w:rsid w:val="00843873"/>
    <w:rsid w:val="008520A1"/>
    <w:rsid w:val="0087411E"/>
    <w:rsid w:val="0089134A"/>
    <w:rsid w:val="00892B71"/>
    <w:rsid w:val="008947F7"/>
    <w:rsid w:val="008A011E"/>
    <w:rsid w:val="008A36BD"/>
    <w:rsid w:val="008B6458"/>
    <w:rsid w:val="008D3506"/>
    <w:rsid w:val="00901D36"/>
    <w:rsid w:val="00923A4C"/>
    <w:rsid w:val="00976450"/>
    <w:rsid w:val="00980FCD"/>
    <w:rsid w:val="009A1EFB"/>
    <w:rsid w:val="009A2419"/>
    <w:rsid w:val="009A29DE"/>
    <w:rsid w:val="009B4F86"/>
    <w:rsid w:val="009D072F"/>
    <w:rsid w:val="009F507C"/>
    <w:rsid w:val="00A048B1"/>
    <w:rsid w:val="00A36A3F"/>
    <w:rsid w:val="00A65AFC"/>
    <w:rsid w:val="00A67053"/>
    <w:rsid w:val="00AC5582"/>
    <w:rsid w:val="00AD38C4"/>
    <w:rsid w:val="00AD6187"/>
    <w:rsid w:val="00B013FC"/>
    <w:rsid w:val="00B21911"/>
    <w:rsid w:val="00B35815"/>
    <w:rsid w:val="00B54B20"/>
    <w:rsid w:val="00B60FC3"/>
    <w:rsid w:val="00B64F1B"/>
    <w:rsid w:val="00B845DA"/>
    <w:rsid w:val="00B90C6E"/>
    <w:rsid w:val="00BE225F"/>
    <w:rsid w:val="00C26E55"/>
    <w:rsid w:val="00C6191F"/>
    <w:rsid w:val="00C6658E"/>
    <w:rsid w:val="00C83328"/>
    <w:rsid w:val="00CB746E"/>
    <w:rsid w:val="00CC6CB4"/>
    <w:rsid w:val="00CF2BF7"/>
    <w:rsid w:val="00CF3D8B"/>
    <w:rsid w:val="00D00606"/>
    <w:rsid w:val="00D13FC0"/>
    <w:rsid w:val="00D1793A"/>
    <w:rsid w:val="00D23D5A"/>
    <w:rsid w:val="00D62415"/>
    <w:rsid w:val="00D81D4C"/>
    <w:rsid w:val="00D90832"/>
    <w:rsid w:val="00DC1E7B"/>
    <w:rsid w:val="00DC7FFE"/>
    <w:rsid w:val="00DF464D"/>
    <w:rsid w:val="00E03560"/>
    <w:rsid w:val="00E37718"/>
    <w:rsid w:val="00E5656E"/>
    <w:rsid w:val="00E640AF"/>
    <w:rsid w:val="00E807A6"/>
    <w:rsid w:val="00EA3355"/>
    <w:rsid w:val="00EB7B3D"/>
    <w:rsid w:val="00F0521D"/>
    <w:rsid w:val="00F3343F"/>
    <w:rsid w:val="00F54226"/>
    <w:rsid w:val="00F642B3"/>
    <w:rsid w:val="00F659AC"/>
    <w:rsid w:val="00F8135F"/>
    <w:rsid w:val="00F93381"/>
    <w:rsid w:val="00FA652F"/>
    <w:rsid w:val="00FD18DE"/>
    <w:rsid w:val="00FE127E"/>
    <w:rsid w:val="00FE221F"/>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54774"/>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670B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670B4"/>
    <w:rPr>
      <w:rFonts w:eastAsiaTheme="minorEastAsia"/>
      <w:lang w:val="en-US"/>
    </w:rPr>
  </w:style>
  <w:style w:type="paragraph" w:styleId="ListParagraph">
    <w:name w:val="List Paragraph"/>
    <w:basedOn w:val="Normal"/>
    <w:uiPriority w:val="34"/>
    <w:qFormat/>
    <w:rsid w:val="00060504"/>
    <w:pPr>
      <w:ind w:left="720"/>
      <w:contextualSpacing/>
    </w:pPr>
  </w:style>
  <w:style w:type="character" w:styleId="Hyperlink">
    <w:name w:val="Hyperlink"/>
    <w:basedOn w:val="DefaultParagraphFont"/>
    <w:uiPriority w:val="99"/>
    <w:unhideWhenUsed/>
    <w:rsid w:val="009A2419"/>
    <w:rPr>
      <w:color w:val="0563C1" w:themeColor="hyperlink"/>
      <w:u w:val="single"/>
    </w:rPr>
  </w:style>
  <w:style w:type="character" w:customStyle="1" w:styleId="UnresolvedMention">
    <w:name w:val="Unresolved Mention"/>
    <w:basedOn w:val="DefaultParagraphFont"/>
    <w:uiPriority w:val="99"/>
    <w:semiHidden/>
    <w:unhideWhenUsed/>
    <w:rsid w:val="009A2419"/>
    <w:rPr>
      <w:color w:val="605E5C"/>
      <w:shd w:val="clear" w:color="auto" w:fill="E1DFDD"/>
    </w:rPr>
  </w:style>
  <w:style w:type="character" w:styleId="FollowedHyperlink">
    <w:name w:val="FollowedHyperlink"/>
    <w:basedOn w:val="DefaultParagraphFont"/>
    <w:uiPriority w:val="99"/>
    <w:semiHidden/>
    <w:unhideWhenUsed/>
    <w:rsid w:val="00014269"/>
    <w:rPr>
      <w:color w:val="954F72" w:themeColor="followedHyperlink"/>
      <w:u w:val="single"/>
    </w:rPr>
  </w:style>
  <w:style w:type="character" w:styleId="CommentReference">
    <w:name w:val="annotation reference"/>
    <w:basedOn w:val="DefaultParagraphFont"/>
    <w:uiPriority w:val="99"/>
    <w:semiHidden/>
    <w:unhideWhenUsed/>
    <w:rsid w:val="0087411E"/>
    <w:rPr>
      <w:sz w:val="16"/>
      <w:szCs w:val="16"/>
    </w:rPr>
  </w:style>
  <w:style w:type="paragraph" w:styleId="CommentText">
    <w:name w:val="annotation text"/>
    <w:basedOn w:val="Normal"/>
    <w:link w:val="CommentTextChar"/>
    <w:uiPriority w:val="99"/>
    <w:semiHidden/>
    <w:unhideWhenUsed/>
    <w:rsid w:val="0087411E"/>
    <w:pPr>
      <w:spacing w:line="240" w:lineRule="auto"/>
    </w:pPr>
    <w:rPr>
      <w:sz w:val="20"/>
      <w:szCs w:val="20"/>
    </w:rPr>
  </w:style>
  <w:style w:type="character" w:customStyle="1" w:styleId="CommentTextChar">
    <w:name w:val="Comment Text Char"/>
    <w:basedOn w:val="DefaultParagraphFont"/>
    <w:link w:val="CommentText"/>
    <w:uiPriority w:val="99"/>
    <w:semiHidden/>
    <w:rsid w:val="0087411E"/>
    <w:rPr>
      <w:sz w:val="20"/>
      <w:szCs w:val="20"/>
    </w:rPr>
  </w:style>
  <w:style w:type="paragraph" w:styleId="CommentSubject">
    <w:name w:val="annotation subject"/>
    <w:basedOn w:val="CommentText"/>
    <w:next w:val="CommentText"/>
    <w:link w:val="CommentSubjectChar"/>
    <w:uiPriority w:val="99"/>
    <w:semiHidden/>
    <w:unhideWhenUsed/>
    <w:rsid w:val="0087411E"/>
    <w:rPr>
      <w:b/>
      <w:bCs/>
    </w:rPr>
  </w:style>
  <w:style w:type="character" w:customStyle="1" w:styleId="CommentSubjectChar">
    <w:name w:val="Comment Subject Char"/>
    <w:basedOn w:val="CommentTextChar"/>
    <w:link w:val="CommentSubject"/>
    <w:uiPriority w:val="99"/>
    <w:semiHidden/>
    <w:rsid w:val="0087411E"/>
    <w:rPr>
      <w:b/>
      <w:bCs/>
      <w:sz w:val="20"/>
      <w:szCs w:val="20"/>
    </w:rPr>
  </w:style>
  <w:style w:type="paragraph" w:styleId="BalloonText">
    <w:name w:val="Balloon Text"/>
    <w:basedOn w:val="Normal"/>
    <w:link w:val="BalloonTextChar"/>
    <w:uiPriority w:val="99"/>
    <w:semiHidden/>
    <w:unhideWhenUsed/>
    <w:rsid w:val="0067059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70593"/>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ps.gov.uk/crime-info/youth-crime" TargetMode="External"/><Relationship Id="rId3" Type="http://schemas.openxmlformats.org/officeDocument/2006/relationships/styles" Target="styles.xml"/><Relationship Id="rId7" Type="http://schemas.openxmlformats.org/officeDocument/2006/relationships/hyperlink" Target="https://www.proquest.com/docview/220692162/fulltextPDF/64C76CBEE24F4E96PQ/1?accountid=130472"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thenayj.org.uk/wp-content/uploads/2015/06/2012-NAYJ_briefing_Children_in_conflict_with_the_law.pdf" TargetMode="External"/><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gov.uk/age-of-criminal-responsibility"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AF948E3D1AC040DC944224A3B7FA1D47"/>
        <w:category>
          <w:name w:val="General"/>
          <w:gallery w:val="placeholder"/>
        </w:category>
        <w:types>
          <w:type w:val="bbPlcHdr"/>
        </w:types>
        <w:behaviors>
          <w:behavior w:val="content"/>
        </w:behaviors>
        <w:guid w:val="{08DCD4EC-53F0-4C3E-BA05-DCA37D7B72D6}"/>
      </w:docPartPr>
      <w:docPartBody>
        <w:p w:rsidR="00F645BA" w:rsidRDefault="00122CF9" w:rsidP="00122CF9">
          <w:pPr>
            <w:pStyle w:val="AF948E3D1AC040DC944224A3B7FA1D47"/>
          </w:pPr>
          <w:r>
            <w:rPr>
              <w:color w:val="365F91" w:themeColor="accent1" w:themeShade="BF"/>
              <w:sz w:val="24"/>
              <w:szCs w:val="24"/>
            </w:rPr>
            <w:t>[Company name]</w:t>
          </w:r>
        </w:p>
      </w:docPartBody>
    </w:docPart>
    <w:docPart>
      <w:docPartPr>
        <w:name w:val="9BB52D2123D547B0B57419761D606213"/>
        <w:category>
          <w:name w:val="General"/>
          <w:gallery w:val="placeholder"/>
        </w:category>
        <w:types>
          <w:type w:val="bbPlcHdr"/>
        </w:types>
        <w:behaviors>
          <w:behavior w:val="content"/>
        </w:behaviors>
        <w:guid w:val="{BF707BD3-BD57-408F-ACFF-CE9B7E7F4B08}"/>
      </w:docPartPr>
      <w:docPartBody>
        <w:p w:rsidR="00F645BA" w:rsidRDefault="00122CF9" w:rsidP="00122CF9">
          <w:pPr>
            <w:pStyle w:val="9BB52D2123D547B0B57419761D606213"/>
          </w:pPr>
          <w:r>
            <w:rPr>
              <w:rFonts w:asciiTheme="majorHAnsi" w:eastAsiaTheme="majorEastAsia" w:hAnsiTheme="majorHAnsi" w:cstheme="majorBidi"/>
              <w:color w:val="4F81BD" w:themeColor="accent1"/>
              <w:sz w:val="88"/>
              <w:szCs w:val="88"/>
            </w:rPr>
            <w:t>[Document title]</w:t>
          </w:r>
        </w:p>
      </w:docPartBody>
    </w:docPart>
    <w:docPart>
      <w:docPartPr>
        <w:name w:val="AB61E6B4D9894CACA1C90290F103758E"/>
        <w:category>
          <w:name w:val="General"/>
          <w:gallery w:val="placeholder"/>
        </w:category>
        <w:types>
          <w:type w:val="bbPlcHdr"/>
        </w:types>
        <w:behaviors>
          <w:behavior w:val="content"/>
        </w:behaviors>
        <w:guid w:val="{4A2CAE78-808E-4664-B030-0739E2E46376}"/>
      </w:docPartPr>
      <w:docPartBody>
        <w:p w:rsidR="00F645BA" w:rsidRDefault="00122CF9" w:rsidP="00122CF9">
          <w:pPr>
            <w:pStyle w:val="AB61E6B4D9894CACA1C90290F103758E"/>
          </w:pPr>
          <w:r>
            <w:rPr>
              <w:color w:val="365F91" w:themeColor="accent1" w:themeShade="BF"/>
              <w:sz w:val="24"/>
              <w:szCs w:val="24"/>
            </w:rPr>
            <w:t>[Document subtitle]</w:t>
          </w:r>
        </w:p>
      </w:docPartBody>
    </w:docPart>
    <w:docPart>
      <w:docPartPr>
        <w:name w:val="F789756DA534457CA9A3B3A8D601FDF5"/>
        <w:category>
          <w:name w:val="General"/>
          <w:gallery w:val="placeholder"/>
        </w:category>
        <w:types>
          <w:type w:val="bbPlcHdr"/>
        </w:types>
        <w:behaviors>
          <w:behavior w:val="content"/>
        </w:behaviors>
        <w:guid w:val="{6F306399-092A-47F0-944E-F7F54E2CED88}"/>
      </w:docPartPr>
      <w:docPartBody>
        <w:p w:rsidR="00F645BA" w:rsidRDefault="00122CF9" w:rsidP="00122CF9">
          <w:pPr>
            <w:pStyle w:val="F789756DA534457CA9A3B3A8D601FDF5"/>
          </w:pPr>
          <w:r>
            <w:rPr>
              <w:color w:val="4F81BD" w:themeColor="accent1"/>
              <w:sz w:val="28"/>
              <w:szCs w:val="28"/>
            </w:rPr>
            <w:t>[Author name]</w:t>
          </w:r>
        </w:p>
      </w:docPartBody>
    </w:docPart>
  </w:docParts>
</w:glossaryDocument>
</file>

<file path=word/glossary/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122CF9"/>
    <w:rsid w:val="00122CF9"/>
    <w:rsid w:val="00E51721"/>
    <w:rsid w:val="00F165B0"/>
    <w:rsid w:val="00F645BA"/>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51721"/>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F948E3D1AC040DC944224A3B7FA1D47">
    <w:name w:val="AF948E3D1AC040DC944224A3B7FA1D47"/>
    <w:rsid w:val="00122CF9"/>
  </w:style>
  <w:style w:type="paragraph" w:customStyle="1" w:styleId="9BB52D2123D547B0B57419761D606213">
    <w:name w:val="9BB52D2123D547B0B57419761D606213"/>
    <w:rsid w:val="00122CF9"/>
  </w:style>
  <w:style w:type="paragraph" w:customStyle="1" w:styleId="AB61E6B4D9894CACA1C90290F103758E">
    <w:name w:val="AB61E6B4D9894CACA1C90290F103758E"/>
    <w:rsid w:val="00122CF9"/>
  </w:style>
  <w:style w:type="paragraph" w:customStyle="1" w:styleId="F789756DA534457CA9A3B3A8D601FDF5">
    <w:name w:val="F789756DA534457CA9A3B3A8D601FDF5"/>
    <w:rsid w:val="00122CF9"/>
  </w:style>
  <w:style w:type="paragraph" w:customStyle="1" w:styleId="CF7CD8106FD047938776756B310BF2B0">
    <w:name w:val="CF7CD8106FD047938776756B310BF2B0"/>
    <w:rsid w:val="00122CF9"/>
  </w:style>
</w:styles>
</file>

<file path=word/glossary/webSettings.xml><?xml version="1.0" encoding="utf-8"?>
<w:webSettings xmlns:r="http://schemas.openxmlformats.org/officeDocument/2006/relationships" xmlns:w="http://schemas.openxmlformats.org/wordprocessingml/2006/main">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Word count: 2932</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1563</TotalTime>
  <Pages>13</Pages>
  <Words>3754</Words>
  <Characters>21404</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Critically evaluate the arguments for and against raising the MACR (minimum age of criminal responsibility) in England and Wales.</vt:lpstr>
    </vt:vector>
  </TitlesOfParts>
  <Company>University of Wales Trinity Saint David’s</Company>
  <LinksUpToDate>false</LinksUpToDate>
  <CharactersWithSpaces>25108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Critically evaluate the arguments for and against raising the MACR (minimum age of criminal responsibility) in England and Wales.</dc:title>
  <dc:subject>The Criminal Justice System, Youth Justice and Prison Systems in England and Wales</dc:subject>
  <dc:creator>Sophia Ivens - 1801465</dc:creator>
  <cp:keywords/>
  <dc:description/>
  <cp:lastModifiedBy>Windows User</cp:lastModifiedBy>
  <cp:revision>87</cp:revision>
  <dcterms:created xsi:type="dcterms:W3CDTF">2021-10-14T12:38:00Z</dcterms:created>
  <dcterms:modified xsi:type="dcterms:W3CDTF">2021-11-05T17:42:00Z</dcterms:modified>
</cp:coreProperties>
</file>