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38C25F" w14:textId="77777777" w:rsidR="004E110A" w:rsidRDefault="004E110A" w:rsidP="004E110A">
      <w:pPr>
        <w:jc w:val="center"/>
        <w:rPr>
          <w:rFonts w:ascii="Arial" w:hAnsi="Arial" w:cs="Arial"/>
        </w:rPr>
      </w:pPr>
      <w:bookmarkStart w:id="0" w:name="_GoBack"/>
      <w:bookmarkEnd w:id="0"/>
    </w:p>
    <w:p w14:paraId="3027B10C" w14:textId="77777777" w:rsidR="004E110A" w:rsidRDefault="004E110A" w:rsidP="004E110A">
      <w:pPr>
        <w:jc w:val="center"/>
        <w:rPr>
          <w:rFonts w:ascii="Arial" w:hAnsi="Arial" w:cs="Arial"/>
        </w:rPr>
      </w:pPr>
    </w:p>
    <w:p w14:paraId="4771A23E" w14:textId="77777777" w:rsidR="004E110A" w:rsidRDefault="004E110A" w:rsidP="004E110A">
      <w:pPr>
        <w:jc w:val="center"/>
        <w:rPr>
          <w:rFonts w:ascii="Arial" w:hAnsi="Arial" w:cs="Arial"/>
        </w:rPr>
      </w:pPr>
    </w:p>
    <w:p w14:paraId="68953399" w14:textId="7DBFF046" w:rsidR="004E110A" w:rsidRPr="004E110A" w:rsidRDefault="004E110A" w:rsidP="004E110A">
      <w:pPr>
        <w:jc w:val="center"/>
        <w:rPr>
          <w:rFonts w:ascii="Arial" w:hAnsi="Arial" w:cs="Arial"/>
          <w:b/>
          <w:sz w:val="22"/>
        </w:rPr>
      </w:pPr>
      <w:r w:rsidRPr="004E110A">
        <w:rPr>
          <w:rFonts w:ascii="Arial" w:hAnsi="Arial" w:cs="Arial"/>
          <w:b/>
          <w:sz w:val="22"/>
        </w:rPr>
        <w:t>Student Name: Suma Begum</w:t>
      </w:r>
    </w:p>
    <w:p w14:paraId="3EE96D97" w14:textId="77777777" w:rsidR="004E110A" w:rsidRPr="004E110A" w:rsidRDefault="004E110A" w:rsidP="004E110A">
      <w:pPr>
        <w:jc w:val="center"/>
        <w:rPr>
          <w:rFonts w:ascii="Arial" w:hAnsi="Arial" w:cs="Arial"/>
          <w:b/>
          <w:sz w:val="22"/>
        </w:rPr>
      </w:pPr>
      <w:r w:rsidRPr="004E110A">
        <w:rPr>
          <w:rFonts w:ascii="Arial" w:hAnsi="Arial" w:cs="Arial"/>
          <w:b/>
          <w:sz w:val="22"/>
        </w:rPr>
        <w:t>Student ID: 213484</w:t>
      </w:r>
    </w:p>
    <w:p w14:paraId="3338CDF7" w14:textId="77777777" w:rsidR="006F526E" w:rsidRPr="004E110A" w:rsidRDefault="006F526E" w:rsidP="004E110A">
      <w:pPr>
        <w:spacing w:line="259" w:lineRule="auto"/>
        <w:jc w:val="center"/>
        <w:rPr>
          <w:rFonts w:ascii="Arial" w:hAnsi="Arial" w:cs="Arial"/>
          <w:b/>
          <w:sz w:val="22"/>
        </w:rPr>
      </w:pPr>
      <w:r w:rsidRPr="004E110A">
        <w:rPr>
          <w:rFonts w:ascii="Arial" w:hAnsi="Arial" w:cs="Arial"/>
          <w:b/>
          <w:sz w:val="22"/>
        </w:rPr>
        <w:t xml:space="preserve">Module Code and Name: LCHS4004 </w:t>
      </w:r>
      <w:r w:rsidRPr="004E110A">
        <w:rPr>
          <w:rFonts w:ascii="Arial" w:hAnsi="Arial" w:cs="Arial"/>
          <w:b/>
          <w:bCs/>
          <w:sz w:val="22"/>
        </w:rPr>
        <w:t>Introduction to Public Health</w:t>
      </w:r>
    </w:p>
    <w:p w14:paraId="2CE5AC40" w14:textId="7B7062AF" w:rsidR="00DF2ECB" w:rsidRPr="008503E6" w:rsidRDefault="006F526E" w:rsidP="004E110A">
      <w:pPr>
        <w:spacing w:line="259" w:lineRule="auto"/>
        <w:jc w:val="center"/>
        <w:rPr>
          <w:rFonts w:asciiTheme="minorBidi" w:hAnsiTheme="minorBidi"/>
          <w:sz w:val="22"/>
        </w:rPr>
      </w:pPr>
      <w:r w:rsidRPr="004E110A">
        <w:rPr>
          <w:rFonts w:ascii="Arial" w:hAnsi="Arial" w:cs="Arial"/>
          <w:b/>
          <w:bCs/>
          <w:sz w:val="22"/>
        </w:rPr>
        <w:t>Assignment Title: Component 1 – Incidence of disease in communities.</w:t>
      </w:r>
      <w:r w:rsidRPr="008D43DA">
        <w:rPr>
          <w:rFonts w:ascii="Arial" w:hAnsi="Arial" w:cs="Arial"/>
          <w:bCs/>
          <w:sz w:val="22"/>
        </w:rPr>
        <w:t xml:space="preserve"> </w:t>
      </w:r>
      <w:r w:rsidR="00DF2ECB" w:rsidRPr="008503E6">
        <w:rPr>
          <w:rFonts w:asciiTheme="minorBidi" w:hAnsiTheme="minorBidi"/>
          <w:sz w:val="22"/>
        </w:rPr>
        <w:br w:type="page"/>
      </w:r>
    </w:p>
    <w:sdt>
      <w:sdtPr>
        <w:rPr>
          <w:rFonts w:asciiTheme="majorBidi" w:eastAsiaTheme="minorHAnsi" w:hAnsiTheme="majorBidi" w:cstheme="minorBidi"/>
          <w:color w:val="auto"/>
          <w:sz w:val="24"/>
          <w:szCs w:val="22"/>
          <w:lang w:val="en-GB"/>
        </w:rPr>
        <w:id w:val="-509686973"/>
        <w:docPartObj>
          <w:docPartGallery w:val="Table of Contents"/>
          <w:docPartUnique/>
        </w:docPartObj>
      </w:sdtPr>
      <w:sdtEndPr>
        <w:rPr>
          <w:b/>
          <w:bCs/>
          <w:noProof/>
        </w:rPr>
      </w:sdtEndPr>
      <w:sdtContent>
        <w:p w14:paraId="020DE514" w14:textId="77777777" w:rsidR="00BA189A" w:rsidRDefault="00BA189A">
          <w:pPr>
            <w:pStyle w:val="TOCHeading"/>
          </w:pPr>
          <w:r>
            <w:t>Contents</w:t>
          </w:r>
        </w:p>
        <w:p w14:paraId="6A19E1DE" w14:textId="6132900C" w:rsidR="00BA189A" w:rsidRPr="006F526E" w:rsidRDefault="00BA189A">
          <w:pPr>
            <w:pStyle w:val="TOC1"/>
            <w:tabs>
              <w:tab w:val="right" w:leader="dot" w:pos="9350"/>
            </w:tabs>
            <w:rPr>
              <w:noProof/>
              <w:sz w:val="22"/>
            </w:rPr>
          </w:pPr>
          <w:r>
            <w:fldChar w:fldCharType="begin"/>
          </w:r>
          <w:r>
            <w:instrText xml:space="preserve"> TOC \o "1-3" \h \z \u </w:instrText>
          </w:r>
          <w:r>
            <w:fldChar w:fldCharType="separate"/>
          </w:r>
          <w:hyperlink w:anchor="_Toc117527248" w:history="1">
            <w:r w:rsidRPr="006F526E">
              <w:rPr>
                <w:rStyle w:val="Hyperlink"/>
                <w:rFonts w:asciiTheme="minorBidi" w:hAnsiTheme="minorBidi"/>
                <w:noProof/>
                <w:sz w:val="22"/>
              </w:rPr>
              <w:t>Introduction</w:t>
            </w:r>
            <w:r w:rsidRPr="006F526E">
              <w:rPr>
                <w:noProof/>
                <w:webHidden/>
                <w:sz w:val="22"/>
              </w:rPr>
              <w:tab/>
            </w:r>
            <w:r w:rsidRPr="006F526E">
              <w:rPr>
                <w:noProof/>
                <w:webHidden/>
                <w:sz w:val="22"/>
              </w:rPr>
              <w:fldChar w:fldCharType="begin"/>
            </w:r>
            <w:r w:rsidRPr="006F526E">
              <w:rPr>
                <w:noProof/>
                <w:webHidden/>
                <w:sz w:val="22"/>
              </w:rPr>
              <w:instrText xml:space="preserve"> PAGEREF _Toc117527248 \h </w:instrText>
            </w:r>
            <w:r w:rsidRPr="006F526E">
              <w:rPr>
                <w:noProof/>
                <w:webHidden/>
                <w:sz w:val="22"/>
              </w:rPr>
            </w:r>
            <w:r w:rsidRPr="006F526E">
              <w:rPr>
                <w:noProof/>
                <w:webHidden/>
                <w:sz w:val="22"/>
              </w:rPr>
              <w:fldChar w:fldCharType="separate"/>
            </w:r>
            <w:r w:rsidR="006F526E">
              <w:rPr>
                <w:noProof/>
                <w:webHidden/>
                <w:sz w:val="22"/>
              </w:rPr>
              <w:t>3</w:t>
            </w:r>
            <w:r w:rsidRPr="006F526E">
              <w:rPr>
                <w:noProof/>
                <w:webHidden/>
                <w:sz w:val="22"/>
              </w:rPr>
              <w:fldChar w:fldCharType="end"/>
            </w:r>
          </w:hyperlink>
        </w:p>
        <w:p w14:paraId="7DFAE4ED" w14:textId="136B33EF" w:rsidR="00BA189A" w:rsidRPr="006F526E" w:rsidRDefault="00DF1345">
          <w:pPr>
            <w:pStyle w:val="TOC1"/>
            <w:tabs>
              <w:tab w:val="right" w:leader="dot" w:pos="9350"/>
            </w:tabs>
            <w:rPr>
              <w:noProof/>
              <w:sz w:val="22"/>
            </w:rPr>
          </w:pPr>
          <w:hyperlink w:anchor="_Toc117527249" w:history="1">
            <w:r w:rsidR="00BA189A" w:rsidRPr="006F526E">
              <w:rPr>
                <w:rStyle w:val="Hyperlink"/>
                <w:rFonts w:asciiTheme="minorBidi" w:hAnsiTheme="minorBidi"/>
                <w:noProof/>
                <w:sz w:val="22"/>
              </w:rPr>
              <w:t>Strategies to measure Chicken Pox</w:t>
            </w:r>
            <w:r w:rsidR="00BA189A" w:rsidRPr="006F526E">
              <w:rPr>
                <w:noProof/>
                <w:webHidden/>
                <w:sz w:val="22"/>
              </w:rPr>
              <w:tab/>
            </w:r>
            <w:r w:rsidR="00BA189A" w:rsidRPr="006F526E">
              <w:rPr>
                <w:noProof/>
                <w:webHidden/>
                <w:sz w:val="22"/>
              </w:rPr>
              <w:fldChar w:fldCharType="begin"/>
            </w:r>
            <w:r w:rsidR="00BA189A" w:rsidRPr="006F526E">
              <w:rPr>
                <w:noProof/>
                <w:webHidden/>
                <w:sz w:val="22"/>
              </w:rPr>
              <w:instrText xml:space="preserve"> PAGEREF _Toc117527249 \h </w:instrText>
            </w:r>
            <w:r w:rsidR="00BA189A" w:rsidRPr="006F526E">
              <w:rPr>
                <w:noProof/>
                <w:webHidden/>
                <w:sz w:val="22"/>
              </w:rPr>
            </w:r>
            <w:r w:rsidR="00BA189A" w:rsidRPr="006F526E">
              <w:rPr>
                <w:noProof/>
                <w:webHidden/>
                <w:sz w:val="22"/>
              </w:rPr>
              <w:fldChar w:fldCharType="separate"/>
            </w:r>
            <w:r w:rsidR="006F526E">
              <w:rPr>
                <w:noProof/>
                <w:webHidden/>
                <w:sz w:val="22"/>
              </w:rPr>
              <w:t>3</w:t>
            </w:r>
            <w:r w:rsidR="00BA189A" w:rsidRPr="006F526E">
              <w:rPr>
                <w:noProof/>
                <w:webHidden/>
                <w:sz w:val="22"/>
              </w:rPr>
              <w:fldChar w:fldCharType="end"/>
            </w:r>
          </w:hyperlink>
        </w:p>
        <w:p w14:paraId="1D2D62CB" w14:textId="74DAF9B7" w:rsidR="00BA189A" w:rsidRPr="006F526E" w:rsidRDefault="00DF1345">
          <w:pPr>
            <w:pStyle w:val="TOC1"/>
            <w:tabs>
              <w:tab w:val="right" w:leader="dot" w:pos="9350"/>
            </w:tabs>
            <w:rPr>
              <w:noProof/>
              <w:sz w:val="22"/>
            </w:rPr>
          </w:pPr>
          <w:hyperlink w:anchor="_Toc117527250" w:history="1">
            <w:r w:rsidR="00BA189A" w:rsidRPr="006F526E">
              <w:rPr>
                <w:rStyle w:val="Hyperlink"/>
                <w:rFonts w:asciiTheme="minorBidi" w:hAnsiTheme="minorBidi"/>
                <w:noProof/>
                <w:sz w:val="22"/>
              </w:rPr>
              <w:t>Strategies to monitor Chicken Pox</w:t>
            </w:r>
            <w:r w:rsidR="00BA189A" w:rsidRPr="006F526E">
              <w:rPr>
                <w:noProof/>
                <w:webHidden/>
                <w:sz w:val="22"/>
              </w:rPr>
              <w:tab/>
            </w:r>
            <w:r w:rsidR="00BA189A" w:rsidRPr="006F526E">
              <w:rPr>
                <w:noProof/>
                <w:webHidden/>
                <w:sz w:val="22"/>
              </w:rPr>
              <w:fldChar w:fldCharType="begin"/>
            </w:r>
            <w:r w:rsidR="00BA189A" w:rsidRPr="006F526E">
              <w:rPr>
                <w:noProof/>
                <w:webHidden/>
                <w:sz w:val="22"/>
              </w:rPr>
              <w:instrText xml:space="preserve"> PAGEREF _Toc117527250 \h </w:instrText>
            </w:r>
            <w:r w:rsidR="00BA189A" w:rsidRPr="006F526E">
              <w:rPr>
                <w:noProof/>
                <w:webHidden/>
                <w:sz w:val="22"/>
              </w:rPr>
            </w:r>
            <w:r w:rsidR="00BA189A" w:rsidRPr="006F526E">
              <w:rPr>
                <w:noProof/>
                <w:webHidden/>
                <w:sz w:val="22"/>
              </w:rPr>
              <w:fldChar w:fldCharType="separate"/>
            </w:r>
            <w:r w:rsidR="006F526E">
              <w:rPr>
                <w:noProof/>
                <w:webHidden/>
                <w:sz w:val="22"/>
              </w:rPr>
              <w:t>3</w:t>
            </w:r>
            <w:r w:rsidR="00BA189A" w:rsidRPr="006F526E">
              <w:rPr>
                <w:noProof/>
                <w:webHidden/>
                <w:sz w:val="22"/>
              </w:rPr>
              <w:fldChar w:fldCharType="end"/>
            </w:r>
          </w:hyperlink>
        </w:p>
        <w:p w14:paraId="7133C19C" w14:textId="43BD030C" w:rsidR="00BA189A" w:rsidRPr="006F526E" w:rsidRDefault="00DF1345">
          <w:pPr>
            <w:pStyle w:val="TOC1"/>
            <w:tabs>
              <w:tab w:val="right" w:leader="dot" w:pos="9350"/>
            </w:tabs>
            <w:rPr>
              <w:noProof/>
              <w:sz w:val="22"/>
            </w:rPr>
          </w:pPr>
          <w:hyperlink w:anchor="_Toc117527251" w:history="1">
            <w:r w:rsidR="00BA189A" w:rsidRPr="006F526E">
              <w:rPr>
                <w:rStyle w:val="Hyperlink"/>
                <w:rFonts w:asciiTheme="minorBidi" w:hAnsiTheme="minorBidi"/>
                <w:noProof/>
                <w:sz w:val="22"/>
              </w:rPr>
              <w:t>Strategies to control Chicken Pox in the UK</w:t>
            </w:r>
            <w:r w:rsidR="00BA189A" w:rsidRPr="006F526E">
              <w:rPr>
                <w:noProof/>
                <w:webHidden/>
                <w:sz w:val="22"/>
              </w:rPr>
              <w:tab/>
            </w:r>
            <w:r w:rsidR="00BA189A" w:rsidRPr="006F526E">
              <w:rPr>
                <w:noProof/>
                <w:webHidden/>
                <w:sz w:val="22"/>
              </w:rPr>
              <w:fldChar w:fldCharType="begin"/>
            </w:r>
            <w:r w:rsidR="00BA189A" w:rsidRPr="006F526E">
              <w:rPr>
                <w:noProof/>
                <w:webHidden/>
                <w:sz w:val="22"/>
              </w:rPr>
              <w:instrText xml:space="preserve"> PAGEREF _Toc117527251 \h </w:instrText>
            </w:r>
            <w:r w:rsidR="00BA189A" w:rsidRPr="006F526E">
              <w:rPr>
                <w:noProof/>
                <w:webHidden/>
                <w:sz w:val="22"/>
              </w:rPr>
            </w:r>
            <w:r w:rsidR="00BA189A" w:rsidRPr="006F526E">
              <w:rPr>
                <w:noProof/>
                <w:webHidden/>
                <w:sz w:val="22"/>
              </w:rPr>
              <w:fldChar w:fldCharType="separate"/>
            </w:r>
            <w:r w:rsidR="006F526E">
              <w:rPr>
                <w:noProof/>
                <w:webHidden/>
                <w:sz w:val="22"/>
              </w:rPr>
              <w:t>4</w:t>
            </w:r>
            <w:r w:rsidR="00BA189A" w:rsidRPr="006F526E">
              <w:rPr>
                <w:noProof/>
                <w:webHidden/>
                <w:sz w:val="22"/>
              </w:rPr>
              <w:fldChar w:fldCharType="end"/>
            </w:r>
          </w:hyperlink>
        </w:p>
        <w:p w14:paraId="699782E4" w14:textId="57BB686D" w:rsidR="00BA189A" w:rsidRPr="006F526E" w:rsidRDefault="00DF1345">
          <w:pPr>
            <w:pStyle w:val="TOC1"/>
            <w:tabs>
              <w:tab w:val="right" w:leader="dot" w:pos="9350"/>
            </w:tabs>
            <w:rPr>
              <w:noProof/>
              <w:sz w:val="22"/>
            </w:rPr>
          </w:pPr>
          <w:hyperlink w:anchor="_Toc117527252" w:history="1">
            <w:r w:rsidR="00BA189A" w:rsidRPr="006F526E">
              <w:rPr>
                <w:rStyle w:val="Hyperlink"/>
                <w:rFonts w:asciiTheme="minorBidi" w:hAnsiTheme="minorBidi"/>
                <w:noProof/>
                <w:sz w:val="22"/>
                <w:lang w:val="en-US"/>
              </w:rPr>
              <w:t>Conclusion</w:t>
            </w:r>
            <w:r w:rsidR="00BA189A" w:rsidRPr="006F526E">
              <w:rPr>
                <w:noProof/>
                <w:webHidden/>
                <w:sz w:val="22"/>
              </w:rPr>
              <w:tab/>
            </w:r>
            <w:r w:rsidR="00BA189A" w:rsidRPr="006F526E">
              <w:rPr>
                <w:noProof/>
                <w:webHidden/>
                <w:sz w:val="22"/>
              </w:rPr>
              <w:fldChar w:fldCharType="begin"/>
            </w:r>
            <w:r w:rsidR="00BA189A" w:rsidRPr="006F526E">
              <w:rPr>
                <w:noProof/>
                <w:webHidden/>
                <w:sz w:val="22"/>
              </w:rPr>
              <w:instrText xml:space="preserve"> PAGEREF _Toc117527252 \h </w:instrText>
            </w:r>
            <w:r w:rsidR="00BA189A" w:rsidRPr="006F526E">
              <w:rPr>
                <w:noProof/>
                <w:webHidden/>
                <w:sz w:val="22"/>
              </w:rPr>
            </w:r>
            <w:r w:rsidR="00BA189A" w:rsidRPr="006F526E">
              <w:rPr>
                <w:noProof/>
                <w:webHidden/>
                <w:sz w:val="22"/>
              </w:rPr>
              <w:fldChar w:fldCharType="separate"/>
            </w:r>
            <w:r w:rsidR="006F526E">
              <w:rPr>
                <w:noProof/>
                <w:webHidden/>
                <w:sz w:val="22"/>
              </w:rPr>
              <w:t>5</w:t>
            </w:r>
            <w:r w:rsidR="00BA189A" w:rsidRPr="006F526E">
              <w:rPr>
                <w:noProof/>
                <w:webHidden/>
                <w:sz w:val="22"/>
              </w:rPr>
              <w:fldChar w:fldCharType="end"/>
            </w:r>
          </w:hyperlink>
        </w:p>
        <w:p w14:paraId="74856387" w14:textId="2E031C43" w:rsidR="00BA189A" w:rsidRPr="006F526E" w:rsidRDefault="00DF1345">
          <w:pPr>
            <w:pStyle w:val="TOC1"/>
            <w:tabs>
              <w:tab w:val="right" w:leader="dot" w:pos="9350"/>
            </w:tabs>
            <w:rPr>
              <w:noProof/>
              <w:sz w:val="22"/>
            </w:rPr>
          </w:pPr>
          <w:hyperlink w:anchor="_Toc117527253" w:history="1">
            <w:r w:rsidR="00BA189A" w:rsidRPr="006F526E">
              <w:rPr>
                <w:rStyle w:val="Hyperlink"/>
                <w:rFonts w:asciiTheme="minorBidi" w:hAnsiTheme="minorBidi"/>
                <w:noProof/>
                <w:sz w:val="22"/>
              </w:rPr>
              <w:t>Reference</w:t>
            </w:r>
            <w:r w:rsidR="00BA189A" w:rsidRPr="006F526E">
              <w:rPr>
                <w:noProof/>
                <w:webHidden/>
                <w:sz w:val="22"/>
              </w:rPr>
              <w:tab/>
            </w:r>
            <w:r w:rsidR="00BA189A" w:rsidRPr="006F526E">
              <w:rPr>
                <w:noProof/>
                <w:webHidden/>
                <w:sz w:val="22"/>
              </w:rPr>
              <w:fldChar w:fldCharType="begin"/>
            </w:r>
            <w:r w:rsidR="00BA189A" w:rsidRPr="006F526E">
              <w:rPr>
                <w:noProof/>
                <w:webHidden/>
                <w:sz w:val="22"/>
              </w:rPr>
              <w:instrText xml:space="preserve"> PAGEREF _Toc117527253 \h </w:instrText>
            </w:r>
            <w:r w:rsidR="00BA189A" w:rsidRPr="006F526E">
              <w:rPr>
                <w:noProof/>
                <w:webHidden/>
                <w:sz w:val="22"/>
              </w:rPr>
            </w:r>
            <w:r w:rsidR="00BA189A" w:rsidRPr="006F526E">
              <w:rPr>
                <w:noProof/>
                <w:webHidden/>
                <w:sz w:val="22"/>
              </w:rPr>
              <w:fldChar w:fldCharType="separate"/>
            </w:r>
            <w:r w:rsidR="006F526E">
              <w:rPr>
                <w:noProof/>
                <w:webHidden/>
                <w:sz w:val="22"/>
              </w:rPr>
              <w:t>6</w:t>
            </w:r>
            <w:r w:rsidR="00BA189A" w:rsidRPr="006F526E">
              <w:rPr>
                <w:noProof/>
                <w:webHidden/>
                <w:sz w:val="22"/>
              </w:rPr>
              <w:fldChar w:fldCharType="end"/>
            </w:r>
          </w:hyperlink>
        </w:p>
        <w:p w14:paraId="3C48382A" w14:textId="77777777" w:rsidR="00BA189A" w:rsidRDefault="00BA189A">
          <w:r>
            <w:rPr>
              <w:b/>
              <w:bCs/>
              <w:noProof/>
            </w:rPr>
            <w:fldChar w:fldCharType="end"/>
          </w:r>
        </w:p>
      </w:sdtContent>
    </w:sdt>
    <w:p w14:paraId="399F827E" w14:textId="77777777" w:rsidR="00DF2ECB" w:rsidRPr="008503E6" w:rsidRDefault="00DF2ECB">
      <w:pPr>
        <w:spacing w:line="259" w:lineRule="auto"/>
        <w:jc w:val="left"/>
        <w:rPr>
          <w:rFonts w:asciiTheme="minorBidi" w:hAnsiTheme="minorBidi"/>
          <w:sz w:val="22"/>
        </w:rPr>
      </w:pPr>
      <w:r w:rsidRPr="008503E6">
        <w:rPr>
          <w:rFonts w:asciiTheme="minorBidi" w:hAnsiTheme="minorBidi"/>
          <w:sz w:val="22"/>
        </w:rPr>
        <w:br w:type="page"/>
      </w:r>
    </w:p>
    <w:p w14:paraId="375DF071" w14:textId="77777777" w:rsidR="00A66FBB" w:rsidRPr="008503E6" w:rsidRDefault="00A66FBB" w:rsidP="00DF2ECB">
      <w:pPr>
        <w:pStyle w:val="Heading1"/>
        <w:rPr>
          <w:rFonts w:asciiTheme="minorBidi" w:hAnsiTheme="minorBidi" w:cstheme="minorBidi"/>
          <w:sz w:val="22"/>
          <w:szCs w:val="22"/>
        </w:rPr>
      </w:pPr>
      <w:bookmarkStart w:id="1" w:name="_Toc117527248"/>
      <w:r w:rsidRPr="008503E6">
        <w:rPr>
          <w:rFonts w:asciiTheme="minorBidi" w:hAnsiTheme="minorBidi" w:cstheme="minorBidi"/>
          <w:sz w:val="22"/>
          <w:szCs w:val="22"/>
        </w:rPr>
        <w:lastRenderedPageBreak/>
        <w:t>Introduction</w:t>
      </w:r>
      <w:bookmarkEnd w:id="1"/>
    </w:p>
    <w:p w14:paraId="29DE02A2" w14:textId="6DF38734" w:rsidR="00C9773A" w:rsidRPr="008503E6" w:rsidRDefault="007C454C" w:rsidP="00DF2ECB">
      <w:pPr>
        <w:rPr>
          <w:rFonts w:asciiTheme="minorBidi" w:hAnsiTheme="minorBidi"/>
          <w:sz w:val="22"/>
        </w:rPr>
      </w:pPr>
      <w:r>
        <w:rPr>
          <w:rFonts w:asciiTheme="minorBidi" w:hAnsiTheme="minorBidi"/>
          <w:sz w:val="22"/>
        </w:rPr>
        <w:t xml:space="preserve">The report presents a supporting paper on explaining the approaches and strategies of an infectious disease in the UK. </w:t>
      </w:r>
      <w:r w:rsidR="00DF2ECB" w:rsidRPr="008503E6">
        <w:rPr>
          <w:rFonts w:asciiTheme="minorBidi" w:hAnsiTheme="minorBidi"/>
          <w:sz w:val="22"/>
        </w:rPr>
        <w:t>Varicella</w:t>
      </w:r>
      <w:r w:rsidR="008503E6" w:rsidRPr="008503E6">
        <w:rPr>
          <w:rFonts w:asciiTheme="minorBidi" w:hAnsiTheme="minorBidi"/>
          <w:sz w:val="22"/>
        </w:rPr>
        <w:t xml:space="preserve"> </w:t>
      </w:r>
      <w:r w:rsidR="00431464">
        <w:rPr>
          <w:rFonts w:asciiTheme="minorBidi" w:hAnsiTheme="minorBidi"/>
          <w:sz w:val="22"/>
        </w:rPr>
        <w:t xml:space="preserve">or </w:t>
      </w:r>
      <w:r w:rsidR="008503E6" w:rsidRPr="008503E6">
        <w:rPr>
          <w:rFonts w:asciiTheme="minorBidi" w:hAnsiTheme="minorBidi"/>
          <w:sz w:val="22"/>
        </w:rPr>
        <w:t>Chicken Pox</w:t>
      </w:r>
      <w:r w:rsidR="00DF2ECB" w:rsidRPr="008503E6">
        <w:rPr>
          <w:rFonts w:asciiTheme="minorBidi" w:hAnsiTheme="minorBidi"/>
          <w:sz w:val="22"/>
        </w:rPr>
        <w:t xml:space="preserve"> remains a prevalent childhood disease in the UK </w:t>
      </w:r>
      <w:r w:rsidR="00431464">
        <w:rPr>
          <w:rFonts w:asciiTheme="minorBidi" w:hAnsiTheme="minorBidi"/>
          <w:sz w:val="22"/>
        </w:rPr>
        <w:t>where</w:t>
      </w:r>
      <w:r w:rsidR="00DF2ECB" w:rsidRPr="008503E6">
        <w:rPr>
          <w:rFonts w:asciiTheme="minorBidi" w:hAnsiTheme="minorBidi"/>
          <w:sz w:val="22"/>
        </w:rPr>
        <w:t xml:space="preserve"> universal children varicella immunization programs</w:t>
      </w:r>
      <w:r w:rsidR="00431464">
        <w:rPr>
          <w:rFonts w:asciiTheme="minorBidi" w:hAnsiTheme="minorBidi"/>
          <w:sz w:val="22"/>
        </w:rPr>
        <w:t xml:space="preserve"> is not supported by the government</w:t>
      </w:r>
      <w:r w:rsidR="00DF2ECB" w:rsidRPr="008503E6">
        <w:rPr>
          <w:rFonts w:asciiTheme="minorBidi" w:hAnsiTheme="minorBidi"/>
          <w:sz w:val="22"/>
        </w:rPr>
        <w:t>. Varicella is a minor, self-limiting disease in healthy children, although adult consequences are prevalent</w:t>
      </w:r>
      <w:r w:rsidR="00452E5B">
        <w:rPr>
          <w:rFonts w:asciiTheme="minorBidi" w:hAnsiTheme="minorBidi"/>
          <w:sz w:val="22"/>
        </w:rPr>
        <w:t xml:space="preserve"> (Walker, et al., 2017)</w:t>
      </w:r>
      <w:r w:rsidR="00DF2ECB" w:rsidRPr="008503E6">
        <w:rPr>
          <w:rFonts w:asciiTheme="minorBidi" w:hAnsiTheme="minorBidi"/>
          <w:sz w:val="22"/>
        </w:rPr>
        <w:t>. Migrants from some locations who move to temperate nations after infancy can get varicella as adults.</w:t>
      </w:r>
      <w:r w:rsidR="00431464">
        <w:rPr>
          <w:rFonts w:asciiTheme="minorBidi" w:hAnsiTheme="minorBidi"/>
          <w:sz w:val="22"/>
        </w:rPr>
        <w:t xml:space="preserve"> This supporting paper will discuss strategies to measure Chicken Pox as well as the strategies to monitor and control in the UK.</w:t>
      </w:r>
    </w:p>
    <w:p w14:paraId="4517C3B0" w14:textId="77777777" w:rsidR="00B63087" w:rsidRPr="008503E6" w:rsidRDefault="00DF3B6C" w:rsidP="00DF2ECB">
      <w:pPr>
        <w:pStyle w:val="Heading1"/>
        <w:rPr>
          <w:rFonts w:asciiTheme="minorBidi" w:hAnsiTheme="minorBidi" w:cstheme="minorBidi"/>
          <w:sz w:val="22"/>
          <w:szCs w:val="22"/>
        </w:rPr>
      </w:pPr>
      <w:bookmarkStart w:id="2" w:name="_Toc117527249"/>
      <w:r w:rsidRPr="008503E6">
        <w:rPr>
          <w:rFonts w:asciiTheme="minorBidi" w:hAnsiTheme="minorBidi" w:cstheme="minorBidi"/>
          <w:sz w:val="22"/>
          <w:szCs w:val="22"/>
        </w:rPr>
        <w:t>Strategies to measure Chicken Pox</w:t>
      </w:r>
      <w:bookmarkEnd w:id="2"/>
    </w:p>
    <w:p w14:paraId="3BBB11AD" w14:textId="77777777" w:rsidR="00DF3B6C" w:rsidRPr="008503E6" w:rsidRDefault="00DF3B6C">
      <w:pPr>
        <w:rPr>
          <w:rFonts w:asciiTheme="minorBidi" w:hAnsiTheme="minorBidi"/>
          <w:b/>
          <w:bCs/>
          <w:i/>
          <w:iCs/>
          <w:sz w:val="22"/>
        </w:rPr>
      </w:pPr>
      <w:r w:rsidRPr="008503E6">
        <w:rPr>
          <w:rFonts w:asciiTheme="minorBidi" w:hAnsiTheme="minorBidi"/>
          <w:b/>
          <w:bCs/>
          <w:i/>
          <w:iCs/>
          <w:sz w:val="22"/>
        </w:rPr>
        <w:t>Mortality and Morbidity</w:t>
      </w:r>
    </w:p>
    <w:p w14:paraId="12A1F26A" w14:textId="77777777" w:rsidR="00DF2ECB" w:rsidRPr="008503E6" w:rsidRDefault="00DF3B6C" w:rsidP="00BA189A">
      <w:pPr>
        <w:rPr>
          <w:rFonts w:asciiTheme="minorBidi" w:hAnsiTheme="minorBidi"/>
          <w:sz w:val="22"/>
        </w:rPr>
      </w:pPr>
      <w:r w:rsidRPr="008503E6">
        <w:rPr>
          <w:rFonts w:asciiTheme="minorBidi" w:hAnsiTheme="minorBidi"/>
          <w:sz w:val="22"/>
        </w:rPr>
        <w:t xml:space="preserve">On average, 25 people a year die from chickenpox. Overall case fatality was 9.22 per 100 000 </w:t>
      </w:r>
      <w:r w:rsidR="00DF2ECB" w:rsidRPr="008503E6">
        <w:rPr>
          <w:rFonts w:asciiTheme="minorBidi" w:hAnsiTheme="minorBidi"/>
          <w:sz w:val="22"/>
        </w:rPr>
        <w:t>Chickenpox is responsible for an estimated 25 deaths annually. Chickenpox had an overall mortality rate of 9.22 for every 100,000 patient visits. Statistics showed that adults made up 81% of deaths and 19% of patient visits</w:t>
      </w:r>
      <w:r w:rsidR="00BA189A">
        <w:rPr>
          <w:rFonts w:asciiTheme="minorBidi" w:hAnsiTheme="minorBidi"/>
          <w:sz w:val="22"/>
        </w:rPr>
        <w:t xml:space="preserve"> (</w:t>
      </w:r>
      <w:r w:rsidR="00BA189A">
        <w:rPr>
          <w:rFonts w:asciiTheme="minorBidi" w:hAnsiTheme="minorBidi"/>
          <w:color w:val="222222"/>
          <w:sz w:val="22"/>
          <w:shd w:val="clear" w:color="auto" w:fill="FFFFFF"/>
        </w:rPr>
        <w:t>Millett et al.,</w:t>
      </w:r>
      <w:r w:rsidR="00BA189A" w:rsidRPr="008503E6">
        <w:rPr>
          <w:rFonts w:asciiTheme="minorBidi" w:hAnsiTheme="minorBidi"/>
          <w:color w:val="222222"/>
          <w:sz w:val="22"/>
          <w:shd w:val="clear" w:color="auto" w:fill="FFFFFF"/>
        </w:rPr>
        <w:t xml:space="preserve"> 2016</w:t>
      </w:r>
      <w:r w:rsidR="00BA189A">
        <w:rPr>
          <w:rFonts w:asciiTheme="minorBidi" w:hAnsiTheme="minorBidi"/>
          <w:color w:val="222222"/>
          <w:sz w:val="22"/>
          <w:shd w:val="clear" w:color="auto" w:fill="FFFFFF"/>
        </w:rPr>
        <w:t>)</w:t>
      </w:r>
      <w:r w:rsidR="00DF2ECB" w:rsidRPr="008503E6">
        <w:rPr>
          <w:rFonts w:asciiTheme="minorBidi" w:hAnsiTheme="minorBidi"/>
          <w:sz w:val="22"/>
        </w:rPr>
        <w:t>. Men died at two times the rate of women. The percentage of non-British births among the deceased was higher than expected (12%).</w:t>
      </w:r>
    </w:p>
    <w:p w14:paraId="69DD9ACE" w14:textId="73546A0A" w:rsidR="00DF2ECB" w:rsidRPr="008503E6" w:rsidRDefault="00DF2ECB" w:rsidP="00DF2ECB">
      <w:pPr>
        <w:rPr>
          <w:rFonts w:asciiTheme="minorBidi" w:hAnsiTheme="minorBidi"/>
          <w:sz w:val="22"/>
        </w:rPr>
      </w:pPr>
      <w:r w:rsidRPr="008503E6">
        <w:rPr>
          <w:rFonts w:asciiTheme="minorBidi" w:hAnsiTheme="minorBidi"/>
          <w:sz w:val="22"/>
        </w:rPr>
        <w:t xml:space="preserve">In line with findings from earlier studies showing shifts in the age distribution of varicella cases presenting to general practice, </w:t>
      </w:r>
      <w:r w:rsidR="00452E5B">
        <w:rPr>
          <w:rFonts w:asciiTheme="minorBidi" w:hAnsiTheme="minorBidi"/>
          <w:sz w:val="22"/>
        </w:rPr>
        <w:t>Walker</w:t>
      </w:r>
      <w:r w:rsidRPr="008503E6">
        <w:rPr>
          <w:rFonts w:asciiTheme="minorBidi" w:hAnsiTheme="minorBidi"/>
          <w:sz w:val="22"/>
        </w:rPr>
        <w:t xml:space="preserve"> et al. (20</w:t>
      </w:r>
      <w:r w:rsidR="00452E5B">
        <w:rPr>
          <w:rFonts w:asciiTheme="minorBidi" w:hAnsiTheme="minorBidi"/>
          <w:sz w:val="22"/>
        </w:rPr>
        <w:t>17</w:t>
      </w:r>
      <w:r w:rsidRPr="008503E6">
        <w:rPr>
          <w:rFonts w:asciiTheme="minorBidi" w:hAnsiTheme="minorBidi"/>
          <w:sz w:val="22"/>
        </w:rPr>
        <w:t>) found that the greatest healthcare burden of varicella was among very young children. Infants in the UK are increasingly likely to spend their days at a daycare, which may explain this shift. The adult consultation rates for varicella remained low, however. The later age at which children of different ethnicities acquire varicella may be attributable to factors such as being born outside of the UK</w:t>
      </w:r>
      <w:r w:rsidR="00BA189A">
        <w:rPr>
          <w:rFonts w:asciiTheme="minorBidi" w:hAnsiTheme="minorBidi"/>
          <w:sz w:val="22"/>
        </w:rPr>
        <w:t xml:space="preserve"> </w:t>
      </w:r>
      <w:r w:rsidR="00BA189A" w:rsidRPr="008503E6">
        <w:rPr>
          <w:rFonts w:asciiTheme="minorBidi" w:hAnsiTheme="minorBidi"/>
          <w:sz w:val="22"/>
        </w:rPr>
        <w:t>delivery</w:t>
      </w:r>
      <w:r w:rsidR="00BA189A">
        <w:rPr>
          <w:rFonts w:asciiTheme="minorBidi" w:hAnsiTheme="minorBidi"/>
          <w:sz w:val="22"/>
        </w:rPr>
        <w:t xml:space="preserve"> (</w:t>
      </w:r>
      <w:r w:rsidR="00BA189A" w:rsidRPr="008503E6">
        <w:rPr>
          <w:rFonts w:asciiTheme="minorBidi" w:hAnsiTheme="minorBidi"/>
          <w:color w:val="222222"/>
          <w:sz w:val="22"/>
          <w:shd w:val="clear" w:color="auto" w:fill="FFFFFF"/>
        </w:rPr>
        <w:t>Lewis</w:t>
      </w:r>
      <w:r w:rsidR="00BA189A">
        <w:rPr>
          <w:rFonts w:asciiTheme="minorBidi" w:hAnsiTheme="minorBidi"/>
          <w:color w:val="222222"/>
          <w:sz w:val="22"/>
          <w:shd w:val="clear" w:color="auto" w:fill="FFFFFF"/>
        </w:rPr>
        <w:t xml:space="preserve"> et al.</w:t>
      </w:r>
      <w:r w:rsidR="00BA189A" w:rsidRPr="008503E6">
        <w:rPr>
          <w:rFonts w:asciiTheme="minorBidi" w:hAnsiTheme="minorBidi"/>
          <w:color w:val="222222"/>
          <w:sz w:val="22"/>
          <w:shd w:val="clear" w:color="auto" w:fill="FFFFFF"/>
        </w:rPr>
        <w:t>, 2005</w:t>
      </w:r>
      <w:r w:rsidR="00BA189A">
        <w:rPr>
          <w:rFonts w:asciiTheme="minorBidi" w:hAnsiTheme="minorBidi"/>
          <w:color w:val="222222"/>
          <w:sz w:val="22"/>
          <w:shd w:val="clear" w:color="auto" w:fill="FFFFFF"/>
        </w:rPr>
        <w:t>)</w:t>
      </w:r>
      <w:r w:rsidR="00BA189A">
        <w:rPr>
          <w:rFonts w:asciiTheme="minorBidi" w:hAnsiTheme="minorBidi"/>
          <w:sz w:val="22"/>
        </w:rPr>
        <w:t>.</w:t>
      </w:r>
      <w:r w:rsidRPr="008503E6">
        <w:rPr>
          <w:rFonts w:asciiTheme="minorBidi" w:hAnsiTheme="minorBidi"/>
          <w:sz w:val="22"/>
        </w:rPr>
        <w:t xml:space="preserve"> </w:t>
      </w:r>
      <w:r w:rsidR="00BA189A" w:rsidRPr="008503E6">
        <w:rPr>
          <w:rFonts w:asciiTheme="minorBidi" w:hAnsiTheme="minorBidi"/>
          <w:sz w:val="22"/>
        </w:rPr>
        <w:t>But</w:t>
      </w:r>
      <w:r w:rsidRPr="008503E6">
        <w:rPr>
          <w:rFonts w:asciiTheme="minorBidi" w:hAnsiTheme="minorBidi"/>
          <w:sz w:val="22"/>
        </w:rPr>
        <w:t xml:space="preserve"> it may also be the result of different mixing patterns during infancy and early childhood, such as lower daycare attendance.</w:t>
      </w:r>
    </w:p>
    <w:p w14:paraId="7588C9EB" w14:textId="77777777" w:rsidR="00A66FBB" w:rsidRPr="008503E6" w:rsidRDefault="00A66FBB" w:rsidP="00DF2ECB">
      <w:pPr>
        <w:pStyle w:val="Heading1"/>
        <w:rPr>
          <w:rFonts w:asciiTheme="minorBidi" w:hAnsiTheme="minorBidi" w:cstheme="minorBidi"/>
          <w:sz w:val="22"/>
          <w:szCs w:val="22"/>
        </w:rPr>
      </w:pPr>
      <w:bookmarkStart w:id="3" w:name="_Toc117527250"/>
      <w:r w:rsidRPr="008503E6">
        <w:rPr>
          <w:rFonts w:asciiTheme="minorBidi" w:hAnsiTheme="minorBidi" w:cstheme="minorBidi"/>
          <w:sz w:val="22"/>
          <w:szCs w:val="22"/>
        </w:rPr>
        <w:t>Strategies to monitor Chicken Pox</w:t>
      </w:r>
      <w:bookmarkEnd w:id="3"/>
    </w:p>
    <w:p w14:paraId="1BB72A98" w14:textId="77777777" w:rsidR="00DF2ECB" w:rsidRPr="008503E6" w:rsidRDefault="00EB68CE" w:rsidP="00DF2ECB">
      <w:pPr>
        <w:rPr>
          <w:rFonts w:asciiTheme="minorBidi" w:hAnsiTheme="minorBidi"/>
          <w:sz w:val="22"/>
        </w:rPr>
      </w:pPr>
      <w:r w:rsidRPr="008503E6">
        <w:rPr>
          <w:rFonts w:asciiTheme="minorBidi" w:hAnsiTheme="minorBidi"/>
          <w:sz w:val="22"/>
        </w:rPr>
        <w:t>Individuals</w:t>
      </w:r>
      <w:r w:rsidR="00DF2ECB" w:rsidRPr="008503E6">
        <w:rPr>
          <w:rFonts w:asciiTheme="minorBidi" w:hAnsiTheme="minorBidi"/>
          <w:sz w:val="22"/>
        </w:rPr>
        <w:t xml:space="preserve"> who are at a high risk of developing severe chickenpox are offered post exposure prophylaxis, also known as PEP. Those who are immunocompromised, as well as young infants in their first week of life and pregnant women, are included in this category</w:t>
      </w:r>
      <w:r w:rsidR="00BA189A">
        <w:rPr>
          <w:rFonts w:asciiTheme="minorBidi" w:hAnsiTheme="minorBidi"/>
          <w:sz w:val="22"/>
        </w:rPr>
        <w:t xml:space="preserve"> (Brisson et al., </w:t>
      </w:r>
      <w:r w:rsidR="00BA189A" w:rsidRPr="008503E6">
        <w:rPr>
          <w:rFonts w:asciiTheme="minorBidi" w:hAnsiTheme="minorBidi"/>
          <w:sz w:val="22"/>
        </w:rPr>
        <w:t>2001)</w:t>
      </w:r>
      <w:r w:rsidR="00DF2ECB" w:rsidRPr="008503E6">
        <w:rPr>
          <w:rFonts w:asciiTheme="minorBidi" w:hAnsiTheme="minorBidi"/>
          <w:sz w:val="22"/>
        </w:rPr>
        <w:t>.</w:t>
      </w:r>
    </w:p>
    <w:p w14:paraId="614C7D77" w14:textId="5A06D8E6" w:rsidR="00431464" w:rsidRPr="00431464" w:rsidRDefault="00DF2ECB" w:rsidP="00431464">
      <w:pPr>
        <w:rPr>
          <w:rFonts w:asciiTheme="minorBidi" w:hAnsiTheme="minorBidi"/>
          <w:sz w:val="22"/>
        </w:rPr>
      </w:pPr>
      <w:r w:rsidRPr="008503E6">
        <w:rPr>
          <w:rFonts w:asciiTheme="minorBidi" w:hAnsiTheme="minorBidi"/>
          <w:sz w:val="22"/>
        </w:rPr>
        <w:t xml:space="preserve">The government of the United Kingdom has implemented strategies to monitor chickenpox with particular risk groups in mind. Individuals with a compromised immune system make up one of these groups. In a recent observational study conducted in the United Kingdom (PEPtalk3), 105 </w:t>
      </w:r>
      <w:r w:rsidRPr="008503E6">
        <w:rPr>
          <w:rFonts w:asciiTheme="minorBidi" w:hAnsiTheme="minorBidi"/>
          <w:sz w:val="22"/>
        </w:rPr>
        <w:lastRenderedPageBreak/>
        <w:t xml:space="preserve">immunocompromised children with underlying diagnoses of haematology or oncology who were exposed to VZV and required PEP were evaluated. </w:t>
      </w:r>
      <w:r w:rsidR="00431464" w:rsidRPr="00431464">
        <w:rPr>
          <w:rFonts w:asciiTheme="minorBidi" w:hAnsiTheme="minorBidi"/>
          <w:sz w:val="22"/>
        </w:rPr>
        <w:t xml:space="preserve">87 of these </w:t>
      </w:r>
      <w:r w:rsidR="007B126D">
        <w:rPr>
          <w:rFonts w:asciiTheme="minorBidi" w:hAnsiTheme="minorBidi"/>
          <w:sz w:val="22"/>
        </w:rPr>
        <w:t>children</w:t>
      </w:r>
      <w:r w:rsidR="00431464" w:rsidRPr="00431464">
        <w:rPr>
          <w:rFonts w:asciiTheme="minorBidi" w:hAnsiTheme="minorBidi"/>
          <w:sz w:val="22"/>
        </w:rPr>
        <w:t xml:space="preserve"> received antiviral medication (aciclovir or valaciclovir), whereas 18 received VZIG (Millett et al., 2016). The Royal College of Paediatrics and Child Health issued the "Immunization of the Immunocompromised Child" recommendations in 2002. (RCPCH). This recommendation suggests providing aciclovir or VZIG as a viable therapy option to these patients.</w:t>
      </w:r>
    </w:p>
    <w:p w14:paraId="27744EF3" w14:textId="53BBE0D8" w:rsidR="00431464" w:rsidRPr="00431464" w:rsidRDefault="00431464" w:rsidP="00431464">
      <w:pPr>
        <w:rPr>
          <w:rFonts w:asciiTheme="minorBidi" w:hAnsiTheme="minorBidi"/>
          <w:sz w:val="22"/>
        </w:rPr>
      </w:pPr>
      <w:r w:rsidRPr="00431464">
        <w:rPr>
          <w:rFonts w:asciiTheme="minorBidi" w:hAnsiTheme="minorBidi"/>
          <w:sz w:val="22"/>
        </w:rPr>
        <w:t>PEP is advised for pregnant women for a variety of reasons, the two most significant of which are the attenuation of the severity of maternal disease and the reduction, at least theoretically, of the danger of foetal infection for women giving birth (Lewis et al., 2005). Information on the outcomes was acquired from 21 women who had been exposed and had IgG levels in a study that was conducted in Birmingham (UK). Given the information now available on aciclovir's safety, its effectiveness in avoiding clinical chickenpox in healthy and immunosuppressed contacts, and the comparatively poor efficacy of VZIG as PEP in pregnant women.</w:t>
      </w:r>
    </w:p>
    <w:p w14:paraId="2FF87BB3" w14:textId="340582BD" w:rsidR="00DF3B6C" w:rsidRPr="008503E6" w:rsidRDefault="00431464" w:rsidP="00431464">
      <w:pPr>
        <w:rPr>
          <w:rFonts w:asciiTheme="minorBidi" w:hAnsiTheme="minorBidi"/>
          <w:sz w:val="22"/>
        </w:rPr>
      </w:pPr>
      <w:r w:rsidRPr="00431464">
        <w:rPr>
          <w:rFonts w:asciiTheme="minorBidi" w:hAnsiTheme="minorBidi"/>
          <w:sz w:val="22"/>
        </w:rPr>
        <w:t>The second group at risk is comprised of infants and neonates (Brisson et al., 2001). The NHS states that although newborns (under one year old) may have a higher chance of developing a severe case of chickenpox, neonates in the first week of life are particularly vulnerable to life-threatening complications.</w:t>
      </w:r>
      <w:r w:rsidR="00DF2ECB" w:rsidRPr="008503E6">
        <w:rPr>
          <w:rFonts w:asciiTheme="minorBidi" w:hAnsiTheme="minorBidi"/>
          <w:sz w:val="22"/>
        </w:rPr>
        <w:t xml:space="preserve"> This is because neonates are more likely to have a compromised immune system. When conducting the risk assessment, a number of different factors need to be taken into consideration. These factors include the presence of maternal antibodies, the infant's premature birth, the timing of exposure, and whether or not the infant is still in the hospital.</w:t>
      </w:r>
    </w:p>
    <w:p w14:paraId="6AAE4F5A" w14:textId="77777777" w:rsidR="00DF3B6C" w:rsidRPr="008503E6" w:rsidRDefault="00DF3B6C" w:rsidP="00DF2ECB">
      <w:pPr>
        <w:pStyle w:val="Heading1"/>
        <w:rPr>
          <w:rFonts w:asciiTheme="minorBidi" w:hAnsiTheme="minorBidi" w:cstheme="minorBidi"/>
          <w:sz w:val="22"/>
          <w:szCs w:val="22"/>
        </w:rPr>
      </w:pPr>
      <w:bookmarkStart w:id="4" w:name="_Toc117527251"/>
      <w:r w:rsidRPr="008503E6">
        <w:rPr>
          <w:rFonts w:asciiTheme="minorBidi" w:hAnsiTheme="minorBidi" w:cstheme="minorBidi"/>
          <w:sz w:val="22"/>
          <w:szCs w:val="22"/>
        </w:rPr>
        <w:t>Strategies to control Chicken Pox in the UK</w:t>
      </w:r>
      <w:bookmarkEnd w:id="4"/>
    </w:p>
    <w:p w14:paraId="3C271AEB" w14:textId="7F9A63BF" w:rsidR="00DF2ECB" w:rsidRPr="006F526E" w:rsidRDefault="006F526E" w:rsidP="00DF2ECB">
      <w:pPr>
        <w:rPr>
          <w:rFonts w:asciiTheme="minorBidi" w:hAnsiTheme="minorBidi"/>
          <w:sz w:val="22"/>
        </w:rPr>
      </w:pPr>
      <w:r w:rsidRPr="006F526E">
        <w:rPr>
          <w:rFonts w:asciiTheme="minorBidi" w:hAnsiTheme="minorBidi"/>
          <w:sz w:val="22"/>
        </w:rPr>
        <w:t>In 1995, the FDA authorized a monovalent varicella vaccine that reduced the disease by 98% in children under 4</w:t>
      </w:r>
      <w:r>
        <w:rPr>
          <w:rFonts w:asciiTheme="minorBidi" w:hAnsiTheme="minorBidi"/>
          <w:sz w:val="22"/>
        </w:rPr>
        <w:t xml:space="preserve"> (</w:t>
      </w:r>
      <w:r>
        <w:rPr>
          <w:rFonts w:asciiTheme="minorBidi" w:hAnsiTheme="minorBidi"/>
          <w:color w:val="222222"/>
          <w:sz w:val="22"/>
          <w:shd w:val="clear" w:color="auto" w:fill="FFFFFF"/>
        </w:rPr>
        <w:t xml:space="preserve">Varela, Pinto and Scotta, </w:t>
      </w:r>
      <w:r w:rsidRPr="007C454C">
        <w:rPr>
          <w:rFonts w:asciiTheme="minorBidi" w:hAnsiTheme="minorBidi"/>
          <w:color w:val="222222"/>
          <w:sz w:val="22"/>
          <w:shd w:val="clear" w:color="auto" w:fill="FFFFFF"/>
        </w:rPr>
        <w:t>2019</w:t>
      </w:r>
      <w:r>
        <w:rPr>
          <w:rFonts w:asciiTheme="minorBidi" w:hAnsiTheme="minorBidi"/>
          <w:color w:val="222222"/>
          <w:sz w:val="22"/>
          <w:shd w:val="clear" w:color="auto" w:fill="FFFFFF"/>
        </w:rPr>
        <w:t>)</w:t>
      </w:r>
      <w:r w:rsidRPr="006F526E">
        <w:rPr>
          <w:rFonts w:asciiTheme="minorBidi" w:hAnsiTheme="minorBidi"/>
          <w:sz w:val="22"/>
        </w:rPr>
        <w:t>.</w:t>
      </w:r>
      <w:r w:rsidR="00DF2ECB" w:rsidRPr="008503E6">
        <w:rPr>
          <w:rFonts w:asciiTheme="minorBidi" w:hAnsiTheme="minorBidi"/>
          <w:sz w:val="22"/>
          <w:lang w:val="en-US"/>
        </w:rPr>
        <w:t xml:space="preserve"> In the UK, however, the vaccine is not given out by the NHS for ethical reasons that many people find controversial. Varicella can be prevented with two effective vaccines: Varivax and Varilrix. These weakened viruses might make you feel a little sick after getting the vaccine, but they will keep you from getting chickenpox. The vaccines prevent varicella disease 80–85% of the time and severe disease 95% of the time</w:t>
      </w:r>
      <w:r w:rsidR="004E110A">
        <w:rPr>
          <w:rFonts w:asciiTheme="minorBidi" w:hAnsiTheme="minorBidi"/>
          <w:sz w:val="22"/>
          <w:lang w:val="en-US"/>
        </w:rPr>
        <w:t xml:space="preserve"> </w:t>
      </w:r>
      <w:r w:rsidR="004E110A">
        <w:rPr>
          <w:rFonts w:asciiTheme="minorBidi" w:hAnsiTheme="minorBidi"/>
          <w:sz w:val="22"/>
        </w:rPr>
        <w:t>(</w:t>
      </w:r>
      <w:r w:rsidR="004E110A">
        <w:rPr>
          <w:rFonts w:asciiTheme="minorBidi" w:hAnsiTheme="minorBidi"/>
          <w:color w:val="222222"/>
          <w:sz w:val="22"/>
          <w:shd w:val="clear" w:color="auto" w:fill="FFFFFF"/>
        </w:rPr>
        <w:t>UK Health Security Agency,</w:t>
      </w:r>
      <w:r w:rsidR="004E110A" w:rsidRPr="008503E6">
        <w:rPr>
          <w:rFonts w:asciiTheme="minorBidi" w:hAnsiTheme="minorBidi"/>
          <w:color w:val="222222"/>
          <w:sz w:val="22"/>
          <w:shd w:val="clear" w:color="auto" w:fill="FFFFFF"/>
        </w:rPr>
        <w:t xml:space="preserve"> 20</w:t>
      </w:r>
      <w:r w:rsidR="004E110A">
        <w:rPr>
          <w:rFonts w:asciiTheme="minorBidi" w:hAnsiTheme="minorBidi"/>
          <w:color w:val="222222"/>
          <w:sz w:val="22"/>
          <w:shd w:val="clear" w:color="auto" w:fill="FFFFFF"/>
        </w:rPr>
        <w:t>22)</w:t>
      </w:r>
      <w:r w:rsidR="00DF2ECB" w:rsidRPr="008503E6">
        <w:rPr>
          <w:rFonts w:asciiTheme="minorBidi" w:hAnsiTheme="minorBidi"/>
          <w:sz w:val="22"/>
          <w:lang w:val="en-US"/>
        </w:rPr>
        <w:t>.</w:t>
      </w:r>
    </w:p>
    <w:p w14:paraId="43408070" w14:textId="77777777" w:rsidR="00DF2ECB" w:rsidRPr="008503E6" w:rsidRDefault="00DF2ECB" w:rsidP="00DF2ECB">
      <w:pPr>
        <w:rPr>
          <w:rFonts w:asciiTheme="minorBidi" w:hAnsiTheme="minorBidi"/>
          <w:b/>
          <w:bCs/>
          <w:i/>
          <w:iCs/>
          <w:sz w:val="22"/>
        </w:rPr>
      </w:pPr>
      <w:r w:rsidRPr="008503E6">
        <w:rPr>
          <w:rFonts w:asciiTheme="minorBidi" w:hAnsiTheme="minorBidi"/>
          <w:b/>
          <w:bCs/>
          <w:i/>
          <w:iCs/>
          <w:sz w:val="22"/>
        </w:rPr>
        <w:t>Vaccination strategies</w:t>
      </w:r>
    </w:p>
    <w:p w14:paraId="1C8C2514" w14:textId="77777777" w:rsidR="00DF2ECB" w:rsidRPr="008503E6" w:rsidRDefault="00DF2ECB" w:rsidP="00DF2ECB">
      <w:pPr>
        <w:rPr>
          <w:rFonts w:asciiTheme="minorBidi" w:hAnsiTheme="minorBidi"/>
          <w:sz w:val="22"/>
        </w:rPr>
      </w:pPr>
      <w:r w:rsidRPr="008503E6">
        <w:rPr>
          <w:rFonts w:asciiTheme="minorBidi" w:hAnsiTheme="minorBidi"/>
          <w:sz w:val="22"/>
        </w:rPr>
        <w:t>UK government taken the following strategies</w:t>
      </w:r>
    </w:p>
    <w:p w14:paraId="47772251" w14:textId="77777777" w:rsidR="00DF2ECB" w:rsidRPr="008503E6" w:rsidRDefault="00DF2ECB" w:rsidP="00DF2ECB">
      <w:pPr>
        <w:numPr>
          <w:ilvl w:val="0"/>
          <w:numId w:val="1"/>
        </w:numPr>
        <w:rPr>
          <w:rFonts w:asciiTheme="minorBidi" w:hAnsiTheme="minorBidi"/>
          <w:sz w:val="22"/>
          <w:lang w:val="en-US"/>
        </w:rPr>
      </w:pPr>
      <w:r w:rsidRPr="008503E6">
        <w:rPr>
          <w:rFonts w:asciiTheme="minorBidi" w:hAnsiTheme="minorBidi"/>
          <w:i/>
          <w:iCs/>
          <w:sz w:val="22"/>
          <w:lang w:val="en-US"/>
        </w:rPr>
        <w:t>Infant strategy</w:t>
      </w:r>
      <w:r w:rsidRPr="008503E6">
        <w:rPr>
          <w:rFonts w:asciiTheme="minorBidi" w:hAnsiTheme="minorBidi"/>
          <w:sz w:val="22"/>
          <w:lang w:val="en-US"/>
        </w:rPr>
        <w:t>: covered 90% coverage.</w:t>
      </w:r>
    </w:p>
    <w:p w14:paraId="406C6427" w14:textId="77777777" w:rsidR="00DF2ECB" w:rsidRPr="008503E6" w:rsidRDefault="00DF2ECB" w:rsidP="00DF2ECB">
      <w:pPr>
        <w:numPr>
          <w:ilvl w:val="0"/>
          <w:numId w:val="1"/>
        </w:numPr>
        <w:rPr>
          <w:rFonts w:asciiTheme="minorBidi" w:hAnsiTheme="minorBidi"/>
          <w:sz w:val="22"/>
          <w:lang w:val="en-US"/>
        </w:rPr>
      </w:pPr>
      <w:r w:rsidRPr="008503E6">
        <w:rPr>
          <w:rFonts w:asciiTheme="minorBidi" w:hAnsiTheme="minorBidi"/>
          <w:i/>
          <w:iCs/>
          <w:sz w:val="22"/>
          <w:lang w:val="en-US"/>
        </w:rPr>
        <w:lastRenderedPageBreak/>
        <w:t>Catch-up strategy</w:t>
      </w:r>
      <w:r w:rsidRPr="008503E6">
        <w:rPr>
          <w:rFonts w:asciiTheme="minorBidi" w:hAnsiTheme="minorBidi"/>
          <w:sz w:val="22"/>
          <w:lang w:val="en-US"/>
        </w:rPr>
        <w:t>: covered 80% coverage (2–11 year olds in the first year)</w:t>
      </w:r>
    </w:p>
    <w:p w14:paraId="194B0722" w14:textId="77777777" w:rsidR="00DF2ECB" w:rsidRPr="008503E6" w:rsidRDefault="00DF2ECB" w:rsidP="00DF2ECB">
      <w:pPr>
        <w:numPr>
          <w:ilvl w:val="0"/>
          <w:numId w:val="1"/>
        </w:numPr>
        <w:rPr>
          <w:rFonts w:asciiTheme="minorBidi" w:hAnsiTheme="minorBidi"/>
          <w:sz w:val="22"/>
          <w:lang w:val="en-US"/>
        </w:rPr>
      </w:pPr>
      <w:r w:rsidRPr="008503E6">
        <w:rPr>
          <w:rFonts w:asciiTheme="minorBidi" w:hAnsiTheme="minorBidi"/>
          <w:i/>
          <w:iCs/>
          <w:sz w:val="22"/>
          <w:lang w:val="en-US"/>
        </w:rPr>
        <w:t>Adolescent strategy</w:t>
      </w:r>
      <w:r w:rsidRPr="008503E6">
        <w:rPr>
          <w:rFonts w:asciiTheme="minorBidi" w:hAnsiTheme="minorBidi"/>
          <w:sz w:val="22"/>
          <w:lang w:val="en-US"/>
        </w:rPr>
        <w:t>: covered 80% coverage of 11 year old susceptible</w:t>
      </w:r>
    </w:p>
    <w:p w14:paraId="6E5D6A75" w14:textId="5BE3C371" w:rsidR="00DF2ECB" w:rsidRPr="008503E6" w:rsidRDefault="00DF2ECB" w:rsidP="00DF2ECB">
      <w:pPr>
        <w:rPr>
          <w:rFonts w:asciiTheme="minorBidi" w:hAnsiTheme="minorBidi"/>
          <w:sz w:val="22"/>
        </w:rPr>
      </w:pPr>
      <w:r w:rsidRPr="008503E6">
        <w:rPr>
          <w:rFonts w:asciiTheme="minorBidi" w:hAnsiTheme="minorBidi"/>
          <w:sz w:val="22"/>
        </w:rPr>
        <w:t xml:space="preserve">The vast majority of British </w:t>
      </w:r>
      <w:r w:rsidR="007B126D">
        <w:rPr>
          <w:rFonts w:asciiTheme="minorBidi" w:hAnsiTheme="minorBidi"/>
          <w:sz w:val="22"/>
        </w:rPr>
        <w:t>children</w:t>
      </w:r>
      <w:r w:rsidRPr="008503E6">
        <w:rPr>
          <w:rFonts w:asciiTheme="minorBidi" w:hAnsiTheme="minorBidi"/>
          <w:sz w:val="22"/>
        </w:rPr>
        <w:t xml:space="preserve"> have already gotten their recommended childhood vaccines. There was an improvement in coverage from 2018–19 to 2019–20, with full vaccination rates at five years rising to 95.2% in 2019–20 from 95% in 2018–19</w:t>
      </w:r>
      <w:r w:rsidR="00BA189A">
        <w:rPr>
          <w:rFonts w:asciiTheme="minorBidi" w:hAnsiTheme="minorBidi"/>
          <w:sz w:val="22"/>
        </w:rPr>
        <w:t xml:space="preserve"> (</w:t>
      </w:r>
      <w:r w:rsidR="006E7155">
        <w:rPr>
          <w:rFonts w:asciiTheme="minorBidi" w:hAnsiTheme="minorBidi"/>
          <w:color w:val="222222"/>
          <w:sz w:val="22"/>
          <w:shd w:val="clear" w:color="auto" w:fill="FFFFFF"/>
        </w:rPr>
        <w:t>UK Health Security Agency</w:t>
      </w:r>
      <w:r w:rsidR="00BA189A">
        <w:rPr>
          <w:rFonts w:asciiTheme="minorBidi" w:hAnsiTheme="minorBidi"/>
          <w:color w:val="222222"/>
          <w:sz w:val="22"/>
          <w:shd w:val="clear" w:color="auto" w:fill="FFFFFF"/>
        </w:rPr>
        <w:t>,</w:t>
      </w:r>
      <w:r w:rsidR="00BA189A" w:rsidRPr="008503E6">
        <w:rPr>
          <w:rFonts w:asciiTheme="minorBidi" w:hAnsiTheme="minorBidi"/>
          <w:color w:val="222222"/>
          <w:sz w:val="22"/>
          <w:shd w:val="clear" w:color="auto" w:fill="FFFFFF"/>
        </w:rPr>
        <w:t xml:space="preserve"> 20</w:t>
      </w:r>
      <w:r w:rsidR="006E7155">
        <w:rPr>
          <w:rFonts w:asciiTheme="minorBidi" w:hAnsiTheme="minorBidi"/>
          <w:color w:val="222222"/>
          <w:sz w:val="22"/>
          <w:shd w:val="clear" w:color="auto" w:fill="FFFFFF"/>
        </w:rPr>
        <w:t>22</w:t>
      </w:r>
      <w:r w:rsidR="00BA189A">
        <w:rPr>
          <w:rFonts w:asciiTheme="minorBidi" w:hAnsiTheme="minorBidi"/>
          <w:color w:val="222222"/>
          <w:sz w:val="22"/>
          <w:shd w:val="clear" w:color="auto" w:fill="FFFFFF"/>
        </w:rPr>
        <w:t>)</w:t>
      </w:r>
      <w:r w:rsidRPr="008503E6">
        <w:rPr>
          <w:rFonts w:asciiTheme="minorBidi" w:hAnsiTheme="minorBidi"/>
          <w:sz w:val="22"/>
        </w:rPr>
        <w:t>. Therefore, it is exceedingly implausible that parents in the United Kingdom would refuse the chickenpox vaccine while agreeing to all the others.</w:t>
      </w:r>
    </w:p>
    <w:p w14:paraId="10C9F2CF" w14:textId="77777777" w:rsidR="00DF2ECB" w:rsidRDefault="00DF2ECB" w:rsidP="00BA189A">
      <w:pPr>
        <w:rPr>
          <w:rFonts w:asciiTheme="minorBidi" w:hAnsiTheme="minorBidi"/>
          <w:sz w:val="22"/>
        </w:rPr>
      </w:pPr>
      <w:r w:rsidRPr="008503E6">
        <w:rPr>
          <w:rFonts w:asciiTheme="minorBidi" w:hAnsiTheme="minorBidi"/>
          <w:sz w:val="22"/>
        </w:rPr>
        <w:t>Antiviral medicine is now the post exposure treatment of choice for all immunosuppressed patients and pregnant women. For PEP, VZIG is only advised for newborns who were exposed within the first week of life, either in utero from mother infection or after delivery</w:t>
      </w:r>
      <w:r w:rsidR="00BA189A">
        <w:rPr>
          <w:rFonts w:asciiTheme="minorBidi" w:hAnsiTheme="minorBidi"/>
          <w:sz w:val="22"/>
        </w:rPr>
        <w:t xml:space="preserve"> (</w:t>
      </w:r>
      <w:r w:rsidR="00BA189A" w:rsidRPr="008503E6">
        <w:rPr>
          <w:rFonts w:asciiTheme="minorBidi" w:hAnsiTheme="minorBidi"/>
          <w:color w:val="222222"/>
          <w:sz w:val="22"/>
          <w:shd w:val="clear" w:color="auto" w:fill="FFFFFF"/>
        </w:rPr>
        <w:t>Lewis</w:t>
      </w:r>
      <w:r w:rsidR="00BA189A">
        <w:rPr>
          <w:rFonts w:asciiTheme="minorBidi" w:hAnsiTheme="minorBidi"/>
          <w:color w:val="222222"/>
          <w:sz w:val="22"/>
          <w:shd w:val="clear" w:color="auto" w:fill="FFFFFF"/>
        </w:rPr>
        <w:t xml:space="preserve"> et al.</w:t>
      </w:r>
      <w:r w:rsidR="00BA189A" w:rsidRPr="008503E6">
        <w:rPr>
          <w:rFonts w:asciiTheme="minorBidi" w:hAnsiTheme="minorBidi"/>
          <w:color w:val="222222"/>
          <w:sz w:val="22"/>
          <w:shd w:val="clear" w:color="auto" w:fill="FFFFFF"/>
        </w:rPr>
        <w:t>, 2005</w:t>
      </w:r>
      <w:r w:rsidR="00BA189A">
        <w:rPr>
          <w:rFonts w:asciiTheme="minorBidi" w:hAnsiTheme="minorBidi"/>
          <w:color w:val="222222"/>
          <w:sz w:val="22"/>
          <w:shd w:val="clear" w:color="auto" w:fill="FFFFFF"/>
        </w:rPr>
        <w:t>)</w:t>
      </w:r>
      <w:r w:rsidRPr="008503E6">
        <w:rPr>
          <w:rFonts w:asciiTheme="minorBidi" w:hAnsiTheme="minorBidi"/>
          <w:sz w:val="22"/>
        </w:rPr>
        <w:t>. Oral antivirals are not recommended for patients younger than 4 weeks of age, or for those who have malabsorption issues or renal toxicity.</w:t>
      </w:r>
    </w:p>
    <w:p w14:paraId="656EB2A6" w14:textId="77777777" w:rsidR="005D551A" w:rsidRPr="008503E6" w:rsidRDefault="005D551A" w:rsidP="00DF2ECB">
      <w:pPr>
        <w:pStyle w:val="Heading1"/>
        <w:rPr>
          <w:rFonts w:asciiTheme="minorBidi" w:hAnsiTheme="minorBidi" w:cstheme="minorBidi"/>
          <w:sz w:val="22"/>
          <w:szCs w:val="22"/>
          <w:lang w:val="en-US"/>
        </w:rPr>
      </w:pPr>
      <w:bookmarkStart w:id="5" w:name="_Toc117527252"/>
      <w:r w:rsidRPr="008503E6">
        <w:rPr>
          <w:rFonts w:asciiTheme="minorBidi" w:hAnsiTheme="minorBidi" w:cstheme="minorBidi"/>
          <w:sz w:val="22"/>
          <w:szCs w:val="22"/>
          <w:lang w:val="en-US"/>
        </w:rPr>
        <w:t>Conclusion</w:t>
      </w:r>
      <w:bookmarkEnd w:id="5"/>
    </w:p>
    <w:p w14:paraId="62C86EC8" w14:textId="77777777" w:rsidR="00DF2ECB" w:rsidRPr="008503E6" w:rsidRDefault="00DF2ECB" w:rsidP="007C454C">
      <w:pPr>
        <w:rPr>
          <w:rFonts w:asciiTheme="minorBidi" w:hAnsiTheme="minorBidi"/>
          <w:sz w:val="22"/>
        </w:rPr>
      </w:pPr>
      <w:r w:rsidRPr="008503E6">
        <w:rPr>
          <w:rFonts w:asciiTheme="minorBidi" w:hAnsiTheme="minorBidi"/>
          <w:sz w:val="22"/>
        </w:rPr>
        <w:t>The increase in zoster after vaccination depends on how well the vaccine prevents varicella and how long exposure to VZV keeps people from getting zoster. Now, there is more and more pressure on the UK government to add a vaccine f</w:t>
      </w:r>
      <w:r w:rsidR="007C454C">
        <w:rPr>
          <w:rFonts w:asciiTheme="minorBidi" w:hAnsiTheme="minorBidi"/>
          <w:sz w:val="22"/>
        </w:rPr>
        <w:t>or varicella to the NHS program</w:t>
      </w:r>
      <w:r w:rsidRPr="008503E6">
        <w:rPr>
          <w:rFonts w:asciiTheme="minorBidi" w:hAnsiTheme="minorBidi"/>
          <w:sz w:val="22"/>
        </w:rPr>
        <w:t>. However, the Covid-19 pandemic stopped the discussion in its tracks. Vaccination experts in the UK and around the world are having a hard time deciding whether or not children should be vaccinated against Covid-19. Many people hope that they will soon start to work on chickenpox as well, which would put an end to the "pox party" for good.</w:t>
      </w:r>
    </w:p>
    <w:p w14:paraId="3E4EDEC0" w14:textId="77777777" w:rsidR="00DF2ECB" w:rsidRPr="008503E6" w:rsidRDefault="00DF2ECB">
      <w:pPr>
        <w:spacing w:line="259" w:lineRule="auto"/>
        <w:jc w:val="left"/>
        <w:rPr>
          <w:rFonts w:asciiTheme="minorBidi" w:hAnsiTheme="minorBidi"/>
          <w:sz w:val="22"/>
        </w:rPr>
      </w:pPr>
      <w:r w:rsidRPr="008503E6">
        <w:rPr>
          <w:rFonts w:asciiTheme="minorBidi" w:hAnsiTheme="minorBidi"/>
          <w:sz w:val="22"/>
        </w:rPr>
        <w:br w:type="page"/>
      </w:r>
    </w:p>
    <w:p w14:paraId="72C43B65" w14:textId="77777777" w:rsidR="00DF2ECB" w:rsidRPr="008503E6" w:rsidRDefault="00DF2ECB" w:rsidP="00DF2ECB">
      <w:pPr>
        <w:pStyle w:val="Heading1"/>
        <w:rPr>
          <w:rFonts w:asciiTheme="minorBidi" w:hAnsiTheme="minorBidi" w:cstheme="minorBidi"/>
          <w:sz w:val="22"/>
          <w:szCs w:val="22"/>
        </w:rPr>
      </w:pPr>
      <w:bookmarkStart w:id="6" w:name="_Toc117527253"/>
      <w:r w:rsidRPr="008503E6">
        <w:rPr>
          <w:rFonts w:asciiTheme="minorBidi" w:hAnsiTheme="minorBidi" w:cstheme="minorBidi"/>
          <w:sz w:val="22"/>
          <w:szCs w:val="22"/>
        </w:rPr>
        <w:lastRenderedPageBreak/>
        <w:t>Reference</w:t>
      </w:r>
      <w:bookmarkEnd w:id="6"/>
    </w:p>
    <w:p w14:paraId="5A6F49F6" w14:textId="77777777" w:rsidR="004E110A" w:rsidRPr="004E110A" w:rsidRDefault="004E110A" w:rsidP="009D459F">
      <w:pPr>
        <w:rPr>
          <w:rFonts w:ascii="Arial" w:hAnsi="Arial" w:cs="Arial"/>
          <w:color w:val="222222"/>
          <w:sz w:val="22"/>
          <w:shd w:val="clear" w:color="auto" w:fill="FFFFFF"/>
        </w:rPr>
      </w:pPr>
      <w:r w:rsidRPr="004E110A">
        <w:rPr>
          <w:rFonts w:ascii="Arial" w:hAnsi="Arial" w:cs="Arial"/>
          <w:color w:val="222222"/>
          <w:sz w:val="22"/>
          <w:shd w:val="clear" w:color="auto" w:fill="FFFFFF"/>
        </w:rPr>
        <w:t>Brisson, M., Edmunds, W.J., Law, B., Gay, N.J., Walld, R., Brownell, M., Roos, L.L. and De Serres, G., (2001) Epidemiology of varicella zoster virus infection in Canada and the United Kingdom. </w:t>
      </w:r>
      <w:r w:rsidRPr="004E110A">
        <w:rPr>
          <w:rFonts w:ascii="Arial" w:hAnsi="Arial" w:cs="Arial"/>
          <w:i/>
          <w:iCs/>
          <w:color w:val="222222"/>
          <w:sz w:val="22"/>
          <w:shd w:val="clear" w:color="auto" w:fill="FFFFFF"/>
        </w:rPr>
        <w:t>Epidemiology &amp; Infection</w:t>
      </w:r>
      <w:r w:rsidRPr="004E110A">
        <w:rPr>
          <w:rFonts w:ascii="Arial" w:hAnsi="Arial" w:cs="Arial"/>
          <w:color w:val="222222"/>
          <w:sz w:val="22"/>
          <w:shd w:val="clear" w:color="auto" w:fill="FFFFFF"/>
        </w:rPr>
        <w:t>, </w:t>
      </w:r>
      <w:r w:rsidRPr="004E110A">
        <w:rPr>
          <w:rFonts w:ascii="Arial" w:hAnsi="Arial" w:cs="Arial"/>
          <w:i/>
          <w:iCs/>
          <w:color w:val="222222"/>
          <w:sz w:val="22"/>
          <w:shd w:val="clear" w:color="auto" w:fill="FFFFFF"/>
        </w:rPr>
        <w:t>127</w:t>
      </w:r>
      <w:r w:rsidRPr="004E110A">
        <w:rPr>
          <w:rFonts w:ascii="Arial" w:hAnsi="Arial" w:cs="Arial"/>
          <w:color w:val="222222"/>
          <w:sz w:val="22"/>
          <w:shd w:val="clear" w:color="auto" w:fill="FFFFFF"/>
        </w:rPr>
        <w:t>(2), pp.305-314.</w:t>
      </w:r>
    </w:p>
    <w:p w14:paraId="7A7549C4" w14:textId="77777777" w:rsidR="004E110A" w:rsidRPr="004E110A" w:rsidRDefault="004E110A" w:rsidP="009D459F">
      <w:pPr>
        <w:rPr>
          <w:rFonts w:ascii="Arial" w:hAnsi="Arial" w:cs="Arial"/>
          <w:color w:val="222222"/>
          <w:sz w:val="22"/>
          <w:shd w:val="clear" w:color="auto" w:fill="FFFFFF"/>
        </w:rPr>
      </w:pPr>
      <w:r w:rsidRPr="004E110A">
        <w:rPr>
          <w:rFonts w:ascii="Arial" w:hAnsi="Arial" w:cs="Arial"/>
          <w:color w:val="222222"/>
          <w:sz w:val="22"/>
          <w:shd w:val="clear" w:color="auto" w:fill="FFFFFF"/>
        </w:rPr>
        <w:t>Lewis, J.D., Bilker, W.B., Weinstein, R.B. and Strom, B.L., (2005) The relationship between time since registration and measured incidence rates in the General Practice Research Database. </w:t>
      </w:r>
      <w:r w:rsidRPr="004E110A">
        <w:rPr>
          <w:rFonts w:ascii="Arial" w:hAnsi="Arial" w:cs="Arial"/>
          <w:i/>
          <w:iCs/>
          <w:color w:val="222222"/>
          <w:sz w:val="22"/>
          <w:shd w:val="clear" w:color="auto" w:fill="FFFFFF"/>
        </w:rPr>
        <w:t>Pharmacoepidemiology and drug safety</w:t>
      </w:r>
      <w:r w:rsidRPr="004E110A">
        <w:rPr>
          <w:rFonts w:ascii="Arial" w:hAnsi="Arial" w:cs="Arial"/>
          <w:color w:val="222222"/>
          <w:sz w:val="22"/>
          <w:shd w:val="clear" w:color="auto" w:fill="FFFFFF"/>
        </w:rPr>
        <w:t>, </w:t>
      </w:r>
      <w:r w:rsidRPr="004E110A">
        <w:rPr>
          <w:rFonts w:ascii="Arial" w:hAnsi="Arial" w:cs="Arial"/>
          <w:i/>
          <w:iCs/>
          <w:color w:val="222222"/>
          <w:sz w:val="22"/>
          <w:shd w:val="clear" w:color="auto" w:fill="FFFFFF"/>
        </w:rPr>
        <w:t>14</w:t>
      </w:r>
      <w:r w:rsidRPr="004E110A">
        <w:rPr>
          <w:rFonts w:ascii="Arial" w:hAnsi="Arial" w:cs="Arial"/>
          <w:color w:val="222222"/>
          <w:sz w:val="22"/>
          <w:shd w:val="clear" w:color="auto" w:fill="FFFFFF"/>
        </w:rPr>
        <w:t>(7), pp.443-451.</w:t>
      </w:r>
    </w:p>
    <w:p w14:paraId="009BD786" w14:textId="77777777" w:rsidR="004E110A" w:rsidRPr="004E110A" w:rsidRDefault="004E110A" w:rsidP="009D459F">
      <w:pPr>
        <w:rPr>
          <w:rFonts w:ascii="Arial" w:hAnsi="Arial" w:cs="Arial"/>
          <w:color w:val="222222"/>
          <w:sz w:val="22"/>
          <w:shd w:val="clear" w:color="auto" w:fill="FFFFFF"/>
        </w:rPr>
      </w:pPr>
      <w:r w:rsidRPr="004E110A">
        <w:rPr>
          <w:rFonts w:ascii="Arial" w:hAnsi="Arial" w:cs="Arial"/>
          <w:color w:val="222222"/>
          <w:sz w:val="22"/>
          <w:shd w:val="clear" w:color="auto" w:fill="FFFFFF"/>
        </w:rPr>
        <w:t>Millett, E.R., Quint, J.K., De Stavola, B.L., Smeeth, L. and Thomas, S.L., (2016) Improved incidence estimates from linked vs. stand-alone electronic health records. </w:t>
      </w:r>
      <w:r w:rsidRPr="004E110A">
        <w:rPr>
          <w:rFonts w:ascii="Arial" w:hAnsi="Arial" w:cs="Arial"/>
          <w:i/>
          <w:iCs/>
          <w:color w:val="222222"/>
          <w:sz w:val="22"/>
          <w:shd w:val="clear" w:color="auto" w:fill="FFFFFF"/>
        </w:rPr>
        <w:t>Journal of clinical epidemiology</w:t>
      </w:r>
      <w:r w:rsidRPr="004E110A">
        <w:rPr>
          <w:rFonts w:ascii="Arial" w:hAnsi="Arial" w:cs="Arial"/>
          <w:color w:val="222222"/>
          <w:sz w:val="22"/>
          <w:shd w:val="clear" w:color="auto" w:fill="FFFFFF"/>
        </w:rPr>
        <w:t>, </w:t>
      </w:r>
      <w:r w:rsidRPr="004E110A">
        <w:rPr>
          <w:rFonts w:ascii="Arial" w:hAnsi="Arial" w:cs="Arial"/>
          <w:i/>
          <w:iCs/>
          <w:color w:val="222222"/>
          <w:sz w:val="22"/>
          <w:shd w:val="clear" w:color="auto" w:fill="FFFFFF"/>
        </w:rPr>
        <w:t>75</w:t>
      </w:r>
      <w:r w:rsidRPr="004E110A">
        <w:rPr>
          <w:rFonts w:ascii="Arial" w:hAnsi="Arial" w:cs="Arial"/>
          <w:color w:val="222222"/>
          <w:sz w:val="22"/>
          <w:shd w:val="clear" w:color="auto" w:fill="FFFFFF"/>
        </w:rPr>
        <w:t>, pp.66-69.</w:t>
      </w:r>
    </w:p>
    <w:p w14:paraId="75A7D1C5" w14:textId="77777777" w:rsidR="004E110A" w:rsidRPr="004E110A" w:rsidRDefault="004E110A" w:rsidP="009D459F">
      <w:pPr>
        <w:rPr>
          <w:rFonts w:ascii="Arial" w:hAnsi="Arial" w:cs="Arial"/>
          <w:color w:val="222222"/>
          <w:sz w:val="22"/>
          <w:shd w:val="clear" w:color="auto" w:fill="FFFFFF"/>
        </w:rPr>
      </w:pPr>
      <w:r w:rsidRPr="004E110A">
        <w:rPr>
          <w:rFonts w:ascii="Arial" w:hAnsi="Arial" w:cs="Arial"/>
          <w:color w:val="222222"/>
          <w:sz w:val="22"/>
          <w:shd w:val="clear" w:color="auto" w:fill="FFFFFF"/>
        </w:rPr>
        <w:t xml:space="preserve">UK Health Security Agency. (2022) </w:t>
      </w:r>
      <w:r w:rsidRPr="004E110A">
        <w:rPr>
          <w:rFonts w:ascii="Arial" w:hAnsi="Arial" w:cs="Arial"/>
          <w:sz w:val="22"/>
        </w:rPr>
        <w:t xml:space="preserve">Guidelines on post exposure prophylaxis (PEP) for varicella/shingles. [online] gov.uk. Available at: </w:t>
      </w:r>
      <w:hyperlink r:id="rId8" w:history="1">
        <w:r w:rsidRPr="004E110A">
          <w:rPr>
            <w:rStyle w:val="Hyperlink"/>
            <w:rFonts w:ascii="Arial" w:hAnsi="Arial" w:cs="Arial"/>
            <w:sz w:val="22"/>
          </w:rPr>
          <w:t>https://assets.publishing.service.gov.uk/government/uploads/system/uploads/attachment_data/file/1073013/UKHSA_guidelines_on_VZ_post_exposure_prophylaxis.pdf?cv=1</w:t>
        </w:r>
      </w:hyperlink>
      <w:r w:rsidRPr="004E110A">
        <w:rPr>
          <w:rFonts w:ascii="Arial" w:hAnsi="Arial" w:cs="Arial"/>
          <w:sz w:val="22"/>
        </w:rPr>
        <w:t xml:space="preserve"> [Accessed 25 October 2022]</w:t>
      </w:r>
    </w:p>
    <w:p w14:paraId="42276535" w14:textId="77777777" w:rsidR="004E110A" w:rsidRPr="004E110A" w:rsidRDefault="004E110A" w:rsidP="009D459F">
      <w:pPr>
        <w:rPr>
          <w:rFonts w:ascii="Arial" w:hAnsi="Arial" w:cs="Arial"/>
          <w:color w:val="222222"/>
          <w:sz w:val="22"/>
          <w:shd w:val="clear" w:color="auto" w:fill="FFFFFF"/>
        </w:rPr>
      </w:pPr>
      <w:r w:rsidRPr="004E110A">
        <w:rPr>
          <w:rFonts w:ascii="Arial" w:hAnsi="Arial" w:cs="Arial"/>
          <w:color w:val="222222"/>
          <w:sz w:val="22"/>
          <w:shd w:val="clear" w:color="auto" w:fill="FFFFFF"/>
        </w:rPr>
        <w:t>Varela, F.H., Pinto, L.A. and Scotta, M.C., (2019) Global impact of varicella vaccination programs. Human vaccines &amp; immunotherapeutics, 15(3), pp.645-657.</w:t>
      </w:r>
    </w:p>
    <w:p w14:paraId="7C62842F" w14:textId="77777777" w:rsidR="004E110A" w:rsidRPr="004E110A" w:rsidRDefault="004E110A" w:rsidP="009D459F">
      <w:pPr>
        <w:rPr>
          <w:rFonts w:ascii="Arial" w:hAnsi="Arial" w:cs="Arial"/>
          <w:color w:val="222222"/>
          <w:sz w:val="22"/>
          <w:shd w:val="clear" w:color="auto" w:fill="FFFFFF"/>
        </w:rPr>
      </w:pPr>
      <w:r w:rsidRPr="004E110A">
        <w:rPr>
          <w:rFonts w:ascii="Arial" w:hAnsi="Arial" w:cs="Arial"/>
          <w:color w:val="222222"/>
          <w:sz w:val="22"/>
          <w:shd w:val="clear" w:color="auto" w:fill="FFFFFF"/>
        </w:rPr>
        <w:t>Walker, J.L., Andrews, N.J., Mathur, R., Smeeth, L. and Thomas, S.L., 2017. Trends in the burden of varicella in UK general practice. </w:t>
      </w:r>
      <w:r w:rsidRPr="004E110A">
        <w:rPr>
          <w:rFonts w:ascii="Arial" w:hAnsi="Arial" w:cs="Arial"/>
          <w:i/>
          <w:iCs/>
          <w:color w:val="222222"/>
          <w:sz w:val="22"/>
          <w:shd w:val="clear" w:color="auto" w:fill="FFFFFF"/>
        </w:rPr>
        <w:t>Epidemiology &amp; Infection</w:t>
      </w:r>
      <w:r w:rsidRPr="004E110A">
        <w:rPr>
          <w:rFonts w:ascii="Arial" w:hAnsi="Arial" w:cs="Arial"/>
          <w:color w:val="222222"/>
          <w:sz w:val="22"/>
          <w:shd w:val="clear" w:color="auto" w:fill="FFFFFF"/>
        </w:rPr>
        <w:t>, </w:t>
      </w:r>
      <w:r w:rsidRPr="004E110A">
        <w:rPr>
          <w:rFonts w:ascii="Arial" w:hAnsi="Arial" w:cs="Arial"/>
          <w:i/>
          <w:iCs/>
          <w:color w:val="222222"/>
          <w:sz w:val="22"/>
          <w:shd w:val="clear" w:color="auto" w:fill="FFFFFF"/>
        </w:rPr>
        <w:t>145</w:t>
      </w:r>
      <w:r w:rsidRPr="004E110A">
        <w:rPr>
          <w:rFonts w:ascii="Arial" w:hAnsi="Arial" w:cs="Arial"/>
          <w:color w:val="222222"/>
          <w:sz w:val="22"/>
          <w:shd w:val="clear" w:color="auto" w:fill="FFFFFF"/>
        </w:rPr>
        <w:t>(13), pp.2678-2682.</w:t>
      </w:r>
    </w:p>
    <w:p w14:paraId="071CFB70" w14:textId="77777777" w:rsidR="00DF2ECB" w:rsidRPr="008503E6" w:rsidRDefault="00DF2ECB" w:rsidP="00DF2ECB">
      <w:pPr>
        <w:rPr>
          <w:rFonts w:asciiTheme="minorBidi" w:hAnsiTheme="minorBidi"/>
          <w:sz w:val="22"/>
        </w:rPr>
      </w:pPr>
    </w:p>
    <w:p w14:paraId="7DE69F19" w14:textId="77777777" w:rsidR="005D551A" w:rsidRPr="008503E6" w:rsidRDefault="005D551A" w:rsidP="00DF3B6C">
      <w:pPr>
        <w:rPr>
          <w:rFonts w:asciiTheme="minorBidi" w:hAnsiTheme="minorBidi"/>
          <w:sz w:val="22"/>
        </w:rPr>
      </w:pPr>
    </w:p>
    <w:sectPr w:rsidR="005D551A" w:rsidRPr="008503E6">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A5DEC2" w14:textId="77777777" w:rsidR="00DF1345" w:rsidRDefault="00DF1345" w:rsidP="00DF2ECB">
      <w:pPr>
        <w:spacing w:after="0" w:line="240" w:lineRule="auto"/>
      </w:pPr>
      <w:r>
        <w:separator/>
      </w:r>
    </w:p>
  </w:endnote>
  <w:endnote w:type="continuationSeparator" w:id="0">
    <w:p w14:paraId="101BF18A" w14:textId="77777777" w:rsidR="00DF1345" w:rsidRDefault="00DF1345" w:rsidP="00DF2E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34680"/>
      <w:docPartObj>
        <w:docPartGallery w:val="Page Numbers (Bottom of Page)"/>
        <w:docPartUnique/>
      </w:docPartObj>
    </w:sdtPr>
    <w:sdtEndPr>
      <w:rPr>
        <w:noProof/>
      </w:rPr>
    </w:sdtEndPr>
    <w:sdtContent>
      <w:p w14:paraId="5111F99D" w14:textId="28049AA4" w:rsidR="00DF2ECB" w:rsidRDefault="00DF2ECB">
        <w:pPr>
          <w:pStyle w:val="Footer"/>
          <w:jc w:val="center"/>
        </w:pPr>
        <w:r>
          <w:fldChar w:fldCharType="begin"/>
        </w:r>
        <w:r>
          <w:instrText xml:space="preserve"> PAGE   \* MERGEFORMAT </w:instrText>
        </w:r>
        <w:r>
          <w:fldChar w:fldCharType="separate"/>
        </w:r>
        <w:r w:rsidR="00F1614A">
          <w:rPr>
            <w:noProof/>
          </w:rPr>
          <w:t>1</w:t>
        </w:r>
        <w:r>
          <w:rPr>
            <w:noProof/>
          </w:rPr>
          <w:fldChar w:fldCharType="end"/>
        </w:r>
      </w:p>
    </w:sdtContent>
  </w:sdt>
  <w:p w14:paraId="39A1CEFB" w14:textId="77777777" w:rsidR="00DF2ECB" w:rsidRDefault="00DF2EC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BF0E88" w14:textId="77777777" w:rsidR="00DF1345" w:rsidRDefault="00DF1345" w:rsidP="00DF2ECB">
      <w:pPr>
        <w:spacing w:after="0" w:line="240" w:lineRule="auto"/>
      </w:pPr>
      <w:r>
        <w:separator/>
      </w:r>
    </w:p>
  </w:footnote>
  <w:footnote w:type="continuationSeparator" w:id="0">
    <w:p w14:paraId="48FD3048" w14:textId="77777777" w:rsidR="00DF1345" w:rsidRDefault="00DF1345" w:rsidP="00DF2E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D46206"/>
    <w:multiLevelType w:val="hybridMultilevel"/>
    <w:tmpl w:val="A8A40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679305E"/>
    <w:multiLevelType w:val="multilevel"/>
    <w:tmpl w:val="6AD60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55076CD"/>
    <w:multiLevelType w:val="hybridMultilevel"/>
    <w:tmpl w:val="D5969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DQwtzQytTS1tDAwszRR0lEKTi0uzszPAykwrAUAVvUsviwAAAA="/>
  </w:docVars>
  <w:rsids>
    <w:rsidRoot w:val="00DF3B6C"/>
    <w:rsid w:val="00040D0F"/>
    <w:rsid w:val="000A59A1"/>
    <w:rsid w:val="002041D4"/>
    <w:rsid w:val="002154D7"/>
    <w:rsid w:val="002D34E9"/>
    <w:rsid w:val="002E5725"/>
    <w:rsid w:val="0035071E"/>
    <w:rsid w:val="003A0EA7"/>
    <w:rsid w:val="00431464"/>
    <w:rsid w:val="00442037"/>
    <w:rsid w:val="00446F68"/>
    <w:rsid w:val="00452E5B"/>
    <w:rsid w:val="00481E3D"/>
    <w:rsid w:val="004E110A"/>
    <w:rsid w:val="005D551A"/>
    <w:rsid w:val="006144E7"/>
    <w:rsid w:val="00654225"/>
    <w:rsid w:val="00665E60"/>
    <w:rsid w:val="006E7155"/>
    <w:rsid w:val="006F526E"/>
    <w:rsid w:val="007A3534"/>
    <w:rsid w:val="007A63FF"/>
    <w:rsid w:val="007B126D"/>
    <w:rsid w:val="007C454C"/>
    <w:rsid w:val="00847B82"/>
    <w:rsid w:val="008503E6"/>
    <w:rsid w:val="00911237"/>
    <w:rsid w:val="00933A13"/>
    <w:rsid w:val="009716E0"/>
    <w:rsid w:val="009D459F"/>
    <w:rsid w:val="009E2052"/>
    <w:rsid w:val="00A04992"/>
    <w:rsid w:val="00A66FBB"/>
    <w:rsid w:val="00A875D1"/>
    <w:rsid w:val="00AC2410"/>
    <w:rsid w:val="00B12B35"/>
    <w:rsid w:val="00B47A15"/>
    <w:rsid w:val="00B84D9D"/>
    <w:rsid w:val="00BA189A"/>
    <w:rsid w:val="00BD5C45"/>
    <w:rsid w:val="00BF6AD4"/>
    <w:rsid w:val="00C46E1C"/>
    <w:rsid w:val="00C9773A"/>
    <w:rsid w:val="00CA0FD8"/>
    <w:rsid w:val="00CD4CAC"/>
    <w:rsid w:val="00CE7CA0"/>
    <w:rsid w:val="00D34C01"/>
    <w:rsid w:val="00DF1345"/>
    <w:rsid w:val="00DF2ECB"/>
    <w:rsid w:val="00DF3B6C"/>
    <w:rsid w:val="00E30661"/>
    <w:rsid w:val="00E31555"/>
    <w:rsid w:val="00EB68CE"/>
    <w:rsid w:val="00EC47F9"/>
    <w:rsid w:val="00F1614A"/>
    <w:rsid w:val="00F55A31"/>
    <w:rsid w:val="00F72034"/>
    <w:rsid w:val="00FF1C5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3A4A1"/>
  <w15:chartTrackingRefBased/>
  <w15:docId w15:val="{A41E3BEF-7B70-43A9-A428-DB719793F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4992"/>
    <w:pPr>
      <w:spacing w:line="360" w:lineRule="auto"/>
      <w:jc w:val="both"/>
    </w:pPr>
    <w:rPr>
      <w:rFonts w:asciiTheme="majorBidi" w:hAnsiTheme="majorBidi"/>
      <w:sz w:val="24"/>
      <w:lang w:val="en-GB"/>
    </w:rPr>
  </w:style>
  <w:style w:type="paragraph" w:styleId="Heading1">
    <w:name w:val="heading 1"/>
    <w:basedOn w:val="Normal"/>
    <w:next w:val="Normal"/>
    <w:link w:val="Heading1Char"/>
    <w:autoRedefine/>
    <w:uiPriority w:val="9"/>
    <w:qFormat/>
    <w:rsid w:val="00933A13"/>
    <w:pPr>
      <w:keepNext/>
      <w:keepLines/>
      <w:spacing w:before="240"/>
      <w:outlineLvl w:val="0"/>
    </w:pPr>
    <w:rPr>
      <w:rFonts w:eastAsiaTheme="majorEastAsia" w:cstheme="majorBidi"/>
      <w:b/>
      <w:color w:val="000000" w:themeColor="text1"/>
      <w:sz w:val="32"/>
      <w:szCs w:val="32"/>
    </w:rPr>
  </w:style>
  <w:style w:type="paragraph" w:styleId="Heading2">
    <w:name w:val="heading 2"/>
    <w:basedOn w:val="Normal"/>
    <w:next w:val="Normal"/>
    <w:link w:val="Heading2Char"/>
    <w:autoRedefine/>
    <w:uiPriority w:val="9"/>
    <w:semiHidden/>
    <w:unhideWhenUsed/>
    <w:qFormat/>
    <w:rsid w:val="00933A13"/>
    <w:pPr>
      <w:keepNext/>
      <w:keepLines/>
      <w:spacing w:before="4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CD4CAC"/>
    <w:pPr>
      <w:keepNext/>
      <w:keepLines/>
      <w:spacing w:before="40" w:after="0"/>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3A13"/>
    <w:rPr>
      <w:rFonts w:asciiTheme="majorBidi" w:eastAsiaTheme="majorEastAsia" w:hAnsiTheme="majorBidi" w:cstheme="majorBidi"/>
      <w:b/>
      <w:color w:val="000000" w:themeColor="text1"/>
      <w:sz w:val="32"/>
      <w:szCs w:val="32"/>
      <w:lang w:val="en-GB"/>
    </w:rPr>
  </w:style>
  <w:style w:type="character" w:customStyle="1" w:styleId="Heading2Char">
    <w:name w:val="Heading 2 Char"/>
    <w:basedOn w:val="DefaultParagraphFont"/>
    <w:link w:val="Heading2"/>
    <w:uiPriority w:val="9"/>
    <w:semiHidden/>
    <w:rsid w:val="00933A13"/>
    <w:rPr>
      <w:rFonts w:asciiTheme="majorBidi" w:eastAsiaTheme="majorEastAsia" w:hAnsiTheme="majorBidi" w:cstheme="majorBidi"/>
      <w:b/>
      <w:sz w:val="28"/>
      <w:szCs w:val="26"/>
      <w:lang w:val="en-GB"/>
    </w:rPr>
  </w:style>
  <w:style w:type="character" w:customStyle="1" w:styleId="Heading3Char">
    <w:name w:val="Heading 3 Char"/>
    <w:basedOn w:val="DefaultParagraphFont"/>
    <w:link w:val="Heading3"/>
    <w:uiPriority w:val="9"/>
    <w:semiHidden/>
    <w:rsid w:val="00CD4CAC"/>
    <w:rPr>
      <w:rFonts w:asciiTheme="majorBidi" w:eastAsiaTheme="majorEastAsia" w:hAnsiTheme="majorBidi" w:cstheme="majorBidi"/>
      <w:b/>
      <w:color w:val="000000" w:themeColor="text1"/>
      <w:sz w:val="24"/>
      <w:szCs w:val="24"/>
      <w:lang w:val="en-GB"/>
    </w:rPr>
  </w:style>
  <w:style w:type="character" w:styleId="Hyperlink">
    <w:name w:val="Hyperlink"/>
    <w:basedOn w:val="DefaultParagraphFont"/>
    <w:uiPriority w:val="99"/>
    <w:unhideWhenUsed/>
    <w:rsid w:val="00DF3B6C"/>
    <w:rPr>
      <w:color w:val="0563C1" w:themeColor="hyperlink"/>
      <w:u w:val="single"/>
    </w:rPr>
  </w:style>
  <w:style w:type="paragraph" w:styleId="Header">
    <w:name w:val="header"/>
    <w:basedOn w:val="Normal"/>
    <w:link w:val="HeaderChar"/>
    <w:uiPriority w:val="99"/>
    <w:unhideWhenUsed/>
    <w:rsid w:val="00DF2E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2ECB"/>
    <w:rPr>
      <w:rFonts w:asciiTheme="majorBidi" w:hAnsiTheme="majorBidi"/>
      <w:sz w:val="24"/>
      <w:lang w:val="en-GB"/>
    </w:rPr>
  </w:style>
  <w:style w:type="paragraph" w:styleId="Footer">
    <w:name w:val="footer"/>
    <w:basedOn w:val="Normal"/>
    <w:link w:val="FooterChar"/>
    <w:uiPriority w:val="99"/>
    <w:unhideWhenUsed/>
    <w:rsid w:val="00DF2E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2ECB"/>
    <w:rPr>
      <w:rFonts w:asciiTheme="majorBidi" w:hAnsiTheme="majorBidi"/>
      <w:sz w:val="24"/>
      <w:lang w:val="en-GB"/>
    </w:rPr>
  </w:style>
  <w:style w:type="paragraph" w:styleId="ListParagraph">
    <w:name w:val="List Paragraph"/>
    <w:basedOn w:val="Normal"/>
    <w:uiPriority w:val="34"/>
    <w:qFormat/>
    <w:rsid w:val="00A875D1"/>
    <w:pPr>
      <w:ind w:left="720"/>
      <w:contextualSpacing/>
    </w:pPr>
  </w:style>
  <w:style w:type="paragraph" w:styleId="TOCHeading">
    <w:name w:val="TOC Heading"/>
    <w:basedOn w:val="Heading1"/>
    <w:next w:val="Normal"/>
    <w:uiPriority w:val="39"/>
    <w:unhideWhenUsed/>
    <w:qFormat/>
    <w:rsid w:val="00BA189A"/>
    <w:pPr>
      <w:spacing w:after="0"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BA189A"/>
    <w:pPr>
      <w:spacing w:after="100"/>
    </w:pPr>
  </w:style>
  <w:style w:type="character" w:customStyle="1" w:styleId="UnresolvedMention">
    <w:name w:val="Unresolved Mention"/>
    <w:basedOn w:val="DefaultParagraphFont"/>
    <w:uiPriority w:val="99"/>
    <w:semiHidden/>
    <w:unhideWhenUsed/>
    <w:rsid w:val="004E11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5737230">
      <w:bodyDiv w:val="1"/>
      <w:marLeft w:val="0"/>
      <w:marRight w:val="0"/>
      <w:marTop w:val="0"/>
      <w:marBottom w:val="0"/>
      <w:divBdr>
        <w:top w:val="none" w:sz="0" w:space="0" w:color="auto"/>
        <w:left w:val="none" w:sz="0" w:space="0" w:color="auto"/>
        <w:bottom w:val="none" w:sz="0" w:space="0" w:color="auto"/>
        <w:right w:val="none" w:sz="0" w:space="0" w:color="auto"/>
      </w:divBdr>
    </w:div>
    <w:div w:id="1155338424">
      <w:bodyDiv w:val="1"/>
      <w:marLeft w:val="0"/>
      <w:marRight w:val="0"/>
      <w:marTop w:val="0"/>
      <w:marBottom w:val="0"/>
      <w:divBdr>
        <w:top w:val="none" w:sz="0" w:space="0" w:color="auto"/>
        <w:left w:val="none" w:sz="0" w:space="0" w:color="auto"/>
        <w:bottom w:val="none" w:sz="0" w:space="0" w:color="auto"/>
        <w:right w:val="none" w:sz="0" w:space="0" w:color="auto"/>
      </w:divBdr>
    </w:div>
    <w:div w:id="1686982843">
      <w:bodyDiv w:val="1"/>
      <w:marLeft w:val="0"/>
      <w:marRight w:val="0"/>
      <w:marTop w:val="0"/>
      <w:marBottom w:val="0"/>
      <w:divBdr>
        <w:top w:val="none" w:sz="0" w:space="0" w:color="auto"/>
        <w:left w:val="none" w:sz="0" w:space="0" w:color="auto"/>
        <w:bottom w:val="none" w:sz="0" w:space="0" w:color="auto"/>
        <w:right w:val="none" w:sz="0" w:space="0" w:color="auto"/>
      </w:divBdr>
    </w:div>
    <w:div w:id="1778282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1073013/UKHSA_guidelines_on_VZ_post_exposure_prophylaxis.pdf?cv=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51B959-A297-46B4-A8EC-63C396837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1340</Words>
  <Characters>7643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Razon</dc:creator>
  <cp:keywords/>
  <dc:description/>
  <cp:lastModifiedBy>Razon</cp:lastModifiedBy>
  <cp:revision>2</cp:revision>
  <dcterms:created xsi:type="dcterms:W3CDTF">2022-10-30T16:36:00Z</dcterms:created>
  <dcterms:modified xsi:type="dcterms:W3CDTF">2022-10-30T16:36:00Z</dcterms:modified>
</cp:coreProperties>
</file>