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6AC" w:rsidRPr="000125B1" w:rsidRDefault="00B563BE">
      <w:pPr>
        <w:rPr>
          <w:rFonts w:ascii="Arial" w:hAnsi="Arial" w:cs="Arial"/>
          <w:b/>
          <w:sz w:val="44"/>
          <w:szCs w:val="44"/>
        </w:rPr>
      </w:pPr>
      <w:r w:rsidRPr="000125B1">
        <w:rPr>
          <w:rFonts w:ascii="Arial" w:hAnsi="Arial" w:cs="Arial"/>
          <w:b/>
          <w:sz w:val="44"/>
          <w:szCs w:val="44"/>
        </w:rPr>
        <w:t>Name:</w:t>
      </w:r>
      <w:r w:rsidR="00464311" w:rsidRPr="000125B1">
        <w:rPr>
          <w:rFonts w:ascii="Arial" w:hAnsi="Arial" w:cs="Arial"/>
          <w:b/>
          <w:sz w:val="44"/>
          <w:szCs w:val="44"/>
        </w:rPr>
        <w:t xml:space="preserve"> </w:t>
      </w:r>
      <w:r w:rsidR="00D74CBE" w:rsidRPr="000125B1">
        <w:rPr>
          <w:rFonts w:ascii="Arial" w:hAnsi="Arial" w:cs="Arial"/>
          <w:b/>
          <w:sz w:val="44"/>
          <w:szCs w:val="44"/>
        </w:rPr>
        <w:t>Christopher Ingarm</w:t>
      </w:r>
    </w:p>
    <w:p w:rsidR="00B563BE" w:rsidRPr="000125B1" w:rsidRDefault="00B563BE">
      <w:pPr>
        <w:rPr>
          <w:rFonts w:ascii="Arial" w:hAnsi="Arial" w:cs="Arial"/>
          <w:b/>
          <w:sz w:val="44"/>
          <w:szCs w:val="44"/>
        </w:rPr>
      </w:pPr>
      <w:r w:rsidRPr="000125B1">
        <w:rPr>
          <w:rFonts w:ascii="Arial" w:hAnsi="Arial" w:cs="Arial"/>
          <w:b/>
          <w:sz w:val="44"/>
          <w:szCs w:val="44"/>
        </w:rPr>
        <w:t xml:space="preserve">Student number: </w:t>
      </w:r>
      <w:r w:rsidR="00D74CBE" w:rsidRPr="000125B1">
        <w:rPr>
          <w:rFonts w:ascii="Arial" w:hAnsi="Arial" w:cs="Arial"/>
          <w:b/>
          <w:sz w:val="44"/>
          <w:szCs w:val="44"/>
        </w:rPr>
        <w:t>2325864</w:t>
      </w:r>
    </w:p>
    <w:p w:rsidR="00B563BE" w:rsidRPr="000125B1" w:rsidRDefault="00B563BE">
      <w:pPr>
        <w:rPr>
          <w:rFonts w:ascii="Arial" w:hAnsi="Arial" w:cs="Arial"/>
          <w:b/>
          <w:sz w:val="44"/>
          <w:szCs w:val="44"/>
        </w:rPr>
      </w:pPr>
      <w:r w:rsidRPr="000125B1">
        <w:rPr>
          <w:rFonts w:ascii="Arial" w:hAnsi="Arial" w:cs="Arial"/>
          <w:b/>
          <w:sz w:val="44"/>
          <w:szCs w:val="44"/>
        </w:rPr>
        <w:t xml:space="preserve">Module and code: </w:t>
      </w:r>
      <w:r w:rsidR="00D74CBE" w:rsidRPr="000125B1">
        <w:rPr>
          <w:rFonts w:ascii="Arial" w:hAnsi="Arial" w:cs="Arial"/>
          <w:b/>
          <w:sz w:val="44"/>
          <w:szCs w:val="44"/>
        </w:rPr>
        <w:t>Strategic Management for Business, LCLM 6001</w:t>
      </w:r>
    </w:p>
    <w:p w:rsidR="00B563BE" w:rsidRPr="000125B1" w:rsidRDefault="00B563BE">
      <w:pPr>
        <w:rPr>
          <w:rFonts w:ascii="Arial" w:hAnsi="Arial" w:cs="Arial"/>
          <w:b/>
          <w:sz w:val="44"/>
          <w:szCs w:val="44"/>
        </w:rPr>
      </w:pPr>
      <w:r w:rsidRPr="000125B1">
        <w:rPr>
          <w:rFonts w:ascii="Arial" w:hAnsi="Arial" w:cs="Arial"/>
          <w:b/>
          <w:sz w:val="44"/>
          <w:szCs w:val="44"/>
        </w:rPr>
        <w:t>Assessment title:</w:t>
      </w:r>
      <w:r w:rsidR="00D74CBE" w:rsidRPr="000125B1">
        <w:rPr>
          <w:rFonts w:ascii="Arial" w:hAnsi="Arial" w:cs="Arial"/>
          <w:b/>
          <w:sz w:val="44"/>
          <w:szCs w:val="44"/>
        </w:rPr>
        <w:t xml:space="preserve"> Individual Report</w:t>
      </w:r>
    </w:p>
    <w:p w:rsidR="00B563BE" w:rsidRPr="000125B1" w:rsidRDefault="00B563BE">
      <w:pPr>
        <w:rPr>
          <w:rFonts w:ascii="Arial" w:hAnsi="Arial" w:cs="Arial"/>
          <w:b/>
          <w:sz w:val="44"/>
          <w:szCs w:val="44"/>
        </w:rPr>
      </w:pPr>
      <w:r w:rsidRPr="000125B1">
        <w:rPr>
          <w:rFonts w:ascii="Arial" w:hAnsi="Arial" w:cs="Arial"/>
          <w:b/>
          <w:sz w:val="44"/>
          <w:szCs w:val="44"/>
        </w:rPr>
        <w:t>Lecturer:</w:t>
      </w:r>
      <w:r w:rsidR="00D74CBE" w:rsidRPr="000125B1">
        <w:rPr>
          <w:rFonts w:ascii="Arial" w:hAnsi="Arial" w:cs="Arial"/>
          <w:b/>
          <w:sz w:val="44"/>
          <w:szCs w:val="44"/>
        </w:rPr>
        <w:t xml:space="preserve"> Yohan Mendis</w:t>
      </w: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B563BE" w:rsidRDefault="00B563BE">
      <w:pPr>
        <w:rPr>
          <w:rFonts w:ascii="Arial" w:hAnsi="Arial" w:cs="Arial"/>
          <w:sz w:val="36"/>
          <w:szCs w:val="36"/>
        </w:rPr>
      </w:pPr>
    </w:p>
    <w:p w:rsidR="000125B1" w:rsidRDefault="000125B1">
      <w:pPr>
        <w:rPr>
          <w:rFonts w:ascii="Arial" w:hAnsi="Arial" w:cs="Arial"/>
          <w:sz w:val="36"/>
          <w:szCs w:val="36"/>
        </w:rPr>
      </w:pPr>
    </w:p>
    <w:p w:rsidR="00B563BE" w:rsidRDefault="00B563BE">
      <w:pPr>
        <w:rPr>
          <w:rFonts w:ascii="Arial" w:hAnsi="Arial" w:cs="Arial"/>
          <w:sz w:val="36"/>
          <w:szCs w:val="36"/>
        </w:rPr>
      </w:pPr>
    </w:p>
    <w:p w:rsidR="00B563BE" w:rsidRDefault="00B563BE" w:rsidP="00B563BE">
      <w:pPr>
        <w:jc w:val="center"/>
        <w:rPr>
          <w:rFonts w:ascii="Arial" w:hAnsi="Arial" w:cs="Arial"/>
          <w:b/>
          <w:sz w:val="24"/>
          <w:szCs w:val="24"/>
        </w:rPr>
      </w:pPr>
      <w:r w:rsidRPr="00B563BE">
        <w:rPr>
          <w:rFonts w:ascii="Arial" w:hAnsi="Arial" w:cs="Arial"/>
          <w:b/>
          <w:sz w:val="24"/>
          <w:szCs w:val="24"/>
        </w:rPr>
        <w:lastRenderedPageBreak/>
        <w:t>Content Page</w:t>
      </w:r>
    </w:p>
    <w:p w:rsidR="00B93E6A" w:rsidRPr="00D74CBE" w:rsidRDefault="00B93E6A" w:rsidP="00D74CBE">
      <w:pPr>
        <w:spacing w:line="360" w:lineRule="auto"/>
        <w:rPr>
          <w:rFonts w:ascii="Arial" w:hAnsi="Arial" w:cs="Arial"/>
        </w:rPr>
      </w:pPr>
      <w:r w:rsidRPr="00D74CBE">
        <w:rPr>
          <w:rFonts w:ascii="Arial" w:hAnsi="Arial" w:cs="Arial"/>
        </w:rPr>
        <w:t>Executive Summary</w:t>
      </w:r>
      <w:r w:rsidR="00D74CBE" w:rsidRPr="00D74CBE">
        <w:rPr>
          <w:rFonts w:ascii="Arial" w:hAnsi="Arial" w:cs="Arial"/>
        </w:rPr>
        <w:t>_____________________________________________________3</w:t>
      </w:r>
    </w:p>
    <w:p w:rsidR="00B93E6A" w:rsidRPr="00D74CBE" w:rsidRDefault="00B93E6A" w:rsidP="00D74CBE">
      <w:pPr>
        <w:spacing w:line="360" w:lineRule="auto"/>
        <w:rPr>
          <w:rFonts w:ascii="Arial" w:hAnsi="Arial" w:cs="Arial"/>
        </w:rPr>
      </w:pPr>
      <w:r w:rsidRPr="00D74CBE">
        <w:rPr>
          <w:rFonts w:ascii="Arial" w:hAnsi="Arial" w:cs="Arial"/>
        </w:rPr>
        <w:t>Introduction</w:t>
      </w:r>
      <w:r w:rsidR="00D74CBE" w:rsidRPr="00D74CBE">
        <w:rPr>
          <w:rFonts w:ascii="Arial" w:hAnsi="Arial" w:cs="Arial"/>
        </w:rPr>
        <w:t>____________________________________________________________4</w:t>
      </w:r>
    </w:p>
    <w:p w:rsidR="00B93E6A" w:rsidRPr="00D74CBE" w:rsidRDefault="00B93E6A" w:rsidP="00D74CBE">
      <w:pPr>
        <w:spacing w:line="360" w:lineRule="auto"/>
        <w:rPr>
          <w:rFonts w:ascii="Arial" w:hAnsi="Arial" w:cs="Arial"/>
        </w:rPr>
      </w:pPr>
      <w:r w:rsidRPr="00D74CBE">
        <w:rPr>
          <w:rFonts w:ascii="Arial" w:hAnsi="Arial" w:cs="Arial"/>
        </w:rPr>
        <w:t>Evaluation of current market (PESTEL</w:t>
      </w:r>
      <w:r w:rsidR="00B217DB">
        <w:rPr>
          <w:rFonts w:ascii="Arial" w:hAnsi="Arial" w:cs="Arial"/>
        </w:rPr>
        <w:t>, SWOT</w:t>
      </w:r>
      <w:r w:rsidRPr="00D74CBE">
        <w:rPr>
          <w:rFonts w:ascii="Arial" w:hAnsi="Arial" w:cs="Arial"/>
        </w:rPr>
        <w:t xml:space="preserve"> &amp; Porters Five forces</w:t>
      </w:r>
      <w:r w:rsidR="00D74CBE" w:rsidRPr="00D74CBE">
        <w:rPr>
          <w:rFonts w:ascii="Arial" w:hAnsi="Arial" w:cs="Arial"/>
        </w:rPr>
        <w:t>______________5-7</w:t>
      </w:r>
    </w:p>
    <w:p w:rsidR="00B93E6A" w:rsidRPr="00D74CBE" w:rsidRDefault="00B93E6A" w:rsidP="00D74CBE">
      <w:pPr>
        <w:spacing w:line="360" w:lineRule="auto"/>
        <w:rPr>
          <w:rFonts w:ascii="Arial" w:hAnsi="Arial" w:cs="Arial"/>
        </w:rPr>
      </w:pPr>
      <w:r w:rsidRPr="00D74CBE">
        <w:rPr>
          <w:rFonts w:ascii="Arial" w:hAnsi="Arial" w:cs="Arial"/>
        </w:rPr>
        <w:t xml:space="preserve">Strategic growth and proposed strategy </w:t>
      </w:r>
      <w:r w:rsidR="00D74CBE" w:rsidRPr="00D74CBE">
        <w:rPr>
          <w:rFonts w:ascii="Arial" w:hAnsi="Arial" w:cs="Arial"/>
        </w:rPr>
        <w:t>(ANSOFF</w:t>
      </w:r>
      <w:r w:rsidRPr="00D74CBE">
        <w:rPr>
          <w:rFonts w:ascii="Arial" w:hAnsi="Arial" w:cs="Arial"/>
        </w:rPr>
        <w:t xml:space="preserve"> &amp; PGS</w:t>
      </w:r>
      <w:r w:rsidR="00D74CBE" w:rsidRPr="00D74CBE">
        <w:rPr>
          <w:rFonts w:ascii="Arial" w:hAnsi="Arial" w:cs="Arial"/>
        </w:rPr>
        <w:t>) ____________________8-9</w:t>
      </w:r>
    </w:p>
    <w:p w:rsidR="00B93E6A" w:rsidRPr="00D74CBE" w:rsidRDefault="00D74CBE" w:rsidP="00D74CBE">
      <w:pPr>
        <w:spacing w:line="360" w:lineRule="auto"/>
        <w:rPr>
          <w:rFonts w:ascii="Arial" w:hAnsi="Arial" w:cs="Arial"/>
        </w:rPr>
      </w:pPr>
      <w:r w:rsidRPr="00D74CBE">
        <w:rPr>
          <w:rFonts w:ascii="Arial" w:hAnsi="Arial" w:cs="Arial"/>
        </w:rPr>
        <w:t>Strategy Evaluation (SFA Metric) ________________________________________10-11</w:t>
      </w:r>
    </w:p>
    <w:p w:rsidR="00D74CBE" w:rsidRPr="00D74CBE" w:rsidRDefault="00D74CBE" w:rsidP="00D74CBE">
      <w:pPr>
        <w:spacing w:line="360" w:lineRule="auto"/>
        <w:rPr>
          <w:rFonts w:ascii="Arial" w:hAnsi="Arial" w:cs="Arial"/>
        </w:rPr>
      </w:pPr>
      <w:r w:rsidRPr="00D74CBE">
        <w:rPr>
          <w:rFonts w:ascii="Arial" w:hAnsi="Arial" w:cs="Arial"/>
        </w:rPr>
        <w:t>Stakeholder Analysis (Mendelow’s Metric) __________________________________12</w:t>
      </w:r>
    </w:p>
    <w:p w:rsidR="00D74CBE" w:rsidRPr="00D74CBE" w:rsidRDefault="00D74CBE" w:rsidP="00D74CBE">
      <w:pPr>
        <w:spacing w:line="360" w:lineRule="auto"/>
        <w:rPr>
          <w:rFonts w:ascii="Arial" w:hAnsi="Arial" w:cs="Arial"/>
        </w:rPr>
      </w:pPr>
      <w:r w:rsidRPr="00D74CBE">
        <w:rPr>
          <w:rFonts w:ascii="Arial" w:hAnsi="Arial" w:cs="Arial"/>
        </w:rPr>
        <w:t>Implementation and monitoring________________________________________13-14</w:t>
      </w:r>
    </w:p>
    <w:p w:rsidR="00D74CBE" w:rsidRPr="00D74CBE" w:rsidRDefault="00D74CBE" w:rsidP="00D74CBE">
      <w:pPr>
        <w:spacing w:line="360" w:lineRule="auto"/>
        <w:rPr>
          <w:rFonts w:ascii="Arial" w:hAnsi="Arial" w:cs="Arial"/>
        </w:rPr>
      </w:pPr>
      <w:r w:rsidRPr="00D74CBE">
        <w:rPr>
          <w:rFonts w:ascii="Arial" w:hAnsi="Arial" w:cs="Arial"/>
        </w:rPr>
        <w:t>Gantt chart____________________________________________________________15</w:t>
      </w:r>
    </w:p>
    <w:p w:rsidR="00D74CBE" w:rsidRPr="00D74CBE" w:rsidRDefault="00D74CBE" w:rsidP="00D74CBE">
      <w:pPr>
        <w:spacing w:line="360" w:lineRule="auto"/>
        <w:rPr>
          <w:rFonts w:ascii="Arial" w:hAnsi="Arial" w:cs="Arial"/>
        </w:rPr>
      </w:pPr>
      <w:r w:rsidRPr="00D74CBE">
        <w:rPr>
          <w:rFonts w:ascii="Arial" w:hAnsi="Arial" w:cs="Arial"/>
        </w:rPr>
        <w:t>Conclusion____________________________________________________________16</w:t>
      </w:r>
    </w:p>
    <w:p w:rsidR="00D74CBE" w:rsidRPr="00D74CBE" w:rsidRDefault="00D74CBE" w:rsidP="00D74CBE">
      <w:pPr>
        <w:spacing w:line="360" w:lineRule="auto"/>
        <w:rPr>
          <w:rFonts w:ascii="Arial" w:hAnsi="Arial" w:cs="Arial"/>
        </w:rPr>
      </w:pPr>
      <w:r w:rsidRPr="00D74CBE">
        <w:rPr>
          <w:rFonts w:ascii="Arial" w:hAnsi="Arial" w:cs="Arial"/>
        </w:rPr>
        <w:t>References__________________________________________________________17-19</w:t>
      </w:r>
    </w:p>
    <w:p w:rsidR="00B93E6A" w:rsidRDefault="00B93E6A" w:rsidP="00B93E6A">
      <w:pPr>
        <w:rPr>
          <w:rFonts w:ascii="Arial" w:hAnsi="Arial" w:cs="Arial"/>
          <w:b/>
          <w:sz w:val="24"/>
          <w:szCs w:val="24"/>
        </w:rPr>
      </w:pPr>
      <w:r>
        <w:rPr>
          <w:rFonts w:ascii="Arial" w:hAnsi="Arial" w:cs="Arial"/>
          <w:b/>
          <w:sz w:val="24"/>
          <w:szCs w:val="24"/>
        </w:rPr>
        <w:t xml:space="preserve"> </w:t>
      </w:r>
    </w:p>
    <w:p w:rsidR="00B93E6A" w:rsidRDefault="00B93E6A" w:rsidP="00B93E6A">
      <w:pPr>
        <w:rPr>
          <w:rFonts w:ascii="Arial" w:hAnsi="Arial" w:cs="Arial"/>
          <w:b/>
          <w:sz w:val="24"/>
          <w:szCs w:val="24"/>
        </w:rPr>
      </w:pPr>
    </w:p>
    <w:p w:rsidR="00B563BE" w:rsidRDefault="00B93E6A" w:rsidP="00B93E6A">
      <w:pPr>
        <w:tabs>
          <w:tab w:val="left" w:pos="5040"/>
        </w:tabs>
        <w:jc w:val="both"/>
        <w:rPr>
          <w:rFonts w:ascii="Arial" w:hAnsi="Arial" w:cs="Arial"/>
          <w:b/>
          <w:sz w:val="24"/>
          <w:szCs w:val="24"/>
        </w:rPr>
      </w:pPr>
      <w:r>
        <w:rPr>
          <w:rFonts w:ascii="Arial" w:hAnsi="Arial" w:cs="Arial"/>
          <w:b/>
          <w:sz w:val="24"/>
          <w:szCs w:val="24"/>
        </w:rPr>
        <w:tab/>
      </w: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D74CBE">
      <w:pPr>
        <w:rPr>
          <w:rFonts w:ascii="Arial" w:hAnsi="Arial" w:cs="Arial"/>
          <w:b/>
          <w:sz w:val="24"/>
          <w:szCs w:val="24"/>
        </w:rPr>
      </w:pPr>
    </w:p>
    <w:p w:rsidR="00D74CBE" w:rsidRDefault="00D74CBE" w:rsidP="00D74CBE">
      <w:pPr>
        <w:rPr>
          <w:rFonts w:ascii="Arial" w:hAnsi="Arial" w:cs="Arial"/>
          <w:b/>
          <w:sz w:val="24"/>
          <w:szCs w:val="24"/>
        </w:rPr>
      </w:pPr>
    </w:p>
    <w:p w:rsidR="00B563BE" w:rsidRDefault="00B563BE" w:rsidP="00324D5E">
      <w:pPr>
        <w:rPr>
          <w:rFonts w:ascii="Arial" w:hAnsi="Arial" w:cs="Arial"/>
          <w:b/>
          <w:sz w:val="24"/>
          <w:szCs w:val="24"/>
        </w:rPr>
      </w:pPr>
    </w:p>
    <w:p w:rsidR="00146441" w:rsidRDefault="00146441" w:rsidP="00324D5E">
      <w:pPr>
        <w:rPr>
          <w:rFonts w:ascii="Arial" w:hAnsi="Arial" w:cs="Arial"/>
          <w:b/>
          <w:sz w:val="24"/>
          <w:szCs w:val="24"/>
        </w:rPr>
      </w:pPr>
    </w:p>
    <w:p w:rsidR="00B563BE" w:rsidRPr="00D26C5A" w:rsidRDefault="00B563BE" w:rsidP="00D26C5A">
      <w:pPr>
        <w:spacing w:line="360" w:lineRule="auto"/>
        <w:jc w:val="center"/>
        <w:rPr>
          <w:rFonts w:ascii="Arial" w:hAnsi="Arial" w:cs="Arial"/>
          <w:b/>
        </w:rPr>
      </w:pPr>
      <w:r w:rsidRPr="00D26C5A">
        <w:rPr>
          <w:rFonts w:ascii="Arial" w:hAnsi="Arial" w:cs="Arial"/>
          <w:b/>
        </w:rPr>
        <w:lastRenderedPageBreak/>
        <w:t xml:space="preserve">Executive Summary </w:t>
      </w:r>
    </w:p>
    <w:p w:rsidR="00FE2E6E" w:rsidRPr="00D26C5A" w:rsidRDefault="00FE2E6E" w:rsidP="00D26C5A">
      <w:pPr>
        <w:spacing w:after="0" w:line="360" w:lineRule="auto"/>
        <w:rPr>
          <w:rFonts w:ascii="Arial" w:eastAsia="Times New Roman" w:hAnsi="Arial" w:cs="Arial"/>
          <w:lang w:eastAsia="en-GB"/>
        </w:rPr>
      </w:pPr>
      <w:r w:rsidRPr="00FE2E6E">
        <w:rPr>
          <w:rFonts w:ascii="Arial" w:eastAsia="Times New Roman" w:hAnsi="Arial" w:cs="Arial"/>
          <w:lang w:eastAsia="en-GB"/>
        </w:rPr>
        <w:t xml:space="preserve">Innocent Drinks works in the fiercely competitive and </w:t>
      </w:r>
      <w:r w:rsidR="00EE506C">
        <w:rPr>
          <w:rFonts w:ascii="Arial" w:eastAsia="Times New Roman" w:hAnsi="Arial" w:cs="Arial"/>
          <w:lang w:eastAsia="en-GB"/>
        </w:rPr>
        <w:t xml:space="preserve">a </w:t>
      </w:r>
      <w:r w:rsidRPr="00FE2E6E">
        <w:rPr>
          <w:rFonts w:ascii="Arial" w:eastAsia="Times New Roman" w:hAnsi="Arial" w:cs="Arial"/>
          <w:lang w:eastAsia="en-GB"/>
        </w:rPr>
        <w:t xml:space="preserve">quickly changing global health beverage market. Despite the organization's strong brand equity, leadership in sustainability, and unique positioning, it must contend with growing competition, supply chain volatility related to climate change, regulatory pressure, and growing consumer price sensitivity. However, there are also a lot of opportunities for controlled growth due to structural </w:t>
      </w:r>
      <w:r w:rsidR="00774CFF" w:rsidRPr="00FE2E6E">
        <w:rPr>
          <w:rFonts w:ascii="Arial" w:eastAsia="Times New Roman" w:hAnsi="Arial" w:cs="Arial"/>
          <w:lang w:eastAsia="en-GB"/>
        </w:rPr>
        <w:t>macro trends</w:t>
      </w:r>
      <w:r w:rsidRPr="00FE2E6E">
        <w:rPr>
          <w:rFonts w:ascii="Arial" w:eastAsia="Times New Roman" w:hAnsi="Arial" w:cs="Arial"/>
          <w:lang w:eastAsia="en-GB"/>
        </w:rPr>
        <w:t>, especially the rise of plant-based diets, functional nutrition, and ethical consumption.</w:t>
      </w:r>
      <w:r w:rsidRPr="00D26C5A">
        <w:rPr>
          <w:rFonts w:ascii="Arial" w:eastAsia="Times New Roman" w:hAnsi="Arial" w:cs="Arial"/>
          <w:lang w:eastAsia="en-GB"/>
        </w:rPr>
        <w:t xml:space="preserve"> </w:t>
      </w:r>
    </w:p>
    <w:p w:rsidR="00FE2E6E" w:rsidRPr="00D26C5A" w:rsidRDefault="00FE2E6E" w:rsidP="00D26C5A">
      <w:pPr>
        <w:spacing w:after="0" w:line="360" w:lineRule="auto"/>
        <w:rPr>
          <w:rFonts w:ascii="Arial" w:eastAsia="Times New Roman" w:hAnsi="Arial" w:cs="Arial"/>
          <w:lang w:eastAsia="en-GB"/>
        </w:rPr>
      </w:pPr>
    </w:p>
    <w:p w:rsidR="00FE2E6E" w:rsidRPr="00FE2E6E" w:rsidRDefault="00FE2E6E" w:rsidP="002763A3">
      <w:pPr>
        <w:spacing w:before="240" w:after="0" w:line="360" w:lineRule="auto"/>
        <w:rPr>
          <w:rFonts w:ascii="Arial" w:eastAsia="Times New Roman" w:hAnsi="Arial" w:cs="Arial"/>
          <w:lang w:eastAsia="en-GB"/>
        </w:rPr>
      </w:pPr>
      <w:r w:rsidRPr="00FE2E6E">
        <w:rPr>
          <w:rFonts w:ascii="Arial" w:eastAsia="Times New Roman" w:hAnsi="Arial" w:cs="Arial"/>
          <w:lang w:eastAsia="en-GB"/>
        </w:rPr>
        <w:t xml:space="preserve">Using well-known strategic management frameworks, such as PESTEL analysis </w:t>
      </w:r>
      <w:r w:rsidR="002763A3">
        <w:rPr>
          <w:rFonts w:ascii="Arial" w:eastAsia="Times New Roman" w:hAnsi="Arial" w:cs="Arial"/>
          <w:lang w:eastAsia="en-GB"/>
        </w:rPr>
        <w:t>(</w:t>
      </w:r>
      <w:r w:rsidR="002763A3">
        <w:rPr>
          <w:rFonts w:ascii="Arial" w:hAnsi="Arial" w:cs="Arial"/>
          <w:color w:val="222222"/>
          <w:sz w:val="20"/>
          <w:szCs w:val="20"/>
          <w:shd w:val="clear" w:color="auto" w:fill="FFFFFF"/>
        </w:rPr>
        <w:t>Çitilci, and Akbalık, 2020)</w:t>
      </w:r>
      <w:r w:rsidR="003269E4">
        <w:rPr>
          <w:rFonts w:ascii="Arial" w:hAnsi="Arial" w:cs="Arial"/>
          <w:color w:val="222222"/>
          <w:sz w:val="20"/>
          <w:szCs w:val="20"/>
          <w:shd w:val="clear" w:color="auto" w:fill="FFFFFF"/>
        </w:rPr>
        <w:t xml:space="preserve"> and </w:t>
      </w:r>
      <w:r w:rsidRPr="00FE2E6E">
        <w:rPr>
          <w:rFonts w:ascii="Arial" w:eastAsia="Times New Roman" w:hAnsi="Arial" w:cs="Arial"/>
          <w:lang w:eastAsia="en-GB"/>
        </w:rPr>
        <w:t>Porter's Five Forces (</w:t>
      </w:r>
      <w:r w:rsidR="003269E4">
        <w:rPr>
          <w:rFonts w:ascii="Arial" w:hAnsi="Arial" w:cs="Arial"/>
          <w:color w:val="222222"/>
          <w:sz w:val="20"/>
          <w:szCs w:val="20"/>
          <w:shd w:val="clear" w:color="auto" w:fill="FFFFFF"/>
        </w:rPr>
        <w:t>Pangarkar, and Prabhudesai, 2024</w:t>
      </w:r>
      <w:r w:rsidR="003269E4">
        <w:rPr>
          <w:rFonts w:ascii="Arial" w:eastAsia="Times New Roman" w:hAnsi="Arial" w:cs="Arial"/>
          <w:lang w:eastAsia="en-GB"/>
        </w:rPr>
        <w:t>)</w:t>
      </w:r>
      <w:r w:rsidRPr="00FE2E6E">
        <w:rPr>
          <w:rFonts w:ascii="Arial" w:eastAsia="Times New Roman" w:hAnsi="Arial" w:cs="Arial"/>
          <w:lang w:eastAsia="en-GB"/>
        </w:rPr>
        <w:t xml:space="preserve"> this report critically assesses Innocent's strategic position. The analysis shows that intangible, socially complex assets like stakeholder trust, sustainability credibility, and brand authenticity are the main sources of Innocent's competitive advantage. In order to avoid strategic rigidity, these resources must be continuously renewed, even though they meet the VRIO criteria for sustainable competitive advantage </w:t>
      </w:r>
      <w:r w:rsidR="00D51E8F">
        <w:rPr>
          <w:rFonts w:ascii="Arial" w:eastAsia="Times New Roman" w:hAnsi="Arial" w:cs="Arial"/>
          <w:lang w:eastAsia="en-GB"/>
        </w:rPr>
        <w:t>(Barney, 1991).</w:t>
      </w:r>
    </w:p>
    <w:p w:rsidR="00FE2E6E" w:rsidRPr="00D26C5A" w:rsidRDefault="00FE2E6E" w:rsidP="00D26C5A">
      <w:pPr>
        <w:spacing w:after="0" w:line="360" w:lineRule="auto"/>
        <w:rPr>
          <w:rFonts w:ascii="Arial" w:eastAsia="Times New Roman" w:hAnsi="Arial" w:cs="Arial"/>
          <w:lang w:eastAsia="en-GB"/>
        </w:rPr>
      </w:pPr>
    </w:p>
    <w:p w:rsidR="00FE2E6E" w:rsidRPr="00FE2E6E" w:rsidRDefault="00FE2E6E" w:rsidP="00D26C5A">
      <w:pPr>
        <w:spacing w:after="0" w:line="360" w:lineRule="auto"/>
        <w:rPr>
          <w:rFonts w:ascii="Arial" w:eastAsia="Times New Roman" w:hAnsi="Arial" w:cs="Arial"/>
          <w:lang w:eastAsia="en-GB"/>
        </w:rPr>
      </w:pPr>
      <w:r w:rsidRPr="00FE2E6E">
        <w:rPr>
          <w:rFonts w:ascii="Arial" w:eastAsia="Times New Roman" w:hAnsi="Arial" w:cs="Arial"/>
          <w:lang w:eastAsia="en-GB"/>
        </w:rPr>
        <w:t xml:space="preserve">This report suggests a hybrid strategy that combines product development and selective market development to ensure long-term growth while maintaining mission integrity (Ansoff, 1957). Specifically, Innocent should enter carefully chosen European markets that are marked by high levels of sustainability awareness and premium health consumption, as well as diversify into functional plant-based beverages, such as protein-enriched, gut-health, and immunity-supporting drinks. </w:t>
      </w:r>
      <w:r w:rsidRPr="00FE2E6E">
        <w:rPr>
          <w:rFonts w:ascii="Arial" w:eastAsia="Times New Roman" w:hAnsi="Arial" w:cs="Arial"/>
          <w:lang w:eastAsia="en-GB"/>
        </w:rPr>
        <w:br/>
        <w:t>According to Porter (1985), the suggested approach strengthens long-term resilience, conforms to stakeholder expectations under the company's B Corporation governance model, and reinforces differentiation. A strategy's strategic coherence, financial viability with phased implementation, and key stakeholder acceptance are all confirmed by evaluation using the Suitability–Feasibility–Acceptability (SFA) framework.</w:t>
      </w:r>
    </w:p>
    <w:p w:rsidR="00FE2E6E" w:rsidRPr="00D26C5A" w:rsidRDefault="00FE2E6E" w:rsidP="00D26C5A">
      <w:pPr>
        <w:spacing w:after="0" w:line="360" w:lineRule="auto"/>
        <w:rPr>
          <w:rFonts w:ascii="Arial" w:eastAsia="Times New Roman" w:hAnsi="Arial" w:cs="Arial"/>
          <w:lang w:eastAsia="en-GB"/>
        </w:rPr>
      </w:pPr>
    </w:p>
    <w:p w:rsidR="00B563BE" w:rsidRDefault="00FE2E6E" w:rsidP="00D26C5A">
      <w:pPr>
        <w:spacing w:after="0" w:line="360" w:lineRule="auto"/>
        <w:rPr>
          <w:rFonts w:ascii="Arial" w:eastAsia="Times New Roman" w:hAnsi="Arial" w:cs="Arial"/>
          <w:lang w:eastAsia="en-GB"/>
        </w:rPr>
      </w:pPr>
      <w:r w:rsidRPr="00FE2E6E">
        <w:rPr>
          <w:rFonts w:ascii="Arial" w:eastAsia="Times New Roman" w:hAnsi="Arial" w:cs="Arial"/>
          <w:lang w:eastAsia="en-GB"/>
        </w:rPr>
        <w:t>In the end, Innocent needs to strive for development that strengthens, not weakens, its identity based on its mission. Long-term competitive advantage will be possible while preserving social and environmental legitimacy through purpose</w:t>
      </w:r>
      <w:r w:rsidR="00DC2BE2">
        <w:rPr>
          <w:rFonts w:ascii="Arial" w:eastAsia="Times New Roman" w:hAnsi="Arial" w:cs="Arial"/>
          <w:lang w:eastAsia="en-GB"/>
        </w:rPr>
        <w:t xml:space="preserve"> innovation and </w:t>
      </w:r>
      <w:r w:rsidRPr="00FE2E6E">
        <w:rPr>
          <w:rFonts w:ascii="Arial" w:eastAsia="Times New Roman" w:hAnsi="Arial" w:cs="Arial"/>
          <w:lang w:eastAsia="en-GB"/>
        </w:rPr>
        <w:t>global expansion.</w:t>
      </w:r>
    </w:p>
    <w:p w:rsidR="00D26C5A" w:rsidRPr="00D26C5A" w:rsidRDefault="00D26C5A" w:rsidP="00D26C5A">
      <w:pPr>
        <w:spacing w:after="0" w:line="360" w:lineRule="auto"/>
        <w:rPr>
          <w:rFonts w:ascii="Arial" w:eastAsia="Times New Roman" w:hAnsi="Arial" w:cs="Arial"/>
          <w:lang w:eastAsia="en-GB"/>
        </w:rPr>
      </w:pPr>
    </w:p>
    <w:p w:rsidR="00B93E6A" w:rsidRDefault="00B93E6A" w:rsidP="00324D5E">
      <w:pPr>
        <w:spacing w:line="360" w:lineRule="auto"/>
        <w:rPr>
          <w:rFonts w:ascii="Arial" w:hAnsi="Arial" w:cs="Arial"/>
          <w:b/>
        </w:rPr>
      </w:pPr>
    </w:p>
    <w:p w:rsidR="00240D25" w:rsidRDefault="00240D25" w:rsidP="00324D5E">
      <w:pPr>
        <w:spacing w:line="360" w:lineRule="auto"/>
        <w:rPr>
          <w:rFonts w:ascii="Arial" w:hAnsi="Arial" w:cs="Arial"/>
          <w:b/>
        </w:rPr>
      </w:pPr>
    </w:p>
    <w:p w:rsidR="00371FDC" w:rsidRPr="00D26C5A" w:rsidRDefault="00371FDC" w:rsidP="00D26C5A">
      <w:pPr>
        <w:spacing w:line="360" w:lineRule="auto"/>
        <w:jc w:val="center"/>
        <w:rPr>
          <w:rFonts w:ascii="Arial" w:hAnsi="Arial" w:cs="Arial"/>
          <w:b/>
        </w:rPr>
      </w:pPr>
      <w:r w:rsidRPr="00D26C5A">
        <w:rPr>
          <w:rFonts w:ascii="Arial" w:hAnsi="Arial" w:cs="Arial"/>
          <w:b/>
        </w:rPr>
        <w:lastRenderedPageBreak/>
        <w:t>Introduction</w:t>
      </w:r>
    </w:p>
    <w:p w:rsidR="00371FDC" w:rsidRPr="00371FDC" w:rsidRDefault="00371FDC" w:rsidP="00D26C5A">
      <w:pPr>
        <w:spacing w:after="0" w:line="360" w:lineRule="auto"/>
        <w:rPr>
          <w:rFonts w:ascii="Arial" w:eastAsia="Times New Roman" w:hAnsi="Arial" w:cs="Arial"/>
          <w:lang w:eastAsia="en-GB"/>
        </w:rPr>
      </w:pPr>
      <w:r w:rsidRPr="00371FDC">
        <w:rPr>
          <w:rFonts w:ascii="Arial" w:eastAsia="Times New Roman" w:hAnsi="Arial" w:cs="Arial"/>
          <w:lang w:eastAsia="en-GB"/>
        </w:rPr>
        <w:t xml:space="preserve">This report offers a strategic assessment of the current competitive landscape for Innocent Drinks and suggests a growth plan aimed at maintaining the company's mission-driven positioning while securing a sustained competitive edge. The firm is dealing with a more unstable external environment. Operational complexity is increased by a combination of factors such as retailer bargaining power, regulatory tightening, inflationary pressures, and climate-related agricultural instability. Opportunities for growth are simultaneously created by structural changes in consumer </w:t>
      </w:r>
      <w:r w:rsidR="00B50DD9" w:rsidRPr="00D26C5A">
        <w:rPr>
          <w:rFonts w:ascii="Arial" w:eastAsia="Times New Roman" w:hAnsi="Arial" w:cs="Arial"/>
          <w:lang w:eastAsia="en-GB"/>
        </w:rPr>
        <w:t>behaviour</w:t>
      </w:r>
      <w:r w:rsidRPr="00371FDC">
        <w:rPr>
          <w:rFonts w:ascii="Arial" w:eastAsia="Times New Roman" w:hAnsi="Arial" w:cs="Arial"/>
          <w:lang w:eastAsia="en-GB"/>
        </w:rPr>
        <w:t xml:space="preserve"> toward plant-based diets, ethical consumption, and health consciousness.</w:t>
      </w:r>
    </w:p>
    <w:p w:rsidR="00371FDC" w:rsidRPr="00D26C5A" w:rsidRDefault="00371FDC" w:rsidP="00D26C5A">
      <w:pPr>
        <w:spacing w:after="0" w:line="360" w:lineRule="auto"/>
        <w:rPr>
          <w:rFonts w:ascii="Arial" w:hAnsi="Arial" w:cs="Arial"/>
          <w:b/>
        </w:rPr>
      </w:pPr>
    </w:p>
    <w:p w:rsidR="00371FDC" w:rsidRPr="00371FDC" w:rsidRDefault="00371FDC" w:rsidP="00D26C5A">
      <w:pPr>
        <w:spacing w:after="0" w:line="360" w:lineRule="auto"/>
        <w:rPr>
          <w:rFonts w:ascii="Arial" w:eastAsia="Times New Roman" w:hAnsi="Arial" w:cs="Arial"/>
          <w:lang w:eastAsia="en-GB"/>
        </w:rPr>
      </w:pPr>
      <w:r w:rsidRPr="00371FDC">
        <w:rPr>
          <w:rFonts w:ascii="Arial" w:eastAsia="Times New Roman" w:hAnsi="Arial" w:cs="Arial"/>
          <w:lang w:eastAsia="en-GB"/>
        </w:rPr>
        <w:t xml:space="preserve">According to strategic management theory, when internal capabilities and external environmental conditions are aligned, a sustainable competitive advantage arises (Porter, 1985; Barney, 1991). Therefore, expansion strategies </w:t>
      </w:r>
      <w:r w:rsidR="00DC2BE2">
        <w:rPr>
          <w:rFonts w:ascii="Arial" w:eastAsia="Times New Roman" w:hAnsi="Arial" w:cs="Arial"/>
          <w:lang w:eastAsia="en-GB"/>
        </w:rPr>
        <w:t>need to safeguard the</w:t>
      </w:r>
      <w:r w:rsidRPr="00371FDC">
        <w:rPr>
          <w:rFonts w:ascii="Arial" w:eastAsia="Times New Roman" w:hAnsi="Arial" w:cs="Arial"/>
          <w:lang w:eastAsia="en-GB"/>
        </w:rPr>
        <w:t xml:space="preserve"> assets that support Innocent's uniqueness, es</w:t>
      </w:r>
      <w:r w:rsidR="00DC2BE2">
        <w:rPr>
          <w:rFonts w:ascii="Arial" w:eastAsia="Times New Roman" w:hAnsi="Arial" w:cs="Arial"/>
          <w:lang w:eastAsia="en-GB"/>
        </w:rPr>
        <w:t xml:space="preserve">pecially brand authenticity, </w:t>
      </w:r>
      <w:r w:rsidRPr="00371FDC">
        <w:rPr>
          <w:rFonts w:ascii="Arial" w:eastAsia="Times New Roman" w:hAnsi="Arial" w:cs="Arial"/>
          <w:lang w:eastAsia="en-GB"/>
        </w:rPr>
        <w:t>sustainability</w:t>
      </w:r>
      <w:r w:rsidR="00DC2BE2">
        <w:rPr>
          <w:rFonts w:ascii="Arial" w:eastAsia="Times New Roman" w:hAnsi="Arial" w:cs="Arial"/>
          <w:lang w:eastAsia="en-GB"/>
        </w:rPr>
        <w:t xml:space="preserve"> and</w:t>
      </w:r>
      <w:r w:rsidRPr="00371FDC">
        <w:rPr>
          <w:rFonts w:ascii="Arial" w:eastAsia="Times New Roman" w:hAnsi="Arial" w:cs="Arial"/>
          <w:lang w:eastAsia="en-GB"/>
        </w:rPr>
        <w:t xml:space="preserve"> credibility. Growth that puts short-term scale ahead of strategic coherence runs the risk of undermining the creation of long-term value. </w:t>
      </w:r>
      <w:r w:rsidRPr="00371FDC">
        <w:rPr>
          <w:rFonts w:ascii="Arial" w:eastAsia="Times New Roman" w:hAnsi="Arial" w:cs="Arial"/>
          <w:lang w:eastAsia="en-GB"/>
        </w:rPr>
        <w:br/>
        <w:t>To find a growth path that aligns with Innocent's mission, stakeholder obligations, and competitive realities, this report uses macro</w:t>
      </w:r>
      <w:r w:rsidR="00B50DD9" w:rsidRPr="00D26C5A">
        <w:rPr>
          <w:rFonts w:ascii="Arial" w:eastAsia="Times New Roman" w:hAnsi="Arial" w:cs="Arial"/>
          <w:lang w:eastAsia="en-GB"/>
        </w:rPr>
        <w:t xml:space="preserve"> </w:t>
      </w:r>
      <w:r w:rsidRPr="00371FDC">
        <w:rPr>
          <w:rFonts w:ascii="Arial" w:eastAsia="Times New Roman" w:hAnsi="Arial" w:cs="Arial"/>
          <w:lang w:eastAsia="en-GB"/>
        </w:rPr>
        <w:t>environmental analysis, industry structure evaluation, internal capability assessment, and strategic evaluation frameworks.</w:t>
      </w:r>
    </w:p>
    <w:p w:rsidR="00371FDC" w:rsidRPr="00D26C5A" w:rsidRDefault="00371FDC"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Pr="00D26C5A" w:rsidRDefault="00A62E01" w:rsidP="00D26C5A">
      <w:pPr>
        <w:spacing w:line="360" w:lineRule="auto"/>
        <w:rPr>
          <w:rFonts w:ascii="Arial" w:hAnsi="Arial" w:cs="Arial"/>
          <w:b/>
        </w:rPr>
      </w:pPr>
    </w:p>
    <w:p w:rsidR="00A62E01" w:rsidRDefault="00A62E01" w:rsidP="00D26C5A">
      <w:pPr>
        <w:spacing w:line="360" w:lineRule="auto"/>
        <w:rPr>
          <w:rFonts w:ascii="Arial" w:hAnsi="Arial" w:cs="Arial"/>
          <w:b/>
        </w:rPr>
      </w:pPr>
    </w:p>
    <w:p w:rsidR="00B93E6A" w:rsidRPr="00D26C5A" w:rsidRDefault="00B93E6A" w:rsidP="00D26C5A">
      <w:pPr>
        <w:spacing w:line="360" w:lineRule="auto"/>
        <w:rPr>
          <w:rFonts w:ascii="Arial" w:hAnsi="Arial" w:cs="Arial"/>
          <w:b/>
        </w:rPr>
      </w:pPr>
    </w:p>
    <w:p w:rsidR="00A62E01" w:rsidRPr="00D26C5A" w:rsidRDefault="00A62E01" w:rsidP="00D26C5A">
      <w:pPr>
        <w:spacing w:line="360" w:lineRule="auto"/>
        <w:jc w:val="center"/>
        <w:rPr>
          <w:rFonts w:ascii="Arial" w:hAnsi="Arial" w:cs="Arial"/>
          <w:b/>
        </w:rPr>
      </w:pPr>
      <w:r w:rsidRPr="00D26C5A">
        <w:rPr>
          <w:rFonts w:ascii="Arial" w:hAnsi="Arial" w:cs="Arial"/>
          <w:b/>
        </w:rPr>
        <w:lastRenderedPageBreak/>
        <w:t xml:space="preserve">Evaluation of Current Market Situation </w:t>
      </w:r>
    </w:p>
    <w:p w:rsidR="00A62E01" w:rsidRPr="00D26C5A" w:rsidRDefault="00A62E01" w:rsidP="00D26C5A">
      <w:pPr>
        <w:spacing w:line="360" w:lineRule="auto"/>
        <w:rPr>
          <w:rFonts w:ascii="Arial" w:hAnsi="Arial" w:cs="Arial"/>
          <w:b/>
        </w:rPr>
      </w:pPr>
      <w:r w:rsidRPr="00D26C5A">
        <w:rPr>
          <w:rFonts w:ascii="Arial" w:hAnsi="Arial" w:cs="Arial"/>
          <w:b/>
        </w:rPr>
        <w:t>PESTEL Analysis</w:t>
      </w:r>
    </w:p>
    <w:p w:rsidR="00B50DD9" w:rsidRPr="00D26C5A" w:rsidRDefault="00B50DD9" w:rsidP="00D26C5A">
      <w:pPr>
        <w:spacing w:line="360" w:lineRule="auto"/>
        <w:rPr>
          <w:rFonts w:ascii="Arial" w:eastAsia="Times New Roman" w:hAnsi="Arial" w:cs="Arial"/>
          <w:lang w:eastAsia="en-GB"/>
        </w:rPr>
      </w:pPr>
      <w:r w:rsidRPr="00D26C5A">
        <w:rPr>
          <w:rFonts w:ascii="Arial" w:hAnsi="Arial" w:cs="Arial"/>
          <w:b/>
        </w:rPr>
        <w:t xml:space="preserve">Political and Legal, </w:t>
      </w:r>
      <w:r w:rsidRPr="00B50DD9">
        <w:rPr>
          <w:rFonts w:ascii="Arial" w:eastAsia="Times New Roman" w:hAnsi="Arial" w:cs="Arial"/>
          <w:lang w:eastAsia="en-GB"/>
        </w:rPr>
        <w:t xml:space="preserve">The </w:t>
      </w:r>
      <w:r w:rsidR="008E4B3E" w:rsidRPr="00B50DD9">
        <w:rPr>
          <w:rFonts w:ascii="Arial" w:eastAsia="Times New Roman" w:hAnsi="Arial" w:cs="Arial"/>
          <w:lang w:eastAsia="en-GB"/>
        </w:rPr>
        <w:t>microenvironment</w:t>
      </w:r>
      <w:r w:rsidRPr="00B50DD9">
        <w:rPr>
          <w:rFonts w:ascii="Arial" w:eastAsia="Times New Roman" w:hAnsi="Arial" w:cs="Arial"/>
          <w:lang w:eastAsia="en-GB"/>
        </w:rPr>
        <w:t xml:space="preserve"> in which Inn</w:t>
      </w:r>
      <w:r w:rsidR="00DC2BE2">
        <w:rPr>
          <w:rFonts w:ascii="Arial" w:eastAsia="Times New Roman" w:hAnsi="Arial" w:cs="Arial"/>
          <w:lang w:eastAsia="en-GB"/>
        </w:rPr>
        <w:t>ocent operates is influenced by</w:t>
      </w:r>
      <w:r w:rsidRPr="00B50DD9">
        <w:rPr>
          <w:rFonts w:ascii="Arial" w:eastAsia="Times New Roman" w:hAnsi="Arial" w:cs="Arial"/>
          <w:lang w:eastAsia="en-GB"/>
        </w:rPr>
        <w:t xml:space="preserve">, economic uncertainty, and growing regulatory intervention. In an effort to improve public health, governments throughout Europe are strengthening regulations in the food and beverage industry with policies like sugar taxes, more stringent </w:t>
      </w:r>
      <w:r w:rsidR="008E4B3E" w:rsidRPr="00B50DD9">
        <w:rPr>
          <w:rFonts w:ascii="Arial" w:eastAsia="Times New Roman" w:hAnsi="Arial" w:cs="Arial"/>
          <w:lang w:eastAsia="en-GB"/>
        </w:rPr>
        <w:t>labelling</w:t>
      </w:r>
      <w:r w:rsidRPr="00B50DD9">
        <w:rPr>
          <w:rFonts w:ascii="Arial" w:eastAsia="Times New Roman" w:hAnsi="Arial" w:cs="Arial"/>
          <w:lang w:eastAsia="en-GB"/>
        </w:rPr>
        <w:t xml:space="preserve"> standards, and limitations on advertising (OECD, 2023). Despite the fact that Innocent's products contain naturally occurring sugars, front-of-pack </w:t>
      </w:r>
      <w:r w:rsidR="008E4B3E" w:rsidRPr="00B50DD9">
        <w:rPr>
          <w:rFonts w:ascii="Arial" w:eastAsia="Times New Roman" w:hAnsi="Arial" w:cs="Arial"/>
          <w:lang w:eastAsia="en-GB"/>
        </w:rPr>
        <w:t>labelling</w:t>
      </w:r>
      <w:r w:rsidRPr="00B50DD9">
        <w:rPr>
          <w:rFonts w:ascii="Arial" w:eastAsia="Times New Roman" w:hAnsi="Arial" w:cs="Arial"/>
          <w:lang w:eastAsia="en-GB"/>
        </w:rPr>
        <w:t xml:space="preserve"> and regulatory classification are still strategically significant. Additionally, environmental regulations have become more stringent, with mandated carbon reporting, extended producer responsibility programs, and packaging waste directives raising the bar for compliance (European Commission, 2023). These advancements increase operating expenses, but they also present opportunities for reputational growth. Businesses can turn regulatory pressure into a competitive advantage by responding proactively to environmental regulations (Porter and van der Linde, 1995).</w:t>
      </w:r>
    </w:p>
    <w:p w:rsidR="00B50DD9" w:rsidRPr="00D26C5A" w:rsidRDefault="00B50DD9" w:rsidP="00D26C5A">
      <w:pPr>
        <w:spacing w:line="360" w:lineRule="auto"/>
        <w:rPr>
          <w:rFonts w:ascii="Arial" w:eastAsia="Times New Roman" w:hAnsi="Arial" w:cs="Arial"/>
          <w:lang w:eastAsia="en-GB"/>
        </w:rPr>
      </w:pPr>
      <w:r w:rsidRPr="00D26C5A">
        <w:rPr>
          <w:rFonts w:ascii="Arial" w:eastAsia="Times New Roman" w:hAnsi="Arial" w:cs="Arial"/>
          <w:b/>
          <w:lang w:eastAsia="en-GB"/>
        </w:rPr>
        <w:t>Economically</w:t>
      </w:r>
      <w:r w:rsidRPr="00D26C5A">
        <w:rPr>
          <w:rFonts w:ascii="Arial" w:eastAsia="Times New Roman" w:hAnsi="Arial" w:cs="Arial"/>
          <w:lang w:eastAsia="en-GB"/>
        </w:rPr>
        <w:t xml:space="preserve">, inflationary pressures and slowing income growth in the UK and European markets have increased price sensitivity. During economic instability, consumers in the fast-moving consumer goods (FMCG) industry frequently trade down, replacing premium brands with lower-cost alternatives (Kotler and Keller, 2016). This puts margin pressure on Innocent, whose pricing reflects premium quality and ethical sourcing </w:t>
      </w:r>
      <w:r w:rsidR="00DC2BE2">
        <w:rPr>
          <w:rFonts w:ascii="Arial" w:eastAsia="Times New Roman" w:hAnsi="Arial" w:cs="Arial"/>
          <w:lang w:eastAsia="en-GB"/>
        </w:rPr>
        <w:t xml:space="preserve">commitments. However, </w:t>
      </w:r>
      <w:r w:rsidRPr="00D26C5A">
        <w:rPr>
          <w:rFonts w:ascii="Arial" w:eastAsia="Times New Roman" w:hAnsi="Arial" w:cs="Arial"/>
          <w:lang w:eastAsia="en-GB"/>
        </w:rPr>
        <w:t>research indicates that health-conscious customers have lower price elasticity when products provide credible functional or nutritional benefits (Nielsen, 2022). This suggests that Innocent's strategy focus on health functions may reduce economic risk. Furthermore, economic uncertainty may increase scrutiny of company claims, making authenticity and openness crucial to sustaining trust.</w:t>
      </w:r>
    </w:p>
    <w:p w:rsidR="00B50DD9" w:rsidRPr="00D26C5A" w:rsidRDefault="00B50DD9" w:rsidP="00D26C5A">
      <w:pPr>
        <w:spacing w:line="360" w:lineRule="auto"/>
        <w:rPr>
          <w:rFonts w:ascii="Arial" w:eastAsia="Times New Roman" w:hAnsi="Arial" w:cs="Arial"/>
          <w:lang w:eastAsia="en-GB"/>
        </w:rPr>
      </w:pPr>
      <w:r w:rsidRPr="00D26C5A">
        <w:rPr>
          <w:rFonts w:ascii="Arial" w:eastAsia="Times New Roman" w:hAnsi="Arial" w:cs="Arial"/>
          <w:b/>
          <w:lang w:eastAsia="en-GB"/>
        </w:rPr>
        <w:t>Social</w:t>
      </w:r>
      <w:r w:rsidRPr="00D26C5A">
        <w:rPr>
          <w:rFonts w:ascii="Arial" w:eastAsia="Times New Roman" w:hAnsi="Arial" w:cs="Arial"/>
          <w:lang w:eastAsia="en-GB"/>
        </w:rPr>
        <w:t xml:space="preserve"> trends remain widely </w:t>
      </w:r>
      <w:r w:rsidR="008E4B3E" w:rsidRPr="00D26C5A">
        <w:rPr>
          <w:rFonts w:ascii="Arial" w:eastAsia="Times New Roman" w:hAnsi="Arial" w:cs="Arial"/>
          <w:lang w:eastAsia="en-GB"/>
        </w:rPr>
        <w:t>favourable</w:t>
      </w:r>
      <w:r w:rsidRPr="00D26C5A">
        <w:rPr>
          <w:rFonts w:ascii="Arial" w:eastAsia="Times New Roman" w:hAnsi="Arial" w:cs="Arial"/>
          <w:lang w:eastAsia="en-GB"/>
        </w:rPr>
        <w:t xml:space="preserve"> to Innocent's value offer. Growing concern about diet-related diseases, environmental sustainability, and ethical supply chains has </w:t>
      </w:r>
      <w:r w:rsidR="00D9179C" w:rsidRPr="00D26C5A">
        <w:rPr>
          <w:rFonts w:ascii="Arial" w:eastAsia="Times New Roman" w:hAnsi="Arial" w:cs="Arial"/>
          <w:lang w:eastAsia="en-GB"/>
        </w:rPr>
        <w:t>changed</w:t>
      </w:r>
      <w:r w:rsidRPr="00D26C5A">
        <w:rPr>
          <w:rFonts w:ascii="Arial" w:eastAsia="Times New Roman" w:hAnsi="Arial" w:cs="Arial"/>
          <w:lang w:eastAsia="en-GB"/>
        </w:rPr>
        <w:t xml:space="preserve"> consumption habits in developed economies (Carrington, Neville, and Whitwell, 2010). Plant-based diets are moving from niche to mainstream adoption, with consumers being motivated by both personal health and environmental effect (McKinsey, 2023). Functional beverages, such as probiotic drinks, protein-enriched smoothies, and immunity-boosting products, are expected to see steady global expansion (</w:t>
      </w:r>
      <w:r w:rsidR="00774CFF" w:rsidRPr="00D26C5A">
        <w:rPr>
          <w:rFonts w:ascii="Arial" w:eastAsia="Times New Roman" w:hAnsi="Arial" w:cs="Arial"/>
          <w:lang w:eastAsia="en-GB"/>
        </w:rPr>
        <w:t>Euro monitor</w:t>
      </w:r>
      <w:r w:rsidRPr="00D26C5A">
        <w:rPr>
          <w:rFonts w:ascii="Arial" w:eastAsia="Times New Roman" w:hAnsi="Arial" w:cs="Arial"/>
          <w:lang w:eastAsia="en-GB"/>
        </w:rPr>
        <w:t xml:space="preserve">, 2024). These developments are strongly aligned with Innocent's mission-driven positioning. Nonetheless, growing mistrust about corporate sustainability promises has increased reputational risk. </w:t>
      </w:r>
      <w:r w:rsidR="008E4B3E" w:rsidRPr="00D26C5A">
        <w:rPr>
          <w:rFonts w:ascii="Arial" w:eastAsia="Times New Roman" w:hAnsi="Arial" w:cs="Arial"/>
          <w:lang w:eastAsia="en-GB"/>
        </w:rPr>
        <w:t>Green washing</w:t>
      </w:r>
      <w:r w:rsidRPr="00D26C5A">
        <w:rPr>
          <w:rFonts w:ascii="Arial" w:eastAsia="Times New Roman" w:hAnsi="Arial" w:cs="Arial"/>
          <w:lang w:eastAsia="en-GB"/>
        </w:rPr>
        <w:t xml:space="preserve">, in which companies inflate their environmental credentials, has eroded consumer faith in </w:t>
      </w:r>
      <w:r w:rsidRPr="00D26C5A">
        <w:rPr>
          <w:rFonts w:ascii="Arial" w:eastAsia="Times New Roman" w:hAnsi="Arial" w:cs="Arial"/>
          <w:lang w:eastAsia="en-GB"/>
        </w:rPr>
        <w:lastRenderedPageBreak/>
        <w:t>sustainability messaging (Delmas and Burbano, 2011). Innocent must therefore ensure that its expansion methods strengthen rat</w:t>
      </w:r>
      <w:r w:rsidR="00DC2BE2">
        <w:rPr>
          <w:rFonts w:ascii="Arial" w:eastAsia="Times New Roman" w:hAnsi="Arial" w:cs="Arial"/>
          <w:lang w:eastAsia="en-GB"/>
        </w:rPr>
        <w:t>her than degrade</w:t>
      </w:r>
      <w:r w:rsidRPr="00D26C5A">
        <w:rPr>
          <w:rFonts w:ascii="Arial" w:eastAsia="Times New Roman" w:hAnsi="Arial" w:cs="Arial"/>
          <w:lang w:eastAsia="en-GB"/>
        </w:rPr>
        <w:t>.</w:t>
      </w:r>
    </w:p>
    <w:p w:rsidR="00D26C5A" w:rsidRPr="00D26C5A" w:rsidRDefault="00D26C5A" w:rsidP="00D26C5A">
      <w:pPr>
        <w:spacing w:after="0" w:line="360" w:lineRule="auto"/>
        <w:rPr>
          <w:rFonts w:ascii="Arial" w:eastAsia="Times New Roman" w:hAnsi="Arial" w:cs="Arial"/>
          <w:lang w:eastAsia="en-GB"/>
        </w:rPr>
      </w:pPr>
      <w:r w:rsidRPr="00D26C5A">
        <w:rPr>
          <w:rFonts w:ascii="Arial" w:eastAsia="Times New Roman" w:hAnsi="Arial" w:cs="Arial"/>
          <w:b/>
          <w:lang w:eastAsia="en-GB"/>
        </w:rPr>
        <w:t>Technological</w:t>
      </w:r>
      <w:r w:rsidRPr="00D26C5A">
        <w:rPr>
          <w:rFonts w:ascii="Arial" w:eastAsia="Times New Roman" w:hAnsi="Arial" w:cs="Arial"/>
          <w:lang w:eastAsia="en-GB"/>
        </w:rPr>
        <w:t xml:space="preserve"> developments provide additional strategic implications. Advances in supply chain digitization, traceability technologies, and data analytics provide more transparency and operational efficiency. </w:t>
      </w:r>
      <w:r w:rsidR="00774CFF" w:rsidRPr="00D26C5A">
        <w:rPr>
          <w:rFonts w:ascii="Arial" w:eastAsia="Times New Roman" w:hAnsi="Arial" w:cs="Arial"/>
          <w:lang w:eastAsia="en-GB"/>
        </w:rPr>
        <w:t>Block chain</w:t>
      </w:r>
      <w:r w:rsidRPr="00D26C5A">
        <w:rPr>
          <w:rFonts w:ascii="Arial" w:eastAsia="Times New Roman" w:hAnsi="Arial" w:cs="Arial"/>
          <w:lang w:eastAsia="en-GB"/>
        </w:rPr>
        <w:t>-enabled traceability systems can boost stakeholder trust by validating ethical sourcing claims (Saberi et al., 2019). Simultaneously, technological advancements in sustainable packaging, such as biodegradable materials and lightweight designs, may reduce environmental effect while increasing distinction.</w:t>
      </w:r>
    </w:p>
    <w:p w:rsidR="00D26C5A" w:rsidRPr="00D26C5A" w:rsidRDefault="00D26C5A" w:rsidP="00D26C5A">
      <w:pPr>
        <w:spacing w:after="0" w:line="360" w:lineRule="auto"/>
        <w:rPr>
          <w:rFonts w:ascii="Arial" w:eastAsia="Times New Roman" w:hAnsi="Arial" w:cs="Arial"/>
          <w:lang w:eastAsia="en-GB"/>
        </w:rPr>
      </w:pPr>
    </w:p>
    <w:p w:rsidR="00D26C5A" w:rsidRDefault="00D26C5A" w:rsidP="00D26C5A">
      <w:pPr>
        <w:spacing w:after="0" w:line="360" w:lineRule="auto"/>
        <w:rPr>
          <w:rFonts w:ascii="Arial" w:eastAsia="Times New Roman" w:hAnsi="Arial" w:cs="Arial"/>
          <w:lang w:eastAsia="en-GB"/>
        </w:rPr>
      </w:pPr>
      <w:r w:rsidRPr="00D26C5A">
        <w:rPr>
          <w:rFonts w:ascii="Arial" w:eastAsia="Times New Roman" w:hAnsi="Arial" w:cs="Arial"/>
          <w:b/>
          <w:lang w:eastAsia="en-GB"/>
        </w:rPr>
        <w:t>Environmental</w:t>
      </w:r>
      <w:r w:rsidRPr="00D26C5A">
        <w:rPr>
          <w:rFonts w:ascii="Arial" w:eastAsia="Times New Roman" w:hAnsi="Arial" w:cs="Arial"/>
          <w:lang w:eastAsia="en-GB"/>
        </w:rPr>
        <w:t xml:space="preserve"> elements are particularly important. Climate change </w:t>
      </w:r>
      <w:r w:rsidR="00DC2BE2" w:rsidRPr="00D26C5A">
        <w:rPr>
          <w:rFonts w:ascii="Arial" w:eastAsia="Times New Roman" w:hAnsi="Arial" w:cs="Arial"/>
          <w:lang w:eastAsia="en-GB"/>
        </w:rPr>
        <w:t>worsens</w:t>
      </w:r>
      <w:r w:rsidRPr="00D26C5A">
        <w:rPr>
          <w:rFonts w:ascii="Arial" w:eastAsia="Times New Roman" w:hAnsi="Arial" w:cs="Arial"/>
          <w:lang w:eastAsia="en-GB"/>
        </w:rPr>
        <w:t xml:space="preserve"> agricultural unpredictability, reducing fruit yields, price stability, and supply reliability (IPCC, 2023). For a business that relies on natural ingredients, environmental unpredictability is a </w:t>
      </w:r>
      <w:r w:rsidR="00D9179C" w:rsidRPr="00D26C5A">
        <w:rPr>
          <w:rFonts w:ascii="Arial" w:eastAsia="Times New Roman" w:hAnsi="Arial" w:cs="Arial"/>
          <w:lang w:eastAsia="en-GB"/>
        </w:rPr>
        <w:t>physical</w:t>
      </w:r>
      <w:r w:rsidRPr="00D26C5A">
        <w:rPr>
          <w:rFonts w:ascii="Arial" w:eastAsia="Times New Roman" w:hAnsi="Arial" w:cs="Arial"/>
          <w:lang w:eastAsia="en-GB"/>
        </w:rPr>
        <w:t xml:space="preserve"> risk. According to the natural-resource-based view (Hart, 1995), including environmental resilience into strategic decision-making can provide long-term competitive advantage by </w:t>
      </w:r>
      <w:r w:rsidR="00D9179C" w:rsidRPr="00D26C5A">
        <w:rPr>
          <w:rFonts w:ascii="Arial" w:eastAsia="Times New Roman" w:hAnsi="Arial" w:cs="Arial"/>
          <w:lang w:eastAsia="en-GB"/>
        </w:rPr>
        <w:t>surrounding</w:t>
      </w:r>
      <w:r w:rsidRPr="00D26C5A">
        <w:rPr>
          <w:rFonts w:ascii="Arial" w:eastAsia="Times New Roman" w:hAnsi="Arial" w:cs="Arial"/>
          <w:lang w:eastAsia="en-GB"/>
        </w:rPr>
        <w:t xml:space="preserve"> ecological competence in core operations. As a result, Innocent's environmental </w:t>
      </w:r>
      <w:r w:rsidR="00D9179C" w:rsidRPr="00D26C5A">
        <w:rPr>
          <w:rFonts w:ascii="Arial" w:eastAsia="Times New Roman" w:hAnsi="Arial" w:cs="Arial"/>
          <w:lang w:eastAsia="en-GB"/>
        </w:rPr>
        <w:t>duties</w:t>
      </w:r>
      <w:r w:rsidRPr="00D26C5A">
        <w:rPr>
          <w:rFonts w:ascii="Arial" w:eastAsia="Times New Roman" w:hAnsi="Arial" w:cs="Arial"/>
          <w:lang w:eastAsia="en-GB"/>
        </w:rPr>
        <w:t xml:space="preserve"> are not only ethical, but also strategic.</w:t>
      </w:r>
    </w:p>
    <w:p w:rsidR="00B93E28" w:rsidRDefault="00B93E28" w:rsidP="00D26C5A">
      <w:pPr>
        <w:spacing w:after="0" w:line="360" w:lineRule="auto"/>
        <w:rPr>
          <w:rFonts w:ascii="Arial" w:eastAsia="Times New Roman" w:hAnsi="Arial" w:cs="Arial"/>
          <w:lang w:eastAsia="en-GB"/>
        </w:rPr>
      </w:pPr>
    </w:p>
    <w:p w:rsidR="00B93E28" w:rsidRDefault="00B93E28" w:rsidP="00D26C5A">
      <w:pPr>
        <w:spacing w:after="0" w:line="360" w:lineRule="auto"/>
        <w:rPr>
          <w:rFonts w:ascii="Arial" w:eastAsia="Times New Roman" w:hAnsi="Arial" w:cs="Arial"/>
          <w:lang w:eastAsia="en-GB"/>
        </w:rPr>
      </w:pPr>
    </w:p>
    <w:p w:rsidR="00B93E28" w:rsidRPr="00D26C5A" w:rsidRDefault="00B93E28" w:rsidP="00D26C5A">
      <w:pPr>
        <w:spacing w:after="0" w:line="360" w:lineRule="auto"/>
        <w:rPr>
          <w:rFonts w:ascii="Arial" w:eastAsia="Times New Roman" w:hAnsi="Arial" w:cs="Arial"/>
          <w:lang w:eastAsia="en-GB"/>
        </w:rPr>
      </w:pPr>
    </w:p>
    <w:p w:rsidR="00D26C5A" w:rsidRPr="00D26C5A" w:rsidRDefault="00D26C5A" w:rsidP="00D26C5A">
      <w:pPr>
        <w:spacing w:after="0" w:line="240" w:lineRule="auto"/>
        <w:rPr>
          <w:rFonts w:ascii="Times New Roman" w:eastAsia="Times New Roman" w:hAnsi="Times New Roman" w:cs="Times New Roman"/>
          <w:sz w:val="24"/>
          <w:szCs w:val="24"/>
          <w:lang w:eastAsia="en-GB"/>
        </w:rPr>
      </w:pPr>
    </w:p>
    <w:p w:rsidR="00D26C5A" w:rsidRDefault="00B217DB" w:rsidP="00B85089">
      <w:pPr>
        <w:jc w:val="center"/>
        <w:rPr>
          <w:rFonts w:ascii="Arial" w:eastAsia="Times New Roman" w:hAnsi="Arial" w:cs="Arial"/>
          <w:i/>
          <w:iCs/>
          <w:lang w:eastAsia="en-GB"/>
        </w:rPr>
      </w:pPr>
      <w:r w:rsidRPr="00B217DB">
        <w:rPr>
          <w:rFonts w:ascii="Arial" w:hAnsi="Arial" w:cs="Arial"/>
          <w:b/>
        </w:rPr>
        <w:t xml:space="preserve">SWOT Analysis according to </w:t>
      </w:r>
      <w:r w:rsidRPr="00B217DB">
        <w:rPr>
          <w:rFonts w:ascii="Arial" w:eastAsia="Times New Roman" w:hAnsi="Arial" w:cs="Arial"/>
          <w:i/>
          <w:iCs/>
          <w:lang w:eastAsia="en-GB"/>
        </w:rPr>
        <w:t xml:space="preserve">Innocent Drinks SWOT Analysis (10 steps) </w:t>
      </w:r>
    </w:p>
    <w:p w:rsidR="00B93E28" w:rsidRPr="00B217DB" w:rsidRDefault="00B93E28" w:rsidP="00B85089">
      <w:pPr>
        <w:jc w:val="center"/>
        <w:rPr>
          <w:rFonts w:ascii="Arial" w:eastAsia="Times New Roman" w:hAnsi="Arial" w:cs="Arial"/>
          <w:i/>
          <w:iCs/>
          <w:lang w:eastAsia="en-GB"/>
        </w:rPr>
      </w:pPr>
    </w:p>
    <w:tbl>
      <w:tblPr>
        <w:tblStyle w:val="TableGrid"/>
        <w:tblW w:w="0" w:type="auto"/>
        <w:tblLook w:val="04A0" w:firstRow="1" w:lastRow="0" w:firstColumn="1" w:lastColumn="0" w:noHBand="0" w:noVBand="1"/>
      </w:tblPr>
      <w:tblGrid>
        <w:gridCol w:w="2210"/>
        <w:gridCol w:w="2392"/>
        <w:gridCol w:w="2177"/>
        <w:gridCol w:w="2237"/>
      </w:tblGrid>
      <w:tr w:rsidR="00B93E28" w:rsidRPr="00B217DB" w:rsidTr="00B217DB">
        <w:tc>
          <w:tcPr>
            <w:tcW w:w="2254" w:type="dxa"/>
          </w:tcPr>
          <w:p w:rsidR="00B217DB" w:rsidRPr="00B217DB" w:rsidRDefault="00B217DB" w:rsidP="00B85089">
            <w:pPr>
              <w:jc w:val="center"/>
              <w:rPr>
                <w:rFonts w:ascii="Arial" w:hAnsi="Arial" w:cs="Arial"/>
                <w:b/>
              </w:rPr>
            </w:pPr>
            <w:r w:rsidRPr="00B217DB">
              <w:rPr>
                <w:rFonts w:ascii="Arial" w:hAnsi="Arial" w:cs="Arial"/>
                <w:b/>
              </w:rPr>
              <w:t>Strengths</w:t>
            </w:r>
          </w:p>
        </w:tc>
        <w:tc>
          <w:tcPr>
            <w:tcW w:w="2254" w:type="dxa"/>
          </w:tcPr>
          <w:p w:rsidR="00B217DB" w:rsidRPr="00B217DB" w:rsidRDefault="00B217DB" w:rsidP="00B85089">
            <w:pPr>
              <w:jc w:val="center"/>
              <w:rPr>
                <w:rFonts w:ascii="Arial" w:hAnsi="Arial" w:cs="Arial"/>
                <w:b/>
              </w:rPr>
            </w:pPr>
            <w:r w:rsidRPr="00B217DB">
              <w:rPr>
                <w:rFonts w:ascii="Arial" w:hAnsi="Arial" w:cs="Arial"/>
                <w:b/>
              </w:rPr>
              <w:t>Weaknesses</w:t>
            </w:r>
          </w:p>
        </w:tc>
        <w:tc>
          <w:tcPr>
            <w:tcW w:w="2254" w:type="dxa"/>
          </w:tcPr>
          <w:p w:rsidR="00B217DB" w:rsidRPr="00B217DB" w:rsidRDefault="00B217DB" w:rsidP="00B85089">
            <w:pPr>
              <w:jc w:val="center"/>
              <w:rPr>
                <w:rFonts w:ascii="Arial" w:hAnsi="Arial" w:cs="Arial"/>
                <w:b/>
              </w:rPr>
            </w:pPr>
            <w:r w:rsidRPr="00B217DB">
              <w:rPr>
                <w:rFonts w:ascii="Arial" w:hAnsi="Arial" w:cs="Arial"/>
                <w:b/>
              </w:rPr>
              <w:t xml:space="preserve">Opportunities </w:t>
            </w:r>
          </w:p>
        </w:tc>
        <w:tc>
          <w:tcPr>
            <w:tcW w:w="2254" w:type="dxa"/>
          </w:tcPr>
          <w:p w:rsidR="00B217DB" w:rsidRPr="00B217DB" w:rsidRDefault="00B217DB" w:rsidP="00B217DB">
            <w:pPr>
              <w:tabs>
                <w:tab w:val="left" w:pos="195"/>
              </w:tabs>
              <w:rPr>
                <w:rFonts w:ascii="Arial" w:hAnsi="Arial" w:cs="Arial"/>
                <w:b/>
              </w:rPr>
            </w:pPr>
            <w:r w:rsidRPr="00B217DB">
              <w:rPr>
                <w:rFonts w:ascii="Arial" w:hAnsi="Arial" w:cs="Arial"/>
                <w:b/>
              </w:rPr>
              <w:tab/>
              <w:t>Threats</w:t>
            </w:r>
          </w:p>
        </w:tc>
      </w:tr>
      <w:tr w:rsidR="00B93E28" w:rsidRPr="00B217DB" w:rsidTr="00B217DB">
        <w:tc>
          <w:tcPr>
            <w:tcW w:w="2254" w:type="dxa"/>
          </w:tcPr>
          <w:p w:rsidR="00B217DB" w:rsidRPr="00B217DB" w:rsidRDefault="00B217DB" w:rsidP="00B217DB">
            <w:pPr>
              <w:pStyle w:val="ListParagraph"/>
              <w:numPr>
                <w:ilvl w:val="0"/>
                <w:numId w:val="13"/>
              </w:numPr>
              <w:jc w:val="both"/>
              <w:rPr>
                <w:rFonts w:ascii="Arial" w:hAnsi="Arial" w:cs="Arial"/>
              </w:rPr>
            </w:pPr>
            <w:r w:rsidRPr="00B217DB">
              <w:rPr>
                <w:rFonts w:ascii="Arial" w:hAnsi="Arial" w:cs="Arial"/>
              </w:rPr>
              <w:t>Good branding name</w:t>
            </w:r>
            <w:r w:rsidR="00B93E28">
              <w:rPr>
                <w:rFonts w:ascii="Arial" w:hAnsi="Arial" w:cs="Arial"/>
              </w:rPr>
              <w:t>.</w:t>
            </w:r>
          </w:p>
          <w:p w:rsidR="00B217DB" w:rsidRPr="00B217DB" w:rsidRDefault="00B217DB" w:rsidP="00B217DB">
            <w:pPr>
              <w:pStyle w:val="ListParagraph"/>
              <w:numPr>
                <w:ilvl w:val="0"/>
                <w:numId w:val="13"/>
              </w:numPr>
              <w:jc w:val="both"/>
              <w:rPr>
                <w:rFonts w:ascii="Arial" w:hAnsi="Arial" w:cs="Arial"/>
              </w:rPr>
            </w:pPr>
            <w:r w:rsidRPr="00B217DB">
              <w:rPr>
                <w:rFonts w:ascii="Arial" w:hAnsi="Arial" w:cs="Arial"/>
              </w:rPr>
              <w:t>Innovation</w:t>
            </w:r>
          </w:p>
          <w:p w:rsidR="00B217DB" w:rsidRPr="00B217DB" w:rsidRDefault="00B217DB" w:rsidP="00B217DB">
            <w:pPr>
              <w:pStyle w:val="ListParagraph"/>
              <w:numPr>
                <w:ilvl w:val="0"/>
                <w:numId w:val="13"/>
              </w:numPr>
              <w:jc w:val="both"/>
              <w:rPr>
                <w:rFonts w:ascii="Arial" w:hAnsi="Arial" w:cs="Arial"/>
              </w:rPr>
            </w:pPr>
            <w:r w:rsidRPr="00B217DB">
              <w:rPr>
                <w:rFonts w:ascii="Arial" w:hAnsi="Arial" w:cs="Arial"/>
              </w:rPr>
              <w:t xml:space="preserve">Production raw </w:t>
            </w:r>
            <w:r w:rsidR="00B93E28">
              <w:rPr>
                <w:rFonts w:ascii="Arial" w:hAnsi="Arial" w:cs="Arial"/>
              </w:rPr>
              <w:t>material.</w:t>
            </w:r>
          </w:p>
          <w:p w:rsidR="00B217DB" w:rsidRPr="00B217DB" w:rsidRDefault="00B217DB" w:rsidP="00B217DB">
            <w:pPr>
              <w:pStyle w:val="ListParagraph"/>
              <w:numPr>
                <w:ilvl w:val="0"/>
                <w:numId w:val="13"/>
              </w:numPr>
              <w:jc w:val="both"/>
              <w:rPr>
                <w:rFonts w:ascii="Arial" w:hAnsi="Arial" w:cs="Arial"/>
              </w:rPr>
            </w:pPr>
            <w:r w:rsidRPr="00B217DB">
              <w:rPr>
                <w:rFonts w:ascii="Arial" w:hAnsi="Arial" w:cs="Arial"/>
              </w:rPr>
              <w:t>Strong track record</w:t>
            </w:r>
            <w:r w:rsidR="00B93E28">
              <w:rPr>
                <w:rFonts w:ascii="Arial" w:hAnsi="Arial" w:cs="Arial"/>
              </w:rPr>
              <w:t>.</w:t>
            </w:r>
          </w:p>
          <w:p w:rsidR="00B217DB" w:rsidRPr="00B217DB" w:rsidRDefault="00B217DB" w:rsidP="00B85089">
            <w:pPr>
              <w:jc w:val="center"/>
              <w:rPr>
                <w:rFonts w:ascii="Arial" w:hAnsi="Arial" w:cs="Arial"/>
              </w:rPr>
            </w:pPr>
          </w:p>
        </w:tc>
        <w:tc>
          <w:tcPr>
            <w:tcW w:w="2254" w:type="dxa"/>
          </w:tcPr>
          <w:p w:rsidR="00B217DB" w:rsidRPr="00B217DB" w:rsidRDefault="00B217DB" w:rsidP="00B217DB">
            <w:pPr>
              <w:pStyle w:val="ListParagraph"/>
              <w:numPr>
                <w:ilvl w:val="0"/>
                <w:numId w:val="13"/>
              </w:numPr>
              <w:rPr>
                <w:rFonts w:ascii="Arial" w:hAnsi="Arial" w:cs="Arial"/>
              </w:rPr>
            </w:pPr>
            <w:r w:rsidRPr="00B217DB">
              <w:rPr>
                <w:rFonts w:ascii="Arial" w:hAnsi="Arial" w:cs="Arial"/>
              </w:rPr>
              <w:t>Low international</w:t>
            </w:r>
            <w:r w:rsidR="00B93E28">
              <w:rPr>
                <w:rFonts w:ascii="Arial" w:hAnsi="Arial" w:cs="Arial"/>
              </w:rPr>
              <w:t xml:space="preserve"> presence.</w:t>
            </w:r>
          </w:p>
          <w:p w:rsidR="00B217DB" w:rsidRPr="00B217DB" w:rsidRDefault="00B217DB" w:rsidP="00B217DB">
            <w:pPr>
              <w:pStyle w:val="ListParagraph"/>
              <w:numPr>
                <w:ilvl w:val="0"/>
                <w:numId w:val="13"/>
              </w:numPr>
              <w:rPr>
                <w:rFonts w:ascii="Arial" w:hAnsi="Arial" w:cs="Arial"/>
              </w:rPr>
            </w:pPr>
            <w:r w:rsidRPr="00B217DB">
              <w:rPr>
                <w:rFonts w:ascii="Arial" w:hAnsi="Arial" w:cs="Arial"/>
              </w:rPr>
              <w:t>Using old method of manufacturing</w:t>
            </w:r>
            <w:r w:rsidR="00B93E28">
              <w:rPr>
                <w:rFonts w:ascii="Arial" w:hAnsi="Arial" w:cs="Arial"/>
              </w:rPr>
              <w:t>.</w:t>
            </w:r>
            <w:r w:rsidRPr="00B217DB">
              <w:rPr>
                <w:rFonts w:ascii="Arial" w:hAnsi="Arial" w:cs="Arial"/>
              </w:rPr>
              <w:t xml:space="preserve"> </w:t>
            </w:r>
          </w:p>
        </w:tc>
        <w:tc>
          <w:tcPr>
            <w:tcW w:w="2254" w:type="dxa"/>
          </w:tcPr>
          <w:p w:rsidR="00B93E28" w:rsidRPr="00B93E28" w:rsidRDefault="00B93E28" w:rsidP="00B93E28">
            <w:pPr>
              <w:pStyle w:val="ListParagraph"/>
              <w:numPr>
                <w:ilvl w:val="0"/>
                <w:numId w:val="13"/>
              </w:numPr>
              <w:rPr>
                <w:rFonts w:ascii="Arial" w:hAnsi="Arial" w:cs="Arial"/>
              </w:rPr>
            </w:pPr>
            <w:r>
              <w:rPr>
                <w:rFonts w:ascii="Arial" w:hAnsi="Arial" w:cs="Arial"/>
                <w:i/>
              </w:rPr>
              <w:t>Increase in demand</w:t>
            </w:r>
          </w:p>
          <w:p w:rsidR="00B93E28" w:rsidRPr="00B93E28" w:rsidRDefault="00B93E28" w:rsidP="00B93E28">
            <w:pPr>
              <w:pStyle w:val="ListParagraph"/>
              <w:numPr>
                <w:ilvl w:val="0"/>
                <w:numId w:val="13"/>
              </w:numPr>
              <w:rPr>
                <w:rFonts w:ascii="Arial" w:hAnsi="Arial" w:cs="Arial"/>
              </w:rPr>
            </w:pPr>
            <w:r>
              <w:rPr>
                <w:rFonts w:ascii="Arial" w:hAnsi="Arial" w:cs="Arial"/>
                <w:i/>
              </w:rPr>
              <w:t>New products into existing market.</w:t>
            </w:r>
          </w:p>
          <w:p w:rsidR="00B93E28" w:rsidRPr="00B93E28" w:rsidRDefault="00B93E28" w:rsidP="00B93E28">
            <w:pPr>
              <w:pStyle w:val="ListParagraph"/>
              <w:numPr>
                <w:ilvl w:val="0"/>
                <w:numId w:val="13"/>
              </w:numPr>
              <w:rPr>
                <w:rFonts w:ascii="Arial" w:hAnsi="Arial" w:cs="Arial"/>
              </w:rPr>
            </w:pPr>
            <w:r>
              <w:rPr>
                <w:rFonts w:ascii="Arial" w:hAnsi="Arial" w:cs="Arial"/>
                <w:i/>
              </w:rPr>
              <w:t>Existing products into new markets.</w:t>
            </w:r>
          </w:p>
        </w:tc>
        <w:tc>
          <w:tcPr>
            <w:tcW w:w="2254" w:type="dxa"/>
          </w:tcPr>
          <w:p w:rsidR="00B93E28" w:rsidRDefault="00B93E28" w:rsidP="00B93E28">
            <w:pPr>
              <w:pStyle w:val="ListParagraph"/>
              <w:numPr>
                <w:ilvl w:val="0"/>
                <w:numId w:val="13"/>
              </w:numPr>
              <w:rPr>
                <w:rFonts w:ascii="Arial" w:hAnsi="Arial" w:cs="Arial"/>
              </w:rPr>
            </w:pPr>
            <w:r>
              <w:rPr>
                <w:rFonts w:ascii="Arial" w:hAnsi="Arial" w:cs="Arial"/>
              </w:rPr>
              <w:t>Multiple competitors.</w:t>
            </w:r>
          </w:p>
          <w:p w:rsidR="00B93E28" w:rsidRDefault="00B93E28" w:rsidP="00B93E28">
            <w:pPr>
              <w:pStyle w:val="ListParagraph"/>
              <w:numPr>
                <w:ilvl w:val="0"/>
                <w:numId w:val="13"/>
              </w:numPr>
              <w:rPr>
                <w:rFonts w:ascii="Arial" w:hAnsi="Arial" w:cs="Arial"/>
              </w:rPr>
            </w:pPr>
            <w:r>
              <w:rPr>
                <w:rFonts w:ascii="Arial" w:hAnsi="Arial" w:cs="Arial"/>
              </w:rPr>
              <w:t>Declining birth rate.</w:t>
            </w:r>
          </w:p>
          <w:p w:rsidR="00B93E28" w:rsidRDefault="00B93E28" w:rsidP="00B93E28">
            <w:pPr>
              <w:pStyle w:val="ListParagraph"/>
              <w:numPr>
                <w:ilvl w:val="0"/>
                <w:numId w:val="13"/>
              </w:numPr>
              <w:rPr>
                <w:rFonts w:ascii="Arial" w:hAnsi="Arial" w:cs="Arial"/>
              </w:rPr>
            </w:pPr>
            <w:r>
              <w:rPr>
                <w:rFonts w:ascii="Arial" w:hAnsi="Arial" w:cs="Arial"/>
              </w:rPr>
              <w:t>Government regulation.</w:t>
            </w:r>
          </w:p>
          <w:p w:rsidR="00B93E28" w:rsidRPr="00B93E28" w:rsidRDefault="00B93E28" w:rsidP="00B93E28">
            <w:pPr>
              <w:pStyle w:val="ListParagraph"/>
              <w:numPr>
                <w:ilvl w:val="0"/>
                <w:numId w:val="13"/>
              </w:numPr>
              <w:rPr>
                <w:rFonts w:ascii="Arial" w:hAnsi="Arial" w:cs="Arial"/>
                <w:b/>
              </w:rPr>
            </w:pPr>
            <w:r>
              <w:rPr>
                <w:rFonts w:ascii="Arial" w:hAnsi="Arial" w:cs="Arial"/>
              </w:rPr>
              <w:t>Imitating of products.</w:t>
            </w:r>
          </w:p>
        </w:tc>
      </w:tr>
    </w:tbl>
    <w:p w:rsidR="00B217DB" w:rsidRDefault="00B217DB" w:rsidP="00B85089">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217DB" w:rsidRDefault="00B217DB" w:rsidP="008E7C10">
      <w:pPr>
        <w:jc w:val="center"/>
        <w:rPr>
          <w:rFonts w:ascii="Arial" w:hAnsi="Arial" w:cs="Arial"/>
          <w:b/>
        </w:rPr>
      </w:pPr>
    </w:p>
    <w:p w:rsidR="00B93E28" w:rsidRDefault="00B93E28" w:rsidP="008E7C10">
      <w:pPr>
        <w:jc w:val="center"/>
        <w:rPr>
          <w:rFonts w:ascii="Arial" w:hAnsi="Arial" w:cs="Arial"/>
          <w:b/>
        </w:rPr>
      </w:pPr>
    </w:p>
    <w:p w:rsidR="00324D5E" w:rsidRDefault="00324D5E" w:rsidP="00B93E28">
      <w:pPr>
        <w:rPr>
          <w:rFonts w:ascii="Arial" w:hAnsi="Arial" w:cs="Arial"/>
          <w:b/>
        </w:rPr>
      </w:pPr>
    </w:p>
    <w:p w:rsidR="00240D25" w:rsidRDefault="00240D25" w:rsidP="00B93E28">
      <w:pPr>
        <w:rPr>
          <w:rFonts w:ascii="Arial" w:hAnsi="Arial" w:cs="Arial"/>
          <w:b/>
        </w:rPr>
      </w:pPr>
    </w:p>
    <w:p w:rsidR="001B484B" w:rsidRPr="008E7C10" w:rsidRDefault="001B484B" w:rsidP="008E7C10">
      <w:pPr>
        <w:jc w:val="center"/>
        <w:rPr>
          <w:rFonts w:ascii="Arial" w:hAnsi="Arial" w:cs="Arial"/>
          <w:b/>
        </w:rPr>
      </w:pPr>
      <w:r w:rsidRPr="001B484B">
        <w:rPr>
          <w:rFonts w:ascii="Arial" w:hAnsi="Arial" w:cs="Arial"/>
          <w:b/>
        </w:rPr>
        <w:lastRenderedPageBreak/>
        <w:t>Industries An</w:t>
      </w:r>
      <w:r w:rsidR="00D9179C">
        <w:rPr>
          <w:rFonts w:ascii="Arial" w:hAnsi="Arial" w:cs="Arial"/>
          <w:b/>
        </w:rPr>
        <w:t>alysis using Porters Five Force</w:t>
      </w:r>
    </w:p>
    <w:tbl>
      <w:tblPr>
        <w:tblStyle w:val="TableGrid"/>
        <w:tblW w:w="11482" w:type="dxa"/>
        <w:tblInd w:w="-1281" w:type="dxa"/>
        <w:tblLook w:val="04A0" w:firstRow="1" w:lastRow="0" w:firstColumn="1" w:lastColumn="0" w:noHBand="0" w:noVBand="1"/>
      </w:tblPr>
      <w:tblGrid>
        <w:gridCol w:w="1843"/>
        <w:gridCol w:w="1985"/>
        <w:gridCol w:w="4215"/>
        <w:gridCol w:w="3439"/>
      </w:tblGrid>
      <w:tr w:rsidR="001B484B" w:rsidTr="001B484B">
        <w:tc>
          <w:tcPr>
            <w:tcW w:w="1843" w:type="dxa"/>
          </w:tcPr>
          <w:p w:rsidR="001B484B" w:rsidRPr="001B484B" w:rsidRDefault="001B484B" w:rsidP="001B484B">
            <w:pPr>
              <w:rPr>
                <w:rFonts w:ascii="Arial" w:hAnsi="Arial" w:cs="Arial"/>
                <w:b/>
              </w:rPr>
            </w:pPr>
            <w:r w:rsidRPr="001B484B">
              <w:rPr>
                <w:rFonts w:ascii="Arial" w:hAnsi="Arial" w:cs="Arial"/>
                <w:b/>
              </w:rPr>
              <w:t xml:space="preserve">Forces </w:t>
            </w:r>
          </w:p>
        </w:tc>
        <w:tc>
          <w:tcPr>
            <w:tcW w:w="1985" w:type="dxa"/>
          </w:tcPr>
          <w:p w:rsidR="001B484B" w:rsidRPr="001B484B" w:rsidRDefault="001B484B" w:rsidP="001B484B">
            <w:pPr>
              <w:rPr>
                <w:rFonts w:ascii="Arial" w:hAnsi="Arial" w:cs="Arial"/>
                <w:b/>
              </w:rPr>
            </w:pPr>
            <w:r w:rsidRPr="001B484B">
              <w:rPr>
                <w:rFonts w:ascii="Arial" w:hAnsi="Arial" w:cs="Arial"/>
                <w:b/>
              </w:rPr>
              <w:t>Intensity Level</w:t>
            </w:r>
          </w:p>
        </w:tc>
        <w:tc>
          <w:tcPr>
            <w:tcW w:w="4215" w:type="dxa"/>
          </w:tcPr>
          <w:p w:rsidR="001B484B" w:rsidRPr="001B484B" w:rsidRDefault="001B484B" w:rsidP="001B484B">
            <w:pPr>
              <w:rPr>
                <w:rFonts w:ascii="Arial" w:hAnsi="Arial" w:cs="Arial"/>
                <w:b/>
              </w:rPr>
            </w:pPr>
            <w:r w:rsidRPr="001B484B">
              <w:rPr>
                <w:rFonts w:ascii="Arial" w:hAnsi="Arial" w:cs="Arial"/>
                <w:b/>
              </w:rPr>
              <w:t>Key Factors Affecting Innocent Drink</w:t>
            </w:r>
          </w:p>
        </w:tc>
        <w:tc>
          <w:tcPr>
            <w:tcW w:w="3439" w:type="dxa"/>
          </w:tcPr>
          <w:p w:rsidR="001B484B" w:rsidRPr="001B484B" w:rsidRDefault="001B484B" w:rsidP="001B484B">
            <w:pPr>
              <w:rPr>
                <w:rFonts w:ascii="Arial" w:hAnsi="Arial" w:cs="Arial"/>
                <w:b/>
              </w:rPr>
            </w:pPr>
            <w:r w:rsidRPr="001B484B">
              <w:rPr>
                <w:rFonts w:ascii="Arial" w:hAnsi="Arial" w:cs="Arial"/>
                <w:b/>
              </w:rPr>
              <w:t>Strategic Implication</w:t>
            </w:r>
          </w:p>
        </w:tc>
      </w:tr>
      <w:tr w:rsidR="001B484B" w:rsidTr="001B484B">
        <w:tc>
          <w:tcPr>
            <w:tcW w:w="1843" w:type="dxa"/>
          </w:tcPr>
          <w:p w:rsidR="001B484B" w:rsidRPr="008E7C10" w:rsidRDefault="00CE547A" w:rsidP="008E7C10">
            <w:pPr>
              <w:spacing w:line="360" w:lineRule="auto"/>
              <w:rPr>
                <w:rFonts w:ascii="Arial" w:hAnsi="Arial" w:cs="Arial"/>
              </w:rPr>
            </w:pPr>
            <w:r w:rsidRPr="008E7C10">
              <w:rPr>
                <w:rFonts w:ascii="Arial" w:hAnsi="Arial" w:cs="Arial"/>
              </w:rPr>
              <w:t>Competitive rivalry</w:t>
            </w:r>
          </w:p>
        </w:tc>
        <w:tc>
          <w:tcPr>
            <w:tcW w:w="1985" w:type="dxa"/>
          </w:tcPr>
          <w:p w:rsidR="001B484B" w:rsidRPr="008E7C10" w:rsidRDefault="00CE547A" w:rsidP="008E7C10">
            <w:pPr>
              <w:spacing w:line="360" w:lineRule="auto"/>
              <w:rPr>
                <w:rFonts w:ascii="Arial" w:hAnsi="Arial" w:cs="Arial"/>
              </w:rPr>
            </w:pPr>
            <w:r w:rsidRPr="008E7C10">
              <w:rPr>
                <w:rFonts w:ascii="Arial" w:hAnsi="Arial" w:cs="Arial"/>
              </w:rPr>
              <w:t>High</w:t>
            </w:r>
          </w:p>
        </w:tc>
        <w:tc>
          <w:tcPr>
            <w:tcW w:w="4215" w:type="dxa"/>
          </w:tcPr>
          <w:p w:rsidR="001B484B" w:rsidRPr="008E7C10" w:rsidRDefault="000E4274" w:rsidP="00D9179C">
            <w:pPr>
              <w:pStyle w:val="NormalWeb"/>
              <w:spacing w:line="360" w:lineRule="auto"/>
              <w:rPr>
                <w:rFonts w:ascii="Arial" w:hAnsi="Arial" w:cs="Arial"/>
                <w:sz w:val="22"/>
                <w:szCs w:val="22"/>
              </w:rPr>
            </w:pPr>
            <w:r w:rsidRPr="008E7C10">
              <w:rPr>
                <w:rFonts w:ascii="Arial" w:hAnsi="Arial" w:cs="Arial"/>
                <w:sz w:val="22"/>
                <w:szCs w:val="22"/>
              </w:rPr>
              <w:t>Fierce</w:t>
            </w:r>
            <w:r w:rsidR="00D9179C">
              <w:rPr>
                <w:rFonts w:ascii="Arial" w:hAnsi="Arial" w:cs="Arial"/>
                <w:sz w:val="22"/>
                <w:szCs w:val="22"/>
              </w:rPr>
              <w:t xml:space="preserve"> rivalry between Tropicana and Naked Juice companies possess a treat to Innocent Drink</w:t>
            </w:r>
            <w:r w:rsidR="00CE547A" w:rsidRPr="00CE547A">
              <w:rPr>
                <w:rFonts w:ascii="Arial" w:hAnsi="Arial" w:cs="Arial"/>
                <w:sz w:val="22"/>
                <w:szCs w:val="22"/>
              </w:rPr>
              <w:t xml:space="preserve">. </w:t>
            </w:r>
            <w:r w:rsidR="00D9179C" w:rsidRPr="00CE547A">
              <w:rPr>
                <w:rFonts w:ascii="Arial" w:hAnsi="Arial" w:cs="Arial"/>
                <w:sz w:val="22"/>
                <w:szCs w:val="22"/>
              </w:rPr>
              <w:t>Production</w:t>
            </w:r>
            <w:r w:rsidR="00D9179C">
              <w:rPr>
                <w:rFonts w:ascii="Arial" w:hAnsi="Arial" w:cs="Arial"/>
                <w:sz w:val="22"/>
                <w:szCs w:val="22"/>
              </w:rPr>
              <w:t xml:space="preserve"> company such as </w:t>
            </w:r>
            <w:r w:rsidR="00D9179C" w:rsidRPr="00D9179C">
              <w:rPr>
                <w:rFonts w:ascii="Arial" w:hAnsi="Arial" w:cs="Arial"/>
                <w:sz w:val="22"/>
                <w:szCs w:val="22"/>
              </w:rPr>
              <w:t>PepsiCo &amp; Coca-</w:t>
            </w:r>
            <w:r w:rsidR="00774CFF" w:rsidRPr="00D9179C">
              <w:rPr>
                <w:rFonts w:ascii="Arial" w:hAnsi="Arial" w:cs="Arial"/>
                <w:sz w:val="22"/>
                <w:szCs w:val="22"/>
              </w:rPr>
              <w:t>Cola</w:t>
            </w:r>
            <w:r w:rsidR="00774CFF">
              <w:t xml:space="preserve"> </w:t>
            </w:r>
            <w:r w:rsidR="00774CFF" w:rsidRPr="00CE547A">
              <w:rPr>
                <w:rFonts w:ascii="Arial" w:hAnsi="Arial" w:cs="Arial"/>
                <w:sz w:val="22"/>
                <w:szCs w:val="22"/>
              </w:rPr>
              <w:t>puts</w:t>
            </w:r>
            <w:r w:rsidR="00CE547A" w:rsidRPr="00CE547A">
              <w:rPr>
                <w:rFonts w:ascii="Arial" w:hAnsi="Arial" w:cs="Arial"/>
                <w:sz w:val="22"/>
                <w:szCs w:val="22"/>
              </w:rPr>
              <w:t xml:space="preserve"> more pressure on ongoing marketing expenditures and innovation.</w:t>
            </w:r>
            <w:r w:rsidRPr="008E7C10">
              <w:rPr>
                <w:rFonts w:ascii="Arial" w:hAnsi="Arial" w:cs="Arial"/>
                <w:sz w:val="22"/>
                <w:szCs w:val="22"/>
              </w:rPr>
              <w:t xml:space="preserve"> (Geyskens, Gielens and Gijsbrechts, 2010).</w:t>
            </w:r>
          </w:p>
        </w:tc>
        <w:tc>
          <w:tcPr>
            <w:tcW w:w="3439" w:type="dxa"/>
          </w:tcPr>
          <w:p w:rsidR="001B484B" w:rsidRPr="008E7C10" w:rsidRDefault="000E4274" w:rsidP="00D9179C">
            <w:pPr>
              <w:spacing w:line="360" w:lineRule="auto"/>
              <w:rPr>
                <w:rFonts w:ascii="Arial" w:hAnsi="Arial" w:cs="Arial"/>
              </w:rPr>
            </w:pPr>
            <w:r w:rsidRPr="000E4274">
              <w:rPr>
                <w:rFonts w:ascii="Arial" w:eastAsia="Times New Roman" w:hAnsi="Arial" w:cs="Arial"/>
                <w:lang w:eastAsia="en-GB"/>
              </w:rPr>
              <w:t xml:space="preserve">Long-term distinction, strong brand authenticity, and ongoing investment in product innovation are required. </w:t>
            </w:r>
          </w:p>
        </w:tc>
      </w:tr>
      <w:tr w:rsidR="001B484B" w:rsidTr="001B484B">
        <w:tc>
          <w:tcPr>
            <w:tcW w:w="1843" w:type="dxa"/>
          </w:tcPr>
          <w:p w:rsidR="001B484B" w:rsidRPr="008E7C10" w:rsidRDefault="00CE547A" w:rsidP="008E7C10">
            <w:pPr>
              <w:spacing w:line="360" w:lineRule="auto"/>
              <w:rPr>
                <w:rFonts w:ascii="Arial" w:hAnsi="Arial" w:cs="Arial"/>
              </w:rPr>
            </w:pPr>
            <w:r w:rsidRPr="008E7C10">
              <w:rPr>
                <w:rFonts w:ascii="Arial" w:hAnsi="Arial" w:cs="Arial"/>
              </w:rPr>
              <w:t>Buyers power</w:t>
            </w:r>
          </w:p>
        </w:tc>
        <w:tc>
          <w:tcPr>
            <w:tcW w:w="1985" w:type="dxa"/>
          </w:tcPr>
          <w:p w:rsidR="001B484B" w:rsidRPr="008E7C10" w:rsidRDefault="00CE547A" w:rsidP="008E7C10">
            <w:pPr>
              <w:spacing w:line="360" w:lineRule="auto"/>
              <w:rPr>
                <w:rFonts w:ascii="Arial" w:hAnsi="Arial" w:cs="Arial"/>
              </w:rPr>
            </w:pPr>
            <w:r w:rsidRPr="008E7C10">
              <w:rPr>
                <w:rFonts w:ascii="Arial" w:hAnsi="Arial" w:cs="Arial"/>
              </w:rPr>
              <w:t>High</w:t>
            </w:r>
          </w:p>
        </w:tc>
        <w:tc>
          <w:tcPr>
            <w:tcW w:w="4215" w:type="dxa"/>
          </w:tcPr>
          <w:p w:rsidR="008E7C10" w:rsidRPr="008E7C10" w:rsidRDefault="008E7C10" w:rsidP="008E7C10">
            <w:pPr>
              <w:spacing w:line="360" w:lineRule="auto"/>
              <w:rPr>
                <w:rFonts w:ascii="Arial" w:eastAsia="Times New Roman" w:hAnsi="Arial" w:cs="Arial"/>
                <w:lang w:eastAsia="en-GB"/>
              </w:rPr>
            </w:pPr>
            <w:r w:rsidRPr="008E7C10">
              <w:rPr>
                <w:rFonts w:ascii="Arial" w:eastAsia="Times New Roman" w:hAnsi="Arial" w:cs="Arial"/>
                <w:lang w:eastAsia="en-GB"/>
              </w:rPr>
              <w:t xml:space="preserve">Retailer concentration gives them more control over price, promotions, and shelf space. Consumers expect openness and verification of ethical sourcing. </w:t>
            </w:r>
            <w:r w:rsidRPr="008E7C10">
              <w:rPr>
                <w:rFonts w:ascii="Arial" w:hAnsi="Arial" w:cs="Arial"/>
              </w:rPr>
              <w:t>(Geyskens, Gielens and Gijsbrechts, 2010)</w:t>
            </w:r>
          </w:p>
          <w:p w:rsidR="001B484B" w:rsidRPr="008E7C10" w:rsidRDefault="001B484B" w:rsidP="008E7C10">
            <w:pPr>
              <w:spacing w:line="360" w:lineRule="auto"/>
              <w:rPr>
                <w:rFonts w:ascii="Arial" w:hAnsi="Arial" w:cs="Arial"/>
                <w:b/>
              </w:rPr>
            </w:pPr>
          </w:p>
        </w:tc>
        <w:tc>
          <w:tcPr>
            <w:tcW w:w="3439" w:type="dxa"/>
          </w:tcPr>
          <w:p w:rsidR="008E7C10" w:rsidRPr="008E7C10" w:rsidRDefault="008E7C10" w:rsidP="008E7C10">
            <w:pPr>
              <w:spacing w:line="360" w:lineRule="auto"/>
              <w:rPr>
                <w:rFonts w:ascii="Arial" w:eastAsia="Times New Roman" w:hAnsi="Arial" w:cs="Arial"/>
                <w:lang w:eastAsia="en-GB"/>
              </w:rPr>
            </w:pPr>
            <w:r w:rsidRPr="008E7C10">
              <w:rPr>
                <w:rFonts w:ascii="Arial" w:eastAsia="Times New Roman" w:hAnsi="Arial" w:cs="Arial"/>
                <w:lang w:eastAsia="en-GB"/>
              </w:rPr>
              <w:t xml:space="preserve">Increase consumer loyalty to lessen retailer leverage by investing in brand pull and direct-to-consumer engagement. </w:t>
            </w:r>
            <w:r w:rsidRPr="008E7C10">
              <w:rPr>
                <w:rFonts w:ascii="Arial" w:hAnsi="Arial" w:cs="Arial"/>
              </w:rPr>
              <w:t>(Geyskens, Gielens and Gijsbrechts, 2010)</w:t>
            </w:r>
          </w:p>
          <w:p w:rsidR="001B484B" w:rsidRPr="008E7C10" w:rsidRDefault="001B484B" w:rsidP="008E7C10">
            <w:pPr>
              <w:spacing w:line="360" w:lineRule="auto"/>
              <w:rPr>
                <w:rFonts w:ascii="Arial" w:hAnsi="Arial" w:cs="Arial"/>
                <w:b/>
              </w:rPr>
            </w:pPr>
          </w:p>
        </w:tc>
      </w:tr>
      <w:tr w:rsidR="001B484B" w:rsidTr="001B484B">
        <w:tc>
          <w:tcPr>
            <w:tcW w:w="1843" w:type="dxa"/>
          </w:tcPr>
          <w:p w:rsidR="001B484B" w:rsidRPr="008E7C10" w:rsidRDefault="00CE547A" w:rsidP="008E7C10">
            <w:pPr>
              <w:spacing w:line="360" w:lineRule="auto"/>
              <w:rPr>
                <w:rFonts w:ascii="Arial" w:hAnsi="Arial" w:cs="Arial"/>
              </w:rPr>
            </w:pPr>
            <w:r w:rsidRPr="008E7C10">
              <w:rPr>
                <w:rFonts w:ascii="Arial" w:hAnsi="Arial" w:cs="Arial"/>
              </w:rPr>
              <w:t xml:space="preserve">Suppliers Power </w:t>
            </w:r>
          </w:p>
        </w:tc>
        <w:tc>
          <w:tcPr>
            <w:tcW w:w="1985" w:type="dxa"/>
          </w:tcPr>
          <w:p w:rsidR="001B484B" w:rsidRPr="008E7C10" w:rsidRDefault="00CE547A" w:rsidP="008E7C10">
            <w:pPr>
              <w:spacing w:line="360" w:lineRule="auto"/>
              <w:rPr>
                <w:rFonts w:ascii="Arial" w:hAnsi="Arial" w:cs="Arial"/>
              </w:rPr>
            </w:pPr>
            <w:r w:rsidRPr="008E7C10">
              <w:rPr>
                <w:rFonts w:ascii="Arial" w:hAnsi="Arial" w:cs="Arial"/>
              </w:rPr>
              <w:t>High</w:t>
            </w:r>
          </w:p>
        </w:tc>
        <w:tc>
          <w:tcPr>
            <w:tcW w:w="4215" w:type="dxa"/>
          </w:tcPr>
          <w:p w:rsidR="008E7C10" w:rsidRPr="008E7C10" w:rsidRDefault="008E7C10" w:rsidP="008E7C10">
            <w:pPr>
              <w:spacing w:line="360" w:lineRule="auto"/>
              <w:rPr>
                <w:rFonts w:ascii="Arial" w:eastAsia="Times New Roman" w:hAnsi="Arial" w:cs="Arial"/>
                <w:lang w:eastAsia="en-GB"/>
              </w:rPr>
            </w:pPr>
            <w:r w:rsidRPr="008E7C10">
              <w:rPr>
                <w:rFonts w:ascii="Arial" w:eastAsia="Times New Roman" w:hAnsi="Arial" w:cs="Arial"/>
                <w:lang w:eastAsia="en-GB"/>
              </w:rPr>
              <w:t xml:space="preserve">High-quality fruits and plant-based substances are </w:t>
            </w:r>
            <w:r w:rsidR="0013508D">
              <w:rPr>
                <w:rFonts w:ascii="Arial" w:eastAsia="Times New Roman" w:hAnsi="Arial" w:cs="Arial"/>
                <w:lang w:eastAsia="en-GB"/>
              </w:rPr>
              <w:t>geographically</w:t>
            </w:r>
            <w:r w:rsidRPr="008E7C10">
              <w:rPr>
                <w:rFonts w:ascii="Arial" w:eastAsia="Times New Roman" w:hAnsi="Arial" w:cs="Arial"/>
                <w:lang w:eastAsia="en-GB"/>
              </w:rPr>
              <w:t xml:space="preserve"> </w:t>
            </w:r>
            <w:r w:rsidR="00D9179C" w:rsidRPr="008E7C10">
              <w:rPr>
                <w:rFonts w:ascii="Arial" w:eastAsia="Times New Roman" w:hAnsi="Arial" w:cs="Arial"/>
                <w:lang w:eastAsia="en-GB"/>
              </w:rPr>
              <w:t>focused</w:t>
            </w:r>
            <w:r w:rsidRPr="008E7C10">
              <w:rPr>
                <w:rFonts w:ascii="Arial" w:eastAsia="Times New Roman" w:hAnsi="Arial" w:cs="Arial"/>
                <w:lang w:eastAsia="en-GB"/>
              </w:rPr>
              <w:t xml:space="preserve">. Climate change raises volatility. Ethical sourcing reduces the supplier base. </w:t>
            </w:r>
            <w:r w:rsidRPr="008E7C10">
              <w:rPr>
                <w:rFonts w:ascii="Arial" w:hAnsi="Arial" w:cs="Arial"/>
              </w:rPr>
              <w:t>(IPCC, 2023).</w:t>
            </w:r>
          </w:p>
          <w:p w:rsidR="001B484B" w:rsidRPr="008E7C10" w:rsidRDefault="001B484B" w:rsidP="008E7C10">
            <w:pPr>
              <w:spacing w:line="360" w:lineRule="auto"/>
              <w:rPr>
                <w:rFonts w:ascii="Arial" w:hAnsi="Arial" w:cs="Arial"/>
                <w:b/>
              </w:rPr>
            </w:pPr>
          </w:p>
        </w:tc>
        <w:tc>
          <w:tcPr>
            <w:tcW w:w="3439" w:type="dxa"/>
          </w:tcPr>
          <w:p w:rsidR="008E7C10" w:rsidRPr="008E7C10" w:rsidRDefault="008E7C10" w:rsidP="008E7C10">
            <w:pPr>
              <w:spacing w:line="360" w:lineRule="auto"/>
              <w:rPr>
                <w:rFonts w:ascii="Arial" w:eastAsia="Times New Roman" w:hAnsi="Arial" w:cs="Arial"/>
                <w:lang w:eastAsia="en-GB"/>
              </w:rPr>
            </w:pPr>
            <w:r w:rsidRPr="008E7C10">
              <w:rPr>
                <w:rFonts w:ascii="Arial" w:eastAsia="Times New Roman" w:hAnsi="Arial" w:cs="Arial"/>
                <w:lang w:eastAsia="en-GB"/>
              </w:rPr>
              <w:t xml:space="preserve">Reduces vulnerability through long-term supplier agreements, diversification methods, and sustainable sourcing frameworks. </w:t>
            </w:r>
            <w:r w:rsidRPr="008E7C10">
              <w:rPr>
                <w:rFonts w:ascii="Arial" w:hAnsi="Arial" w:cs="Arial"/>
              </w:rPr>
              <w:t>(IPCC, 2023).</w:t>
            </w:r>
          </w:p>
          <w:p w:rsidR="001B484B" w:rsidRPr="008E7C10" w:rsidRDefault="001B484B" w:rsidP="008E7C10">
            <w:pPr>
              <w:spacing w:line="360" w:lineRule="auto"/>
              <w:rPr>
                <w:rFonts w:ascii="Arial" w:hAnsi="Arial" w:cs="Arial"/>
                <w:b/>
              </w:rPr>
            </w:pPr>
          </w:p>
        </w:tc>
      </w:tr>
      <w:tr w:rsidR="001B484B" w:rsidTr="001B484B">
        <w:tc>
          <w:tcPr>
            <w:tcW w:w="1843" w:type="dxa"/>
          </w:tcPr>
          <w:p w:rsidR="001B484B" w:rsidRPr="008E7C10" w:rsidRDefault="00CE547A" w:rsidP="008E7C10">
            <w:pPr>
              <w:spacing w:line="360" w:lineRule="auto"/>
              <w:rPr>
                <w:rFonts w:ascii="Arial" w:hAnsi="Arial" w:cs="Arial"/>
              </w:rPr>
            </w:pPr>
            <w:r w:rsidRPr="008E7C10">
              <w:rPr>
                <w:rFonts w:ascii="Arial" w:hAnsi="Arial" w:cs="Arial"/>
              </w:rPr>
              <w:t xml:space="preserve">Treat to Substitutes </w:t>
            </w:r>
          </w:p>
        </w:tc>
        <w:tc>
          <w:tcPr>
            <w:tcW w:w="1985" w:type="dxa"/>
          </w:tcPr>
          <w:p w:rsidR="001B484B" w:rsidRPr="008E7C10" w:rsidRDefault="00CE547A" w:rsidP="008E7C10">
            <w:pPr>
              <w:spacing w:line="360" w:lineRule="auto"/>
              <w:rPr>
                <w:rFonts w:ascii="Arial" w:hAnsi="Arial" w:cs="Arial"/>
              </w:rPr>
            </w:pPr>
            <w:r w:rsidRPr="008E7C10">
              <w:rPr>
                <w:rFonts w:ascii="Arial" w:hAnsi="Arial" w:cs="Arial"/>
              </w:rPr>
              <w:t>High</w:t>
            </w:r>
          </w:p>
        </w:tc>
        <w:tc>
          <w:tcPr>
            <w:tcW w:w="4215" w:type="dxa"/>
          </w:tcPr>
          <w:p w:rsidR="001B484B" w:rsidRPr="008E7C10" w:rsidRDefault="008E7C10" w:rsidP="008E7C10">
            <w:pPr>
              <w:spacing w:line="360" w:lineRule="auto"/>
              <w:rPr>
                <w:rFonts w:ascii="Arial" w:hAnsi="Arial" w:cs="Arial"/>
                <w:b/>
              </w:rPr>
            </w:pPr>
            <w:r w:rsidRPr="008E7C10">
              <w:rPr>
                <w:rFonts w:ascii="Arial" w:hAnsi="Arial" w:cs="Arial"/>
              </w:rPr>
              <w:t>Consumers can</w:t>
            </w:r>
            <w:r w:rsidR="0013508D">
              <w:rPr>
                <w:rFonts w:ascii="Arial" w:hAnsi="Arial" w:cs="Arial"/>
              </w:rPr>
              <w:t xml:space="preserve"> switch to bottled water, plant based </w:t>
            </w:r>
            <w:r w:rsidRPr="008E7C10">
              <w:rPr>
                <w:rFonts w:ascii="Arial" w:hAnsi="Arial" w:cs="Arial"/>
              </w:rPr>
              <w:t>milks, protein shakes, or carbonated beverages. Low switching costs intensify substitution risk.</w:t>
            </w:r>
          </w:p>
        </w:tc>
        <w:tc>
          <w:tcPr>
            <w:tcW w:w="3439" w:type="dxa"/>
          </w:tcPr>
          <w:p w:rsidR="008E7C10" w:rsidRPr="008E7C10" w:rsidRDefault="0013508D" w:rsidP="008E7C10">
            <w:pPr>
              <w:spacing w:line="360" w:lineRule="auto"/>
              <w:rPr>
                <w:rFonts w:ascii="Arial" w:eastAsia="Times New Roman" w:hAnsi="Arial" w:cs="Arial"/>
                <w:lang w:eastAsia="en-GB"/>
              </w:rPr>
            </w:pPr>
            <w:r w:rsidRPr="008E7C10">
              <w:rPr>
                <w:rFonts w:ascii="Arial" w:eastAsia="Times New Roman" w:hAnsi="Arial" w:cs="Arial"/>
                <w:lang w:eastAsia="en-GB"/>
              </w:rPr>
              <w:t>Useful</w:t>
            </w:r>
            <w:r w:rsidR="008E7C10" w:rsidRPr="008E7C10">
              <w:rPr>
                <w:rFonts w:ascii="Arial" w:eastAsia="Times New Roman" w:hAnsi="Arial" w:cs="Arial"/>
                <w:lang w:eastAsia="en-GB"/>
              </w:rPr>
              <w:t xml:space="preserve"> innovation, health positioning, and sustainability disclosure are critical for justifying premium price. </w:t>
            </w:r>
          </w:p>
          <w:p w:rsidR="001B484B" w:rsidRPr="008E7C10" w:rsidRDefault="001B484B" w:rsidP="008E7C10">
            <w:pPr>
              <w:spacing w:line="360" w:lineRule="auto"/>
              <w:rPr>
                <w:rFonts w:ascii="Arial" w:hAnsi="Arial" w:cs="Arial"/>
                <w:b/>
              </w:rPr>
            </w:pPr>
          </w:p>
        </w:tc>
      </w:tr>
      <w:tr w:rsidR="001B484B" w:rsidTr="008E7C10">
        <w:trPr>
          <w:trHeight w:val="70"/>
        </w:trPr>
        <w:tc>
          <w:tcPr>
            <w:tcW w:w="1843" w:type="dxa"/>
          </w:tcPr>
          <w:p w:rsidR="001B484B" w:rsidRPr="008E7C10" w:rsidRDefault="00CE547A" w:rsidP="008E7C10">
            <w:pPr>
              <w:spacing w:line="360" w:lineRule="auto"/>
              <w:rPr>
                <w:rFonts w:ascii="Arial" w:hAnsi="Arial" w:cs="Arial"/>
              </w:rPr>
            </w:pPr>
            <w:r w:rsidRPr="008E7C10">
              <w:rPr>
                <w:rFonts w:ascii="Arial" w:hAnsi="Arial" w:cs="Arial"/>
              </w:rPr>
              <w:t>Treat to New Entrance</w:t>
            </w:r>
          </w:p>
        </w:tc>
        <w:tc>
          <w:tcPr>
            <w:tcW w:w="1985" w:type="dxa"/>
          </w:tcPr>
          <w:p w:rsidR="001B484B" w:rsidRPr="008E7C10" w:rsidRDefault="00CE547A" w:rsidP="008E7C10">
            <w:pPr>
              <w:spacing w:line="360" w:lineRule="auto"/>
              <w:rPr>
                <w:rFonts w:ascii="Arial" w:hAnsi="Arial" w:cs="Arial"/>
              </w:rPr>
            </w:pPr>
            <w:r w:rsidRPr="008E7C10">
              <w:rPr>
                <w:rFonts w:ascii="Arial" w:hAnsi="Arial" w:cs="Arial"/>
              </w:rPr>
              <w:t>Moderate</w:t>
            </w:r>
          </w:p>
        </w:tc>
        <w:tc>
          <w:tcPr>
            <w:tcW w:w="4215" w:type="dxa"/>
          </w:tcPr>
          <w:p w:rsidR="001B484B" w:rsidRPr="00B217DB" w:rsidRDefault="000E4274" w:rsidP="008E7C10">
            <w:pPr>
              <w:spacing w:line="360" w:lineRule="auto"/>
              <w:rPr>
                <w:rFonts w:ascii="Arial" w:eastAsia="Times New Roman" w:hAnsi="Arial" w:cs="Arial"/>
                <w:lang w:eastAsia="en-GB"/>
              </w:rPr>
            </w:pPr>
            <w:r w:rsidRPr="000E4274">
              <w:rPr>
                <w:rFonts w:ascii="Arial" w:eastAsia="Times New Roman" w:hAnsi="Arial" w:cs="Arial"/>
                <w:lang w:eastAsia="en-GB"/>
              </w:rPr>
              <w:t xml:space="preserve">Digital platforms lower entry barriers; niche firms can grow through social media and e-commerce. However, Innocent's brand equity and sustainability reputation serve as </w:t>
            </w:r>
            <w:r w:rsidR="0013508D" w:rsidRPr="000E4274">
              <w:rPr>
                <w:rFonts w:ascii="Arial" w:eastAsia="Times New Roman" w:hAnsi="Arial" w:cs="Arial"/>
                <w:lang w:eastAsia="en-GB"/>
              </w:rPr>
              <w:t>weaknesses</w:t>
            </w:r>
            <w:r w:rsidRPr="000E4274">
              <w:rPr>
                <w:rFonts w:ascii="Arial" w:eastAsia="Times New Roman" w:hAnsi="Arial" w:cs="Arial"/>
                <w:lang w:eastAsia="en-GB"/>
              </w:rPr>
              <w:t>.</w:t>
            </w:r>
            <w:r w:rsidRPr="008E7C10">
              <w:rPr>
                <w:rFonts w:ascii="Arial" w:eastAsia="Times New Roman" w:hAnsi="Arial" w:cs="Arial"/>
                <w:lang w:eastAsia="en-GB"/>
              </w:rPr>
              <w:t xml:space="preserve"> </w:t>
            </w:r>
            <w:r w:rsidRPr="008E7C10">
              <w:rPr>
                <w:rFonts w:ascii="Arial" w:hAnsi="Arial" w:cs="Arial"/>
              </w:rPr>
              <w:t>(Kotler and Keller, 2016)</w:t>
            </w:r>
          </w:p>
        </w:tc>
        <w:tc>
          <w:tcPr>
            <w:tcW w:w="3439" w:type="dxa"/>
          </w:tcPr>
          <w:p w:rsidR="000E4274" w:rsidRPr="000E4274" w:rsidRDefault="000E4274" w:rsidP="008E7C10">
            <w:pPr>
              <w:spacing w:line="360" w:lineRule="auto"/>
              <w:rPr>
                <w:rFonts w:ascii="Arial" w:eastAsia="Times New Roman" w:hAnsi="Arial" w:cs="Arial"/>
                <w:lang w:eastAsia="en-GB"/>
              </w:rPr>
            </w:pPr>
            <w:r w:rsidRPr="000E4274">
              <w:rPr>
                <w:rFonts w:ascii="Arial" w:eastAsia="Times New Roman" w:hAnsi="Arial" w:cs="Arial"/>
                <w:lang w:eastAsia="en-GB"/>
              </w:rPr>
              <w:t>Continued brand development and sustainability reputation raise entry barriers. Innovation must outperform smaller disruptors.</w:t>
            </w:r>
            <w:r w:rsidRPr="008E7C10">
              <w:rPr>
                <w:rFonts w:ascii="Arial" w:eastAsia="Times New Roman" w:hAnsi="Arial" w:cs="Arial"/>
                <w:lang w:eastAsia="en-GB"/>
              </w:rPr>
              <w:t xml:space="preserve"> </w:t>
            </w:r>
            <w:r w:rsidRPr="008E7C10">
              <w:rPr>
                <w:rFonts w:ascii="Arial" w:hAnsi="Arial" w:cs="Arial"/>
              </w:rPr>
              <w:t>(Kotler and Keller, 2016)</w:t>
            </w:r>
          </w:p>
          <w:p w:rsidR="000E4274" w:rsidRPr="000E4274" w:rsidRDefault="000E4274" w:rsidP="008E7C10">
            <w:pPr>
              <w:spacing w:line="360" w:lineRule="auto"/>
              <w:rPr>
                <w:rFonts w:ascii="Arial" w:eastAsia="Times New Roman" w:hAnsi="Arial" w:cs="Arial"/>
                <w:lang w:eastAsia="en-GB"/>
              </w:rPr>
            </w:pPr>
          </w:p>
          <w:p w:rsidR="001B484B" w:rsidRPr="008E7C10" w:rsidRDefault="001B484B" w:rsidP="008E7C10">
            <w:pPr>
              <w:spacing w:line="360" w:lineRule="auto"/>
              <w:rPr>
                <w:rFonts w:ascii="Arial" w:hAnsi="Arial" w:cs="Arial"/>
                <w:b/>
              </w:rPr>
            </w:pPr>
          </w:p>
        </w:tc>
      </w:tr>
    </w:tbl>
    <w:p w:rsidR="001B484B" w:rsidRPr="001B484B" w:rsidRDefault="001B484B" w:rsidP="001B484B">
      <w:pPr>
        <w:rPr>
          <w:rFonts w:ascii="Arial" w:hAnsi="Arial" w:cs="Arial"/>
          <w:b/>
          <w:sz w:val="24"/>
          <w:szCs w:val="24"/>
        </w:rPr>
      </w:pPr>
    </w:p>
    <w:p w:rsidR="00B563BE" w:rsidRPr="00BA4043" w:rsidRDefault="00E715A7" w:rsidP="00B563BE">
      <w:pPr>
        <w:jc w:val="center"/>
        <w:rPr>
          <w:rFonts w:ascii="Arial" w:hAnsi="Arial" w:cs="Arial"/>
          <w:b/>
        </w:rPr>
      </w:pPr>
      <w:r w:rsidRPr="00BA4043">
        <w:rPr>
          <w:rFonts w:ascii="Arial" w:hAnsi="Arial" w:cs="Arial"/>
          <w:b/>
        </w:rPr>
        <w:lastRenderedPageBreak/>
        <w:t>Strategic Growth Options and Proposed Strategy using Ansoff Matrix and Porter’s Generic Strategies</w:t>
      </w:r>
    </w:p>
    <w:p w:rsidR="00240D25" w:rsidRPr="006A0274" w:rsidRDefault="00240D25" w:rsidP="00240D25">
      <w:pPr>
        <w:spacing w:after="0" w:line="360" w:lineRule="auto"/>
        <w:rPr>
          <w:rFonts w:ascii="Arial" w:eastAsia="Times New Roman" w:hAnsi="Arial" w:cs="Arial"/>
          <w:lang w:eastAsia="en-GB"/>
        </w:rPr>
      </w:pPr>
      <w:r w:rsidRPr="006A0274">
        <w:rPr>
          <w:rFonts w:ascii="Arial" w:eastAsia="Times New Roman" w:hAnsi="Arial" w:cs="Arial"/>
          <w:b/>
          <w:lang w:eastAsia="en-GB"/>
        </w:rPr>
        <w:t>Porter's generic strategy</w:t>
      </w:r>
      <w:r w:rsidRPr="006A0274">
        <w:rPr>
          <w:rFonts w:ascii="Arial" w:eastAsia="Times New Roman" w:hAnsi="Arial" w:cs="Arial"/>
          <w:lang w:eastAsia="en-GB"/>
        </w:rPr>
        <w:t xml:space="preserve"> model encourages the pursuit of differentiation over cost leadership (Porter, 1985). Innocent's competitive advantage is bu</w:t>
      </w:r>
      <w:r>
        <w:rPr>
          <w:rFonts w:ascii="Arial" w:eastAsia="Times New Roman" w:hAnsi="Arial" w:cs="Arial"/>
          <w:lang w:eastAsia="en-GB"/>
        </w:rPr>
        <w:t>ilt on intangible assets like</w:t>
      </w:r>
      <w:r w:rsidRPr="006A0274">
        <w:rPr>
          <w:rFonts w:ascii="Arial" w:eastAsia="Times New Roman" w:hAnsi="Arial" w:cs="Arial"/>
          <w:lang w:eastAsia="en-GB"/>
        </w:rPr>
        <w:t xml:space="preserve"> brand legitimacy, ethical sourcing, and sustainability reputation, rather than low-cost production. A cost-cutting plan would eat into these key differentiators and likely clash with stakeholder expectations, especially given the company's B Corporation pledges. Instead, differentiation-driven growth via innovation and smart expansion protects the</w:t>
      </w:r>
      <w:r>
        <w:rPr>
          <w:rFonts w:ascii="Arial" w:eastAsia="Times New Roman" w:hAnsi="Arial" w:cs="Arial"/>
          <w:lang w:eastAsia="en-GB"/>
        </w:rPr>
        <w:t xml:space="preserve"> brand's</w:t>
      </w:r>
      <w:r w:rsidRPr="006A0274">
        <w:rPr>
          <w:rFonts w:ascii="Arial" w:eastAsia="Times New Roman" w:hAnsi="Arial" w:cs="Arial"/>
          <w:lang w:eastAsia="en-GB"/>
        </w:rPr>
        <w:t xml:space="preserve"> identity while providing tangible customer benefits.</w:t>
      </w:r>
    </w:p>
    <w:p w:rsidR="00240D25" w:rsidRPr="006A0274" w:rsidRDefault="00240D25" w:rsidP="00240D25">
      <w:pPr>
        <w:spacing w:after="0" w:line="360" w:lineRule="auto"/>
        <w:rPr>
          <w:rFonts w:ascii="Arial" w:eastAsia="Times New Roman" w:hAnsi="Arial" w:cs="Arial"/>
          <w:lang w:eastAsia="en-GB"/>
        </w:rPr>
      </w:pPr>
    </w:p>
    <w:p w:rsidR="00240D25" w:rsidRPr="006A0274" w:rsidRDefault="00240D25" w:rsidP="00240D25">
      <w:pPr>
        <w:spacing w:after="0" w:line="360" w:lineRule="auto"/>
        <w:rPr>
          <w:rFonts w:ascii="Arial" w:eastAsia="Times New Roman" w:hAnsi="Arial" w:cs="Arial"/>
          <w:lang w:eastAsia="en-GB"/>
        </w:rPr>
      </w:pPr>
      <w:r w:rsidRPr="006A0274">
        <w:rPr>
          <w:rFonts w:ascii="Arial" w:eastAsia="Times New Roman" w:hAnsi="Arial" w:cs="Arial"/>
          <w:lang w:eastAsia="en-GB"/>
        </w:rPr>
        <w:t xml:space="preserve">As a result, this report advises a hybrid growth approach that combines well-designed product development with targeted European market expansion. This method obeys to Blue Ocean Strategy principles by developing new market space through value innovation while also improving consumer health benefits and strengthening sustainability credentials (Kim and </w:t>
      </w:r>
      <w:proofErr w:type="spellStart"/>
      <w:r w:rsidRPr="006A0274">
        <w:rPr>
          <w:rFonts w:ascii="Arial" w:eastAsia="Times New Roman" w:hAnsi="Arial" w:cs="Arial"/>
          <w:lang w:eastAsia="en-GB"/>
        </w:rPr>
        <w:t>Mauborgne</w:t>
      </w:r>
      <w:proofErr w:type="spellEnd"/>
      <w:r w:rsidRPr="006A0274">
        <w:rPr>
          <w:rFonts w:ascii="Arial" w:eastAsia="Times New Roman" w:hAnsi="Arial" w:cs="Arial"/>
          <w:lang w:eastAsia="en-GB"/>
        </w:rPr>
        <w:t xml:space="preserve">, 2015). By innovating in functional beverages and accessing areas that respect both quality and ethical production, </w:t>
      </w:r>
      <w:r>
        <w:rPr>
          <w:rFonts w:ascii="Arial" w:eastAsia="Times New Roman" w:hAnsi="Arial" w:cs="Arial"/>
          <w:lang w:eastAsia="en-GB"/>
        </w:rPr>
        <w:t xml:space="preserve">such as Germany, Netherland and Nordic countries, </w:t>
      </w:r>
      <w:r w:rsidRPr="006A0274">
        <w:rPr>
          <w:rFonts w:ascii="Arial" w:eastAsia="Times New Roman" w:hAnsi="Arial" w:cs="Arial"/>
          <w:lang w:eastAsia="en-GB"/>
        </w:rPr>
        <w:t>Innocent can expand without jeopardizing brand integrity. Furthermore, the strategy strikes a balance between opportunity seeking and risk management: product creation capitalizes on existing competencies, while selective global expansion limits overextension and guarantees compliance with cultural and regulatory standards.</w:t>
      </w:r>
    </w:p>
    <w:p w:rsidR="00240D25" w:rsidRPr="006A0274" w:rsidRDefault="00240D25" w:rsidP="00240D25">
      <w:pPr>
        <w:spacing w:after="0" w:line="360" w:lineRule="auto"/>
        <w:rPr>
          <w:rFonts w:ascii="Arial" w:eastAsia="Times New Roman" w:hAnsi="Arial" w:cs="Arial"/>
          <w:lang w:eastAsia="en-GB"/>
        </w:rPr>
      </w:pPr>
    </w:p>
    <w:p w:rsidR="00240D25" w:rsidRPr="00B217DB" w:rsidRDefault="00240D25" w:rsidP="00240D25">
      <w:pPr>
        <w:spacing w:after="0" w:line="360" w:lineRule="auto"/>
        <w:rPr>
          <w:rFonts w:ascii="Arial" w:eastAsia="Times New Roman" w:hAnsi="Arial" w:cs="Arial"/>
          <w:lang w:eastAsia="en-GB"/>
        </w:rPr>
      </w:pPr>
      <w:r w:rsidRPr="006A0274">
        <w:rPr>
          <w:rFonts w:ascii="Arial" w:eastAsia="Times New Roman" w:hAnsi="Arial" w:cs="Arial"/>
          <w:lang w:eastAsia="en-GB"/>
        </w:rPr>
        <w:t>Critically, successful implementation demands collaboration between research and development, marketing, supply chain, and corporate social responsibility activities. Functional product innovation requires thorough market testing, nutritional validation, and clear sustainability reporting. Geographic expansion requires a thorough examination of local consumer preferences, distribution relationships, and regulatory compliance. Collectively, these integrated actions ensure that Innocent's hybrid strategy not only promotes growth but also increases its long-term competitive advantage in line with its missio</w:t>
      </w:r>
      <w:r>
        <w:rPr>
          <w:rFonts w:ascii="Arial" w:eastAsia="Times New Roman" w:hAnsi="Arial" w:cs="Arial"/>
          <w:lang w:eastAsia="en-GB"/>
        </w:rPr>
        <w:t>n-driven vision (Harrison and Wicks, 2013)</w:t>
      </w:r>
    </w:p>
    <w:p w:rsidR="00BA4043" w:rsidRPr="00BA4043" w:rsidRDefault="00BA4043" w:rsidP="00BA4043">
      <w:pPr>
        <w:rPr>
          <w:rFonts w:ascii="Arial" w:hAnsi="Arial" w:cs="Arial"/>
          <w:b/>
        </w:rPr>
      </w:pPr>
    </w:p>
    <w:p w:rsidR="00240D25" w:rsidRDefault="00240D25" w:rsidP="00240D25">
      <w:pPr>
        <w:spacing w:line="360" w:lineRule="auto"/>
        <w:rPr>
          <w:rFonts w:ascii="Arial" w:hAnsi="Arial" w:cs="Arial"/>
          <w:b/>
        </w:rPr>
      </w:pPr>
    </w:p>
    <w:p w:rsidR="00240D25" w:rsidRDefault="00240D25" w:rsidP="00240D25">
      <w:pPr>
        <w:spacing w:line="360" w:lineRule="auto"/>
        <w:rPr>
          <w:rFonts w:ascii="Arial" w:hAnsi="Arial" w:cs="Arial"/>
          <w:b/>
        </w:rPr>
      </w:pPr>
    </w:p>
    <w:p w:rsidR="00240D25" w:rsidRDefault="00240D25" w:rsidP="00240D25">
      <w:pPr>
        <w:spacing w:line="360" w:lineRule="auto"/>
        <w:rPr>
          <w:rFonts w:ascii="Arial" w:hAnsi="Arial" w:cs="Arial"/>
          <w:b/>
        </w:rPr>
      </w:pPr>
    </w:p>
    <w:p w:rsidR="00240D25" w:rsidRDefault="00240D25" w:rsidP="00240D25">
      <w:pPr>
        <w:spacing w:line="360" w:lineRule="auto"/>
        <w:rPr>
          <w:rFonts w:ascii="Arial" w:hAnsi="Arial" w:cs="Arial"/>
          <w:b/>
        </w:rPr>
      </w:pPr>
    </w:p>
    <w:p w:rsidR="00240D25" w:rsidRDefault="00240D25" w:rsidP="00240D25">
      <w:pPr>
        <w:spacing w:line="360" w:lineRule="auto"/>
        <w:rPr>
          <w:rFonts w:ascii="Arial" w:hAnsi="Arial" w:cs="Arial"/>
          <w:b/>
        </w:rPr>
      </w:pPr>
    </w:p>
    <w:p w:rsidR="00B563BE" w:rsidRPr="00240D25" w:rsidRDefault="00BA4043" w:rsidP="00240D25">
      <w:pPr>
        <w:spacing w:line="360" w:lineRule="auto"/>
        <w:rPr>
          <w:rFonts w:ascii="Arial" w:hAnsi="Arial" w:cs="Arial"/>
          <w:b/>
        </w:rPr>
      </w:pPr>
      <w:r w:rsidRPr="00240D25">
        <w:rPr>
          <w:rFonts w:ascii="Arial" w:hAnsi="Arial" w:cs="Arial"/>
          <w:b/>
        </w:rPr>
        <w:lastRenderedPageBreak/>
        <w:t>Ansoff’s Matrix</w:t>
      </w:r>
    </w:p>
    <w:p w:rsidR="00240D25" w:rsidRPr="00240D25" w:rsidRDefault="00240D25" w:rsidP="00240D25">
      <w:pPr>
        <w:spacing w:before="100" w:beforeAutospacing="1" w:after="100" w:afterAutospacing="1" w:line="360" w:lineRule="auto"/>
        <w:rPr>
          <w:color w:val="05103E"/>
          <w:sz w:val="27"/>
          <w:szCs w:val="27"/>
        </w:rPr>
      </w:pPr>
      <w:r w:rsidRPr="00240D25">
        <w:rPr>
          <w:rFonts w:ascii="Arial" w:eastAsia="Times New Roman" w:hAnsi="Arial" w:cs="Arial"/>
          <w:lang w:eastAsia="en-GB"/>
        </w:rPr>
        <w:t xml:space="preserve">Based on the Ansoff Matrix, this report proposes a </w:t>
      </w:r>
      <w:r w:rsidRPr="00A6685C">
        <w:rPr>
          <w:rFonts w:ascii="Arial" w:eastAsia="Times New Roman" w:hAnsi="Arial" w:cs="Arial"/>
          <w:bCs/>
          <w:lang w:eastAsia="en-GB"/>
        </w:rPr>
        <w:t>hybrid growth strategy that combines product development and selective market development</w:t>
      </w:r>
      <w:r w:rsidRPr="00240D25">
        <w:rPr>
          <w:rFonts w:ascii="Arial" w:eastAsia="Times New Roman" w:hAnsi="Arial" w:cs="Arial"/>
          <w:lang w:eastAsia="en-GB"/>
        </w:rPr>
        <w:t xml:space="preserve"> as the most appropriate pathway for Innocent Drinks.</w:t>
      </w:r>
      <w:r>
        <w:rPr>
          <w:rFonts w:ascii="Arial" w:eastAsia="Times New Roman" w:hAnsi="Arial" w:cs="Arial"/>
          <w:lang w:eastAsia="en-GB"/>
        </w:rPr>
        <w:t xml:space="preserve"> According </w:t>
      </w:r>
      <w:r w:rsidRPr="00240D25">
        <w:rPr>
          <w:rFonts w:ascii="Arial" w:eastAsia="Times New Roman" w:hAnsi="Arial" w:cs="Arial"/>
          <w:lang w:eastAsia="en-GB"/>
        </w:rPr>
        <w:t>to (</w:t>
      </w:r>
      <w:r w:rsidRPr="00240D25">
        <w:rPr>
          <w:rFonts w:ascii="Arial" w:hAnsi="Arial" w:cs="Arial"/>
          <w:color w:val="05103E"/>
        </w:rPr>
        <w:t>Joel, 2025)</w:t>
      </w:r>
      <w:r w:rsidRPr="00240D25">
        <w:rPr>
          <w:rFonts w:ascii="Arial" w:eastAsia="Times New Roman" w:hAnsi="Arial" w:cs="Arial"/>
          <w:lang w:eastAsia="en-GB"/>
        </w:rPr>
        <w:t>This approach allows the company to leverage its core strengths in natural, ethically sourced beverages while responding to emerging global trends in health, sustainability, and functional nutrition. By simultaneously innovating new functional bevera</w:t>
      </w:r>
      <w:r w:rsidR="00A6685C">
        <w:rPr>
          <w:rFonts w:ascii="Arial" w:eastAsia="Times New Roman" w:hAnsi="Arial" w:cs="Arial"/>
          <w:lang w:eastAsia="en-GB"/>
        </w:rPr>
        <w:t xml:space="preserve">ges and expanding into </w:t>
      </w:r>
      <w:r w:rsidRPr="00240D25">
        <w:rPr>
          <w:rFonts w:ascii="Arial" w:eastAsia="Times New Roman" w:hAnsi="Arial" w:cs="Arial"/>
          <w:lang w:eastAsia="en-GB"/>
        </w:rPr>
        <w:t>selected European markets, Innocent can achieve growth while preserving its premium brand identity and sustainability commitments.</w:t>
      </w:r>
    </w:p>
    <w:p w:rsidR="00240D25" w:rsidRPr="00240D25" w:rsidRDefault="00240D25" w:rsidP="00240D25">
      <w:pPr>
        <w:spacing w:before="100" w:beforeAutospacing="1" w:after="100" w:afterAutospacing="1" w:line="360" w:lineRule="auto"/>
        <w:rPr>
          <w:rFonts w:ascii="Arial" w:eastAsia="Times New Roman" w:hAnsi="Arial" w:cs="Arial"/>
          <w:lang w:eastAsia="en-GB"/>
        </w:rPr>
      </w:pPr>
      <w:r w:rsidRPr="00240D25">
        <w:rPr>
          <w:rFonts w:ascii="Arial" w:eastAsia="Times New Roman" w:hAnsi="Arial" w:cs="Arial"/>
          <w:lang w:eastAsia="en-GB"/>
        </w:rPr>
        <w:t>Alternative strategies within the Ansoff framework present greater limitations. Market penetration, which focuses on increasing sales of existing products within current markets, would likely require price competition or aggressive promotional activity. However, this approach carries significant risks. Innocent’s premium positioning and strong sustainability ethos mean that price reductions or volume-driven campaigns could erode brand equity, weaken perceptions of quality, and potentially undermine stakeholder trust (Kotler and Keller, 2016). Furthermore, many of Innocent’s core markets in the UK and Western Europe are already approaching saturation, reducing the long-term effectiveness of a penetration-focused strategy.</w:t>
      </w:r>
    </w:p>
    <w:p w:rsidR="00240D25" w:rsidRPr="00240D25" w:rsidRDefault="00240D25" w:rsidP="00240D25">
      <w:pPr>
        <w:spacing w:before="100" w:beforeAutospacing="1" w:after="100" w:afterAutospacing="1" w:line="360" w:lineRule="auto"/>
        <w:rPr>
          <w:rFonts w:ascii="Arial" w:eastAsia="Times New Roman" w:hAnsi="Arial" w:cs="Arial"/>
          <w:lang w:eastAsia="en-GB"/>
        </w:rPr>
      </w:pPr>
      <w:r w:rsidRPr="00240D25">
        <w:rPr>
          <w:rFonts w:ascii="Arial" w:eastAsia="Times New Roman" w:hAnsi="Arial" w:cs="Arial"/>
          <w:lang w:eastAsia="en-GB"/>
        </w:rPr>
        <w:t>Diversification into unrelated industries represents another potential growth route but also introduces substantial strategic risk. Innocent’s competitive advantage lies in its expertise in natural beverages, ethical sourcing, and brand authenticity. Entering unrelated sectors could stretch managerial capabilities, dilute brand identity, and create operational complexity (Rumelt, 1974). Consequently, unrelated diversification is unlikely to generate sustainable value unless closely aligned with Innocent’s core competencies.</w:t>
      </w:r>
    </w:p>
    <w:p w:rsidR="00240D25" w:rsidRPr="00240D25" w:rsidRDefault="00240D25" w:rsidP="00240D25">
      <w:pPr>
        <w:spacing w:before="100" w:beforeAutospacing="1" w:after="100" w:afterAutospacing="1" w:line="360" w:lineRule="auto"/>
        <w:rPr>
          <w:rFonts w:ascii="Arial" w:eastAsia="Times New Roman" w:hAnsi="Arial" w:cs="Arial"/>
          <w:lang w:eastAsia="en-GB"/>
        </w:rPr>
      </w:pPr>
      <w:r w:rsidRPr="00240D25">
        <w:rPr>
          <w:rFonts w:ascii="Arial" w:eastAsia="Times New Roman" w:hAnsi="Arial" w:cs="Arial"/>
          <w:lang w:eastAsia="en-GB"/>
        </w:rPr>
        <w:t>In contrast, product development and market development offer stronger strategic alignment. Product development involves introducing new offerings into existing markets. For Innocent, this includes expanding into functional beverages such as protein-enriched smoothies, gut-health drinks, and immunity-support beverages. These categories align with growing global demand for health-focused and plant-based nutrition (Euromonitor, 2024). Functional beverages represent one of the fastest-growing segments of the health drink industry, allowing Innocent to build on its capabilities in blending, ethical sourcing, and premium positioning. By developing products that extend its brand promise while addressing evolving consumer needs, Innocent can strengthen differentiation, increase customer loyalty, and maintain premium pricing (Nielsen, 2022).</w:t>
      </w:r>
    </w:p>
    <w:p w:rsidR="00240D25" w:rsidRPr="00240D25" w:rsidRDefault="00240D25" w:rsidP="00240D25">
      <w:pPr>
        <w:spacing w:before="100" w:beforeAutospacing="1" w:after="100" w:afterAutospacing="1" w:line="360" w:lineRule="auto"/>
        <w:rPr>
          <w:rFonts w:ascii="Arial" w:eastAsia="Times New Roman" w:hAnsi="Arial" w:cs="Arial"/>
          <w:lang w:eastAsia="en-GB"/>
        </w:rPr>
      </w:pPr>
      <w:r w:rsidRPr="00240D25">
        <w:rPr>
          <w:rFonts w:ascii="Arial" w:eastAsia="Times New Roman" w:hAnsi="Arial" w:cs="Arial"/>
          <w:lang w:eastAsia="en-GB"/>
        </w:rPr>
        <w:lastRenderedPageBreak/>
        <w:t>Market development complements this innovation strategy by expanding into new geographic regions. Europe presents particularly attractive opportunities due to high per capita consumption of premium beverages, increasing demand for plant-based and functional products, and strong regulatory support for sustainability initiatives (McKinsey, 2023). Targeted expansion into countries such as Germany, the Netherlands, and Finland—where consumers demonstrate high environmental awareness and willingness to pay for ethically produced products (European Commission, 2024)—can diversify revenue streams while maintaining strategic coherence. Importantly, this geographic expansion reduces reliance on the mature UK market, mitigates domestic market volatility, and leverages Innocent’s established brand credibility.</w:t>
      </w:r>
    </w:p>
    <w:p w:rsidR="00240D25" w:rsidRPr="00BA4043" w:rsidRDefault="00240D25" w:rsidP="00BA4043">
      <w:pPr>
        <w:rPr>
          <w:rFonts w:ascii="Arial" w:hAnsi="Arial" w:cs="Arial"/>
          <w:b/>
        </w:rPr>
      </w:pPr>
    </w:p>
    <w:p w:rsidR="00862E2E" w:rsidRDefault="00BA4043" w:rsidP="00BA4043">
      <w:pPr>
        <w:spacing w:after="0" w:line="360" w:lineRule="auto"/>
        <w:rPr>
          <w:rFonts w:ascii="Arial" w:eastAsia="Times New Roman" w:hAnsi="Arial" w:cs="Arial"/>
          <w:lang w:eastAsia="en-GB"/>
        </w:rPr>
      </w:pPr>
      <w:r w:rsidRPr="00BA4043">
        <w:rPr>
          <w:rFonts w:ascii="Arial" w:eastAsia="Times New Roman" w:hAnsi="Arial" w:cs="Arial"/>
          <w:lang w:eastAsia="en-GB"/>
        </w:rPr>
        <w:t>.</w:t>
      </w:r>
    </w:p>
    <w:p w:rsidR="00862E2E" w:rsidRDefault="00862E2E" w:rsidP="00BA4043">
      <w:pPr>
        <w:spacing w:after="0" w:line="360" w:lineRule="auto"/>
        <w:rPr>
          <w:rFonts w:ascii="Arial" w:eastAsia="Times New Roman" w:hAnsi="Arial" w:cs="Arial"/>
          <w:lang w:eastAsia="en-GB"/>
        </w:rPr>
      </w:pPr>
    </w:p>
    <w:p w:rsidR="00240D25" w:rsidRDefault="00240D25" w:rsidP="00240D25">
      <w:pPr>
        <w:tabs>
          <w:tab w:val="left" w:pos="2100"/>
        </w:tabs>
        <w:spacing w:after="0" w:line="240" w:lineRule="auto"/>
        <w:rPr>
          <w:rFonts w:ascii="Arial" w:hAnsi="Arial" w:cs="Arial"/>
          <w:b/>
        </w:rPr>
      </w:pPr>
      <w:r>
        <w:rPr>
          <w:rFonts w:ascii="Arial" w:hAnsi="Arial" w:cs="Arial"/>
          <w:b/>
        </w:rPr>
        <w:tab/>
      </w:r>
    </w:p>
    <w:p w:rsidR="00240D25" w:rsidRDefault="00240D25" w:rsidP="00240D25">
      <w:pPr>
        <w:tabs>
          <w:tab w:val="left" w:pos="2100"/>
        </w:tabs>
        <w:spacing w:after="0" w:line="240" w:lineRule="auto"/>
        <w:rPr>
          <w:rFonts w:ascii="Arial" w:hAnsi="Arial" w:cs="Arial"/>
          <w:b/>
        </w:rPr>
      </w:pPr>
    </w:p>
    <w:p w:rsidR="00240D25" w:rsidRDefault="00240D25" w:rsidP="00240D25">
      <w:pPr>
        <w:tabs>
          <w:tab w:val="left" w:pos="2100"/>
        </w:tabs>
        <w:spacing w:after="0" w:line="240" w:lineRule="auto"/>
        <w:rPr>
          <w:rFonts w:ascii="Arial" w:hAnsi="Arial" w:cs="Arial"/>
          <w:b/>
        </w:rPr>
      </w:pPr>
    </w:p>
    <w:p w:rsidR="00240D25" w:rsidRDefault="00240D25" w:rsidP="00240D25">
      <w:pPr>
        <w:tabs>
          <w:tab w:val="left" w:pos="2100"/>
        </w:tabs>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240D25" w:rsidRDefault="00240D25" w:rsidP="00B217DB">
      <w:pPr>
        <w:spacing w:after="0" w:line="240" w:lineRule="auto"/>
        <w:rPr>
          <w:rFonts w:ascii="Arial" w:hAnsi="Arial" w:cs="Arial"/>
          <w:b/>
        </w:rPr>
      </w:pPr>
    </w:p>
    <w:p w:rsidR="004A3A75" w:rsidRPr="009F4F16" w:rsidRDefault="009F4F16" w:rsidP="00B217DB">
      <w:pPr>
        <w:spacing w:after="0" w:line="240" w:lineRule="auto"/>
        <w:rPr>
          <w:rFonts w:ascii="Arial" w:eastAsia="Times New Roman" w:hAnsi="Arial" w:cs="Arial"/>
          <w:b/>
          <w:lang w:eastAsia="en-GB"/>
        </w:rPr>
      </w:pPr>
      <w:r w:rsidRPr="009F4F16">
        <w:rPr>
          <w:rFonts w:ascii="Arial" w:hAnsi="Arial" w:cs="Arial"/>
          <w:b/>
        </w:rPr>
        <w:lastRenderedPageBreak/>
        <w:t>Strategy Evaluation: SFA Matrix – Innocent Drinks Hybrid Growth Strategy</w:t>
      </w:r>
    </w:p>
    <w:p w:rsidR="004A3A75" w:rsidRDefault="004A3A75" w:rsidP="00AE2E5C">
      <w:pPr>
        <w:spacing w:after="0" w:line="240" w:lineRule="auto"/>
        <w:jc w:val="center"/>
        <w:rPr>
          <w:rFonts w:ascii="Arial" w:eastAsia="Times New Roman" w:hAnsi="Arial" w:cs="Arial"/>
          <w:b/>
          <w:lang w:eastAsia="en-GB"/>
        </w:rPr>
      </w:pPr>
    </w:p>
    <w:tbl>
      <w:tblPr>
        <w:tblStyle w:val="TableGrid"/>
        <w:tblW w:w="11529" w:type="dxa"/>
        <w:tblInd w:w="-1291" w:type="dxa"/>
        <w:tblLook w:val="04A0" w:firstRow="1" w:lastRow="0" w:firstColumn="1" w:lastColumn="0" w:noHBand="0" w:noVBand="1"/>
      </w:tblPr>
      <w:tblGrid>
        <w:gridCol w:w="1028"/>
        <w:gridCol w:w="800"/>
        <w:gridCol w:w="1687"/>
        <w:gridCol w:w="2812"/>
        <w:gridCol w:w="2672"/>
        <w:gridCol w:w="2530"/>
      </w:tblGrid>
      <w:tr w:rsidR="004A3A75" w:rsidTr="004A3A75">
        <w:trPr>
          <w:trHeight w:val="444"/>
        </w:trPr>
        <w:tc>
          <w:tcPr>
            <w:tcW w:w="1828" w:type="dxa"/>
            <w:gridSpan w:val="2"/>
          </w:tcPr>
          <w:p w:rsidR="004A3A75" w:rsidRPr="004A3A75" w:rsidRDefault="004A3A75" w:rsidP="004A3A75">
            <w:pPr>
              <w:rPr>
                <w:rFonts w:ascii="Arial" w:eastAsia="Times New Roman" w:hAnsi="Arial" w:cs="Arial"/>
                <w:b/>
                <w:lang w:eastAsia="en-GB"/>
              </w:rPr>
            </w:pPr>
            <w:r w:rsidRPr="004A3A75">
              <w:rPr>
                <w:rFonts w:ascii="Arial" w:eastAsia="Times New Roman" w:hAnsi="Arial" w:cs="Arial"/>
                <w:b/>
                <w:lang w:eastAsia="en-GB"/>
              </w:rPr>
              <w:t>Dimension</w:t>
            </w:r>
          </w:p>
        </w:tc>
        <w:tc>
          <w:tcPr>
            <w:tcW w:w="1687" w:type="dxa"/>
          </w:tcPr>
          <w:p w:rsidR="004A3A75" w:rsidRPr="004A3A75" w:rsidRDefault="004A3A75" w:rsidP="004A3A75">
            <w:pPr>
              <w:rPr>
                <w:rFonts w:ascii="Arial" w:eastAsia="Times New Roman" w:hAnsi="Arial" w:cs="Arial"/>
                <w:b/>
                <w:lang w:eastAsia="en-GB"/>
              </w:rPr>
            </w:pPr>
            <w:r w:rsidRPr="004A3A75">
              <w:rPr>
                <w:rFonts w:ascii="Arial" w:eastAsia="Times New Roman" w:hAnsi="Arial" w:cs="Arial"/>
                <w:b/>
                <w:lang w:eastAsia="en-GB"/>
              </w:rPr>
              <w:t>Key Question</w:t>
            </w:r>
          </w:p>
        </w:tc>
        <w:tc>
          <w:tcPr>
            <w:tcW w:w="2812" w:type="dxa"/>
          </w:tcPr>
          <w:p w:rsidR="004A3A75" w:rsidRPr="004A3A75" w:rsidRDefault="004A3A75" w:rsidP="004A3A75">
            <w:pPr>
              <w:rPr>
                <w:rFonts w:ascii="Arial" w:eastAsia="Times New Roman" w:hAnsi="Arial" w:cs="Arial"/>
                <w:b/>
                <w:lang w:eastAsia="en-GB"/>
              </w:rPr>
            </w:pPr>
            <w:r w:rsidRPr="004A3A75">
              <w:rPr>
                <w:rFonts w:ascii="Arial" w:hAnsi="Arial" w:cs="Arial"/>
                <w:b/>
              </w:rPr>
              <w:t>Strategic Analysis</w:t>
            </w:r>
          </w:p>
        </w:tc>
        <w:tc>
          <w:tcPr>
            <w:tcW w:w="2672" w:type="dxa"/>
          </w:tcPr>
          <w:p w:rsidR="004A3A75" w:rsidRPr="004A3A75" w:rsidRDefault="004A3A75" w:rsidP="004A3A75">
            <w:pPr>
              <w:rPr>
                <w:rFonts w:ascii="Arial" w:eastAsia="Times New Roman" w:hAnsi="Arial" w:cs="Arial"/>
                <w:b/>
                <w:lang w:eastAsia="en-GB"/>
              </w:rPr>
            </w:pPr>
            <w:r w:rsidRPr="004A3A75">
              <w:rPr>
                <w:rFonts w:ascii="Arial" w:eastAsia="Times New Roman" w:hAnsi="Arial" w:cs="Arial"/>
                <w:b/>
                <w:lang w:eastAsia="en-GB"/>
              </w:rPr>
              <w:t xml:space="preserve">Risk and Mitigation </w:t>
            </w:r>
          </w:p>
        </w:tc>
        <w:tc>
          <w:tcPr>
            <w:tcW w:w="2530" w:type="dxa"/>
          </w:tcPr>
          <w:p w:rsidR="004A3A75" w:rsidRPr="004A3A75" w:rsidRDefault="004A3A75" w:rsidP="004A3A75">
            <w:pPr>
              <w:jc w:val="both"/>
              <w:rPr>
                <w:rFonts w:ascii="Arial" w:eastAsia="Times New Roman" w:hAnsi="Arial" w:cs="Arial"/>
                <w:b/>
                <w:lang w:eastAsia="en-GB"/>
              </w:rPr>
            </w:pPr>
            <w:r w:rsidRPr="004A3A75">
              <w:rPr>
                <w:rFonts w:ascii="Arial" w:eastAsia="Times New Roman" w:hAnsi="Arial" w:cs="Arial"/>
                <w:b/>
                <w:lang w:eastAsia="en-GB"/>
              </w:rPr>
              <w:t>Evaluation</w:t>
            </w:r>
          </w:p>
        </w:tc>
      </w:tr>
      <w:tr w:rsidR="004A3A75" w:rsidRPr="00FA0729" w:rsidTr="004A3A75">
        <w:trPr>
          <w:trHeight w:val="444"/>
        </w:trPr>
        <w:tc>
          <w:tcPr>
            <w:tcW w:w="1828" w:type="dxa"/>
            <w:gridSpan w:val="2"/>
          </w:tcPr>
          <w:p w:rsidR="004A3A75" w:rsidRPr="00FA0729" w:rsidRDefault="004A3A75" w:rsidP="00FA0729">
            <w:pPr>
              <w:spacing w:line="360" w:lineRule="auto"/>
              <w:rPr>
                <w:rFonts w:ascii="Arial" w:eastAsia="Times New Roman" w:hAnsi="Arial" w:cs="Arial"/>
                <w:lang w:eastAsia="en-GB"/>
              </w:rPr>
            </w:pPr>
            <w:r w:rsidRPr="00FA0729">
              <w:rPr>
                <w:rFonts w:ascii="Arial" w:eastAsia="Times New Roman" w:hAnsi="Arial" w:cs="Arial"/>
                <w:lang w:eastAsia="en-GB"/>
              </w:rPr>
              <w:t>Suitability</w:t>
            </w:r>
          </w:p>
        </w:tc>
        <w:tc>
          <w:tcPr>
            <w:tcW w:w="1687" w:type="dxa"/>
          </w:tcPr>
          <w:p w:rsidR="004A3A75" w:rsidRPr="00FA0729" w:rsidRDefault="004A3A75" w:rsidP="00FA0729">
            <w:pPr>
              <w:spacing w:line="360" w:lineRule="auto"/>
              <w:rPr>
                <w:rFonts w:ascii="Arial" w:eastAsia="Times New Roman" w:hAnsi="Arial" w:cs="Arial"/>
                <w:lang w:eastAsia="en-GB"/>
              </w:rPr>
            </w:pPr>
            <w:r w:rsidRPr="004A3A75">
              <w:rPr>
                <w:rFonts w:ascii="Arial" w:eastAsia="Times New Roman" w:hAnsi="Arial" w:cs="Arial"/>
                <w:lang w:eastAsia="en-GB"/>
              </w:rPr>
              <w:t>• Does the plan take into account outside threats and opportunities?</w:t>
            </w:r>
          </w:p>
          <w:p w:rsidR="004A3A75" w:rsidRPr="00FA0729" w:rsidRDefault="004A3A75" w:rsidP="00FA0729">
            <w:pPr>
              <w:spacing w:line="360" w:lineRule="auto"/>
              <w:rPr>
                <w:rFonts w:ascii="Arial" w:eastAsia="Times New Roman" w:hAnsi="Arial" w:cs="Arial"/>
                <w:lang w:eastAsia="en-GB"/>
              </w:rPr>
            </w:pPr>
          </w:p>
          <w:p w:rsidR="004A3A75" w:rsidRPr="004A3A75" w:rsidRDefault="004A3A75" w:rsidP="00FA0729">
            <w:pPr>
              <w:spacing w:line="360" w:lineRule="auto"/>
              <w:rPr>
                <w:rFonts w:ascii="Arial" w:eastAsia="Times New Roman" w:hAnsi="Arial" w:cs="Arial"/>
                <w:lang w:eastAsia="en-GB"/>
              </w:rPr>
            </w:pPr>
            <w:r w:rsidRPr="004A3A75">
              <w:rPr>
                <w:rFonts w:ascii="Arial" w:eastAsia="Times New Roman" w:hAnsi="Arial" w:cs="Arial"/>
                <w:lang w:eastAsia="en-GB"/>
              </w:rPr>
              <w:t>• Does it align with the long-term positioning and mission?</w:t>
            </w:r>
          </w:p>
          <w:p w:rsidR="004A3A75" w:rsidRPr="00FA0729" w:rsidRDefault="004A3A75" w:rsidP="00FA0729">
            <w:pPr>
              <w:spacing w:line="360" w:lineRule="auto"/>
              <w:rPr>
                <w:rFonts w:ascii="Arial" w:eastAsia="Times New Roman" w:hAnsi="Arial" w:cs="Arial"/>
                <w:b/>
                <w:lang w:eastAsia="en-GB"/>
              </w:rPr>
            </w:pPr>
          </w:p>
        </w:tc>
        <w:tc>
          <w:tcPr>
            <w:tcW w:w="2812" w:type="dxa"/>
          </w:tcPr>
          <w:p w:rsidR="004A3A75" w:rsidRPr="00FA0729" w:rsidRDefault="004A3A75" w:rsidP="00FA0729">
            <w:pPr>
              <w:spacing w:line="360" w:lineRule="auto"/>
              <w:rPr>
                <w:rFonts w:ascii="Arial" w:eastAsia="Times New Roman" w:hAnsi="Arial" w:cs="Arial"/>
                <w:lang w:eastAsia="en-GB"/>
              </w:rPr>
            </w:pPr>
            <w:r w:rsidRPr="004A3A75">
              <w:rPr>
                <w:rFonts w:ascii="Arial" w:eastAsia="Times New Roman" w:hAnsi="Arial" w:cs="Arial"/>
                <w:lang w:eastAsia="en-GB"/>
              </w:rPr>
              <w:t>The plan is in li</w:t>
            </w:r>
            <w:r w:rsidR="00A13490">
              <w:rPr>
                <w:rFonts w:ascii="Arial" w:eastAsia="Times New Roman" w:hAnsi="Arial" w:cs="Arial"/>
                <w:lang w:eastAsia="en-GB"/>
              </w:rPr>
              <w:t xml:space="preserve">ne with the market's </w:t>
            </w:r>
            <w:r w:rsidRPr="004A3A75">
              <w:rPr>
                <w:rFonts w:ascii="Arial" w:eastAsia="Times New Roman" w:hAnsi="Arial" w:cs="Arial"/>
                <w:lang w:eastAsia="en-GB"/>
              </w:rPr>
              <w:t xml:space="preserve">expansion for plant-based and functional nutrition (McKinsey, 2023; </w:t>
            </w:r>
            <w:r w:rsidR="00FA0729" w:rsidRPr="00FA0729">
              <w:rPr>
                <w:rFonts w:ascii="Arial" w:eastAsia="Times New Roman" w:hAnsi="Arial" w:cs="Arial"/>
                <w:lang w:eastAsia="en-GB"/>
              </w:rPr>
              <w:t>Euro monitor</w:t>
            </w:r>
            <w:r w:rsidRPr="004A3A75">
              <w:rPr>
                <w:rFonts w:ascii="Arial" w:eastAsia="Times New Roman" w:hAnsi="Arial" w:cs="Arial"/>
                <w:lang w:eastAsia="en-GB"/>
              </w:rPr>
              <w:t xml:space="preserve">, 2024). </w:t>
            </w:r>
          </w:p>
          <w:p w:rsidR="004A3A75" w:rsidRPr="00FA0729" w:rsidRDefault="004A3A75" w:rsidP="00FA0729">
            <w:pPr>
              <w:spacing w:line="360" w:lineRule="auto"/>
              <w:rPr>
                <w:rFonts w:ascii="Arial" w:eastAsia="Times New Roman" w:hAnsi="Arial" w:cs="Arial"/>
                <w:lang w:eastAsia="en-GB"/>
              </w:rPr>
            </w:pPr>
          </w:p>
          <w:p w:rsidR="004A3A75" w:rsidRPr="00FA0729" w:rsidRDefault="004A3A75" w:rsidP="00FA0729">
            <w:pPr>
              <w:spacing w:line="360" w:lineRule="auto"/>
              <w:rPr>
                <w:rFonts w:ascii="Arial" w:eastAsia="Times New Roman" w:hAnsi="Arial" w:cs="Arial"/>
                <w:lang w:eastAsia="en-GB"/>
              </w:rPr>
            </w:pPr>
            <w:r w:rsidRPr="004A3A75">
              <w:rPr>
                <w:rFonts w:ascii="Arial" w:eastAsia="Times New Roman" w:hAnsi="Arial" w:cs="Arial"/>
                <w:lang w:eastAsia="en-GB"/>
              </w:rPr>
              <w:t>It responds to regulatory tightening and climate volatility by utilizing Innocent's core competencies in premium blending and ethical sourcing (OECD, 2023; IPCC, 2023).</w:t>
            </w:r>
          </w:p>
          <w:p w:rsidR="00FA0729" w:rsidRPr="00FA0729" w:rsidRDefault="00FA0729" w:rsidP="00FA0729">
            <w:pPr>
              <w:spacing w:line="360" w:lineRule="auto"/>
              <w:rPr>
                <w:rFonts w:ascii="Arial" w:eastAsia="Times New Roman" w:hAnsi="Arial" w:cs="Arial"/>
                <w:lang w:eastAsia="en-GB"/>
              </w:rPr>
            </w:pPr>
          </w:p>
          <w:p w:rsidR="004A3A75" w:rsidRPr="004A3A75" w:rsidRDefault="004A3A75" w:rsidP="00FA0729">
            <w:pPr>
              <w:spacing w:line="360" w:lineRule="auto"/>
              <w:rPr>
                <w:rFonts w:ascii="Arial" w:eastAsia="Times New Roman" w:hAnsi="Arial" w:cs="Arial"/>
                <w:lang w:eastAsia="en-GB"/>
              </w:rPr>
            </w:pPr>
            <w:r w:rsidRPr="004A3A75">
              <w:rPr>
                <w:rFonts w:ascii="Arial" w:eastAsia="Times New Roman" w:hAnsi="Arial" w:cs="Arial"/>
                <w:lang w:eastAsia="en-GB"/>
              </w:rPr>
              <w:t xml:space="preserve"> Expanding into Europe improves revenue diversification and lessens reliance on crowded UK markets.</w:t>
            </w:r>
          </w:p>
          <w:p w:rsidR="004A3A75" w:rsidRPr="00FA0729" w:rsidRDefault="004A3A75" w:rsidP="00FA0729">
            <w:pPr>
              <w:spacing w:line="360" w:lineRule="auto"/>
              <w:rPr>
                <w:rFonts w:ascii="Arial" w:hAnsi="Arial" w:cs="Arial"/>
                <w:b/>
              </w:rPr>
            </w:pPr>
          </w:p>
        </w:tc>
        <w:tc>
          <w:tcPr>
            <w:tcW w:w="2672" w:type="dxa"/>
          </w:tcPr>
          <w:p w:rsidR="00FA0729" w:rsidRPr="00FA0729" w:rsidRDefault="00FA0729" w:rsidP="00FA0729">
            <w:pPr>
              <w:spacing w:line="360" w:lineRule="auto"/>
              <w:rPr>
                <w:rFonts w:ascii="Arial" w:hAnsi="Arial" w:cs="Arial"/>
              </w:rPr>
            </w:pPr>
            <w:r w:rsidRPr="00FA0729">
              <w:rPr>
                <w:rFonts w:ascii="Arial" w:hAnsi="Arial" w:cs="Arial"/>
              </w:rPr>
              <w:t xml:space="preserve">Risk of overextension in unfamiliar markets. </w:t>
            </w:r>
          </w:p>
          <w:p w:rsidR="004A3A75" w:rsidRPr="00FA0729" w:rsidRDefault="00FA0729" w:rsidP="00FA0729">
            <w:pPr>
              <w:spacing w:line="360" w:lineRule="auto"/>
              <w:rPr>
                <w:rFonts w:ascii="Arial" w:eastAsia="Times New Roman" w:hAnsi="Arial" w:cs="Arial"/>
                <w:b/>
                <w:lang w:eastAsia="en-GB"/>
              </w:rPr>
            </w:pPr>
            <w:r w:rsidRPr="00FA0729">
              <w:rPr>
                <w:rFonts w:ascii="Arial" w:hAnsi="Arial" w:cs="Arial"/>
              </w:rPr>
              <w:br/>
              <w:t>Mitigation: phased entry, pilot testing, and local partnerships.</w:t>
            </w:r>
          </w:p>
        </w:tc>
        <w:tc>
          <w:tcPr>
            <w:tcW w:w="2530" w:type="dxa"/>
          </w:tcPr>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t>Moderate–High: Achievable via capability development and focused execution.</w:t>
            </w:r>
          </w:p>
          <w:p w:rsidR="004A3A75" w:rsidRPr="00FA0729" w:rsidRDefault="004A3A75" w:rsidP="00FA0729">
            <w:pPr>
              <w:spacing w:line="360" w:lineRule="auto"/>
              <w:jc w:val="both"/>
              <w:rPr>
                <w:rFonts w:ascii="Arial" w:eastAsia="Times New Roman" w:hAnsi="Arial" w:cs="Arial"/>
                <w:b/>
                <w:lang w:eastAsia="en-GB"/>
              </w:rPr>
            </w:pPr>
          </w:p>
        </w:tc>
      </w:tr>
      <w:tr w:rsidR="00FA0729" w:rsidRPr="00FA0729" w:rsidTr="004A3A75">
        <w:trPr>
          <w:trHeight w:val="418"/>
        </w:trPr>
        <w:tc>
          <w:tcPr>
            <w:tcW w:w="1828" w:type="dxa"/>
            <w:gridSpan w:val="2"/>
          </w:tcPr>
          <w:p w:rsidR="004A3A75" w:rsidRPr="00FA0729" w:rsidRDefault="004A3A75" w:rsidP="00FA0729">
            <w:pPr>
              <w:spacing w:line="360" w:lineRule="auto"/>
              <w:rPr>
                <w:rFonts w:ascii="Arial" w:eastAsia="Times New Roman" w:hAnsi="Arial" w:cs="Arial"/>
                <w:lang w:eastAsia="en-GB"/>
              </w:rPr>
            </w:pPr>
            <w:r w:rsidRPr="00FA0729">
              <w:rPr>
                <w:rFonts w:ascii="Arial" w:eastAsia="Times New Roman" w:hAnsi="Arial" w:cs="Arial"/>
                <w:lang w:eastAsia="en-GB"/>
              </w:rPr>
              <w:t>Feasibility</w:t>
            </w:r>
          </w:p>
        </w:tc>
        <w:tc>
          <w:tcPr>
            <w:tcW w:w="1687" w:type="dxa"/>
          </w:tcPr>
          <w:p w:rsidR="004A3A75" w:rsidRPr="00FA0729" w:rsidRDefault="004A3A75" w:rsidP="00FA0729">
            <w:pPr>
              <w:spacing w:line="360" w:lineRule="auto"/>
              <w:rPr>
                <w:rFonts w:ascii="Arial" w:eastAsia="Times New Roman" w:hAnsi="Arial" w:cs="Arial"/>
                <w:lang w:eastAsia="en-GB"/>
              </w:rPr>
            </w:pPr>
            <w:r w:rsidRPr="004A3A75">
              <w:rPr>
                <w:rFonts w:ascii="Arial" w:eastAsia="Times New Roman" w:hAnsi="Arial" w:cs="Arial"/>
                <w:lang w:eastAsia="en-GB"/>
              </w:rPr>
              <w:t>• Are capabilities and resources adequate?</w:t>
            </w:r>
          </w:p>
          <w:p w:rsidR="004A3A75" w:rsidRPr="00FA0729" w:rsidRDefault="004A3A75" w:rsidP="00FA0729">
            <w:pPr>
              <w:spacing w:line="360" w:lineRule="auto"/>
              <w:rPr>
                <w:rFonts w:ascii="Arial" w:eastAsia="Times New Roman" w:hAnsi="Arial" w:cs="Arial"/>
                <w:lang w:eastAsia="en-GB"/>
              </w:rPr>
            </w:pPr>
          </w:p>
          <w:p w:rsidR="004A3A75" w:rsidRPr="004A3A75" w:rsidRDefault="004A3A75" w:rsidP="00FA0729">
            <w:pPr>
              <w:spacing w:line="360" w:lineRule="auto"/>
              <w:rPr>
                <w:rFonts w:ascii="Arial" w:eastAsia="Times New Roman" w:hAnsi="Arial" w:cs="Arial"/>
                <w:lang w:eastAsia="en-GB"/>
              </w:rPr>
            </w:pPr>
            <w:r w:rsidRPr="004A3A75">
              <w:rPr>
                <w:rFonts w:ascii="Arial" w:eastAsia="Times New Roman" w:hAnsi="Arial" w:cs="Arial"/>
                <w:lang w:eastAsia="en-GB"/>
              </w:rPr>
              <w:t>• Is it possible to manage financial investments?</w:t>
            </w:r>
          </w:p>
          <w:p w:rsidR="004A3A75" w:rsidRPr="00FA0729" w:rsidRDefault="004A3A75" w:rsidP="00FA0729">
            <w:pPr>
              <w:spacing w:line="360" w:lineRule="auto"/>
              <w:rPr>
                <w:rFonts w:ascii="Arial" w:eastAsia="Times New Roman" w:hAnsi="Arial" w:cs="Arial"/>
                <w:b/>
                <w:lang w:eastAsia="en-GB"/>
              </w:rPr>
            </w:pPr>
          </w:p>
        </w:tc>
        <w:tc>
          <w:tcPr>
            <w:tcW w:w="2812" w:type="dxa"/>
          </w:tcPr>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t xml:space="preserve">Innocent has distribution networks, a well-established infrastructure, and brand equity (Barney, 1991). </w:t>
            </w:r>
          </w:p>
          <w:p w:rsidR="00FA0729" w:rsidRPr="00FA0729" w:rsidRDefault="00FA0729" w:rsidP="00FA0729">
            <w:pPr>
              <w:spacing w:line="360" w:lineRule="auto"/>
              <w:rPr>
                <w:rFonts w:ascii="Arial" w:eastAsia="Times New Roman" w:hAnsi="Arial" w:cs="Arial"/>
                <w:lang w:eastAsia="en-GB"/>
              </w:rPr>
            </w:pPr>
          </w:p>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t xml:space="preserve">Functional beverage segments support ROI with strong growth potential (Nielsen, 2022). </w:t>
            </w:r>
          </w:p>
          <w:p w:rsidR="00FA0729" w:rsidRPr="00FA0729" w:rsidRDefault="00FA0729" w:rsidP="00FA0729">
            <w:pPr>
              <w:spacing w:line="360" w:lineRule="auto"/>
              <w:rPr>
                <w:rFonts w:ascii="Arial" w:eastAsia="Times New Roman" w:hAnsi="Arial" w:cs="Arial"/>
                <w:lang w:eastAsia="en-GB"/>
              </w:rPr>
            </w:pPr>
          </w:p>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t xml:space="preserve">However, funding and cross-functional </w:t>
            </w:r>
            <w:r w:rsidRPr="00FA0729">
              <w:rPr>
                <w:rFonts w:ascii="Arial" w:eastAsia="Times New Roman" w:hAnsi="Arial" w:cs="Arial"/>
                <w:lang w:eastAsia="en-GB"/>
              </w:rPr>
              <w:lastRenderedPageBreak/>
              <w:t>coordination are needed for R&amp;D, regulatory validation, and supply chain adaptation.</w:t>
            </w:r>
          </w:p>
          <w:p w:rsidR="004A3A75" w:rsidRPr="00FA0729" w:rsidRDefault="004A3A75" w:rsidP="00FA0729">
            <w:pPr>
              <w:spacing w:line="360" w:lineRule="auto"/>
              <w:rPr>
                <w:rFonts w:ascii="Arial" w:eastAsia="Times New Roman" w:hAnsi="Arial" w:cs="Arial"/>
                <w:b/>
                <w:lang w:eastAsia="en-GB"/>
              </w:rPr>
            </w:pPr>
          </w:p>
        </w:tc>
        <w:tc>
          <w:tcPr>
            <w:tcW w:w="2672" w:type="dxa"/>
          </w:tcPr>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lastRenderedPageBreak/>
              <w:t>Operational misalignment and cost overruns are risks.</w:t>
            </w:r>
          </w:p>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br/>
              <w:t>Cross-functional teams, milestone reviews, and structured project management are examples of mitigation.</w:t>
            </w:r>
          </w:p>
          <w:p w:rsidR="004A3A75" w:rsidRPr="00FA0729" w:rsidRDefault="004A3A75" w:rsidP="00FA0729">
            <w:pPr>
              <w:spacing w:line="360" w:lineRule="auto"/>
              <w:rPr>
                <w:rFonts w:ascii="Arial" w:eastAsia="Times New Roman" w:hAnsi="Arial" w:cs="Arial"/>
                <w:b/>
                <w:lang w:eastAsia="en-GB"/>
              </w:rPr>
            </w:pPr>
          </w:p>
        </w:tc>
        <w:tc>
          <w:tcPr>
            <w:tcW w:w="2530" w:type="dxa"/>
          </w:tcPr>
          <w:p w:rsidR="004A3A75" w:rsidRPr="00FA0729" w:rsidRDefault="00FA0729" w:rsidP="00FA0729">
            <w:pPr>
              <w:spacing w:line="360" w:lineRule="auto"/>
              <w:rPr>
                <w:rFonts w:ascii="Arial" w:eastAsia="Times New Roman" w:hAnsi="Arial" w:cs="Arial"/>
                <w:b/>
                <w:lang w:eastAsia="en-GB"/>
              </w:rPr>
            </w:pPr>
            <w:r w:rsidRPr="00FA0729">
              <w:rPr>
                <w:rStyle w:val="Strong"/>
                <w:rFonts w:ascii="Arial" w:hAnsi="Arial" w:cs="Arial"/>
              </w:rPr>
              <w:t>Moderate–High</w:t>
            </w:r>
            <w:r w:rsidRPr="00FA0729">
              <w:rPr>
                <w:rFonts w:ascii="Arial" w:hAnsi="Arial" w:cs="Arial"/>
              </w:rPr>
              <w:t xml:space="preserve"> – Achievable with disciplined execution and capability development.</w:t>
            </w:r>
          </w:p>
        </w:tc>
      </w:tr>
      <w:tr w:rsidR="00FA0729" w:rsidRPr="00FA0729" w:rsidTr="004A3A75">
        <w:trPr>
          <w:trHeight w:val="565"/>
        </w:trPr>
        <w:tc>
          <w:tcPr>
            <w:tcW w:w="1828" w:type="dxa"/>
            <w:gridSpan w:val="2"/>
          </w:tcPr>
          <w:p w:rsidR="004A3A75" w:rsidRPr="00FA0729" w:rsidRDefault="004A3A75" w:rsidP="00FA0729">
            <w:pPr>
              <w:spacing w:line="360" w:lineRule="auto"/>
              <w:rPr>
                <w:rFonts w:ascii="Arial" w:eastAsia="Times New Roman" w:hAnsi="Arial" w:cs="Arial"/>
                <w:lang w:eastAsia="en-GB"/>
              </w:rPr>
            </w:pPr>
            <w:r w:rsidRPr="00FA0729">
              <w:rPr>
                <w:rFonts w:ascii="Arial" w:eastAsia="Times New Roman" w:hAnsi="Arial" w:cs="Arial"/>
                <w:lang w:eastAsia="en-GB"/>
              </w:rPr>
              <w:lastRenderedPageBreak/>
              <w:t>Acceptability</w:t>
            </w:r>
          </w:p>
        </w:tc>
        <w:tc>
          <w:tcPr>
            <w:tcW w:w="1687" w:type="dxa"/>
          </w:tcPr>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t>• Will the strategy be supported by stakeholders?</w:t>
            </w:r>
            <w:r w:rsidRPr="00FA0729">
              <w:rPr>
                <w:rFonts w:ascii="Arial" w:eastAsia="Times New Roman" w:hAnsi="Arial" w:cs="Arial"/>
                <w:lang w:eastAsia="en-GB"/>
              </w:rPr>
              <w:br/>
              <w:t>• Do anticipated returns match risks?</w:t>
            </w:r>
          </w:p>
          <w:p w:rsidR="004A3A75" w:rsidRPr="00FA0729" w:rsidRDefault="004A3A75" w:rsidP="00FA0729">
            <w:pPr>
              <w:spacing w:line="360" w:lineRule="auto"/>
              <w:rPr>
                <w:rFonts w:ascii="Arial" w:eastAsia="Times New Roman" w:hAnsi="Arial" w:cs="Arial"/>
                <w:b/>
                <w:lang w:eastAsia="en-GB"/>
              </w:rPr>
            </w:pPr>
          </w:p>
        </w:tc>
        <w:tc>
          <w:tcPr>
            <w:tcW w:w="2812" w:type="dxa"/>
          </w:tcPr>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t>Consumers gain from sustainable, health-focused products. Workers have access to innovative opportunities. Growth in line with brand equity is provided to investors (Freeman, 1984; Harrison and Wicks, 2013). The tactic enhances the credibility of B Corp.</w:t>
            </w:r>
          </w:p>
          <w:p w:rsidR="004A3A75" w:rsidRPr="00FA0729" w:rsidRDefault="004A3A75" w:rsidP="00FA0729">
            <w:pPr>
              <w:spacing w:line="360" w:lineRule="auto"/>
              <w:rPr>
                <w:rFonts w:ascii="Arial" w:eastAsia="Times New Roman" w:hAnsi="Arial" w:cs="Arial"/>
                <w:b/>
                <w:lang w:eastAsia="en-GB"/>
              </w:rPr>
            </w:pPr>
          </w:p>
        </w:tc>
        <w:tc>
          <w:tcPr>
            <w:tcW w:w="2672" w:type="dxa"/>
          </w:tcPr>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t>Risk of brand dilution and consumer scepticism regarding functional claims (Delmas and Burbano, 2011).</w:t>
            </w:r>
          </w:p>
          <w:p w:rsidR="00FA0729" w:rsidRPr="00FA0729" w:rsidRDefault="00FA0729" w:rsidP="00FA0729">
            <w:pPr>
              <w:spacing w:line="360" w:lineRule="auto"/>
              <w:rPr>
                <w:rFonts w:ascii="Arial" w:eastAsia="Times New Roman" w:hAnsi="Arial" w:cs="Arial"/>
                <w:lang w:eastAsia="en-GB"/>
              </w:rPr>
            </w:pPr>
            <w:r w:rsidRPr="00FA0729">
              <w:rPr>
                <w:rFonts w:ascii="Arial" w:eastAsia="Times New Roman" w:hAnsi="Arial" w:cs="Arial"/>
                <w:lang w:eastAsia="en-GB"/>
              </w:rPr>
              <w:br/>
              <w:t>Mitigation strategies include open communication, quality control, and evidence-based health claims.</w:t>
            </w:r>
          </w:p>
          <w:p w:rsidR="004A3A75" w:rsidRPr="00FA0729" w:rsidRDefault="004A3A75" w:rsidP="00FA0729">
            <w:pPr>
              <w:spacing w:line="360" w:lineRule="auto"/>
              <w:jc w:val="center"/>
              <w:rPr>
                <w:rFonts w:ascii="Arial" w:eastAsia="Times New Roman" w:hAnsi="Arial" w:cs="Arial"/>
                <w:b/>
                <w:lang w:eastAsia="en-GB"/>
              </w:rPr>
            </w:pPr>
          </w:p>
        </w:tc>
        <w:tc>
          <w:tcPr>
            <w:tcW w:w="2530" w:type="dxa"/>
          </w:tcPr>
          <w:p w:rsidR="004A3A75" w:rsidRDefault="00FA0729" w:rsidP="007F5BB8">
            <w:pPr>
              <w:spacing w:line="360" w:lineRule="auto"/>
              <w:rPr>
                <w:rFonts w:ascii="Arial" w:hAnsi="Arial" w:cs="Arial"/>
              </w:rPr>
            </w:pPr>
            <w:r w:rsidRPr="00FA0729">
              <w:rPr>
                <w:rStyle w:val="Strong"/>
                <w:rFonts w:ascii="Arial" w:hAnsi="Arial" w:cs="Arial"/>
              </w:rPr>
              <w:t>High</w:t>
            </w:r>
            <w:r w:rsidRPr="00FA0729">
              <w:rPr>
                <w:rFonts w:ascii="Arial" w:hAnsi="Arial" w:cs="Arial"/>
              </w:rPr>
              <w:t xml:space="preserve"> – Strong </w:t>
            </w:r>
          </w:p>
          <w:p w:rsidR="007F5BB8" w:rsidRPr="00FA0729" w:rsidRDefault="007F5BB8" w:rsidP="007F5BB8">
            <w:pPr>
              <w:spacing w:line="360" w:lineRule="auto"/>
              <w:rPr>
                <w:rFonts w:ascii="Arial" w:eastAsia="Times New Roman" w:hAnsi="Arial" w:cs="Arial"/>
                <w:b/>
                <w:lang w:eastAsia="en-GB"/>
              </w:rPr>
            </w:pPr>
            <w:r>
              <w:rPr>
                <w:rFonts w:ascii="Arial" w:hAnsi="Arial" w:cs="Arial"/>
              </w:rPr>
              <w:t>Aligns with stakeholder expectation</w:t>
            </w:r>
          </w:p>
        </w:tc>
      </w:tr>
      <w:tr w:rsidR="004A3A75" w:rsidRPr="00FA0729" w:rsidTr="004A3A7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5"/>
          <w:wAfter w:w="10501" w:type="dxa"/>
          <w:trHeight w:val="108"/>
        </w:trPr>
        <w:tc>
          <w:tcPr>
            <w:tcW w:w="1028" w:type="dxa"/>
          </w:tcPr>
          <w:p w:rsidR="004A3A75" w:rsidRPr="00FA0729" w:rsidRDefault="004A3A75" w:rsidP="00FA0729">
            <w:pPr>
              <w:spacing w:line="360" w:lineRule="auto"/>
              <w:jc w:val="center"/>
              <w:rPr>
                <w:rFonts w:ascii="Arial" w:eastAsia="Times New Roman" w:hAnsi="Arial" w:cs="Arial"/>
                <w:b/>
                <w:lang w:eastAsia="en-GB"/>
              </w:rPr>
            </w:pPr>
          </w:p>
        </w:tc>
      </w:tr>
      <w:tr w:rsidR="00FA0729" w:rsidRPr="00FA0729" w:rsidTr="004A3A7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5"/>
          <w:wAfter w:w="10501" w:type="dxa"/>
          <w:trHeight w:val="108"/>
        </w:trPr>
        <w:tc>
          <w:tcPr>
            <w:tcW w:w="1028" w:type="dxa"/>
          </w:tcPr>
          <w:p w:rsidR="00FA0729" w:rsidRPr="00FA0729" w:rsidRDefault="00FA0729" w:rsidP="00FA0729">
            <w:pPr>
              <w:spacing w:line="360" w:lineRule="auto"/>
              <w:jc w:val="center"/>
              <w:rPr>
                <w:rFonts w:ascii="Arial" w:eastAsia="Times New Roman" w:hAnsi="Arial" w:cs="Arial"/>
                <w:b/>
                <w:lang w:eastAsia="en-GB"/>
              </w:rPr>
            </w:pPr>
          </w:p>
        </w:tc>
      </w:tr>
    </w:tbl>
    <w:p w:rsidR="004A3A75" w:rsidRPr="00FA0729" w:rsidRDefault="004A3A75" w:rsidP="00FA0729">
      <w:pPr>
        <w:spacing w:after="0" w:line="360" w:lineRule="auto"/>
        <w:jc w:val="center"/>
        <w:rPr>
          <w:rFonts w:ascii="Arial" w:eastAsia="Times New Roman" w:hAnsi="Arial" w:cs="Arial"/>
          <w:b/>
          <w:lang w:eastAsia="en-GB"/>
        </w:rPr>
      </w:pPr>
    </w:p>
    <w:p w:rsidR="00FA0729" w:rsidRPr="00FA0729" w:rsidRDefault="00FA0729" w:rsidP="00FA0729">
      <w:pPr>
        <w:spacing w:after="0" w:line="360" w:lineRule="auto"/>
        <w:rPr>
          <w:rFonts w:ascii="Arial" w:eastAsia="Times New Roman" w:hAnsi="Arial" w:cs="Arial"/>
          <w:lang w:eastAsia="en-GB"/>
        </w:rPr>
      </w:pPr>
      <w:r w:rsidRPr="00FA0729">
        <w:rPr>
          <w:rFonts w:ascii="Arial" w:eastAsia="Times New Roman" w:hAnsi="Arial" w:cs="Arial"/>
          <w:lang w:eastAsia="en-GB"/>
        </w:rPr>
        <w:t>Critical Analysis</w:t>
      </w:r>
      <w:r w:rsidRPr="00FA0729">
        <w:rPr>
          <w:rFonts w:ascii="Arial" w:eastAsia="Times New Roman" w:hAnsi="Arial" w:cs="Arial"/>
          <w:lang w:eastAsia="en-GB"/>
        </w:rPr>
        <w:br/>
      </w:r>
    </w:p>
    <w:p w:rsidR="00FA0729" w:rsidRPr="00FA0729" w:rsidRDefault="00FA0729" w:rsidP="00FA0729">
      <w:pPr>
        <w:spacing w:after="0" w:line="360" w:lineRule="auto"/>
        <w:rPr>
          <w:rFonts w:ascii="Arial" w:eastAsia="Times New Roman" w:hAnsi="Arial" w:cs="Arial"/>
          <w:lang w:eastAsia="en-GB"/>
        </w:rPr>
      </w:pPr>
      <w:r w:rsidRPr="00FA0729">
        <w:rPr>
          <w:rFonts w:ascii="Arial" w:eastAsia="Times New Roman" w:hAnsi="Arial" w:cs="Arial"/>
          <w:lang w:eastAsia="en-GB"/>
        </w:rPr>
        <w:t>The hybrid approach is strategically sound, according to the SFA analysis. Since it draws on internal skills and reacts directly to macro trends, its main strength is suitability. Feasibility is dependent on operational coordination, R&amp;D investment, and structured governance; it is not a given. Strong acceptability results from alignment with stakeholder expectations and Innocent's ethical identity. Crucially, the approach also shows that execution, not strategic direction, is where risk is concentrated. Success will therefore be determined by managerial discipline, open communication, and progressive execution.</w:t>
      </w:r>
    </w:p>
    <w:p w:rsidR="00B563BE" w:rsidRDefault="00B563BE" w:rsidP="00FA0729">
      <w:pPr>
        <w:rPr>
          <w:rFonts w:ascii="Arial" w:hAnsi="Arial" w:cs="Arial"/>
          <w:b/>
          <w:sz w:val="24"/>
          <w:szCs w:val="24"/>
        </w:rPr>
      </w:pPr>
    </w:p>
    <w:p w:rsidR="00B563BE" w:rsidRDefault="00B563BE" w:rsidP="00B563BE">
      <w:pPr>
        <w:jc w:val="center"/>
        <w:rPr>
          <w:rFonts w:ascii="Arial" w:hAnsi="Arial" w:cs="Arial"/>
          <w:b/>
          <w:sz w:val="24"/>
          <w:szCs w:val="24"/>
        </w:rPr>
      </w:pPr>
    </w:p>
    <w:p w:rsidR="00B563BE" w:rsidRDefault="00B563BE" w:rsidP="00B563BE">
      <w:pPr>
        <w:jc w:val="center"/>
        <w:rPr>
          <w:rFonts w:ascii="Arial" w:hAnsi="Arial" w:cs="Arial"/>
          <w:b/>
          <w:sz w:val="24"/>
          <w:szCs w:val="24"/>
        </w:rPr>
      </w:pPr>
    </w:p>
    <w:p w:rsidR="00B93E6A" w:rsidRDefault="00B93E6A" w:rsidP="00B217DB">
      <w:pPr>
        <w:rPr>
          <w:rFonts w:ascii="Arial" w:hAnsi="Arial" w:cs="Arial"/>
          <w:b/>
          <w:sz w:val="24"/>
          <w:szCs w:val="24"/>
        </w:rPr>
      </w:pPr>
    </w:p>
    <w:p w:rsidR="00B217DB" w:rsidRDefault="00B217DB" w:rsidP="00B217DB">
      <w:pPr>
        <w:rPr>
          <w:rFonts w:ascii="Arial" w:hAnsi="Arial" w:cs="Arial"/>
          <w:b/>
          <w:sz w:val="24"/>
          <w:szCs w:val="24"/>
        </w:rPr>
      </w:pPr>
    </w:p>
    <w:p w:rsidR="00201C45" w:rsidRDefault="00201C45" w:rsidP="00B217DB">
      <w:pPr>
        <w:rPr>
          <w:rFonts w:ascii="Arial" w:hAnsi="Arial" w:cs="Arial"/>
          <w:b/>
          <w:sz w:val="24"/>
          <w:szCs w:val="24"/>
        </w:rPr>
      </w:pPr>
    </w:p>
    <w:p w:rsidR="00F063DA" w:rsidRDefault="00F063DA" w:rsidP="00B563BE">
      <w:pPr>
        <w:jc w:val="center"/>
        <w:rPr>
          <w:rFonts w:ascii="Arial" w:hAnsi="Arial" w:cs="Arial"/>
          <w:b/>
        </w:rPr>
      </w:pPr>
      <w:r w:rsidRPr="00F063DA">
        <w:rPr>
          <w:rFonts w:ascii="Arial" w:hAnsi="Arial" w:cs="Arial"/>
          <w:b/>
        </w:rPr>
        <w:t>Stakeholder Analysis</w:t>
      </w:r>
    </w:p>
    <w:p w:rsidR="00C14837" w:rsidRDefault="00C14837" w:rsidP="00F063DA">
      <w:pPr>
        <w:rPr>
          <w:rFonts w:ascii="Arial" w:hAnsi="Arial" w:cs="Arial"/>
          <w:b/>
        </w:rPr>
      </w:pPr>
    </w:p>
    <w:p w:rsidR="00B563BE" w:rsidRDefault="00F063DA" w:rsidP="00F063DA">
      <w:pPr>
        <w:rPr>
          <w:rFonts w:ascii="Arial" w:hAnsi="Arial" w:cs="Arial"/>
          <w:b/>
        </w:rPr>
      </w:pPr>
      <w:r w:rsidRPr="00F063DA">
        <w:rPr>
          <w:rFonts w:ascii="Arial" w:hAnsi="Arial" w:cs="Arial"/>
          <w:b/>
        </w:rPr>
        <w:t>Mendelow’s Power–Interest Matrix</w:t>
      </w:r>
      <w:r w:rsidR="007F5BB8">
        <w:rPr>
          <w:rFonts w:ascii="Arial" w:hAnsi="Arial" w:cs="Arial"/>
          <w:b/>
        </w:rPr>
        <w:t xml:space="preserve"> </w:t>
      </w:r>
      <w:r w:rsidR="007F5BB8" w:rsidRPr="00774CFF">
        <w:rPr>
          <w:rFonts w:ascii="Arial" w:hAnsi="Arial" w:cs="Arial"/>
          <w:b/>
        </w:rPr>
        <w:t>(</w:t>
      </w:r>
      <w:r w:rsidR="007F5BB8" w:rsidRPr="00774CFF">
        <w:rPr>
          <w:rFonts w:ascii="Arial" w:hAnsi="Arial" w:cs="Arial"/>
          <w:color w:val="222222"/>
          <w:shd w:val="clear" w:color="auto" w:fill="FFFFFF"/>
        </w:rPr>
        <w:t>Yildirim, and Yildirim, 2023).</w:t>
      </w:r>
      <w:r w:rsidR="007F5BB8">
        <w:rPr>
          <w:rFonts w:ascii="Arial" w:hAnsi="Arial" w:cs="Arial"/>
          <w:color w:val="222222"/>
          <w:sz w:val="20"/>
          <w:szCs w:val="20"/>
          <w:shd w:val="clear" w:color="auto" w:fill="FFFFFF"/>
        </w:rPr>
        <w:t xml:space="preserve"> </w:t>
      </w:r>
    </w:p>
    <w:p w:rsidR="00C14837" w:rsidRPr="00C14837" w:rsidRDefault="00C14837" w:rsidP="00C14837">
      <w:pPr>
        <w:pStyle w:val="Heading3"/>
        <w:spacing w:line="360" w:lineRule="auto"/>
        <w:rPr>
          <w:rFonts w:ascii="Arial" w:hAnsi="Arial" w:cs="Arial"/>
          <w:sz w:val="22"/>
          <w:szCs w:val="22"/>
        </w:rPr>
      </w:pPr>
      <w:r w:rsidRPr="00C14837">
        <w:rPr>
          <w:rFonts w:ascii="Arial" w:hAnsi="Arial" w:cs="Arial"/>
          <w:sz w:val="22"/>
          <w:szCs w:val="22"/>
        </w:rPr>
        <w:t>Manage Closely (High Power–High Interest)</w:t>
      </w:r>
    </w:p>
    <w:p w:rsidR="00C14837" w:rsidRPr="00C14837" w:rsidRDefault="00C14837" w:rsidP="00C14837">
      <w:pPr>
        <w:pStyle w:val="NormalWeb"/>
        <w:spacing w:line="360" w:lineRule="auto"/>
        <w:rPr>
          <w:rFonts w:ascii="Arial" w:hAnsi="Arial" w:cs="Arial"/>
          <w:sz w:val="22"/>
          <w:szCs w:val="22"/>
        </w:rPr>
      </w:pPr>
      <w:r w:rsidRPr="00C14837">
        <w:rPr>
          <w:rFonts w:ascii="Arial" w:hAnsi="Arial" w:cs="Arial"/>
          <w:sz w:val="22"/>
          <w:szCs w:val="22"/>
        </w:rPr>
        <w:t>Retailers and investors require:</w:t>
      </w:r>
    </w:p>
    <w:p w:rsidR="00C14837" w:rsidRPr="00C14837" w:rsidRDefault="00C14837" w:rsidP="00C14837">
      <w:pPr>
        <w:pStyle w:val="NormalWeb"/>
        <w:numPr>
          <w:ilvl w:val="0"/>
          <w:numId w:val="4"/>
        </w:numPr>
        <w:spacing w:line="360" w:lineRule="auto"/>
        <w:rPr>
          <w:rFonts w:ascii="Arial" w:hAnsi="Arial" w:cs="Arial"/>
          <w:sz w:val="22"/>
          <w:szCs w:val="22"/>
        </w:rPr>
      </w:pPr>
      <w:r w:rsidRPr="00C14837">
        <w:rPr>
          <w:rFonts w:ascii="Arial" w:hAnsi="Arial" w:cs="Arial"/>
          <w:sz w:val="22"/>
          <w:szCs w:val="22"/>
        </w:rPr>
        <w:t>Regular strategic briefings</w:t>
      </w:r>
    </w:p>
    <w:p w:rsidR="00C14837" w:rsidRPr="00C14837" w:rsidRDefault="009207B9" w:rsidP="00C14837">
      <w:pPr>
        <w:pStyle w:val="NormalWeb"/>
        <w:numPr>
          <w:ilvl w:val="0"/>
          <w:numId w:val="4"/>
        </w:numPr>
        <w:spacing w:line="360" w:lineRule="auto"/>
        <w:rPr>
          <w:rFonts w:ascii="Arial" w:hAnsi="Arial" w:cs="Arial"/>
          <w:sz w:val="22"/>
          <w:szCs w:val="22"/>
        </w:rPr>
      </w:pPr>
      <w:r>
        <w:rPr>
          <w:rFonts w:ascii="Arial" w:hAnsi="Arial" w:cs="Arial"/>
          <w:sz w:val="22"/>
          <w:szCs w:val="22"/>
        </w:rPr>
        <w:t>Provide f</w:t>
      </w:r>
      <w:r w:rsidR="00C14837" w:rsidRPr="00C14837">
        <w:rPr>
          <w:rFonts w:ascii="Arial" w:hAnsi="Arial" w:cs="Arial"/>
          <w:sz w:val="22"/>
          <w:szCs w:val="22"/>
        </w:rPr>
        <w:t>inancial transparency</w:t>
      </w:r>
    </w:p>
    <w:p w:rsidR="00C14837" w:rsidRPr="00C14837" w:rsidRDefault="00C14837" w:rsidP="00C14837">
      <w:pPr>
        <w:pStyle w:val="NormalWeb"/>
        <w:numPr>
          <w:ilvl w:val="0"/>
          <w:numId w:val="4"/>
        </w:numPr>
        <w:spacing w:line="360" w:lineRule="auto"/>
        <w:rPr>
          <w:rFonts w:ascii="Arial" w:hAnsi="Arial" w:cs="Arial"/>
          <w:sz w:val="22"/>
          <w:szCs w:val="22"/>
        </w:rPr>
      </w:pPr>
      <w:r w:rsidRPr="00C14837">
        <w:rPr>
          <w:rFonts w:ascii="Arial" w:hAnsi="Arial" w:cs="Arial"/>
          <w:sz w:val="22"/>
          <w:szCs w:val="22"/>
        </w:rPr>
        <w:t>Sustainability performance reporting</w:t>
      </w:r>
    </w:p>
    <w:p w:rsidR="00C14837" w:rsidRPr="00C14837" w:rsidRDefault="00C14837" w:rsidP="00C14837">
      <w:pPr>
        <w:pStyle w:val="NormalWeb"/>
        <w:numPr>
          <w:ilvl w:val="0"/>
          <w:numId w:val="4"/>
        </w:numPr>
        <w:spacing w:line="360" w:lineRule="auto"/>
        <w:rPr>
          <w:rFonts w:ascii="Arial" w:hAnsi="Arial" w:cs="Arial"/>
          <w:sz w:val="22"/>
          <w:szCs w:val="22"/>
        </w:rPr>
      </w:pPr>
      <w:r w:rsidRPr="00C14837">
        <w:rPr>
          <w:rFonts w:ascii="Arial" w:hAnsi="Arial" w:cs="Arial"/>
          <w:sz w:val="22"/>
          <w:szCs w:val="22"/>
        </w:rPr>
        <w:t>Partnership alignment</w:t>
      </w:r>
    </w:p>
    <w:p w:rsidR="00C14837" w:rsidRPr="00C14837" w:rsidRDefault="00C14837" w:rsidP="00C14837">
      <w:pPr>
        <w:pStyle w:val="Heading3"/>
        <w:spacing w:line="360" w:lineRule="auto"/>
        <w:rPr>
          <w:rFonts w:ascii="Arial" w:hAnsi="Arial" w:cs="Arial"/>
          <w:sz w:val="22"/>
          <w:szCs w:val="22"/>
        </w:rPr>
      </w:pPr>
      <w:r w:rsidRPr="00C14837">
        <w:rPr>
          <w:rFonts w:ascii="Arial" w:hAnsi="Arial" w:cs="Arial"/>
          <w:sz w:val="22"/>
          <w:szCs w:val="22"/>
        </w:rPr>
        <w:t>Keep Informed (High Interest–Lower Power)</w:t>
      </w:r>
    </w:p>
    <w:p w:rsidR="00C14837" w:rsidRPr="00C14837" w:rsidRDefault="00C14837" w:rsidP="00C14837">
      <w:pPr>
        <w:pStyle w:val="NormalWeb"/>
        <w:spacing w:line="360" w:lineRule="auto"/>
        <w:rPr>
          <w:rFonts w:ascii="Arial" w:hAnsi="Arial" w:cs="Arial"/>
          <w:sz w:val="22"/>
          <w:szCs w:val="22"/>
        </w:rPr>
      </w:pPr>
      <w:r w:rsidRPr="00C14837">
        <w:rPr>
          <w:rFonts w:ascii="Arial" w:hAnsi="Arial" w:cs="Arial"/>
          <w:sz w:val="22"/>
          <w:szCs w:val="22"/>
        </w:rPr>
        <w:t>Customers and employees require:</w:t>
      </w:r>
    </w:p>
    <w:p w:rsidR="00C14837" w:rsidRPr="00C14837" w:rsidRDefault="009207B9" w:rsidP="00C14837">
      <w:pPr>
        <w:pStyle w:val="NormalWeb"/>
        <w:numPr>
          <w:ilvl w:val="0"/>
          <w:numId w:val="5"/>
        </w:numPr>
        <w:spacing w:line="360" w:lineRule="auto"/>
        <w:rPr>
          <w:rFonts w:ascii="Arial" w:hAnsi="Arial" w:cs="Arial"/>
          <w:sz w:val="22"/>
          <w:szCs w:val="22"/>
        </w:rPr>
      </w:pPr>
      <w:r>
        <w:rPr>
          <w:rFonts w:ascii="Arial" w:hAnsi="Arial" w:cs="Arial"/>
          <w:sz w:val="22"/>
          <w:szCs w:val="22"/>
        </w:rPr>
        <w:t>Regular</w:t>
      </w:r>
      <w:r w:rsidR="00C14837" w:rsidRPr="00C14837">
        <w:rPr>
          <w:rFonts w:ascii="Arial" w:hAnsi="Arial" w:cs="Arial"/>
          <w:sz w:val="22"/>
          <w:szCs w:val="22"/>
        </w:rPr>
        <w:t xml:space="preserve"> communication</w:t>
      </w:r>
    </w:p>
    <w:p w:rsidR="00C14837" w:rsidRPr="00C14837" w:rsidRDefault="00C14837" w:rsidP="00C14837">
      <w:pPr>
        <w:pStyle w:val="NormalWeb"/>
        <w:numPr>
          <w:ilvl w:val="0"/>
          <w:numId w:val="5"/>
        </w:numPr>
        <w:spacing w:line="360" w:lineRule="auto"/>
        <w:rPr>
          <w:rFonts w:ascii="Arial" w:hAnsi="Arial" w:cs="Arial"/>
          <w:sz w:val="22"/>
          <w:szCs w:val="22"/>
        </w:rPr>
      </w:pPr>
      <w:r w:rsidRPr="00C14837">
        <w:rPr>
          <w:rFonts w:ascii="Arial" w:hAnsi="Arial" w:cs="Arial"/>
          <w:sz w:val="22"/>
          <w:szCs w:val="22"/>
        </w:rPr>
        <w:t>Training and participation</w:t>
      </w:r>
    </w:p>
    <w:p w:rsidR="00C14837" w:rsidRPr="00C14837" w:rsidRDefault="00C14837" w:rsidP="00C14837">
      <w:pPr>
        <w:pStyle w:val="NormalWeb"/>
        <w:numPr>
          <w:ilvl w:val="0"/>
          <w:numId w:val="5"/>
        </w:numPr>
        <w:spacing w:line="360" w:lineRule="auto"/>
        <w:rPr>
          <w:rFonts w:ascii="Arial" w:hAnsi="Arial" w:cs="Arial"/>
          <w:sz w:val="22"/>
          <w:szCs w:val="22"/>
        </w:rPr>
      </w:pPr>
      <w:r w:rsidRPr="00C14837">
        <w:rPr>
          <w:rFonts w:ascii="Arial" w:hAnsi="Arial" w:cs="Arial"/>
          <w:sz w:val="22"/>
          <w:szCs w:val="22"/>
        </w:rPr>
        <w:t>Clear sustainability messaging</w:t>
      </w:r>
    </w:p>
    <w:p w:rsidR="00C14837" w:rsidRPr="00C14837" w:rsidRDefault="00C14837" w:rsidP="00C14837">
      <w:pPr>
        <w:pStyle w:val="Heading3"/>
        <w:spacing w:line="360" w:lineRule="auto"/>
        <w:rPr>
          <w:rFonts w:ascii="Arial" w:hAnsi="Arial" w:cs="Arial"/>
          <w:sz w:val="22"/>
          <w:szCs w:val="22"/>
        </w:rPr>
      </w:pPr>
      <w:r w:rsidRPr="00C14837">
        <w:rPr>
          <w:rFonts w:ascii="Arial" w:hAnsi="Arial" w:cs="Arial"/>
          <w:sz w:val="22"/>
          <w:szCs w:val="22"/>
        </w:rPr>
        <w:t>Keep Satisfied (High Power–Lower Interest)</w:t>
      </w:r>
    </w:p>
    <w:p w:rsidR="00C14837" w:rsidRPr="00C14837" w:rsidRDefault="00C14837" w:rsidP="00C14837">
      <w:pPr>
        <w:pStyle w:val="NormalWeb"/>
        <w:spacing w:line="360" w:lineRule="auto"/>
        <w:rPr>
          <w:rFonts w:ascii="Arial" w:hAnsi="Arial" w:cs="Arial"/>
          <w:sz w:val="22"/>
          <w:szCs w:val="22"/>
        </w:rPr>
      </w:pPr>
      <w:r w:rsidRPr="00C14837">
        <w:rPr>
          <w:rFonts w:ascii="Arial" w:hAnsi="Arial" w:cs="Arial"/>
          <w:sz w:val="22"/>
          <w:szCs w:val="22"/>
        </w:rPr>
        <w:t>Suppliers and NGOs require:</w:t>
      </w:r>
    </w:p>
    <w:p w:rsidR="00C14837" w:rsidRPr="00C14837" w:rsidRDefault="00C14837" w:rsidP="00C14837">
      <w:pPr>
        <w:pStyle w:val="NormalWeb"/>
        <w:numPr>
          <w:ilvl w:val="0"/>
          <w:numId w:val="6"/>
        </w:numPr>
        <w:spacing w:line="360" w:lineRule="auto"/>
        <w:rPr>
          <w:rFonts w:ascii="Arial" w:hAnsi="Arial" w:cs="Arial"/>
          <w:sz w:val="22"/>
          <w:szCs w:val="22"/>
        </w:rPr>
      </w:pPr>
      <w:r w:rsidRPr="00C14837">
        <w:rPr>
          <w:rFonts w:ascii="Arial" w:hAnsi="Arial" w:cs="Arial"/>
          <w:sz w:val="22"/>
          <w:szCs w:val="22"/>
        </w:rPr>
        <w:t>Collaboration on ethical sourcing</w:t>
      </w:r>
    </w:p>
    <w:p w:rsidR="00C14837" w:rsidRPr="00C14837" w:rsidRDefault="00C14837" w:rsidP="00C14837">
      <w:pPr>
        <w:pStyle w:val="NormalWeb"/>
        <w:numPr>
          <w:ilvl w:val="0"/>
          <w:numId w:val="6"/>
        </w:numPr>
        <w:spacing w:line="360" w:lineRule="auto"/>
        <w:rPr>
          <w:rFonts w:ascii="Arial" w:hAnsi="Arial" w:cs="Arial"/>
          <w:sz w:val="22"/>
          <w:szCs w:val="22"/>
        </w:rPr>
      </w:pPr>
      <w:r w:rsidRPr="00C14837">
        <w:rPr>
          <w:rFonts w:ascii="Arial" w:hAnsi="Arial" w:cs="Arial"/>
          <w:sz w:val="22"/>
          <w:szCs w:val="22"/>
        </w:rPr>
        <w:t>Compliance monitoring</w:t>
      </w:r>
    </w:p>
    <w:p w:rsidR="00C14837" w:rsidRPr="00C14837" w:rsidRDefault="00C14837" w:rsidP="00C14837">
      <w:pPr>
        <w:pStyle w:val="NormalWeb"/>
        <w:numPr>
          <w:ilvl w:val="0"/>
          <w:numId w:val="6"/>
        </w:numPr>
        <w:spacing w:line="360" w:lineRule="auto"/>
        <w:rPr>
          <w:rFonts w:ascii="Arial" w:hAnsi="Arial" w:cs="Arial"/>
          <w:sz w:val="22"/>
          <w:szCs w:val="22"/>
        </w:rPr>
      </w:pPr>
      <w:r w:rsidRPr="00C14837">
        <w:rPr>
          <w:rFonts w:ascii="Arial" w:hAnsi="Arial" w:cs="Arial"/>
          <w:sz w:val="22"/>
          <w:szCs w:val="22"/>
        </w:rPr>
        <w:t>Strategic sustainability partnerships</w:t>
      </w:r>
    </w:p>
    <w:p w:rsidR="00C14837" w:rsidRPr="00C14837" w:rsidRDefault="00C14837" w:rsidP="00C14837">
      <w:pPr>
        <w:pStyle w:val="Heading3"/>
        <w:spacing w:line="360" w:lineRule="auto"/>
        <w:rPr>
          <w:rFonts w:ascii="Arial" w:hAnsi="Arial" w:cs="Arial"/>
          <w:sz w:val="22"/>
          <w:szCs w:val="22"/>
        </w:rPr>
      </w:pPr>
      <w:r w:rsidRPr="00C14837">
        <w:rPr>
          <w:rFonts w:ascii="Arial" w:hAnsi="Arial" w:cs="Arial"/>
          <w:sz w:val="22"/>
          <w:szCs w:val="22"/>
        </w:rPr>
        <w:t>Monitor (Low Power–Low Interest)</w:t>
      </w:r>
    </w:p>
    <w:p w:rsidR="00C14837" w:rsidRPr="00C14837" w:rsidRDefault="00C14837" w:rsidP="00C14837">
      <w:pPr>
        <w:pStyle w:val="NormalWeb"/>
        <w:spacing w:line="360" w:lineRule="auto"/>
        <w:rPr>
          <w:rFonts w:ascii="Arial" w:hAnsi="Arial" w:cs="Arial"/>
          <w:sz w:val="22"/>
          <w:szCs w:val="22"/>
        </w:rPr>
      </w:pPr>
      <w:r w:rsidRPr="00C14837">
        <w:rPr>
          <w:rFonts w:ascii="Arial" w:hAnsi="Arial" w:cs="Arial"/>
          <w:sz w:val="22"/>
          <w:szCs w:val="22"/>
        </w:rPr>
        <w:t>General public requires:</w:t>
      </w:r>
    </w:p>
    <w:p w:rsidR="00C14837" w:rsidRPr="00C14837" w:rsidRDefault="00C14837" w:rsidP="00C14837">
      <w:pPr>
        <w:pStyle w:val="NormalWeb"/>
        <w:numPr>
          <w:ilvl w:val="0"/>
          <w:numId w:val="7"/>
        </w:numPr>
        <w:spacing w:line="360" w:lineRule="auto"/>
        <w:rPr>
          <w:rFonts w:ascii="Arial" w:hAnsi="Arial" w:cs="Arial"/>
          <w:sz w:val="22"/>
          <w:szCs w:val="22"/>
        </w:rPr>
      </w:pPr>
      <w:r w:rsidRPr="00C14837">
        <w:rPr>
          <w:rFonts w:ascii="Arial" w:hAnsi="Arial" w:cs="Arial"/>
          <w:sz w:val="22"/>
          <w:szCs w:val="22"/>
        </w:rPr>
        <w:t>Public sustainability reporting</w:t>
      </w:r>
    </w:p>
    <w:p w:rsidR="00C14837" w:rsidRPr="00C14837" w:rsidRDefault="007F5BB8" w:rsidP="00C14837">
      <w:pPr>
        <w:pStyle w:val="NormalWeb"/>
        <w:numPr>
          <w:ilvl w:val="0"/>
          <w:numId w:val="7"/>
        </w:numPr>
        <w:spacing w:line="360" w:lineRule="auto"/>
        <w:rPr>
          <w:rFonts w:ascii="Arial" w:hAnsi="Arial" w:cs="Arial"/>
          <w:sz w:val="22"/>
          <w:szCs w:val="22"/>
        </w:rPr>
      </w:pPr>
      <w:r w:rsidRPr="007F5BB8">
        <w:rPr>
          <w:rFonts w:ascii="Arial" w:hAnsi="Arial" w:cs="Arial"/>
          <w:sz w:val="22"/>
          <w:szCs w:val="22"/>
        </w:rPr>
        <w:t>Corporate Social Responsibility</w:t>
      </w:r>
      <w:r w:rsidR="00C14837" w:rsidRPr="00C14837">
        <w:rPr>
          <w:rFonts w:ascii="Arial" w:hAnsi="Arial" w:cs="Arial"/>
          <w:sz w:val="22"/>
          <w:szCs w:val="22"/>
        </w:rPr>
        <w:t xml:space="preserve"> visibility</w:t>
      </w:r>
    </w:p>
    <w:p w:rsidR="00A6685C" w:rsidRDefault="00A6685C" w:rsidP="00A6685C">
      <w:pPr>
        <w:spacing w:line="360" w:lineRule="auto"/>
        <w:rPr>
          <w:rFonts w:ascii="Arial" w:hAnsi="Arial" w:cs="Arial"/>
          <w:b/>
          <w:sz w:val="24"/>
          <w:szCs w:val="24"/>
        </w:rPr>
      </w:pPr>
    </w:p>
    <w:p w:rsidR="00201C45" w:rsidRDefault="00201C45" w:rsidP="00A6685C">
      <w:pPr>
        <w:spacing w:line="360" w:lineRule="auto"/>
        <w:jc w:val="center"/>
        <w:rPr>
          <w:rFonts w:ascii="Arial" w:hAnsi="Arial" w:cs="Arial"/>
          <w:b/>
        </w:rPr>
      </w:pPr>
    </w:p>
    <w:p w:rsidR="00DE27D2" w:rsidRPr="0038759F" w:rsidRDefault="00C14837" w:rsidP="00A6685C">
      <w:pPr>
        <w:spacing w:line="360" w:lineRule="auto"/>
        <w:jc w:val="center"/>
        <w:rPr>
          <w:rFonts w:ascii="Arial" w:hAnsi="Arial" w:cs="Arial"/>
          <w:b/>
        </w:rPr>
      </w:pPr>
      <w:r w:rsidRPr="0038759F">
        <w:rPr>
          <w:rFonts w:ascii="Arial" w:hAnsi="Arial" w:cs="Arial"/>
          <w:b/>
        </w:rPr>
        <w:lastRenderedPageBreak/>
        <w:t>Implementation and Monitoring</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The implementation of Innocent</w:t>
      </w:r>
      <w:r>
        <w:rPr>
          <w:rFonts w:ascii="Arial" w:hAnsi="Arial" w:cs="Arial"/>
          <w:sz w:val="22"/>
          <w:szCs w:val="22"/>
        </w:rPr>
        <w:t xml:space="preserve"> Drinks’ hybrid growth strategy </w:t>
      </w:r>
      <w:r w:rsidRPr="00240D25">
        <w:rPr>
          <w:rFonts w:ascii="Arial" w:hAnsi="Arial" w:cs="Arial"/>
          <w:sz w:val="22"/>
          <w:szCs w:val="22"/>
        </w:rPr>
        <w:t>combining functional beverage innovation with selec</w:t>
      </w:r>
      <w:r>
        <w:rPr>
          <w:rFonts w:ascii="Arial" w:hAnsi="Arial" w:cs="Arial"/>
          <w:sz w:val="22"/>
          <w:szCs w:val="22"/>
        </w:rPr>
        <w:t xml:space="preserve">tive market expansion in Europe </w:t>
      </w:r>
      <w:r w:rsidRPr="00240D25">
        <w:rPr>
          <w:rFonts w:ascii="Arial" w:hAnsi="Arial" w:cs="Arial"/>
          <w:sz w:val="22"/>
          <w:szCs w:val="22"/>
        </w:rPr>
        <w:t xml:space="preserve">requires a structured framework built around </w:t>
      </w:r>
      <w:r w:rsidRPr="00240D25">
        <w:rPr>
          <w:rStyle w:val="Strong"/>
          <w:rFonts w:ascii="Arial" w:hAnsi="Arial" w:cs="Arial"/>
          <w:sz w:val="22"/>
          <w:szCs w:val="22"/>
        </w:rPr>
        <w:t>SMART objectives</w:t>
      </w:r>
      <w:r w:rsidRPr="00240D25">
        <w:rPr>
          <w:rFonts w:ascii="Arial" w:hAnsi="Arial" w:cs="Arial"/>
          <w:sz w:val="22"/>
          <w:szCs w:val="22"/>
        </w:rPr>
        <w:t xml:space="preserve"> to ensure measurable and time-bound execution (Doran, 1981). SMART objectives help organisations translate strategic goals into operational outcomes while maintaining accountability across teams (Kotler and Keller, 2022). This implementation plan aligns with Innocent’s organisational capabilities, sustainability commitments, and evolving consumer demand for health-focused beverages.</w:t>
      </w:r>
    </w:p>
    <w:p w:rsidR="00240D25" w:rsidRPr="00240D25" w:rsidRDefault="00240D25" w:rsidP="00240D25">
      <w:pPr>
        <w:pStyle w:val="Heading2"/>
        <w:spacing w:line="360" w:lineRule="auto"/>
        <w:rPr>
          <w:rFonts w:ascii="Arial" w:hAnsi="Arial" w:cs="Arial"/>
          <w:b/>
          <w:color w:val="auto"/>
          <w:sz w:val="22"/>
          <w:szCs w:val="22"/>
        </w:rPr>
      </w:pPr>
      <w:r w:rsidRPr="00240D25">
        <w:rPr>
          <w:rFonts w:ascii="Arial" w:hAnsi="Arial" w:cs="Arial"/>
          <w:b/>
          <w:color w:val="auto"/>
          <w:sz w:val="22"/>
          <w:szCs w:val="22"/>
        </w:rPr>
        <w:t>Product Development</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 xml:space="preserve">Within a one-year timeframe, the product innovation objective is to develop, test, and launch </w:t>
      </w:r>
      <w:r w:rsidRPr="00201C45">
        <w:rPr>
          <w:rStyle w:val="Strong"/>
          <w:rFonts w:ascii="Arial" w:hAnsi="Arial" w:cs="Arial"/>
          <w:b w:val="0"/>
          <w:sz w:val="22"/>
          <w:szCs w:val="22"/>
        </w:rPr>
        <w:t>three functional beverage varieties</w:t>
      </w:r>
      <w:r w:rsidRPr="00240D25">
        <w:rPr>
          <w:rFonts w:ascii="Arial" w:hAnsi="Arial" w:cs="Arial"/>
          <w:sz w:val="22"/>
          <w:szCs w:val="22"/>
        </w:rPr>
        <w:t xml:space="preserve">: probiotic drinks, immunity-support beverages, and protein-enriched smoothies. The objective is </w:t>
      </w:r>
      <w:r w:rsidRPr="00201C45">
        <w:rPr>
          <w:rStyle w:val="Strong"/>
          <w:rFonts w:ascii="Arial" w:hAnsi="Arial" w:cs="Arial"/>
          <w:b w:val="0"/>
          <w:sz w:val="22"/>
          <w:szCs w:val="22"/>
        </w:rPr>
        <w:t>specific, measurable, achievable, relevant, and time-bound</w:t>
      </w:r>
      <w:r w:rsidRPr="00201C45">
        <w:rPr>
          <w:rFonts w:ascii="Arial" w:hAnsi="Arial" w:cs="Arial"/>
          <w:b/>
          <w:sz w:val="22"/>
          <w:szCs w:val="22"/>
        </w:rPr>
        <w:t>,</w:t>
      </w:r>
      <w:r w:rsidRPr="00240D25">
        <w:rPr>
          <w:rFonts w:ascii="Arial" w:hAnsi="Arial" w:cs="Arial"/>
          <w:sz w:val="22"/>
          <w:szCs w:val="22"/>
        </w:rPr>
        <w:t xml:space="preserve"> with success measured through the launch of </w:t>
      </w:r>
      <w:r w:rsidRPr="00201C45">
        <w:rPr>
          <w:rFonts w:ascii="Arial" w:hAnsi="Arial" w:cs="Arial"/>
          <w:sz w:val="22"/>
          <w:szCs w:val="22"/>
        </w:rPr>
        <w:t>three</w:t>
      </w:r>
      <w:r w:rsidRPr="00201C45">
        <w:rPr>
          <w:rFonts w:ascii="Arial" w:hAnsi="Arial" w:cs="Arial"/>
          <w:b/>
          <w:sz w:val="22"/>
          <w:szCs w:val="22"/>
        </w:rPr>
        <w:t xml:space="preserve"> </w:t>
      </w:r>
      <w:r w:rsidRPr="00201C45">
        <w:rPr>
          <w:rStyle w:val="Strong"/>
          <w:rFonts w:ascii="Arial" w:hAnsi="Arial" w:cs="Arial"/>
          <w:b w:val="0"/>
          <w:sz w:val="22"/>
          <w:szCs w:val="22"/>
        </w:rPr>
        <w:t>Stock Keeping Units (SKUs)</w:t>
      </w:r>
      <w:r w:rsidRPr="00240D25">
        <w:rPr>
          <w:rFonts w:ascii="Arial" w:hAnsi="Arial" w:cs="Arial"/>
          <w:sz w:val="22"/>
          <w:szCs w:val="22"/>
        </w:rPr>
        <w:t xml:space="preserve"> supported by Innocent’s existing research and development infrastructure. This initiative aligns with growing consumer demand for functional nutrition and plant-based health beverages across European markets (Euromonitor, 2024).</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Implementation will follow phased milestones: consumer insight research (Months 1–3), product formulation and R&amp;D development (Months 3–6), pilot production and regulatory validation (Months 6–9), and commercial launch (Months 9–12). Key performance indicators (KPIs) will include development cycle efficiency, regulatory approval completion, and post-launch customer satisfaction scores exceeding 80%. This structured approach strengthens cross-functional accountability while reducing product innovation risks (</w:t>
      </w:r>
      <w:proofErr w:type="spellStart"/>
      <w:r w:rsidRPr="00240D25">
        <w:rPr>
          <w:rFonts w:ascii="Arial" w:hAnsi="Arial" w:cs="Arial"/>
          <w:sz w:val="22"/>
          <w:szCs w:val="22"/>
        </w:rPr>
        <w:t>NielsenIQ</w:t>
      </w:r>
      <w:proofErr w:type="spellEnd"/>
      <w:r w:rsidRPr="00240D25">
        <w:rPr>
          <w:rFonts w:ascii="Arial" w:hAnsi="Arial" w:cs="Arial"/>
          <w:sz w:val="22"/>
          <w:szCs w:val="22"/>
        </w:rPr>
        <w:t>, 2023).</w:t>
      </w:r>
    </w:p>
    <w:p w:rsidR="00240D25" w:rsidRPr="00240D25" w:rsidRDefault="00240D25" w:rsidP="00240D25">
      <w:pPr>
        <w:pStyle w:val="Heading2"/>
        <w:spacing w:line="360" w:lineRule="auto"/>
        <w:rPr>
          <w:rFonts w:ascii="Arial" w:hAnsi="Arial" w:cs="Arial"/>
          <w:b/>
          <w:color w:val="auto"/>
          <w:sz w:val="22"/>
          <w:szCs w:val="22"/>
        </w:rPr>
      </w:pPr>
      <w:r w:rsidRPr="00240D25">
        <w:rPr>
          <w:rFonts w:ascii="Arial" w:hAnsi="Arial" w:cs="Arial"/>
          <w:b/>
          <w:color w:val="auto"/>
          <w:sz w:val="22"/>
          <w:szCs w:val="22"/>
        </w:rPr>
        <w:t>Market Expansion</w:t>
      </w:r>
    </w:p>
    <w:p w:rsidR="00240D25" w:rsidRPr="00A6685C" w:rsidRDefault="00240D25" w:rsidP="00240D25">
      <w:pPr>
        <w:pStyle w:val="NormalWeb"/>
        <w:spacing w:line="360" w:lineRule="auto"/>
        <w:rPr>
          <w:rFonts w:ascii="Arial" w:hAnsi="Arial" w:cs="Arial"/>
          <w:sz w:val="22"/>
          <w:szCs w:val="22"/>
        </w:rPr>
      </w:pPr>
      <w:r w:rsidRPr="00A6685C">
        <w:rPr>
          <w:rFonts w:ascii="Arial" w:hAnsi="Arial" w:cs="Arial"/>
          <w:sz w:val="22"/>
          <w:szCs w:val="22"/>
        </w:rPr>
        <w:t xml:space="preserve">The strategy also includes entering </w:t>
      </w:r>
      <w:r w:rsidR="00A6685C" w:rsidRPr="00A6685C">
        <w:rPr>
          <w:rStyle w:val="Strong"/>
          <w:rFonts w:ascii="Arial" w:hAnsi="Arial" w:cs="Arial"/>
          <w:b w:val="0"/>
          <w:sz w:val="22"/>
          <w:szCs w:val="22"/>
        </w:rPr>
        <w:t xml:space="preserve">three European markets </w:t>
      </w:r>
      <w:r w:rsidRPr="00A6685C">
        <w:rPr>
          <w:rStyle w:val="Strong"/>
          <w:rFonts w:ascii="Arial" w:hAnsi="Arial" w:cs="Arial"/>
          <w:b w:val="0"/>
          <w:sz w:val="22"/>
          <w:szCs w:val="22"/>
        </w:rPr>
        <w:t>German</w:t>
      </w:r>
      <w:r w:rsidR="00A6685C" w:rsidRPr="00A6685C">
        <w:rPr>
          <w:rStyle w:val="Strong"/>
          <w:rFonts w:ascii="Arial" w:hAnsi="Arial" w:cs="Arial"/>
          <w:b w:val="0"/>
          <w:sz w:val="22"/>
          <w:szCs w:val="22"/>
        </w:rPr>
        <w:t xml:space="preserve">y, the Netherlands, and Finland </w:t>
      </w:r>
      <w:r w:rsidRPr="00A6685C">
        <w:rPr>
          <w:rStyle w:val="Strong"/>
          <w:rFonts w:ascii="Arial" w:hAnsi="Arial" w:cs="Arial"/>
          <w:b w:val="0"/>
          <w:sz w:val="22"/>
          <w:szCs w:val="22"/>
        </w:rPr>
        <w:t>within 18 months</w:t>
      </w:r>
      <w:r w:rsidRPr="00A6685C">
        <w:rPr>
          <w:rFonts w:ascii="Arial" w:hAnsi="Arial" w:cs="Arial"/>
          <w:b/>
          <w:sz w:val="22"/>
          <w:szCs w:val="22"/>
        </w:rPr>
        <w:t xml:space="preserve"> </w:t>
      </w:r>
      <w:r w:rsidRPr="00A6685C">
        <w:rPr>
          <w:rFonts w:ascii="Arial" w:hAnsi="Arial" w:cs="Arial"/>
          <w:sz w:val="22"/>
          <w:szCs w:val="22"/>
        </w:rPr>
        <w:t>through retail partnerships with local distributors and retailers. These markets demonstrate high demand for sustainable and premium health beverages, supported by strong environmental awareness among consumers (McKinsey &amp; Company, 2023).</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 xml:space="preserve">The implementation process will involve market feasibility analysis (Months 1–4), retail partnership development and distribution alignment (Months 4–9), and phased market entry (Months 9–18). Success will be evaluated through metrics such as retail partner satisfaction, </w:t>
      </w:r>
      <w:r w:rsidRPr="00240D25">
        <w:rPr>
          <w:rFonts w:ascii="Arial" w:hAnsi="Arial" w:cs="Arial"/>
          <w:sz w:val="22"/>
          <w:szCs w:val="22"/>
        </w:rPr>
        <w:lastRenderedPageBreak/>
        <w:t>market penetration rates, and regional revenue growth. A gradual rollout strategy reduces operational risk while allowing Innocent to adapt to local consumer preferences and regulatory conditions (European Commission, 2024).</w:t>
      </w:r>
    </w:p>
    <w:p w:rsidR="00240D25" w:rsidRPr="00240D25" w:rsidRDefault="00240D25" w:rsidP="00240D25">
      <w:pPr>
        <w:pStyle w:val="Heading2"/>
        <w:spacing w:line="360" w:lineRule="auto"/>
        <w:rPr>
          <w:rFonts w:ascii="Arial" w:hAnsi="Arial" w:cs="Arial"/>
          <w:b/>
          <w:color w:val="auto"/>
          <w:sz w:val="22"/>
          <w:szCs w:val="22"/>
        </w:rPr>
      </w:pPr>
      <w:r w:rsidRPr="00240D25">
        <w:rPr>
          <w:rFonts w:ascii="Arial" w:hAnsi="Arial" w:cs="Arial"/>
          <w:b/>
          <w:color w:val="auto"/>
          <w:sz w:val="22"/>
          <w:szCs w:val="22"/>
        </w:rPr>
        <w:t>Ethical Governance and Sustainability</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 xml:space="preserve">Sustainability remains central to Innocent’s competitive positioning and B Corporation commitments. The implementation strategy includes reducing </w:t>
      </w:r>
      <w:r w:rsidRPr="00A6685C">
        <w:rPr>
          <w:rStyle w:val="Strong"/>
          <w:rFonts w:ascii="Arial" w:hAnsi="Arial" w:cs="Arial"/>
          <w:b w:val="0"/>
          <w:sz w:val="22"/>
          <w:szCs w:val="22"/>
        </w:rPr>
        <w:t>carbon emissions per unit by 10% and achieving 95% ethical sourcing compliance within 18 months</w:t>
      </w:r>
      <w:r w:rsidRPr="00A6685C">
        <w:rPr>
          <w:rFonts w:ascii="Arial" w:hAnsi="Arial" w:cs="Arial"/>
          <w:b/>
          <w:sz w:val="22"/>
          <w:szCs w:val="22"/>
        </w:rPr>
        <w:t>.</w:t>
      </w:r>
      <w:r w:rsidRPr="00240D25">
        <w:rPr>
          <w:rFonts w:ascii="Arial" w:hAnsi="Arial" w:cs="Arial"/>
          <w:sz w:val="22"/>
          <w:szCs w:val="22"/>
        </w:rPr>
        <w:t xml:space="preserve"> Sustainability initiatives will include supplier audits, carbon tracking systems, and packaging optimisation to reduce environmental impact.</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These initiatives align with increasing regulatory expectations across the European Union regarding carbon transparency, circular packaging, and sustainable supply chains (European Commission, 2023). Performance will be measured through indicators such as carbon intensity per unit produced, packaging waste reduction, and supplier compliance rates, ensuring sustainability is embedded operationally rather than remaining a symbolic commitment (Porter and Kramer, 2019).</w:t>
      </w:r>
    </w:p>
    <w:p w:rsidR="00240D25" w:rsidRPr="00240D25" w:rsidRDefault="00240D25" w:rsidP="00240D25">
      <w:pPr>
        <w:pStyle w:val="Heading2"/>
        <w:spacing w:line="360" w:lineRule="auto"/>
        <w:rPr>
          <w:rFonts w:ascii="Arial" w:hAnsi="Arial" w:cs="Arial"/>
          <w:b/>
          <w:color w:val="auto"/>
          <w:sz w:val="22"/>
          <w:szCs w:val="22"/>
        </w:rPr>
      </w:pPr>
      <w:r w:rsidRPr="00240D25">
        <w:rPr>
          <w:rFonts w:ascii="Arial" w:hAnsi="Arial" w:cs="Arial"/>
          <w:b/>
          <w:color w:val="auto"/>
          <w:sz w:val="22"/>
          <w:szCs w:val="22"/>
        </w:rPr>
        <w:t>Creativity and Capability Development</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 xml:space="preserve">Sustained competitive advantage requires organisations to develop </w:t>
      </w:r>
      <w:r w:rsidRPr="00A6685C">
        <w:rPr>
          <w:rStyle w:val="Strong"/>
          <w:rFonts w:ascii="Arial" w:hAnsi="Arial" w:cs="Arial"/>
          <w:b w:val="0"/>
          <w:sz w:val="22"/>
          <w:szCs w:val="22"/>
        </w:rPr>
        <w:t>dynamic capabilities</w:t>
      </w:r>
      <w:r w:rsidRPr="00A6685C">
        <w:rPr>
          <w:rFonts w:ascii="Arial" w:hAnsi="Arial" w:cs="Arial"/>
          <w:b/>
          <w:sz w:val="22"/>
          <w:szCs w:val="22"/>
        </w:rPr>
        <w:t>,</w:t>
      </w:r>
      <w:r w:rsidRPr="00240D25">
        <w:rPr>
          <w:rFonts w:ascii="Arial" w:hAnsi="Arial" w:cs="Arial"/>
          <w:sz w:val="22"/>
          <w:szCs w:val="22"/>
        </w:rPr>
        <w:t xml:space="preserve"> enabling firms to adapt to changing market conditions and innovate continuously (</w:t>
      </w:r>
      <w:proofErr w:type="spellStart"/>
      <w:r w:rsidRPr="00240D25">
        <w:rPr>
          <w:rFonts w:ascii="Arial" w:hAnsi="Arial" w:cs="Arial"/>
          <w:sz w:val="22"/>
          <w:szCs w:val="22"/>
        </w:rPr>
        <w:t>Teece</w:t>
      </w:r>
      <w:proofErr w:type="spellEnd"/>
      <w:r w:rsidRPr="00240D25">
        <w:rPr>
          <w:rFonts w:ascii="Arial" w:hAnsi="Arial" w:cs="Arial"/>
          <w:sz w:val="22"/>
          <w:szCs w:val="22"/>
        </w:rPr>
        <w:t>, 2007). To support the hybrid strategy, cross-functional innovation teams will be established by Month 3, and structured capability training will be delivered to 80% of relevant employees by Month 12.</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Performance will be evaluated through employee engagement levels, innovation output frequency, and reductions in product development cycle times. Strengthening internal capabilities ensures that the strategy enhances organisational agility and learning capacity rather than simply expanding operational scale (</w:t>
      </w:r>
      <w:proofErr w:type="spellStart"/>
      <w:r w:rsidRPr="00240D25">
        <w:rPr>
          <w:rFonts w:ascii="Arial" w:hAnsi="Arial" w:cs="Arial"/>
          <w:sz w:val="22"/>
          <w:szCs w:val="22"/>
        </w:rPr>
        <w:t>Teece</w:t>
      </w:r>
      <w:proofErr w:type="spellEnd"/>
      <w:r w:rsidRPr="00240D25">
        <w:rPr>
          <w:rFonts w:ascii="Arial" w:hAnsi="Arial" w:cs="Arial"/>
          <w:sz w:val="22"/>
          <w:szCs w:val="22"/>
        </w:rPr>
        <w:t xml:space="preserve">, </w:t>
      </w:r>
      <w:proofErr w:type="spellStart"/>
      <w:r w:rsidRPr="00240D25">
        <w:rPr>
          <w:rFonts w:ascii="Arial" w:hAnsi="Arial" w:cs="Arial"/>
          <w:sz w:val="22"/>
          <w:szCs w:val="22"/>
        </w:rPr>
        <w:t>Peteraf</w:t>
      </w:r>
      <w:proofErr w:type="spellEnd"/>
      <w:r w:rsidRPr="00240D25">
        <w:rPr>
          <w:rFonts w:ascii="Arial" w:hAnsi="Arial" w:cs="Arial"/>
          <w:sz w:val="22"/>
          <w:szCs w:val="22"/>
        </w:rPr>
        <w:t xml:space="preserve"> and </w:t>
      </w:r>
      <w:proofErr w:type="spellStart"/>
      <w:r w:rsidRPr="00240D25">
        <w:rPr>
          <w:rFonts w:ascii="Arial" w:hAnsi="Arial" w:cs="Arial"/>
          <w:sz w:val="22"/>
          <w:szCs w:val="22"/>
        </w:rPr>
        <w:t>Leih</w:t>
      </w:r>
      <w:proofErr w:type="spellEnd"/>
      <w:r w:rsidRPr="00240D25">
        <w:rPr>
          <w:rFonts w:ascii="Arial" w:hAnsi="Arial" w:cs="Arial"/>
          <w:sz w:val="22"/>
          <w:szCs w:val="22"/>
        </w:rPr>
        <w:t>, 2016).</w:t>
      </w:r>
    </w:p>
    <w:p w:rsidR="00240D25" w:rsidRPr="00240D25" w:rsidRDefault="00240D25" w:rsidP="00240D25">
      <w:pPr>
        <w:pStyle w:val="Heading2"/>
        <w:spacing w:line="360" w:lineRule="auto"/>
        <w:rPr>
          <w:rFonts w:ascii="Arial" w:hAnsi="Arial" w:cs="Arial"/>
          <w:b/>
          <w:color w:val="auto"/>
          <w:sz w:val="22"/>
          <w:szCs w:val="22"/>
        </w:rPr>
      </w:pPr>
      <w:r w:rsidRPr="00240D25">
        <w:rPr>
          <w:rFonts w:ascii="Arial" w:hAnsi="Arial" w:cs="Arial"/>
          <w:b/>
          <w:color w:val="auto"/>
          <w:sz w:val="22"/>
          <w:szCs w:val="22"/>
        </w:rPr>
        <w:t>Integrated Monitoring through the Balanced Scorecard</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 xml:space="preserve">Strategic performance monitoring will follow the </w:t>
      </w:r>
      <w:r w:rsidRPr="00A6685C">
        <w:rPr>
          <w:rStyle w:val="Strong"/>
          <w:rFonts w:ascii="Arial" w:hAnsi="Arial" w:cs="Arial"/>
          <w:b w:val="0"/>
          <w:sz w:val="22"/>
          <w:szCs w:val="22"/>
        </w:rPr>
        <w:t>Balanced Scorecard framework</w:t>
      </w:r>
      <w:r w:rsidRPr="00A6685C">
        <w:rPr>
          <w:rFonts w:ascii="Arial" w:hAnsi="Arial" w:cs="Arial"/>
          <w:b/>
          <w:sz w:val="22"/>
          <w:szCs w:val="22"/>
        </w:rPr>
        <w:t>,</w:t>
      </w:r>
      <w:r w:rsidRPr="00240D25">
        <w:rPr>
          <w:rFonts w:ascii="Arial" w:hAnsi="Arial" w:cs="Arial"/>
          <w:sz w:val="22"/>
          <w:szCs w:val="22"/>
        </w:rPr>
        <w:t xml:space="preserve"> integrating financial, customer, internal process, and sustainability perspectives (Kaplan and Norton, 1996). This multi-dimensional approach enables organisations to track both financial performance and long-term strategic objectives.</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lastRenderedPageBreak/>
        <w:t>Performance indicators will include:</w:t>
      </w:r>
    </w:p>
    <w:p w:rsidR="00240D25" w:rsidRP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 xml:space="preserve">• </w:t>
      </w:r>
      <w:r w:rsidRPr="00240D25">
        <w:rPr>
          <w:rStyle w:val="Strong"/>
          <w:rFonts w:ascii="Arial" w:hAnsi="Arial" w:cs="Arial"/>
          <w:sz w:val="22"/>
          <w:szCs w:val="22"/>
        </w:rPr>
        <w:t>Financial:</w:t>
      </w:r>
      <w:r w:rsidRPr="00240D25">
        <w:rPr>
          <w:rFonts w:ascii="Arial" w:hAnsi="Arial" w:cs="Arial"/>
          <w:sz w:val="22"/>
          <w:szCs w:val="22"/>
        </w:rPr>
        <w:t xml:space="preserve"> revenue growth and return on investment from new markets</w:t>
      </w:r>
      <w:r w:rsidRPr="00240D25">
        <w:rPr>
          <w:rFonts w:ascii="Arial" w:hAnsi="Arial" w:cs="Arial"/>
          <w:sz w:val="22"/>
          <w:szCs w:val="22"/>
        </w:rPr>
        <w:br/>
        <w:t xml:space="preserve">• </w:t>
      </w:r>
      <w:r w:rsidRPr="00240D25">
        <w:rPr>
          <w:rStyle w:val="Strong"/>
          <w:rFonts w:ascii="Arial" w:hAnsi="Arial" w:cs="Arial"/>
          <w:sz w:val="22"/>
          <w:szCs w:val="22"/>
        </w:rPr>
        <w:t>Customer:</w:t>
      </w:r>
      <w:r w:rsidRPr="00240D25">
        <w:rPr>
          <w:rFonts w:ascii="Arial" w:hAnsi="Arial" w:cs="Arial"/>
          <w:sz w:val="22"/>
          <w:szCs w:val="22"/>
        </w:rPr>
        <w:t xml:space="preserve"> customer satisfaction and repeat purchase rates</w:t>
      </w:r>
      <w:r w:rsidRPr="00240D25">
        <w:rPr>
          <w:rFonts w:ascii="Arial" w:hAnsi="Arial" w:cs="Arial"/>
          <w:sz w:val="22"/>
          <w:szCs w:val="22"/>
        </w:rPr>
        <w:br/>
        <w:t xml:space="preserve">• </w:t>
      </w:r>
      <w:r w:rsidRPr="00240D25">
        <w:rPr>
          <w:rStyle w:val="Strong"/>
          <w:rFonts w:ascii="Arial" w:hAnsi="Arial" w:cs="Arial"/>
          <w:sz w:val="22"/>
          <w:szCs w:val="22"/>
        </w:rPr>
        <w:t>Internal Processes:</w:t>
      </w:r>
      <w:r w:rsidRPr="00240D25">
        <w:rPr>
          <w:rFonts w:ascii="Arial" w:hAnsi="Arial" w:cs="Arial"/>
          <w:sz w:val="22"/>
          <w:szCs w:val="22"/>
        </w:rPr>
        <w:t xml:space="preserve"> production efficiency and regulatory compliance</w:t>
      </w:r>
      <w:r w:rsidRPr="00240D25">
        <w:rPr>
          <w:rFonts w:ascii="Arial" w:hAnsi="Arial" w:cs="Arial"/>
          <w:sz w:val="22"/>
          <w:szCs w:val="22"/>
        </w:rPr>
        <w:br/>
        <w:t xml:space="preserve">• </w:t>
      </w:r>
      <w:r w:rsidRPr="00240D25">
        <w:rPr>
          <w:rStyle w:val="Strong"/>
          <w:rFonts w:ascii="Arial" w:hAnsi="Arial" w:cs="Arial"/>
          <w:sz w:val="22"/>
          <w:szCs w:val="22"/>
        </w:rPr>
        <w:t>Sustainability:</w:t>
      </w:r>
      <w:r w:rsidRPr="00240D25">
        <w:rPr>
          <w:rFonts w:ascii="Arial" w:hAnsi="Arial" w:cs="Arial"/>
          <w:sz w:val="22"/>
          <w:szCs w:val="22"/>
        </w:rPr>
        <w:t xml:space="preserve"> carbon reduction and ethical sourcing performance</w:t>
      </w:r>
    </w:p>
    <w:p w:rsidR="00240D25" w:rsidRDefault="00240D25" w:rsidP="00240D25">
      <w:pPr>
        <w:pStyle w:val="NormalWeb"/>
        <w:spacing w:line="360" w:lineRule="auto"/>
        <w:rPr>
          <w:rFonts w:ascii="Arial" w:hAnsi="Arial" w:cs="Arial"/>
          <w:sz w:val="22"/>
          <w:szCs w:val="22"/>
        </w:rPr>
      </w:pPr>
      <w:r w:rsidRPr="00240D25">
        <w:rPr>
          <w:rFonts w:ascii="Arial" w:hAnsi="Arial" w:cs="Arial"/>
          <w:sz w:val="22"/>
          <w:szCs w:val="22"/>
        </w:rPr>
        <w:t>Quarterly review cycles and executive dashboard monitoring will allow management to identify performance gaps and implement corrective actions when necessary. Continuous monitoring ensures the strategy remains responsive to evolving consumer trends, regulatory developments, and competitive dynamics in the European beverage market (Kotler and Keller, 2022).</w:t>
      </w:r>
    </w:p>
    <w:p w:rsidR="00A6685C" w:rsidRDefault="00A6685C" w:rsidP="00A6685C">
      <w:pPr>
        <w:pStyle w:val="NormalWeb"/>
        <w:spacing w:line="360" w:lineRule="auto"/>
        <w:jc w:val="center"/>
        <w:rPr>
          <w:rFonts w:ascii="Arial" w:hAnsi="Arial" w:cs="Arial"/>
          <w:b/>
          <w:sz w:val="22"/>
          <w:szCs w:val="22"/>
        </w:rPr>
      </w:pPr>
      <w:r w:rsidRPr="00A6685C">
        <w:rPr>
          <w:rFonts w:ascii="Arial" w:hAnsi="Arial" w:cs="Arial"/>
          <w:b/>
          <w:sz w:val="22"/>
          <w:szCs w:val="22"/>
        </w:rPr>
        <w:t>Gantt chart</w:t>
      </w:r>
    </w:p>
    <w:p w:rsidR="00E230A4" w:rsidRDefault="00A6685C" w:rsidP="00A6685C">
      <w:pPr>
        <w:spacing w:after="0" w:line="360" w:lineRule="auto"/>
        <w:rPr>
          <w:rFonts w:ascii="Times New Roman" w:eastAsia="Times New Roman" w:hAnsi="Times New Roman" w:cs="Times New Roman"/>
          <w:sz w:val="24"/>
          <w:szCs w:val="24"/>
          <w:lang w:eastAsia="en-GB"/>
        </w:rPr>
      </w:pPr>
      <w:r w:rsidRPr="00A6685C">
        <w:rPr>
          <w:rFonts w:ascii="Arial" w:eastAsia="Times New Roman" w:hAnsi="Arial" w:cs="Arial"/>
          <w:lang w:eastAsia="en-GB"/>
        </w:rPr>
        <w:t>The detailed implementation plan for Innocent Drinks' hybrid growth strategy over an 18-month period is shown in this Gantt chart. In order to guarantee organized execution, efficient coordination, and ongoing performance monitoring during product creation and European market expansion, it specifies crucial tasks, deadlines, and accountable teams</w:t>
      </w:r>
      <w:r w:rsidRPr="00A6685C">
        <w:rPr>
          <w:rFonts w:ascii="Times New Roman" w:eastAsia="Times New Roman" w:hAnsi="Times New Roman" w:cs="Times New Roman"/>
          <w:sz w:val="24"/>
          <w:szCs w:val="24"/>
          <w:lang w:eastAsia="en-GB"/>
        </w:rPr>
        <w:t>.</w:t>
      </w:r>
    </w:p>
    <w:p w:rsidR="00A6685C" w:rsidRPr="00C42664" w:rsidRDefault="00A6685C" w:rsidP="00C42664">
      <w:pPr>
        <w:spacing w:after="0" w:line="360" w:lineRule="auto"/>
        <w:rPr>
          <w:rFonts w:ascii="Times New Roman" w:eastAsia="Times New Roman" w:hAnsi="Times New Roman" w:cs="Times New Roman"/>
          <w:sz w:val="24"/>
          <w:szCs w:val="24"/>
          <w:lang w:eastAsia="en-GB"/>
        </w:rPr>
      </w:pPr>
      <w:r>
        <w:rPr>
          <w:rFonts w:ascii="Arial" w:hAnsi="Arial" w:cs="Arial"/>
          <w:noProof/>
          <w:lang w:eastAsia="en-GB"/>
        </w:rPr>
        <w:drawing>
          <wp:inline distT="0" distB="0" distL="0" distR="0" wp14:anchorId="155F23B5" wp14:editId="7DE995EA">
            <wp:extent cx="6191250" cy="441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t chart 111"/>
                    <pic:cNvPicPr/>
                  </pic:nvPicPr>
                  <pic:blipFill>
                    <a:blip r:embed="rId8">
                      <a:extLst>
                        <a:ext uri="{28A0092B-C50C-407E-A947-70E740481C1C}">
                          <a14:useLocalDpi xmlns:a14="http://schemas.microsoft.com/office/drawing/2010/main" val="0"/>
                        </a:ext>
                      </a:extLst>
                    </a:blip>
                    <a:stretch>
                      <a:fillRect/>
                    </a:stretch>
                  </pic:blipFill>
                  <pic:spPr>
                    <a:xfrm>
                      <a:off x="0" y="0"/>
                      <a:ext cx="6192219" cy="4420292"/>
                    </a:xfrm>
                    <a:prstGeom prst="rect">
                      <a:avLst/>
                    </a:prstGeom>
                  </pic:spPr>
                </pic:pic>
              </a:graphicData>
            </a:graphic>
          </wp:inline>
        </w:drawing>
      </w:r>
    </w:p>
    <w:p w:rsidR="00B563BE" w:rsidRDefault="00DE27D2" w:rsidP="00DE27D2">
      <w:pPr>
        <w:spacing w:before="100" w:beforeAutospacing="1" w:after="100" w:afterAutospacing="1" w:line="240" w:lineRule="auto"/>
        <w:jc w:val="center"/>
        <w:outlineLvl w:val="2"/>
        <w:rPr>
          <w:rFonts w:ascii="Arial" w:eastAsia="Times New Roman" w:hAnsi="Arial" w:cs="Arial"/>
          <w:b/>
          <w:bCs/>
          <w:lang w:eastAsia="en-GB"/>
        </w:rPr>
      </w:pPr>
      <w:r>
        <w:rPr>
          <w:rFonts w:ascii="Arial" w:eastAsia="Times New Roman" w:hAnsi="Arial" w:cs="Arial"/>
          <w:b/>
          <w:bCs/>
          <w:lang w:eastAsia="en-GB"/>
        </w:rPr>
        <w:lastRenderedPageBreak/>
        <w:t>Conclusion</w:t>
      </w:r>
    </w:p>
    <w:p w:rsidR="00304C21" w:rsidRPr="00304C21" w:rsidRDefault="00304C21" w:rsidP="00304C21">
      <w:pPr>
        <w:spacing w:after="0" w:line="360" w:lineRule="auto"/>
        <w:rPr>
          <w:rFonts w:ascii="Arial" w:eastAsia="Times New Roman" w:hAnsi="Arial" w:cs="Arial"/>
          <w:lang w:eastAsia="en-GB"/>
        </w:rPr>
      </w:pPr>
      <w:r w:rsidRPr="00304C21">
        <w:rPr>
          <w:rFonts w:ascii="Arial" w:eastAsia="Times New Roman" w:hAnsi="Arial" w:cs="Arial"/>
          <w:lang w:eastAsia="en-GB"/>
        </w:rPr>
        <w:t>Innocent Drinks works in the competitive and well watched health beverage sector. Strategic analysis shows that intangible assets like stakeholder trust and brand authenticity are the company's main source of competitive advantage. In line with plant-based consumption trends, a hybrid approach that emphasizes product innovation and selective European expansion makes use of current advantages. When tackling risks, the Suitability–Feasibility–Acceptability (SFA) framework verifies the strategy's acceptability and coherence. Operational discipline is ensured by implementation using SMART goals and a balanced scorecard. In order to lead the market and produce social, environmental, and financial benefits, the suggested strategic direction seeks sustainable growth, increased stakeholder value, and strengthened ethical positioning.</w:t>
      </w:r>
    </w:p>
    <w:p w:rsidR="00DE27D2" w:rsidRDefault="00DE27D2" w:rsidP="00DE27D2">
      <w:pPr>
        <w:spacing w:before="100" w:beforeAutospacing="1" w:after="100" w:afterAutospacing="1" w:line="240" w:lineRule="auto"/>
        <w:outlineLvl w:val="2"/>
        <w:rPr>
          <w:rFonts w:ascii="Arial" w:eastAsia="Times New Roman" w:hAnsi="Arial" w:cs="Arial"/>
          <w:b/>
          <w:bCs/>
          <w:lang w:eastAsia="en-GB"/>
        </w:rPr>
      </w:pPr>
    </w:p>
    <w:p w:rsidR="00DE27D2" w:rsidRDefault="00DE27D2" w:rsidP="00DE27D2">
      <w:pPr>
        <w:spacing w:before="100" w:beforeAutospacing="1" w:after="100" w:afterAutospacing="1" w:line="240" w:lineRule="auto"/>
        <w:jc w:val="center"/>
        <w:outlineLvl w:val="2"/>
        <w:rPr>
          <w:rFonts w:ascii="Arial" w:eastAsia="Times New Roman" w:hAnsi="Arial" w:cs="Arial"/>
          <w:b/>
          <w:bCs/>
          <w:lang w:eastAsia="en-GB"/>
        </w:rPr>
      </w:pPr>
    </w:p>
    <w:p w:rsidR="00B85089" w:rsidRDefault="00B85089" w:rsidP="00B85089">
      <w:pPr>
        <w:spacing w:after="0" w:line="240" w:lineRule="auto"/>
        <w:rPr>
          <w:rFonts w:ascii="Arial" w:eastAsia="Times New Roman" w:hAnsi="Arial" w:cs="Arial"/>
          <w:b/>
          <w:bCs/>
          <w:lang w:eastAsia="en-GB"/>
        </w:rPr>
      </w:pPr>
    </w:p>
    <w:p w:rsidR="00B85089" w:rsidRDefault="00B85089" w:rsidP="00B85089">
      <w:pPr>
        <w:spacing w:after="0" w:line="240" w:lineRule="auto"/>
        <w:rPr>
          <w:rFonts w:ascii="Times New Roman" w:eastAsia="Times New Roman" w:hAnsi="Times New Roman" w:cs="Times New Roman"/>
          <w:sz w:val="24"/>
          <w:szCs w:val="24"/>
          <w:lang w:eastAsia="en-GB"/>
        </w:rPr>
      </w:pPr>
    </w:p>
    <w:p w:rsidR="00B85089" w:rsidRPr="00B85089" w:rsidRDefault="00B85089" w:rsidP="00B85089">
      <w:pPr>
        <w:spacing w:after="0" w:line="240" w:lineRule="auto"/>
        <w:rPr>
          <w:rFonts w:ascii="Times New Roman" w:eastAsia="Times New Roman" w:hAnsi="Times New Roman" w:cs="Times New Roman"/>
          <w:sz w:val="24"/>
          <w:szCs w:val="24"/>
          <w:lang w:eastAsia="en-GB"/>
        </w:rPr>
      </w:pPr>
    </w:p>
    <w:p w:rsidR="00862E2E" w:rsidRDefault="00862E2E">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240D25" w:rsidRDefault="00240D25" w:rsidP="004C478B">
      <w:pPr>
        <w:jc w:val="center"/>
        <w:rPr>
          <w:rFonts w:ascii="Arial" w:hAnsi="Arial" w:cs="Arial"/>
          <w:b/>
          <w:sz w:val="24"/>
          <w:szCs w:val="24"/>
        </w:rPr>
      </w:pPr>
    </w:p>
    <w:p w:rsidR="00B217DB" w:rsidRDefault="00862E2E" w:rsidP="00240D25">
      <w:pPr>
        <w:jc w:val="center"/>
        <w:rPr>
          <w:rFonts w:ascii="Arial" w:hAnsi="Arial" w:cs="Arial"/>
          <w:b/>
          <w:sz w:val="24"/>
          <w:szCs w:val="24"/>
        </w:rPr>
      </w:pPr>
      <w:r>
        <w:rPr>
          <w:rFonts w:ascii="Arial" w:hAnsi="Arial" w:cs="Arial"/>
          <w:b/>
          <w:sz w:val="24"/>
          <w:szCs w:val="24"/>
        </w:rPr>
        <w:lastRenderedPageBreak/>
        <w:t xml:space="preserve">References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Ansoff, H.I. (1957) ‘Strategies for diversification’, </w:t>
      </w:r>
      <w:r w:rsidRPr="004C478B">
        <w:rPr>
          <w:rFonts w:ascii="Arial" w:eastAsia="Times New Roman" w:hAnsi="Arial" w:cs="Arial"/>
          <w:i/>
          <w:iCs/>
          <w:lang w:eastAsia="en-GB"/>
        </w:rPr>
        <w:t>Harvard Business Review</w:t>
      </w:r>
      <w:r w:rsidRPr="004C478B">
        <w:rPr>
          <w:rFonts w:ascii="Arial" w:eastAsia="Times New Roman" w:hAnsi="Arial" w:cs="Arial"/>
          <w:lang w:eastAsia="en-GB"/>
        </w:rPr>
        <w:t xml:space="preserve">, 35(5), pp. 113–124. Available at: </w:t>
      </w:r>
      <w:hyperlink r:id="rId9" w:history="1">
        <w:r w:rsidRPr="004C478B">
          <w:rPr>
            <w:rStyle w:val="Hyperlink"/>
            <w:rFonts w:ascii="Arial" w:eastAsia="Times New Roman" w:hAnsi="Arial" w:cs="Arial"/>
            <w:lang w:eastAsia="en-GB"/>
          </w:rPr>
          <w:t>https://www.scirp.org/reference/ReferencesPapers?ReferenceID=2431794</w:t>
        </w:r>
      </w:hyperlink>
      <w:r w:rsidRPr="004C478B">
        <w:rPr>
          <w:rFonts w:ascii="Arial" w:eastAsia="Times New Roman" w:hAnsi="Arial" w:cs="Arial"/>
          <w:lang w:eastAsia="en-GB"/>
        </w:rPr>
        <w:t xml:space="preserve">. Accessed: 06/02/2026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Barney, J. (1991) ‘Firm resources and sustained competitive advantage’, </w:t>
      </w:r>
      <w:r w:rsidRPr="004C478B">
        <w:rPr>
          <w:rFonts w:ascii="Arial" w:eastAsia="Times New Roman" w:hAnsi="Arial" w:cs="Arial"/>
          <w:i/>
          <w:iCs/>
          <w:lang w:eastAsia="en-GB"/>
        </w:rPr>
        <w:t>Journal of Management</w:t>
      </w:r>
      <w:r w:rsidRPr="004C478B">
        <w:rPr>
          <w:rFonts w:ascii="Arial" w:eastAsia="Times New Roman" w:hAnsi="Arial" w:cs="Arial"/>
          <w:lang w:eastAsia="en-GB"/>
        </w:rPr>
        <w:t xml:space="preserve">, 17(1), pp. 99–120. Available at: </w:t>
      </w:r>
      <w:hyperlink r:id="rId10" w:history="1">
        <w:r w:rsidRPr="004C478B">
          <w:rPr>
            <w:rStyle w:val="Hyperlink"/>
            <w:rFonts w:ascii="Arial" w:eastAsia="Times New Roman" w:hAnsi="Arial" w:cs="Arial"/>
            <w:lang w:eastAsia="en-GB"/>
          </w:rPr>
          <w:t>https://www.scirp.org/reference/referencespapers?referenceid=1654329</w:t>
        </w:r>
      </w:hyperlink>
      <w:r w:rsidRPr="004C478B">
        <w:rPr>
          <w:rFonts w:ascii="Arial" w:eastAsia="Times New Roman" w:hAnsi="Arial" w:cs="Arial"/>
          <w:lang w:eastAsia="en-GB"/>
        </w:rPr>
        <w:t xml:space="preserve">.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Carrington, M., Neville, B. and Whitwell, G. (2010) ‘Why ethical consumers don’t walk their talk’, </w:t>
      </w:r>
      <w:r w:rsidRPr="004C478B">
        <w:rPr>
          <w:rFonts w:ascii="Arial" w:eastAsia="Times New Roman" w:hAnsi="Arial" w:cs="Arial"/>
          <w:i/>
          <w:iCs/>
          <w:lang w:eastAsia="en-GB"/>
        </w:rPr>
        <w:t>Journal of Business Ethics</w:t>
      </w:r>
      <w:r w:rsidRPr="004C478B">
        <w:rPr>
          <w:rFonts w:ascii="Arial" w:eastAsia="Times New Roman" w:hAnsi="Arial" w:cs="Arial"/>
          <w:lang w:eastAsia="en-GB"/>
        </w:rPr>
        <w:t>, 97(1), pp. 139–158.</w:t>
      </w:r>
    </w:p>
    <w:p w:rsidR="00240D25" w:rsidRPr="004C478B" w:rsidRDefault="00240D25" w:rsidP="004C478B">
      <w:pPr>
        <w:spacing w:before="100" w:beforeAutospacing="1" w:after="100" w:afterAutospacing="1" w:line="360" w:lineRule="auto"/>
        <w:rPr>
          <w:rFonts w:ascii="Arial" w:hAnsi="Arial" w:cs="Arial"/>
          <w:color w:val="222222"/>
          <w:shd w:val="clear" w:color="auto" w:fill="FFFFFF"/>
        </w:rPr>
      </w:pPr>
      <w:proofErr w:type="spellStart"/>
      <w:r w:rsidRPr="004C478B">
        <w:rPr>
          <w:rFonts w:ascii="Arial" w:hAnsi="Arial" w:cs="Arial"/>
          <w:color w:val="222222"/>
          <w:shd w:val="clear" w:color="auto" w:fill="FFFFFF"/>
        </w:rPr>
        <w:t>Çitilci</w:t>
      </w:r>
      <w:proofErr w:type="spellEnd"/>
      <w:r w:rsidRPr="004C478B">
        <w:rPr>
          <w:rFonts w:ascii="Arial" w:hAnsi="Arial" w:cs="Arial"/>
          <w:color w:val="222222"/>
          <w:shd w:val="clear" w:color="auto" w:fill="FFFFFF"/>
        </w:rPr>
        <w:t>, T. and Akbalık, M., 2020. The importance of PESTEL analysis for environmental scanning process. In </w:t>
      </w:r>
      <w:r w:rsidRPr="004C478B">
        <w:rPr>
          <w:rFonts w:ascii="Arial" w:hAnsi="Arial" w:cs="Arial"/>
          <w:i/>
          <w:iCs/>
          <w:color w:val="222222"/>
          <w:shd w:val="clear" w:color="auto" w:fill="FFFFFF"/>
        </w:rPr>
        <w:t>Handbook of research on decision-making techniques in financial marketing</w:t>
      </w:r>
      <w:r w:rsidRPr="004C478B">
        <w:rPr>
          <w:rFonts w:ascii="Arial" w:hAnsi="Arial" w:cs="Arial"/>
          <w:color w:val="222222"/>
          <w:shd w:val="clear" w:color="auto" w:fill="FFFFFF"/>
        </w:rPr>
        <w:t xml:space="preserve"> (pp. 336-357). Available at: </w:t>
      </w:r>
      <w:hyperlink r:id="rId11" w:history="1">
        <w:r w:rsidRPr="004C478B">
          <w:rPr>
            <w:rStyle w:val="Hyperlink"/>
            <w:rFonts w:ascii="Arial" w:hAnsi="Arial" w:cs="Arial"/>
            <w:shd w:val="clear" w:color="auto" w:fill="FFFFFF"/>
          </w:rPr>
          <w:t>https://www.igi-global.com/chapter/the-importance-of-pestel-analysis-for-environmental-scanning-process/241707</w:t>
        </w:r>
      </w:hyperlink>
      <w:r w:rsidRPr="004C478B">
        <w:rPr>
          <w:rFonts w:ascii="Arial" w:hAnsi="Arial" w:cs="Arial"/>
          <w:color w:val="222222"/>
          <w:shd w:val="clear" w:color="auto" w:fill="FFFFFF"/>
        </w:rPr>
        <w:t>. Accessed 06/02/2026.</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proofErr w:type="spellStart"/>
      <w:r w:rsidRPr="004C478B">
        <w:rPr>
          <w:rFonts w:ascii="Arial" w:eastAsia="Times New Roman" w:hAnsi="Arial" w:cs="Arial"/>
          <w:lang w:eastAsia="en-GB"/>
        </w:rPr>
        <w:t>Delmas</w:t>
      </w:r>
      <w:proofErr w:type="spellEnd"/>
      <w:r w:rsidRPr="004C478B">
        <w:rPr>
          <w:rFonts w:ascii="Arial" w:eastAsia="Times New Roman" w:hAnsi="Arial" w:cs="Arial"/>
          <w:lang w:eastAsia="en-GB"/>
        </w:rPr>
        <w:t xml:space="preserve">, M. and Burbano, V. (2011) ‘The drivers of </w:t>
      </w:r>
      <w:proofErr w:type="spellStart"/>
      <w:r w:rsidRPr="004C478B">
        <w:rPr>
          <w:rFonts w:ascii="Arial" w:eastAsia="Times New Roman" w:hAnsi="Arial" w:cs="Arial"/>
          <w:lang w:eastAsia="en-GB"/>
        </w:rPr>
        <w:t>greenwashing</w:t>
      </w:r>
      <w:proofErr w:type="spellEnd"/>
      <w:r w:rsidRPr="004C478B">
        <w:rPr>
          <w:rFonts w:ascii="Arial" w:eastAsia="Times New Roman" w:hAnsi="Arial" w:cs="Arial"/>
          <w:lang w:eastAsia="en-GB"/>
        </w:rPr>
        <w:t xml:space="preserve">’, </w:t>
      </w:r>
      <w:r w:rsidRPr="004C478B">
        <w:rPr>
          <w:rFonts w:ascii="Arial" w:eastAsia="Times New Roman" w:hAnsi="Arial" w:cs="Arial"/>
          <w:i/>
          <w:iCs/>
          <w:lang w:eastAsia="en-GB"/>
        </w:rPr>
        <w:t>California Management Review</w:t>
      </w:r>
      <w:r w:rsidRPr="004C478B">
        <w:rPr>
          <w:rFonts w:ascii="Arial" w:eastAsia="Times New Roman" w:hAnsi="Arial" w:cs="Arial"/>
          <w:lang w:eastAsia="en-GB"/>
        </w:rPr>
        <w:t xml:space="preserve">, 54(1), pp. 64–87. Available at </w:t>
      </w:r>
      <w:hyperlink r:id="rId12" w:history="1">
        <w:r w:rsidRPr="004C478B">
          <w:rPr>
            <w:rStyle w:val="Hyperlink"/>
            <w:rFonts w:ascii="Arial" w:eastAsia="Times New Roman" w:hAnsi="Arial" w:cs="Arial"/>
            <w:lang w:eastAsia="en-GB"/>
          </w:rPr>
          <w:t>https://www.scirp.org/reference/referencespapers?referenceid=3441903</w:t>
        </w:r>
      </w:hyperlink>
      <w:r w:rsidRPr="004C478B">
        <w:rPr>
          <w:rFonts w:ascii="Arial" w:eastAsia="Times New Roman" w:hAnsi="Arial" w:cs="Arial"/>
          <w:lang w:eastAsia="en-GB"/>
        </w:rPr>
        <w:t>. Accessed 16/02/2026</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Donaldson, T. and Preston, L. (1995) ‘The stakeholder theory of the corporation’, </w:t>
      </w:r>
      <w:r w:rsidRPr="004C478B">
        <w:rPr>
          <w:rFonts w:ascii="Arial" w:eastAsia="Times New Roman" w:hAnsi="Arial" w:cs="Arial"/>
          <w:i/>
          <w:iCs/>
          <w:lang w:eastAsia="en-GB"/>
        </w:rPr>
        <w:t>Academy of Management Review</w:t>
      </w:r>
      <w:r w:rsidRPr="004C478B">
        <w:rPr>
          <w:rFonts w:ascii="Arial" w:eastAsia="Times New Roman" w:hAnsi="Arial" w:cs="Arial"/>
          <w:lang w:eastAsia="en-GB"/>
        </w:rPr>
        <w:t xml:space="preserve">, 20(1), pp. 65–91. Available at: </w:t>
      </w:r>
      <w:hyperlink r:id="rId13" w:history="1">
        <w:r w:rsidRPr="004C478B">
          <w:rPr>
            <w:rStyle w:val="Hyperlink"/>
            <w:rFonts w:ascii="Arial" w:eastAsia="Times New Roman" w:hAnsi="Arial" w:cs="Arial"/>
            <w:lang w:eastAsia="en-GB"/>
          </w:rPr>
          <w:t>https://studylib.net/doc/28254621/donaldson-stakeholdertheorycorporation-1995</w:t>
        </w:r>
      </w:hyperlink>
      <w:r w:rsidRPr="004C478B">
        <w:rPr>
          <w:rFonts w:ascii="Arial" w:eastAsia="Times New Roman" w:hAnsi="Arial" w:cs="Arial"/>
          <w:lang w:eastAsia="en-GB"/>
        </w:rPr>
        <w:t xml:space="preserve">. </w:t>
      </w:r>
      <w:proofErr w:type="spellStart"/>
      <w:r w:rsidRPr="004C478B">
        <w:rPr>
          <w:rFonts w:ascii="Arial" w:eastAsia="Times New Roman" w:hAnsi="Arial" w:cs="Arial"/>
          <w:lang w:eastAsia="en-GB"/>
        </w:rPr>
        <w:t>Accesss</w:t>
      </w:r>
      <w:proofErr w:type="spellEnd"/>
      <w:r w:rsidRPr="004C478B">
        <w:rPr>
          <w:rFonts w:ascii="Arial" w:eastAsia="Times New Roman" w:hAnsi="Arial" w:cs="Arial"/>
          <w:lang w:eastAsia="en-GB"/>
        </w:rPr>
        <w:t>/ 16/02/2023</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Doran, G. (1981) ‘There’s a SMART way to write management’s goals’, </w:t>
      </w:r>
      <w:r w:rsidRPr="004C478B">
        <w:rPr>
          <w:rFonts w:ascii="Arial" w:eastAsia="Times New Roman" w:hAnsi="Arial" w:cs="Arial"/>
          <w:i/>
          <w:iCs/>
          <w:lang w:eastAsia="en-GB"/>
        </w:rPr>
        <w:t>Management Review</w:t>
      </w:r>
      <w:r w:rsidRPr="004C478B">
        <w:rPr>
          <w:rFonts w:ascii="Arial" w:eastAsia="Times New Roman" w:hAnsi="Arial" w:cs="Arial"/>
          <w:lang w:eastAsia="en-GB"/>
        </w:rPr>
        <w:t xml:space="preserve">, 70(11), pp. 35–36. </w:t>
      </w:r>
      <w:hyperlink r:id="rId14" w:history="1">
        <w:r w:rsidRPr="004C478B">
          <w:rPr>
            <w:rStyle w:val="Hyperlink"/>
            <w:rFonts w:ascii="Arial" w:eastAsia="Times New Roman" w:hAnsi="Arial" w:cs="Arial"/>
            <w:lang w:eastAsia="en-GB"/>
          </w:rPr>
          <w:t>https://www.singh.gg/20-literature-notes/doran1981/</w:t>
        </w:r>
      </w:hyperlink>
      <w:r w:rsidRPr="004C478B">
        <w:rPr>
          <w:rFonts w:ascii="Arial" w:eastAsia="Times New Roman" w:hAnsi="Arial" w:cs="Arial"/>
          <w:lang w:eastAsia="en-GB"/>
        </w:rPr>
        <w:t>. Accessed 20/02/2023</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Euro monitor (2024) </w:t>
      </w:r>
      <w:r w:rsidRPr="004C478B">
        <w:rPr>
          <w:rFonts w:ascii="Arial" w:eastAsia="Times New Roman" w:hAnsi="Arial" w:cs="Arial"/>
          <w:i/>
          <w:iCs/>
          <w:lang w:eastAsia="en-GB"/>
        </w:rPr>
        <w:t>Global Functional Beverage Report</w:t>
      </w:r>
      <w:r w:rsidRPr="004C478B">
        <w:rPr>
          <w:rFonts w:ascii="Arial" w:eastAsia="Times New Roman" w:hAnsi="Arial" w:cs="Arial"/>
          <w:lang w:eastAsia="en-GB"/>
        </w:rPr>
        <w:t xml:space="preserve">. Available at: </w:t>
      </w:r>
      <w:hyperlink r:id="rId15" w:history="1">
        <w:r w:rsidRPr="004C478B">
          <w:rPr>
            <w:rStyle w:val="Hyperlink"/>
            <w:rFonts w:ascii="Arial" w:eastAsia="Times New Roman" w:hAnsi="Arial" w:cs="Arial"/>
            <w:lang w:eastAsia="en-GB"/>
          </w:rPr>
          <w:t>https://www.euromonitor.com/newsroom/press-releases/june-2025/innovation-and-functionality-drive-global-soft-drinks-market-to-usd1.1-trillion</w:t>
        </w:r>
      </w:hyperlink>
      <w:r w:rsidRPr="004C478B">
        <w:rPr>
          <w:rFonts w:ascii="Arial" w:eastAsia="Times New Roman" w:hAnsi="Arial" w:cs="Arial"/>
          <w:lang w:eastAsia="en-GB"/>
        </w:rPr>
        <w:t xml:space="preserve">.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European Commission (2023) </w:t>
      </w:r>
      <w:r w:rsidRPr="004C478B">
        <w:rPr>
          <w:rFonts w:ascii="Arial" w:eastAsia="Times New Roman" w:hAnsi="Arial" w:cs="Arial"/>
          <w:i/>
          <w:iCs/>
          <w:lang w:eastAsia="en-GB"/>
        </w:rPr>
        <w:t>Sustainable Packaging Directive Update</w:t>
      </w:r>
      <w:r w:rsidRPr="004C478B">
        <w:rPr>
          <w:rFonts w:ascii="Arial" w:eastAsia="Times New Roman" w:hAnsi="Arial" w:cs="Arial"/>
          <w:lang w:eastAsia="en-GB"/>
        </w:rPr>
        <w:t xml:space="preserve">. Available at: </w:t>
      </w:r>
      <w:hyperlink r:id="rId16" w:history="1">
        <w:r w:rsidRPr="004C478B">
          <w:rPr>
            <w:rStyle w:val="Hyperlink"/>
            <w:rFonts w:ascii="Arial" w:eastAsia="Times New Roman" w:hAnsi="Arial" w:cs="Arial"/>
            <w:lang w:eastAsia="en-GB"/>
          </w:rPr>
          <w:t>https://commission.europa.eu/energy-climate-change-environment/standards-tools-and-</w:t>
        </w:r>
        <w:r w:rsidRPr="004C478B">
          <w:rPr>
            <w:rStyle w:val="Hyperlink"/>
            <w:rFonts w:ascii="Arial" w:eastAsia="Times New Roman" w:hAnsi="Arial" w:cs="Arial"/>
            <w:lang w:eastAsia="en-GB"/>
          </w:rPr>
          <w:lastRenderedPageBreak/>
          <w:t>labels/products-labelling-rules-and-requirements/ecodesign-sustainable-products-regulation_en</w:t>
        </w:r>
      </w:hyperlink>
      <w:r w:rsidRPr="004C478B">
        <w:rPr>
          <w:rFonts w:ascii="Arial" w:eastAsia="Times New Roman" w:hAnsi="Arial" w:cs="Arial"/>
          <w:lang w:eastAsia="en-GB"/>
        </w:rPr>
        <w:t xml:space="preserve">. </w:t>
      </w:r>
    </w:p>
    <w:p w:rsidR="00240D25" w:rsidRPr="004C478B" w:rsidRDefault="00240D25" w:rsidP="004C478B">
      <w:pPr>
        <w:pStyle w:val="NormalWeb"/>
        <w:spacing w:before="0" w:beforeAutospacing="0" w:after="0" w:afterAutospacing="0" w:line="360" w:lineRule="auto"/>
        <w:ind w:left="720" w:hanging="720"/>
        <w:rPr>
          <w:rFonts w:ascii="Arial" w:hAnsi="Arial" w:cs="Arial"/>
          <w:sz w:val="22"/>
          <w:szCs w:val="22"/>
        </w:rPr>
      </w:pPr>
      <w:r w:rsidRPr="004C478B">
        <w:rPr>
          <w:rFonts w:ascii="Arial" w:hAnsi="Arial" w:cs="Arial"/>
          <w:sz w:val="22"/>
          <w:szCs w:val="22"/>
        </w:rPr>
        <w:t xml:space="preserve">European Commission (2024) </w:t>
      </w:r>
      <w:proofErr w:type="spellStart"/>
      <w:r w:rsidRPr="004C478B">
        <w:rPr>
          <w:rFonts w:ascii="Arial" w:hAnsi="Arial" w:cs="Arial"/>
          <w:i/>
          <w:iCs/>
          <w:sz w:val="22"/>
          <w:szCs w:val="22"/>
        </w:rPr>
        <w:t>Eurobarometer</w:t>
      </w:r>
      <w:proofErr w:type="spellEnd"/>
      <w:r w:rsidRPr="004C478B">
        <w:rPr>
          <w:rFonts w:ascii="Arial" w:hAnsi="Arial" w:cs="Arial"/>
          <w:sz w:val="22"/>
          <w:szCs w:val="22"/>
        </w:rPr>
        <w:t xml:space="preserve">, European Union. Available at: </w:t>
      </w:r>
      <w:hyperlink r:id="rId17" w:history="1">
        <w:r w:rsidRPr="004C478B">
          <w:rPr>
            <w:rStyle w:val="Hyperlink"/>
            <w:rFonts w:ascii="Arial" w:hAnsi="Arial" w:cs="Arial"/>
            <w:sz w:val="22"/>
            <w:szCs w:val="22"/>
          </w:rPr>
          <w:t>https://europa.eu/eurobarometer/surveys/detail/3173</w:t>
        </w:r>
      </w:hyperlink>
      <w:r w:rsidRPr="004C478B">
        <w:rPr>
          <w:rFonts w:ascii="Arial" w:hAnsi="Arial" w:cs="Arial"/>
          <w:sz w:val="22"/>
          <w:szCs w:val="22"/>
        </w:rPr>
        <w:t xml:space="preserve">.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proofErr w:type="spellStart"/>
      <w:r w:rsidRPr="004C478B">
        <w:rPr>
          <w:rFonts w:ascii="Arial" w:eastAsia="Times New Roman" w:hAnsi="Arial" w:cs="Arial"/>
          <w:lang w:eastAsia="en-GB"/>
        </w:rPr>
        <w:t>Geyskens</w:t>
      </w:r>
      <w:proofErr w:type="spellEnd"/>
      <w:r w:rsidRPr="004C478B">
        <w:rPr>
          <w:rFonts w:ascii="Arial" w:eastAsia="Times New Roman" w:hAnsi="Arial" w:cs="Arial"/>
          <w:lang w:eastAsia="en-GB"/>
        </w:rPr>
        <w:t xml:space="preserve">, I., Gielens, K. and Gijsbrechts, E. (2010) ‘Private label marketing’, </w:t>
      </w:r>
      <w:r w:rsidRPr="004C478B">
        <w:rPr>
          <w:rFonts w:ascii="Arial" w:eastAsia="Times New Roman" w:hAnsi="Arial" w:cs="Arial"/>
          <w:i/>
          <w:iCs/>
          <w:lang w:eastAsia="en-GB"/>
        </w:rPr>
        <w:t>Journal of Marketing</w:t>
      </w:r>
      <w:r w:rsidRPr="004C478B">
        <w:rPr>
          <w:rFonts w:ascii="Arial" w:eastAsia="Times New Roman" w:hAnsi="Arial" w:cs="Arial"/>
          <w:lang w:eastAsia="en-GB"/>
        </w:rPr>
        <w:t>, 74(6), pp. 1–15.</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Harrison, J. and Wicks, A. (2013) ‘Stakeholder theory, value, and firm performance’, </w:t>
      </w:r>
      <w:r w:rsidRPr="004C478B">
        <w:rPr>
          <w:rFonts w:ascii="Arial" w:eastAsia="Times New Roman" w:hAnsi="Arial" w:cs="Arial"/>
          <w:i/>
          <w:iCs/>
          <w:lang w:eastAsia="en-GB"/>
        </w:rPr>
        <w:t>Business Ethics Quarterly</w:t>
      </w:r>
      <w:r w:rsidRPr="004C478B">
        <w:rPr>
          <w:rFonts w:ascii="Arial" w:eastAsia="Times New Roman" w:hAnsi="Arial" w:cs="Arial"/>
          <w:lang w:eastAsia="en-GB"/>
        </w:rPr>
        <w:t>, 23(1), pp. 97–124.</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hAnsi="Arial" w:cs="Arial"/>
          <w:color w:val="222222"/>
          <w:shd w:val="clear" w:color="auto" w:fill="FFFFFF"/>
        </w:rPr>
        <w:t xml:space="preserve"> IGI Global Scientific </w:t>
      </w:r>
      <w:proofErr w:type="spellStart"/>
      <w:r w:rsidRPr="004C478B">
        <w:rPr>
          <w:rFonts w:ascii="Arial" w:hAnsi="Arial" w:cs="Arial"/>
          <w:color w:val="222222"/>
          <w:shd w:val="clear" w:color="auto" w:fill="FFFFFF"/>
        </w:rPr>
        <w:t>Publishing.</w:t>
      </w:r>
      <w:r w:rsidRPr="004C478B">
        <w:rPr>
          <w:rFonts w:ascii="Arial" w:eastAsia="Times New Roman" w:hAnsi="Arial" w:cs="Arial"/>
          <w:lang w:eastAsia="en-GB"/>
        </w:rPr>
        <w:t>Kaplan</w:t>
      </w:r>
      <w:proofErr w:type="spellEnd"/>
      <w:r w:rsidRPr="004C478B">
        <w:rPr>
          <w:rFonts w:ascii="Arial" w:eastAsia="Times New Roman" w:hAnsi="Arial" w:cs="Arial"/>
          <w:lang w:eastAsia="en-GB"/>
        </w:rPr>
        <w:t xml:space="preserve">, R. and Norton, D. (1996) </w:t>
      </w:r>
      <w:proofErr w:type="gramStart"/>
      <w:r w:rsidRPr="004C478B">
        <w:rPr>
          <w:rFonts w:ascii="Arial" w:eastAsia="Times New Roman" w:hAnsi="Arial" w:cs="Arial"/>
          <w:i/>
          <w:iCs/>
          <w:lang w:eastAsia="en-GB"/>
        </w:rPr>
        <w:t>The</w:t>
      </w:r>
      <w:proofErr w:type="gramEnd"/>
      <w:r w:rsidRPr="004C478B">
        <w:rPr>
          <w:rFonts w:ascii="Arial" w:eastAsia="Times New Roman" w:hAnsi="Arial" w:cs="Arial"/>
          <w:i/>
          <w:iCs/>
          <w:lang w:eastAsia="en-GB"/>
        </w:rPr>
        <w:t xml:space="preserve"> Balanced Scorecard</w:t>
      </w:r>
      <w:r w:rsidRPr="004C478B">
        <w:rPr>
          <w:rFonts w:ascii="Arial" w:eastAsia="Times New Roman" w:hAnsi="Arial" w:cs="Arial"/>
          <w:lang w:eastAsia="en-GB"/>
        </w:rPr>
        <w:t>.</w:t>
      </w:r>
    </w:p>
    <w:p w:rsidR="00240D25" w:rsidRPr="00B85089" w:rsidRDefault="00240D25" w:rsidP="00B217DB">
      <w:pPr>
        <w:spacing w:after="0" w:line="480" w:lineRule="auto"/>
        <w:ind w:hanging="720"/>
        <w:rPr>
          <w:rFonts w:ascii="Times New Roman" w:eastAsia="Times New Roman" w:hAnsi="Times New Roman" w:cs="Times New Roman"/>
          <w:sz w:val="24"/>
          <w:szCs w:val="24"/>
          <w:lang w:eastAsia="en-GB"/>
        </w:rPr>
      </w:pPr>
      <w:r w:rsidRPr="001D3B78">
        <w:rPr>
          <w:rFonts w:ascii="Times New Roman" w:eastAsia="Times New Roman" w:hAnsi="Times New Roman" w:cs="Times New Roman"/>
          <w:i/>
          <w:iCs/>
          <w:sz w:val="24"/>
          <w:szCs w:val="24"/>
          <w:lang w:eastAsia="en-GB"/>
        </w:rPr>
        <w:t>Innocent Drinks SWOT Analysis (10 steps) - Strengths, weaknesses, opportunities &amp; threats</w:t>
      </w:r>
      <w:r w:rsidRPr="001D3B78">
        <w:rPr>
          <w:rFonts w:ascii="Times New Roman" w:eastAsia="Times New Roman" w:hAnsi="Times New Roman" w:cs="Times New Roman"/>
          <w:sz w:val="24"/>
          <w:szCs w:val="24"/>
          <w:lang w:eastAsia="en-GB"/>
        </w:rPr>
        <w:t>. (</w:t>
      </w:r>
      <w:proofErr w:type="spellStart"/>
      <w:r w:rsidRPr="001D3B78">
        <w:rPr>
          <w:rFonts w:ascii="Times New Roman" w:eastAsia="Times New Roman" w:hAnsi="Times New Roman" w:cs="Times New Roman"/>
          <w:sz w:val="24"/>
          <w:szCs w:val="24"/>
          <w:lang w:eastAsia="en-GB"/>
        </w:rPr>
        <w:t>n.d.</w:t>
      </w:r>
      <w:proofErr w:type="spellEnd"/>
      <w:r w:rsidRPr="001D3B78">
        <w:rPr>
          <w:rFonts w:ascii="Times New Roman" w:eastAsia="Times New Roman" w:hAnsi="Times New Roman" w:cs="Times New Roman"/>
          <w:sz w:val="24"/>
          <w:szCs w:val="24"/>
          <w:lang w:eastAsia="en-GB"/>
        </w:rPr>
        <w:t xml:space="preserve">). </w:t>
      </w:r>
      <w:hyperlink r:id="rId18" w:history="1">
        <w:r w:rsidRPr="0031797A">
          <w:rPr>
            <w:rStyle w:val="Hyperlink"/>
            <w:rFonts w:ascii="Times New Roman" w:eastAsia="Times New Roman" w:hAnsi="Times New Roman" w:cs="Times New Roman"/>
            <w:sz w:val="24"/>
            <w:szCs w:val="24"/>
            <w:lang w:eastAsia="en-GB"/>
          </w:rPr>
          <w:t>https://swotanalytica.com/hbr/innocent-drinks.php</w:t>
        </w:r>
      </w:hyperlink>
      <w:r>
        <w:rPr>
          <w:rFonts w:ascii="Times New Roman" w:eastAsia="Times New Roman" w:hAnsi="Times New Roman" w:cs="Times New Roman"/>
          <w:sz w:val="24"/>
          <w:szCs w:val="24"/>
          <w:lang w:eastAsia="en-GB"/>
        </w:rPr>
        <w:t>.</w:t>
      </w:r>
    </w:p>
    <w:p w:rsidR="00240D25" w:rsidRPr="004C478B" w:rsidRDefault="00240D25" w:rsidP="004C478B">
      <w:pPr>
        <w:pStyle w:val="NormalWeb"/>
        <w:spacing w:line="360" w:lineRule="auto"/>
        <w:rPr>
          <w:rFonts w:ascii="Arial" w:hAnsi="Arial" w:cs="Arial"/>
          <w:sz w:val="22"/>
          <w:szCs w:val="22"/>
        </w:rPr>
      </w:pPr>
      <w:r w:rsidRPr="004C478B">
        <w:rPr>
          <w:rFonts w:ascii="Arial" w:hAnsi="Arial" w:cs="Arial"/>
          <w:sz w:val="22"/>
          <w:szCs w:val="22"/>
        </w:rPr>
        <w:t>IPCC, 2023: Sections. In: Climate Change 2023: Synthesis Report. Contribution of Working Groups I, II and III to the Sixth Assessment Report of the Intergovernmental Panel on Climate Change [Core Writing Team, H. Lee and J. Romero (</w:t>
      </w:r>
      <w:proofErr w:type="gramStart"/>
      <w:r w:rsidRPr="004C478B">
        <w:rPr>
          <w:rFonts w:ascii="Arial" w:hAnsi="Arial" w:cs="Arial"/>
          <w:sz w:val="22"/>
          <w:szCs w:val="22"/>
        </w:rPr>
        <w:t>eds</w:t>
      </w:r>
      <w:proofErr w:type="gramEnd"/>
      <w:r w:rsidRPr="004C478B">
        <w:rPr>
          <w:rFonts w:ascii="Arial" w:hAnsi="Arial" w:cs="Arial"/>
          <w:sz w:val="22"/>
          <w:szCs w:val="22"/>
        </w:rPr>
        <w:t xml:space="preserve">.)]. Available at: </w:t>
      </w:r>
      <w:hyperlink r:id="rId19" w:history="1">
        <w:r w:rsidRPr="004C478B">
          <w:rPr>
            <w:rStyle w:val="Hyperlink"/>
            <w:rFonts w:ascii="Arial" w:hAnsi="Arial" w:cs="Arial"/>
            <w:sz w:val="22"/>
            <w:szCs w:val="22"/>
          </w:rPr>
          <w:t>https://www.ipcc.ch/report/ar6/syr/downloads/report/IPCC_AR6_SYR_LongerReport.pdf</w:t>
        </w:r>
      </w:hyperlink>
      <w:r w:rsidRPr="004C478B">
        <w:rPr>
          <w:rFonts w:ascii="Arial" w:hAnsi="Arial" w:cs="Arial"/>
          <w:sz w:val="22"/>
          <w:szCs w:val="22"/>
        </w:rPr>
        <w:t xml:space="preserve">.   </w:t>
      </w:r>
    </w:p>
    <w:p w:rsidR="00240D25" w:rsidRPr="00B563BE" w:rsidRDefault="00240D25" w:rsidP="00240D25">
      <w:pPr>
        <w:rPr>
          <w:rFonts w:ascii="Arial" w:hAnsi="Arial" w:cs="Arial"/>
          <w:b/>
          <w:sz w:val="24"/>
          <w:szCs w:val="24"/>
        </w:rPr>
      </w:pPr>
      <w:r>
        <w:rPr>
          <w:color w:val="05103E"/>
          <w:sz w:val="27"/>
          <w:szCs w:val="27"/>
        </w:rPr>
        <w:t>Joel, N. (2025). </w:t>
      </w:r>
      <w:r>
        <w:rPr>
          <w:i/>
          <w:iCs/>
          <w:color w:val="05103E"/>
          <w:sz w:val="27"/>
          <w:szCs w:val="27"/>
          <w:bdr w:val="single" w:sz="2" w:space="0" w:color="ECEDEE" w:frame="1"/>
        </w:rPr>
        <w:t xml:space="preserve">Food Industry Statistics in 2025 | </w:t>
      </w:r>
      <w:proofErr w:type="spellStart"/>
      <w:r>
        <w:rPr>
          <w:i/>
          <w:iCs/>
          <w:color w:val="05103E"/>
          <w:sz w:val="27"/>
          <w:szCs w:val="27"/>
          <w:bdr w:val="single" w:sz="2" w:space="0" w:color="ECEDEE" w:frame="1"/>
        </w:rPr>
        <w:t>Brimco</w:t>
      </w:r>
      <w:proofErr w:type="spellEnd"/>
      <w:r>
        <w:rPr>
          <w:color w:val="05103E"/>
          <w:sz w:val="27"/>
          <w:szCs w:val="27"/>
        </w:rPr>
        <w:t xml:space="preserve">. </w:t>
      </w:r>
      <w:proofErr w:type="spellStart"/>
      <w:r>
        <w:rPr>
          <w:color w:val="05103E"/>
          <w:sz w:val="27"/>
          <w:szCs w:val="27"/>
        </w:rPr>
        <w:t>Brimco</w:t>
      </w:r>
      <w:proofErr w:type="spellEnd"/>
      <w:r>
        <w:rPr>
          <w:color w:val="05103E"/>
          <w:sz w:val="27"/>
          <w:szCs w:val="27"/>
        </w:rPr>
        <w:t>. </w:t>
      </w:r>
      <w:hyperlink r:id="rId20" w:history="1">
        <w:r w:rsidRPr="00B63D5D">
          <w:rPr>
            <w:rStyle w:val="Hyperlink"/>
            <w:sz w:val="27"/>
            <w:szCs w:val="27"/>
            <w:bdr w:val="single" w:sz="2" w:space="0" w:color="ECEDEE" w:frame="1"/>
          </w:rPr>
          <w:t>https://www.brimco.io/food/food-industry-statistics/</w:t>
        </w:r>
      </w:hyperlink>
      <w:r>
        <w:rPr>
          <w:rStyle w:val="url"/>
          <w:color w:val="05103E"/>
          <w:sz w:val="27"/>
          <w:szCs w:val="27"/>
          <w:bdr w:val="single" w:sz="2" w:space="0" w:color="ECEDEE" w:frame="1"/>
        </w:rPr>
        <w:t>. Accessed: 25/02/2026</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Kim, W. and </w:t>
      </w:r>
      <w:proofErr w:type="spellStart"/>
      <w:r w:rsidRPr="004C478B">
        <w:rPr>
          <w:rFonts w:ascii="Arial" w:eastAsia="Times New Roman" w:hAnsi="Arial" w:cs="Arial"/>
          <w:lang w:eastAsia="en-GB"/>
        </w:rPr>
        <w:t>Mauborgne</w:t>
      </w:r>
      <w:proofErr w:type="spellEnd"/>
      <w:r w:rsidRPr="004C478B">
        <w:rPr>
          <w:rFonts w:ascii="Arial" w:eastAsia="Times New Roman" w:hAnsi="Arial" w:cs="Arial"/>
          <w:lang w:eastAsia="en-GB"/>
        </w:rPr>
        <w:t xml:space="preserve">, R. (2015) </w:t>
      </w:r>
      <w:r w:rsidRPr="004C478B">
        <w:rPr>
          <w:rFonts w:ascii="Arial" w:eastAsia="Times New Roman" w:hAnsi="Arial" w:cs="Arial"/>
          <w:i/>
          <w:iCs/>
          <w:lang w:eastAsia="en-GB"/>
        </w:rPr>
        <w:t>Blue Ocean Strategy</w:t>
      </w:r>
      <w:r w:rsidRPr="004C478B">
        <w:rPr>
          <w:rFonts w:ascii="Arial" w:eastAsia="Times New Roman" w:hAnsi="Arial" w:cs="Arial"/>
          <w:lang w:eastAsia="en-GB"/>
        </w:rPr>
        <w:t>.</w:t>
      </w:r>
    </w:p>
    <w:p w:rsidR="00240D25" w:rsidRPr="004C478B" w:rsidRDefault="00240D25" w:rsidP="004C478B">
      <w:pPr>
        <w:pStyle w:val="NormalWeb"/>
        <w:spacing w:line="360" w:lineRule="auto"/>
        <w:rPr>
          <w:rFonts w:ascii="Arial" w:hAnsi="Arial" w:cs="Arial"/>
          <w:sz w:val="22"/>
          <w:szCs w:val="22"/>
        </w:rPr>
      </w:pPr>
      <w:r w:rsidRPr="004C478B">
        <w:rPr>
          <w:rFonts w:ascii="Arial" w:hAnsi="Arial" w:cs="Arial"/>
          <w:sz w:val="22"/>
          <w:szCs w:val="22"/>
        </w:rPr>
        <w:t xml:space="preserve">Kotler, P. and Keller, K. (2016) </w:t>
      </w:r>
      <w:r w:rsidRPr="004C478B">
        <w:rPr>
          <w:rStyle w:val="Emphasis"/>
          <w:rFonts w:ascii="Arial" w:hAnsi="Arial" w:cs="Arial"/>
          <w:sz w:val="22"/>
          <w:szCs w:val="22"/>
        </w:rPr>
        <w:t>Marketing Management</w:t>
      </w:r>
      <w:r w:rsidRPr="004C478B">
        <w:rPr>
          <w:rFonts w:ascii="Arial" w:hAnsi="Arial" w:cs="Arial"/>
          <w:sz w:val="22"/>
          <w:szCs w:val="22"/>
        </w:rPr>
        <w:t>.</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Leonard-Barton, D. (1992) ‘Core capabilities and core rigidities’, </w:t>
      </w:r>
      <w:r w:rsidRPr="004C478B">
        <w:rPr>
          <w:rFonts w:ascii="Arial" w:eastAsia="Times New Roman" w:hAnsi="Arial" w:cs="Arial"/>
          <w:i/>
          <w:iCs/>
          <w:lang w:eastAsia="en-GB"/>
        </w:rPr>
        <w:t>Strategic Management Journal</w:t>
      </w:r>
      <w:r w:rsidRPr="004C478B">
        <w:rPr>
          <w:rFonts w:ascii="Arial" w:eastAsia="Times New Roman" w:hAnsi="Arial" w:cs="Arial"/>
          <w:lang w:eastAsia="en-GB"/>
        </w:rPr>
        <w:t xml:space="preserve">, 13(S1), pp. 111–125. Available at: </w:t>
      </w:r>
      <w:hyperlink r:id="rId21" w:history="1">
        <w:r w:rsidRPr="004C478B">
          <w:rPr>
            <w:rStyle w:val="Hyperlink"/>
            <w:rFonts w:ascii="Arial" w:eastAsia="Times New Roman" w:hAnsi="Arial" w:cs="Arial"/>
            <w:lang w:eastAsia="en-GB"/>
          </w:rPr>
          <w:t>https://www.jstor.org/stable/40929378</w:t>
        </w:r>
      </w:hyperlink>
      <w:r w:rsidRPr="004C478B">
        <w:rPr>
          <w:rFonts w:ascii="Arial" w:eastAsia="Times New Roman" w:hAnsi="Arial" w:cs="Arial"/>
          <w:lang w:eastAsia="en-GB"/>
        </w:rPr>
        <w:t xml:space="preserve">.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t xml:space="preserve">McKinsey (2023) </w:t>
      </w:r>
      <w:r w:rsidRPr="004C478B">
        <w:rPr>
          <w:rFonts w:ascii="Arial" w:eastAsia="Times New Roman" w:hAnsi="Arial" w:cs="Arial"/>
          <w:i/>
          <w:iCs/>
          <w:lang w:eastAsia="en-GB"/>
        </w:rPr>
        <w:t>Plant-Based Market Outlook</w:t>
      </w:r>
      <w:r w:rsidRPr="004C478B">
        <w:rPr>
          <w:rFonts w:ascii="Arial" w:eastAsia="Times New Roman" w:hAnsi="Arial" w:cs="Arial"/>
          <w:lang w:eastAsia="en-GB"/>
        </w:rPr>
        <w:t xml:space="preserve">. Available at: </w:t>
      </w:r>
      <w:hyperlink r:id="rId22" w:history="1">
        <w:r w:rsidRPr="004C478B">
          <w:rPr>
            <w:rStyle w:val="Hyperlink"/>
            <w:rFonts w:ascii="Arial" w:eastAsia="Times New Roman" w:hAnsi="Arial" w:cs="Arial"/>
            <w:lang w:eastAsia="en-GB"/>
          </w:rPr>
          <w:t>https://www.mckinsey.com/industries/agriculture/our-insights/alternative-proteins</w:t>
        </w:r>
      </w:hyperlink>
      <w:r w:rsidRPr="004C478B">
        <w:rPr>
          <w:rFonts w:ascii="Arial" w:eastAsia="Times New Roman" w:hAnsi="Arial" w:cs="Arial"/>
          <w:lang w:eastAsia="en-GB"/>
        </w:rPr>
        <w:t xml:space="preserve">. </w:t>
      </w:r>
    </w:p>
    <w:p w:rsidR="00240D25" w:rsidRPr="004C478B" w:rsidRDefault="00240D25" w:rsidP="004C478B">
      <w:pPr>
        <w:pStyle w:val="NormalWeb"/>
        <w:spacing w:line="360" w:lineRule="auto"/>
        <w:rPr>
          <w:rFonts w:ascii="Arial" w:hAnsi="Arial" w:cs="Arial"/>
          <w:sz w:val="22"/>
          <w:szCs w:val="22"/>
        </w:rPr>
      </w:pPr>
      <w:proofErr w:type="spellStart"/>
      <w:r w:rsidRPr="004C478B">
        <w:rPr>
          <w:rFonts w:ascii="Arial" w:hAnsi="Arial" w:cs="Arial"/>
          <w:sz w:val="22"/>
          <w:szCs w:val="22"/>
        </w:rPr>
        <w:t>Mintzberg</w:t>
      </w:r>
      <w:proofErr w:type="spellEnd"/>
      <w:r w:rsidRPr="004C478B">
        <w:rPr>
          <w:rFonts w:ascii="Arial" w:hAnsi="Arial" w:cs="Arial"/>
          <w:sz w:val="22"/>
          <w:szCs w:val="22"/>
        </w:rPr>
        <w:t xml:space="preserve">, H. (1994) </w:t>
      </w:r>
      <w:proofErr w:type="gramStart"/>
      <w:r w:rsidRPr="004C478B">
        <w:rPr>
          <w:rStyle w:val="Emphasis"/>
          <w:rFonts w:ascii="Arial" w:hAnsi="Arial" w:cs="Arial"/>
          <w:sz w:val="22"/>
          <w:szCs w:val="22"/>
        </w:rPr>
        <w:t>The</w:t>
      </w:r>
      <w:proofErr w:type="gramEnd"/>
      <w:r w:rsidRPr="004C478B">
        <w:rPr>
          <w:rStyle w:val="Emphasis"/>
          <w:rFonts w:ascii="Arial" w:hAnsi="Arial" w:cs="Arial"/>
          <w:sz w:val="22"/>
          <w:szCs w:val="22"/>
        </w:rPr>
        <w:t xml:space="preserve"> Rise and Fall of Strategic Planning</w:t>
      </w:r>
      <w:r w:rsidRPr="004C478B">
        <w:rPr>
          <w:rFonts w:ascii="Arial" w:hAnsi="Arial" w:cs="Arial"/>
          <w:sz w:val="22"/>
          <w:szCs w:val="22"/>
        </w:rPr>
        <w:t>. New York: Free Press.</w:t>
      </w:r>
    </w:p>
    <w:p w:rsidR="00240D25" w:rsidRPr="004C478B" w:rsidRDefault="00240D25" w:rsidP="004C478B">
      <w:pPr>
        <w:pStyle w:val="NormalWeb"/>
        <w:spacing w:line="360" w:lineRule="auto"/>
        <w:rPr>
          <w:rFonts w:ascii="Arial" w:hAnsi="Arial" w:cs="Arial"/>
          <w:sz w:val="22"/>
          <w:szCs w:val="22"/>
        </w:rPr>
      </w:pPr>
      <w:r w:rsidRPr="004C478B">
        <w:rPr>
          <w:rFonts w:ascii="Arial" w:hAnsi="Arial" w:cs="Arial"/>
          <w:sz w:val="22"/>
          <w:szCs w:val="22"/>
        </w:rPr>
        <w:t xml:space="preserve">Nielsen (2022) </w:t>
      </w:r>
      <w:r w:rsidRPr="004C478B">
        <w:rPr>
          <w:rStyle w:val="Emphasis"/>
          <w:rFonts w:ascii="Arial" w:hAnsi="Arial" w:cs="Arial"/>
          <w:sz w:val="22"/>
          <w:szCs w:val="22"/>
        </w:rPr>
        <w:t>Health and Wellness Consumer Trends</w:t>
      </w:r>
      <w:r w:rsidRPr="004C478B">
        <w:rPr>
          <w:rFonts w:ascii="Arial" w:hAnsi="Arial" w:cs="Arial"/>
          <w:sz w:val="22"/>
          <w:szCs w:val="22"/>
        </w:rPr>
        <w:t>.</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r w:rsidRPr="004C478B">
        <w:rPr>
          <w:rFonts w:ascii="Arial" w:eastAsia="Times New Roman" w:hAnsi="Arial" w:cs="Arial"/>
          <w:lang w:eastAsia="en-GB"/>
        </w:rPr>
        <w:lastRenderedPageBreak/>
        <w:t xml:space="preserve">OECD (2023) </w:t>
      </w:r>
      <w:r w:rsidRPr="004C478B">
        <w:rPr>
          <w:rFonts w:ascii="Arial" w:eastAsia="Times New Roman" w:hAnsi="Arial" w:cs="Arial"/>
          <w:i/>
          <w:iCs/>
          <w:lang w:eastAsia="en-GB"/>
        </w:rPr>
        <w:t>Economic Outlook</w:t>
      </w:r>
      <w:r w:rsidRPr="004C478B">
        <w:rPr>
          <w:rFonts w:ascii="Arial" w:eastAsia="Times New Roman" w:hAnsi="Arial" w:cs="Arial"/>
          <w:lang w:eastAsia="en-GB"/>
        </w:rPr>
        <w:t xml:space="preserve">. Available at: </w:t>
      </w:r>
      <w:hyperlink r:id="rId23" w:history="1">
        <w:r w:rsidRPr="004C478B">
          <w:rPr>
            <w:rStyle w:val="Hyperlink"/>
            <w:rFonts w:ascii="Arial" w:eastAsia="Times New Roman" w:hAnsi="Arial" w:cs="Arial"/>
            <w:lang w:eastAsia="en-GB"/>
          </w:rPr>
          <w:t>https://www.oecd.org/en/publications/oecd-economic-outlook/volume-2023/issue-1_ce188438-en.html</w:t>
        </w:r>
      </w:hyperlink>
      <w:r w:rsidRPr="004C478B">
        <w:rPr>
          <w:rFonts w:ascii="Arial" w:eastAsia="Times New Roman" w:hAnsi="Arial" w:cs="Arial"/>
          <w:lang w:eastAsia="en-GB"/>
        </w:rPr>
        <w:t xml:space="preserve">.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proofErr w:type="spellStart"/>
      <w:r w:rsidRPr="004C478B">
        <w:rPr>
          <w:rFonts w:ascii="Arial" w:hAnsi="Arial" w:cs="Arial"/>
          <w:color w:val="222222"/>
          <w:shd w:val="clear" w:color="auto" w:fill="FFFFFF"/>
        </w:rPr>
        <w:t>Pangarkar</w:t>
      </w:r>
      <w:proofErr w:type="spellEnd"/>
      <w:r w:rsidRPr="004C478B">
        <w:rPr>
          <w:rFonts w:ascii="Arial" w:hAnsi="Arial" w:cs="Arial"/>
          <w:color w:val="222222"/>
          <w:shd w:val="clear" w:color="auto" w:fill="FFFFFF"/>
        </w:rPr>
        <w:t>, N. and Prabhudesai, R., 2024. Using Porter's Five Forces analysis to drive strategy. </w:t>
      </w:r>
      <w:r w:rsidRPr="004C478B">
        <w:rPr>
          <w:rFonts w:ascii="Arial" w:hAnsi="Arial" w:cs="Arial"/>
          <w:i/>
          <w:iCs/>
          <w:color w:val="222222"/>
          <w:shd w:val="clear" w:color="auto" w:fill="FFFFFF"/>
        </w:rPr>
        <w:t>Global Business and Organizational Excellence</w:t>
      </w:r>
      <w:r w:rsidRPr="004C478B">
        <w:rPr>
          <w:rFonts w:ascii="Arial" w:hAnsi="Arial" w:cs="Arial"/>
          <w:color w:val="222222"/>
          <w:shd w:val="clear" w:color="auto" w:fill="FFFFFF"/>
        </w:rPr>
        <w:t>, </w:t>
      </w:r>
      <w:r w:rsidRPr="004C478B">
        <w:rPr>
          <w:rFonts w:ascii="Arial" w:hAnsi="Arial" w:cs="Arial"/>
          <w:i/>
          <w:iCs/>
          <w:color w:val="222222"/>
          <w:shd w:val="clear" w:color="auto" w:fill="FFFFFF"/>
        </w:rPr>
        <w:t>43</w:t>
      </w:r>
      <w:r w:rsidRPr="004C478B">
        <w:rPr>
          <w:rFonts w:ascii="Arial" w:hAnsi="Arial" w:cs="Arial"/>
          <w:color w:val="222222"/>
          <w:shd w:val="clear" w:color="auto" w:fill="FFFFFF"/>
        </w:rPr>
        <w:t xml:space="preserve">(5), pp.24-34. Available at: </w:t>
      </w:r>
      <w:hyperlink r:id="rId24" w:history="1">
        <w:r w:rsidRPr="004C478B">
          <w:rPr>
            <w:rStyle w:val="Hyperlink"/>
            <w:rFonts w:ascii="Arial" w:hAnsi="Arial" w:cs="Arial"/>
            <w:shd w:val="clear" w:color="auto" w:fill="FFFFFF"/>
          </w:rPr>
          <w:t>https://onlinelibrary.wiley.com/doi/full/10.1002/joe.22250</w:t>
        </w:r>
      </w:hyperlink>
      <w:r w:rsidRPr="004C478B">
        <w:rPr>
          <w:rFonts w:ascii="Arial" w:hAnsi="Arial" w:cs="Arial"/>
          <w:color w:val="222222"/>
          <w:shd w:val="clear" w:color="auto" w:fill="FFFFFF"/>
        </w:rPr>
        <w:t>. Accessed 06/02/2026</w:t>
      </w:r>
    </w:p>
    <w:p w:rsidR="00240D25" w:rsidRPr="004C478B" w:rsidRDefault="00240D25" w:rsidP="004C478B">
      <w:pPr>
        <w:spacing w:before="100" w:beforeAutospacing="1" w:after="100" w:afterAutospacing="1" w:line="360" w:lineRule="auto"/>
        <w:rPr>
          <w:rFonts w:ascii="Arial" w:hAnsi="Arial" w:cs="Arial"/>
          <w:color w:val="222222"/>
          <w:shd w:val="clear" w:color="auto" w:fill="FFFFFF"/>
        </w:rPr>
      </w:pPr>
      <w:r w:rsidRPr="004C478B">
        <w:rPr>
          <w:rFonts w:ascii="Arial" w:hAnsi="Arial" w:cs="Arial"/>
          <w:color w:val="222222"/>
          <w:shd w:val="clear" w:color="auto" w:fill="FFFFFF"/>
        </w:rPr>
        <w:t>Porter, M.E. and Advantage, C., 1985. Creating and sustaining superior performance. </w:t>
      </w:r>
      <w:r w:rsidRPr="004C478B">
        <w:rPr>
          <w:rFonts w:ascii="Arial" w:hAnsi="Arial" w:cs="Arial"/>
          <w:i/>
          <w:iCs/>
          <w:color w:val="222222"/>
          <w:shd w:val="clear" w:color="auto" w:fill="FFFFFF"/>
        </w:rPr>
        <w:t>Competitive advantage</w:t>
      </w:r>
      <w:r w:rsidRPr="004C478B">
        <w:rPr>
          <w:rFonts w:ascii="Arial" w:hAnsi="Arial" w:cs="Arial"/>
          <w:color w:val="222222"/>
          <w:shd w:val="clear" w:color="auto" w:fill="FFFFFF"/>
        </w:rPr>
        <w:t>, </w:t>
      </w:r>
      <w:r w:rsidRPr="004C478B">
        <w:rPr>
          <w:rFonts w:ascii="Arial" w:hAnsi="Arial" w:cs="Arial"/>
          <w:i/>
          <w:iCs/>
          <w:color w:val="222222"/>
          <w:shd w:val="clear" w:color="auto" w:fill="FFFFFF"/>
        </w:rPr>
        <w:t>167</w:t>
      </w:r>
      <w:r w:rsidRPr="004C478B">
        <w:rPr>
          <w:rFonts w:ascii="Arial" w:hAnsi="Arial" w:cs="Arial"/>
          <w:color w:val="222222"/>
          <w:shd w:val="clear" w:color="auto" w:fill="FFFFFF"/>
        </w:rPr>
        <w:t xml:space="preserve">, pp.167-206. Available at: </w:t>
      </w:r>
      <w:hyperlink r:id="rId25" w:history="1">
        <w:r w:rsidRPr="004C478B">
          <w:rPr>
            <w:rStyle w:val="Hyperlink"/>
            <w:rFonts w:ascii="Arial" w:hAnsi="Arial" w:cs="Arial"/>
            <w:shd w:val="clear" w:color="auto" w:fill="FFFFFF"/>
          </w:rPr>
          <w:t>https://d1wqtxts1xzle7.cloudfront.net/43857184/Competitive_Advantage-_creative_and_sustaining-libre.pdf?1458309931=&amp;response-content-disposition=inline%3B+filename%3DCompetitive_Advantage_creative_and_susta.pdf&amp;Expires=1771981343&amp;Signature=NaS6w8OvThLJ8rpS7IlfvSg~Xlw24QI8Sw3RzqNP2TBsQcaxkYNAcVNg2uNDiwY2P9nxuwLi6xiMW943QCMTMqogpFks~677ZZiHs1XvtFNiHHDAafJl9ZuVkRW2gDAM0esRqOzOeAcsQ3uRvfOfv06Koy0D-KPYIORYRHX7lkb3FXsCFIi-BykENzb2WYkDmQibHInursS30haFqR1WJSOXHFEKGF6I1sHalMd0CvIO7NFVD9UvcPp8NEHiCFY~VcjkQf35hv9m7W0BmZJHSZkwES7ksPzmJaMMmBDiuYDUoog0Q0VatUx97ZLOS1aZ~TzN60xXP~EJmnJel5G~Ag__&amp;Key-Pair-Id=APKAJLOHF5GGSLRBV4ZA</w:t>
        </w:r>
      </w:hyperlink>
      <w:r w:rsidRPr="004C478B">
        <w:rPr>
          <w:rFonts w:ascii="Arial" w:hAnsi="Arial" w:cs="Arial"/>
          <w:color w:val="222222"/>
          <w:shd w:val="clear" w:color="auto" w:fill="FFFFFF"/>
        </w:rPr>
        <w:t xml:space="preserve">. </w:t>
      </w:r>
    </w:p>
    <w:p w:rsidR="00240D25" w:rsidRPr="004C478B" w:rsidRDefault="00240D25" w:rsidP="004C478B">
      <w:pPr>
        <w:spacing w:before="100" w:beforeAutospacing="1" w:after="100" w:afterAutospacing="1" w:line="360" w:lineRule="auto"/>
        <w:rPr>
          <w:rFonts w:ascii="Arial" w:eastAsia="Times New Roman" w:hAnsi="Arial" w:cs="Arial"/>
          <w:lang w:eastAsia="en-GB"/>
        </w:rPr>
      </w:pPr>
      <w:proofErr w:type="spellStart"/>
      <w:r w:rsidRPr="004C478B">
        <w:rPr>
          <w:rFonts w:ascii="Arial" w:eastAsia="Times New Roman" w:hAnsi="Arial" w:cs="Arial"/>
          <w:lang w:eastAsia="en-GB"/>
        </w:rPr>
        <w:t>Saberi</w:t>
      </w:r>
      <w:proofErr w:type="spellEnd"/>
      <w:r w:rsidRPr="004C478B">
        <w:rPr>
          <w:rFonts w:ascii="Arial" w:eastAsia="Times New Roman" w:hAnsi="Arial" w:cs="Arial"/>
          <w:lang w:eastAsia="en-GB"/>
        </w:rPr>
        <w:t>, S. et al. (2019) ‘</w:t>
      </w:r>
      <w:proofErr w:type="spellStart"/>
      <w:r w:rsidRPr="004C478B">
        <w:rPr>
          <w:rFonts w:ascii="Arial" w:eastAsia="Times New Roman" w:hAnsi="Arial" w:cs="Arial"/>
          <w:lang w:eastAsia="en-GB"/>
        </w:rPr>
        <w:t>Blockchain</w:t>
      </w:r>
      <w:proofErr w:type="spellEnd"/>
      <w:r w:rsidRPr="004C478B">
        <w:rPr>
          <w:rFonts w:ascii="Arial" w:eastAsia="Times New Roman" w:hAnsi="Arial" w:cs="Arial"/>
          <w:lang w:eastAsia="en-GB"/>
        </w:rPr>
        <w:t xml:space="preserve"> technology and sustainable supply chains’, </w:t>
      </w:r>
      <w:r w:rsidRPr="004C478B">
        <w:rPr>
          <w:rFonts w:ascii="Arial" w:eastAsia="Times New Roman" w:hAnsi="Arial" w:cs="Arial"/>
          <w:i/>
          <w:iCs/>
          <w:lang w:eastAsia="en-GB"/>
        </w:rPr>
        <w:t>International Journal of Production Research</w:t>
      </w:r>
      <w:r w:rsidRPr="004C478B">
        <w:rPr>
          <w:rFonts w:ascii="Arial" w:eastAsia="Times New Roman" w:hAnsi="Arial" w:cs="Arial"/>
          <w:lang w:eastAsia="en-GB"/>
        </w:rPr>
        <w:t>, 57(7), pp. 2117–2135.</w:t>
      </w:r>
    </w:p>
    <w:p w:rsidR="00240D25" w:rsidRPr="004C478B" w:rsidRDefault="00240D25" w:rsidP="004C478B">
      <w:pPr>
        <w:pStyle w:val="NormalWeb"/>
        <w:spacing w:line="360" w:lineRule="auto"/>
        <w:rPr>
          <w:rFonts w:ascii="Arial" w:hAnsi="Arial" w:cs="Arial"/>
          <w:sz w:val="22"/>
          <w:szCs w:val="22"/>
        </w:rPr>
      </w:pPr>
      <w:proofErr w:type="spellStart"/>
      <w:r w:rsidRPr="004C478B">
        <w:rPr>
          <w:rFonts w:ascii="Arial" w:hAnsi="Arial" w:cs="Arial"/>
          <w:sz w:val="22"/>
          <w:szCs w:val="22"/>
        </w:rPr>
        <w:t>Teece</w:t>
      </w:r>
      <w:proofErr w:type="spellEnd"/>
      <w:r w:rsidRPr="004C478B">
        <w:rPr>
          <w:rFonts w:ascii="Arial" w:hAnsi="Arial" w:cs="Arial"/>
          <w:sz w:val="22"/>
          <w:szCs w:val="22"/>
        </w:rPr>
        <w:t xml:space="preserve">, D. (2007) ‘Explicating dynamic capabilities’, </w:t>
      </w:r>
      <w:r w:rsidRPr="004C478B">
        <w:rPr>
          <w:rStyle w:val="Emphasis"/>
          <w:rFonts w:ascii="Arial" w:hAnsi="Arial" w:cs="Arial"/>
          <w:sz w:val="22"/>
          <w:szCs w:val="22"/>
        </w:rPr>
        <w:t>Strategic Management Journal</w:t>
      </w:r>
      <w:r w:rsidRPr="004C478B">
        <w:rPr>
          <w:rFonts w:ascii="Arial" w:hAnsi="Arial" w:cs="Arial"/>
          <w:sz w:val="22"/>
          <w:szCs w:val="22"/>
        </w:rPr>
        <w:t>, 28(13), pp. 1319–1350.</w:t>
      </w:r>
    </w:p>
    <w:p w:rsidR="00240D25" w:rsidRPr="004C478B" w:rsidRDefault="00240D25" w:rsidP="004C478B">
      <w:pPr>
        <w:pStyle w:val="NormalWeb"/>
        <w:spacing w:before="0" w:beforeAutospacing="0" w:after="0" w:afterAutospacing="0" w:line="360" w:lineRule="auto"/>
        <w:ind w:left="720" w:hanging="720"/>
        <w:rPr>
          <w:rFonts w:ascii="Arial" w:hAnsi="Arial" w:cs="Arial"/>
          <w:color w:val="222222"/>
          <w:sz w:val="22"/>
          <w:szCs w:val="22"/>
          <w:shd w:val="clear" w:color="auto" w:fill="FFFFFF"/>
        </w:rPr>
      </w:pPr>
      <w:r w:rsidRPr="004C478B">
        <w:rPr>
          <w:rFonts w:ascii="Arial" w:hAnsi="Arial" w:cs="Arial"/>
          <w:color w:val="222222"/>
          <w:sz w:val="22"/>
          <w:szCs w:val="22"/>
          <w:shd w:val="clear" w:color="auto" w:fill="FFFFFF"/>
        </w:rPr>
        <w:t xml:space="preserve">Yildirim, H. and Yildirim, H., 2023. Building a Stakeholders’ Map of </w:t>
      </w:r>
      <w:proofErr w:type="gramStart"/>
      <w:r w:rsidRPr="004C478B">
        <w:rPr>
          <w:rFonts w:ascii="Arial" w:hAnsi="Arial" w:cs="Arial"/>
          <w:color w:val="222222"/>
          <w:sz w:val="22"/>
          <w:szCs w:val="22"/>
          <w:shd w:val="clear" w:color="auto" w:fill="FFFFFF"/>
        </w:rPr>
        <w:t>R&amp;I</w:t>
      </w:r>
      <w:proofErr w:type="gramEnd"/>
      <w:r w:rsidRPr="004C478B">
        <w:rPr>
          <w:rFonts w:ascii="Arial" w:hAnsi="Arial" w:cs="Arial"/>
          <w:color w:val="222222"/>
          <w:sz w:val="22"/>
          <w:szCs w:val="22"/>
          <w:shd w:val="clear" w:color="auto" w:fill="FFFFFF"/>
        </w:rPr>
        <w:t xml:space="preserve"> in Europe. Available at: </w:t>
      </w:r>
      <w:hyperlink r:id="rId26" w:history="1">
        <w:r w:rsidRPr="004C478B">
          <w:rPr>
            <w:rStyle w:val="Hyperlink"/>
            <w:rFonts w:ascii="Arial" w:hAnsi="Arial" w:cs="Arial"/>
            <w:sz w:val="22"/>
            <w:szCs w:val="22"/>
            <w:shd w:val="clear" w:color="auto" w:fill="FFFFFF"/>
          </w:rPr>
          <w:t>https://upcommons.upc.edu/server/api/core/bitstreams/6f21c426-4cec-47f2-a9ab-d66336f6e60e/content</w:t>
        </w:r>
      </w:hyperlink>
      <w:r w:rsidRPr="004C478B">
        <w:rPr>
          <w:rFonts w:ascii="Arial" w:hAnsi="Arial" w:cs="Arial"/>
          <w:color w:val="222222"/>
          <w:sz w:val="22"/>
          <w:szCs w:val="22"/>
          <w:shd w:val="clear" w:color="auto" w:fill="FFFFFF"/>
        </w:rPr>
        <w:t xml:space="preserve">. Accessed 23/02/26 </w:t>
      </w:r>
      <w:bookmarkStart w:id="0" w:name="_GoBack"/>
      <w:bookmarkEnd w:id="0"/>
    </w:p>
    <w:sectPr w:rsidR="00240D25" w:rsidRPr="004C478B">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00DF" w:rsidRDefault="009300DF" w:rsidP="009F4F16">
      <w:pPr>
        <w:spacing w:after="0" w:line="240" w:lineRule="auto"/>
      </w:pPr>
      <w:r>
        <w:separator/>
      </w:r>
    </w:p>
  </w:endnote>
  <w:endnote w:type="continuationSeparator" w:id="0">
    <w:p w:rsidR="009300DF" w:rsidRDefault="009300DF" w:rsidP="009F4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E6A" w:rsidRDefault="009300DF" w:rsidP="00B93E28">
    <w:pPr>
      <w:pStyle w:val="Footer"/>
      <w:pBdr>
        <w:top w:val="single" w:sz="4" w:space="1" w:color="D9D9D9" w:themeColor="background1" w:themeShade="D9"/>
      </w:pBdr>
      <w:tabs>
        <w:tab w:val="clear" w:pos="4513"/>
        <w:tab w:val="clear" w:pos="9026"/>
        <w:tab w:val="left" w:pos="6720"/>
      </w:tabs>
      <w:rPr>
        <w:b/>
        <w:bCs/>
      </w:rPr>
    </w:pPr>
    <w:sdt>
      <w:sdtPr>
        <w:id w:val="895243624"/>
        <w:docPartObj>
          <w:docPartGallery w:val="Page Numbers (Bottom of Page)"/>
          <w:docPartUnique/>
        </w:docPartObj>
      </w:sdtPr>
      <w:sdtEndPr>
        <w:rPr>
          <w:color w:val="7F7F7F" w:themeColor="background1" w:themeShade="7F"/>
          <w:spacing w:val="60"/>
        </w:rPr>
      </w:sdtEndPr>
      <w:sdtContent>
        <w:r w:rsidR="00B93E6A">
          <w:fldChar w:fldCharType="begin"/>
        </w:r>
        <w:r w:rsidR="00B93E6A">
          <w:instrText xml:space="preserve"> PAGE   \* MERGEFORMAT </w:instrText>
        </w:r>
        <w:r w:rsidR="00B93E6A">
          <w:fldChar w:fldCharType="separate"/>
        </w:r>
        <w:r w:rsidR="00600268" w:rsidRPr="00600268">
          <w:rPr>
            <w:b/>
            <w:bCs/>
            <w:noProof/>
          </w:rPr>
          <w:t>20</w:t>
        </w:r>
        <w:r w:rsidR="00B93E6A">
          <w:rPr>
            <w:b/>
            <w:bCs/>
            <w:noProof/>
          </w:rPr>
          <w:fldChar w:fldCharType="end"/>
        </w:r>
        <w:r w:rsidR="00B93E6A">
          <w:rPr>
            <w:b/>
            <w:bCs/>
          </w:rPr>
          <w:t xml:space="preserve"> | </w:t>
        </w:r>
        <w:r w:rsidR="00B93E6A">
          <w:rPr>
            <w:color w:val="7F7F7F" w:themeColor="background1" w:themeShade="7F"/>
            <w:spacing w:val="60"/>
          </w:rPr>
          <w:t>Page</w:t>
        </w:r>
      </w:sdtContent>
    </w:sdt>
    <w:r w:rsidR="00B93E28">
      <w:rPr>
        <w:color w:val="7F7F7F" w:themeColor="background1" w:themeShade="7F"/>
        <w:spacing w:val="60"/>
      </w:rPr>
      <w:tab/>
    </w:r>
  </w:p>
  <w:p w:rsidR="00B93E6A" w:rsidRDefault="00B93E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00DF" w:rsidRDefault="009300DF" w:rsidP="009F4F16">
      <w:pPr>
        <w:spacing w:after="0" w:line="240" w:lineRule="auto"/>
      </w:pPr>
      <w:r>
        <w:separator/>
      </w:r>
    </w:p>
  </w:footnote>
  <w:footnote w:type="continuationSeparator" w:id="0">
    <w:p w:rsidR="009300DF" w:rsidRDefault="009300DF" w:rsidP="009F4F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55BBC"/>
    <w:multiLevelType w:val="hybridMultilevel"/>
    <w:tmpl w:val="0C321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877B62"/>
    <w:multiLevelType w:val="multilevel"/>
    <w:tmpl w:val="6E64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2F03DA"/>
    <w:multiLevelType w:val="multilevel"/>
    <w:tmpl w:val="DB14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674C9E"/>
    <w:multiLevelType w:val="multilevel"/>
    <w:tmpl w:val="FAD0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7E5277"/>
    <w:multiLevelType w:val="multilevel"/>
    <w:tmpl w:val="D6BE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D47464"/>
    <w:multiLevelType w:val="multilevel"/>
    <w:tmpl w:val="E260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1D3237"/>
    <w:multiLevelType w:val="multilevel"/>
    <w:tmpl w:val="5190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DC1886"/>
    <w:multiLevelType w:val="multilevel"/>
    <w:tmpl w:val="1CF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0A64E3"/>
    <w:multiLevelType w:val="multilevel"/>
    <w:tmpl w:val="2C1A6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8064D6"/>
    <w:multiLevelType w:val="multilevel"/>
    <w:tmpl w:val="6C4E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202848"/>
    <w:multiLevelType w:val="multilevel"/>
    <w:tmpl w:val="1864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1634CB"/>
    <w:multiLevelType w:val="hybridMultilevel"/>
    <w:tmpl w:val="0BDE9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89E2900"/>
    <w:multiLevelType w:val="hybridMultilevel"/>
    <w:tmpl w:val="2E5E3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0"/>
  </w:num>
  <w:num w:numId="3">
    <w:abstractNumId w:val="8"/>
  </w:num>
  <w:num w:numId="4">
    <w:abstractNumId w:val="5"/>
  </w:num>
  <w:num w:numId="5">
    <w:abstractNumId w:val="7"/>
  </w:num>
  <w:num w:numId="6">
    <w:abstractNumId w:val="4"/>
  </w:num>
  <w:num w:numId="7">
    <w:abstractNumId w:val="2"/>
  </w:num>
  <w:num w:numId="8">
    <w:abstractNumId w:val="6"/>
  </w:num>
  <w:num w:numId="9">
    <w:abstractNumId w:val="1"/>
  </w:num>
  <w:num w:numId="10">
    <w:abstractNumId w:val="9"/>
  </w:num>
  <w:num w:numId="11">
    <w:abstractNumId w:val="3"/>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3BE"/>
    <w:rsid w:val="000125B1"/>
    <w:rsid w:val="0007621B"/>
    <w:rsid w:val="000A263F"/>
    <w:rsid w:val="000E4274"/>
    <w:rsid w:val="0013508D"/>
    <w:rsid w:val="00146441"/>
    <w:rsid w:val="001B484B"/>
    <w:rsid w:val="001D3B78"/>
    <w:rsid w:val="00201C45"/>
    <w:rsid w:val="002165F7"/>
    <w:rsid w:val="00240D25"/>
    <w:rsid w:val="002763A3"/>
    <w:rsid w:val="002827AF"/>
    <w:rsid w:val="00304C21"/>
    <w:rsid w:val="00324D5E"/>
    <w:rsid w:val="003269E4"/>
    <w:rsid w:val="00326B3E"/>
    <w:rsid w:val="00371FDC"/>
    <w:rsid w:val="00376FB6"/>
    <w:rsid w:val="0038759F"/>
    <w:rsid w:val="003F04A9"/>
    <w:rsid w:val="00432950"/>
    <w:rsid w:val="00464311"/>
    <w:rsid w:val="004A3A75"/>
    <w:rsid w:val="004C478B"/>
    <w:rsid w:val="004F0BE9"/>
    <w:rsid w:val="00600268"/>
    <w:rsid w:val="00606419"/>
    <w:rsid w:val="00686BD6"/>
    <w:rsid w:val="006A0274"/>
    <w:rsid w:val="00714D9F"/>
    <w:rsid w:val="00774CFF"/>
    <w:rsid w:val="007F5BB8"/>
    <w:rsid w:val="00862E2E"/>
    <w:rsid w:val="008A1BD5"/>
    <w:rsid w:val="008B0281"/>
    <w:rsid w:val="008E4B3E"/>
    <w:rsid w:val="008E7C10"/>
    <w:rsid w:val="009207B9"/>
    <w:rsid w:val="009300DF"/>
    <w:rsid w:val="009F4F16"/>
    <w:rsid w:val="00A13490"/>
    <w:rsid w:val="00A62E01"/>
    <w:rsid w:val="00A6685C"/>
    <w:rsid w:val="00AE2E5C"/>
    <w:rsid w:val="00B217DB"/>
    <w:rsid w:val="00B50DD9"/>
    <w:rsid w:val="00B563BE"/>
    <w:rsid w:val="00B566AC"/>
    <w:rsid w:val="00B85089"/>
    <w:rsid w:val="00B93E28"/>
    <w:rsid w:val="00B93E6A"/>
    <w:rsid w:val="00BA4043"/>
    <w:rsid w:val="00C14837"/>
    <w:rsid w:val="00C41729"/>
    <w:rsid w:val="00C42664"/>
    <w:rsid w:val="00C73CCD"/>
    <w:rsid w:val="00CE547A"/>
    <w:rsid w:val="00D26C5A"/>
    <w:rsid w:val="00D51E8F"/>
    <w:rsid w:val="00D74CBE"/>
    <w:rsid w:val="00D9179C"/>
    <w:rsid w:val="00DC2BE2"/>
    <w:rsid w:val="00DE27D2"/>
    <w:rsid w:val="00DE2D5E"/>
    <w:rsid w:val="00E230A4"/>
    <w:rsid w:val="00E715A7"/>
    <w:rsid w:val="00EE506C"/>
    <w:rsid w:val="00F063DA"/>
    <w:rsid w:val="00FA0729"/>
    <w:rsid w:val="00FD0AA7"/>
    <w:rsid w:val="00FE2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AE1437-AED4-4492-9D14-4A910101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40D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1483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48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547A"/>
    <w:pPr>
      <w:ind w:left="720"/>
      <w:contextualSpacing/>
    </w:pPr>
  </w:style>
  <w:style w:type="paragraph" w:styleId="NormalWeb">
    <w:name w:val="Normal (Web)"/>
    <w:basedOn w:val="Normal"/>
    <w:uiPriority w:val="99"/>
    <w:unhideWhenUsed/>
    <w:rsid w:val="000E42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0729"/>
    <w:rPr>
      <w:b/>
      <w:bCs/>
    </w:rPr>
  </w:style>
  <w:style w:type="paragraph" w:styleId="Header">
    <w:name w:val="header"/>
    <w:basedOn w:val="Normal"/>
    <w:link w:val="HeaderChar"/>
    <w:uiPriority w:val="99"/>
    <w:unhideWhenUsed/>
    <w:rsid w:val="009F4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F16"/>
  </w:style>
  <w:style w:type="paragraph" w:styleId="Footer">
    <w:name w:val="footer"/>
    <w:basedOn w:val="Normal"/>
    <w:link w:val="FooterChar"/>
    <w:uiPriority w:val="99"/>
    <w:unhideWhenUsed/>
    <w:rsid w:val="009F4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F16"/>
  </w:style>
  <w:style w:type="character" w:customStyle="1" w:styleId="Heading3Char">
    <w:name w:val="Heading 3 Char"/>
    <w:basedOn w:val="DefaultParagraphFont"/>
    <w:link w:val="Heading3"/>
    <w:uiPriority w:val="9"/>
    <w:rsid w:val="00C14837"/>
    <w:rPr>
      <w:rFonts w:ascii="Times New Roman" w:eastAsia="Times New Roman" w:hAnsi="Times New Roman" w:cs="Times New Roman"/>
      <w:b/>
      <w:bCs/>
      <w:sz w:val="27"/>
      <w:szCs w:val="27"/>
      <w:lang w:eastAsia="en-GB"/>
    </w:rPr>
  </w:style>
  <w:style w:type="character" w:customStyle="1" w:styleId="url">
    <w:name w:val="url"/>
    <w:basedOn w:val="DefaultParagraphFont"/>
    <w:rsid w:val="00862E2E"/>
  </w:style>
  <w:style w:type="character" w:styleId="Hyperlink">
    <w:name w:val="Hyperlink"/>
    <w:basedOn w:val="DefaultParagraphFont"/>
    <w:uiPriority w:val="99"/>
    <w:unhideWhenUsed/>
    <w:rsid w:val="00862E2E"/>
    <w:rPr>
      <w:color w:val="0563C1" w:themeColor="hyperlink"/>
      <w:u w:val="single"/>
    </w:rPr>
  </w:style>
  <w:style w:type="character" w:styleId="Emphasis">
    <w:name w:val="Emphasis"/>
    <w:basedOn w:val="DefaultParagraphFont"/>
    <w:uiPriority w:val="20"/>
    <w:qFormat/>
    <w:rsid w:val="004C478B"/>
    <w:rPr>
      <w:i/>
      <w:iCs/>
    </w:rPr>
  </w:style>
  <w:style w:type="character" w:customStyle="1" w:styleId="Heading2Char">
    <w:name w:val="Heading 2 Char"/>
    <w:basedOn w:val="DefaultParagraphFont"/>
    <w:link w:val="Heading2"/>
    <w:uiPriority w:val="9"/>
    <w:semiHidden/>
    <w:rsid w:val="00240D2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47067">
      <w:bodyDiv w:val="1"/>
      <w:marLeft w:val="0"/>
      <w:marRight w:val="0"/>
      <w:marTop w:val="0"/>
      <w:marBottom w:val="0"/>
      <w:divBdr>
        <w:top w:val="none" w:sz="0" w:space="0" w:color="auto"/>
        <w:left w:val="none" w:sz="0" w:space="0" w:color="auto"/>
        <w:bottom w:val="none" w:sz="0" w:space="0" w:color="auto"/>
        <w:right w:val="none" w:sz="0" w:space="0" w:color="auto"/>
      </w:divBdr>
    </w:div>
    <w:div w:id="64692310">
      <w:bodyDiv w:val="1"/>
      <w:marLeft w:val="0"/>
      <w:marRight w:val="0"/>
      <w:marTop w:val="0"/>
      <w:marBottom w:val="0"/>
      <w:divBdr>
        <w:top w:val="none" w:sz="0" w:space="0" w:color="auto"/>
        <w:left w:val="none" w:sz="0" w:space="0" w:color="auto"/>
        <w:bottom w:val="none" w:sz="0" w:space="0" w:color="auto"/>
        <w:right w:val="none" w:sz="0" w:space="0" w:color="auto"/>
      </w:divBdr>
      <w:divsChild>
        <w:div w:id="2012683760">
          <w:marLeft w:val="-720"/>
          <w:marRight w:val="0"/>
          <w:marTop w:val="0"/>
          <w:marBottom w:val="0"/>
          <w:divBdr>
            <w:top w:val="none" w:sz="0" w:space="0" w:color="auto"/>
            <w:left w:val="none" w:sz="0" w:space="0" w:color="auto"/>
            <w:bottom w:val="none" w:sz="0" w:space="0" w:color="auto"/>
            <w:right w:val="none" w:sz="0" w:space="0" w:color="auto"/>
          </w:divBdr>
        </w:div>
      </w:divsChild>
    </w:div>
    <w:div w:id="65996928">
      <w:bodyDiv w:val="1"/>
      <w:marLeft w:val="0"/>
      <w:marRight w:val="0"/>
      <w:marTop w:val="0"/>
      <w:marBottom w:val="0"/>
      <w:divBdr>
        <w:top w:val="none" w:sz="0" w:space="0" w:color="auto"/>
        <w:left w:val="none" w:sz="0" w:space="0" w:color="auto"/>
        <w:bottom w:val="none" w:sz="0" w:space="0" w:color="auto"/>
        <w:right w:val="none" w:sz="0" w:space="0" w:color="auto"/>
      </w:divBdr>
    </w:div>
    <w:div w:id="126750820">
      <w:bodyDiv w:val="1"/>
      <w:marLeft w:val="0"/>
      <w:marRight w:val="0"/>
      <w:marTop w:val="0"/>
      <w:marBottom w:val="0"/>
      <w:divBdr>
        <w:top w:val="none" w:sz="0" w:space="0" w:color="auto"/>
        <w:left w:val="none" w:sz="0" w:space="0" w:color="auto"/>
        <w:bottom w:val="none" w:sz="0" w:space="0" w:color="auto"/>
        <w:right w:val="none" w:sz="0" w:space="0" w:color="auto"/>
      </w:divBdr>
    </w:div>
    <w:div w:id="150175032">
      <w:bodyDiv w:val="1"/>
      <w:marLeft w:val="0"/>
      <w:marRight w:val="0"/>
      <w:marTop w:val="0"/>
      <w:marBottom w:val="0"/>
      <w:divBdr>
        <w:top w:val="none" w:sz="0" w:space="0" w:color="auto"/>
        <w:left w:val="none" w:sz="0" w:space="0" w:color="auto"/>
        <w:bottom w:val="none" w:sz="0" w:space="0" w:color="auto"/>
        <w:right w:val="none" w:sz="0" w:space="0" w:color="auto"/>
      </w:divBdr>
    </w:div>
    <w:div w:id="156114729">
      <w:bodyDiv w:val="1"/>
      <w:marLeft w:val="0"/>
      <w:marRight w:val="0"/>
      <w:marTop w:val="0"/>
      <w:marBottom w:val="0"/>
      <w:divBdr>
        <w:top w:val="none" w:sz="0" w:space="0" w:color="auto"/>
        <w:left w:val="none" w:sz="0" w:space="0" w:color="auto"/>
        <w:bottom w:val="none" w:sz="0" w:space="0" w:color="auto"/>
        <w:right w:val="none" w:sz="0" w:space="0" w:color="auto"/>
      </w:divBdr>
    </w:div>
    <w:div w:id="179314937">
      <w:bodyDiv w:val="1"/>
      <w:marLeft w:val="0"/>
      <w:marRight w:val="0"/>
      <w:marTop w:val="0"/>
      <w:marBottom w:val="0"/>
      <w:divBdr>
        <w:top w:val="none" w:sz="0" w:space="0" w:color="auto"/>
        <w:left w:val="none" w:sz="0" w:space="0" w:color="auto"/>
        <w:bottom w:val="none" w:sz="0" w:space="0" w:color="auto"/>
        <w:right w:val="none" w:sz="0" w:space="0" w:color="auto"/>
      </w:divBdr>
    </w:div>
    <w:div w:id="223764588">
      <w:bodyDiv w:val="1"/>
      <w:marLeft w:val="0"/>
      <w:marRight w:val="0"/>
      <w:marTop w:val="0"/>
      <w:marBottom w:val="0"/>
      <w:divBdr>
        <w:top w:val="none" w:sz="0" w:space="0" w:color="auto"/>
        <w:left w:val="none" w:sz="0" w:space="0" w:color="auto"/>
        <w:bottom w:val="none" w:sz="0" w:space="0" w:color="auto"/>
        <w:right w:val="none" w:sz="0" w:space="0" w:color="auto"/>
      </w:divBdr>
    </w:div>
    <w:div w:id="260534462">
      <w:bodyDiv w:val="1"/>
      <w:marLeft w:val="0"/>
      <w:marRight w:val="0"/>
      <w:marTop w:val="0"/>
      <w:marBottom w:val="0"/>
      <w:divBdr>
        <w:top w:val="none" w:sz="0" w:space="0" w:color="auto"/>
        <w:left w:val="none" w:sz="0" w:space="0" w:color="auto"/>
        <w:bottom w:val="none" w:sz="0" w:space="0" w:color="auto"/>
        <w:right w:val="none" w:sz="0" w:space="0" w:color="auto"/>
      </w:divBdr>
    </w:div>
    <w:div w:id="298415266">
      <w:bodyDiv w:val="1"/>
      <w:marLeft w:val="0"/>
      <w:marRight w:val="0"/>
      <w:marTop w:val="0"/>
      <w:marBottom w:val="0"/>
      <w:divBdr>
        <w:top w:val="none" w:sz="0" w:space="0" w:color="auto"/>
        <w:left w:val="none" w:sz="0" w:space="0" w:color="auto"/>
        <w:bottom w:val="none" w:sz="0" w:space="0" w:color="auto"/>
        <w:right w:val="none" w:sz="0" w:space="0" w:color="auto"/>
      </w:divBdr>
    </w:div>
    <w:div w:id="383257465">
      <w:bodyDiv w:val="1"/>
      <w:marLeft w:val="0"/>
      <w:marRight w:val="0"/>
      <w:marTop w:val="0"/>
      <w:marBottom w:val="0"/>
      <w:divBdr>
        <w:top w:val="none" w:sz="0" w:space="0" w:color="auto"/>
        <w:left w:val="none" w:sz="0" w:space="0" w:color="auto"/>
        <w:bottom w:val="none" w:sz="0" w:space="0" w:color="auto"/>
        <w:right w:val="none" w:sz="0" w:space="0" w:color="auto"/>
      </w:divBdr>
    </w:div>
    <w:div w:id="404684870">
      <w:bodyDiv w:val="1"/>
      <w:marLeft w:val="0"/>
      <w:marRight w:val="0"/>
      <w:marTop w:val="0"/>
      <w:marBottom w:val="0"/>
      <w:divBdr>
        <w:top w:val="none" w:sz="0" w:space="0" w:color="auto"/>
        <w:left w:val="none" w:sz="0" w:space="0" w:color="auto"/>
        <w:bottom w:val="none" w:sz="0" w:space="0" w:color="auto"/>
        <w:right w:val="none" w:sz="0" w:space="0" w:color="auto"/>
      </w:divBdr>
    </w:div>
    <w:div w:id="465702813">
      <w:bodyDiv w:val="1"/>
      <w:marLeft w:val="0"/>
      <w:marRight w:val="0"/>
      <w:marTop w:val="0"/>
      <w:marBottom w:val="0"/>
      <w:divBdr>
        <w:top w:val="none" w:sz="0" w:space="0" w:color="auto"/>
        <w:left w:val="none" w:sz="0" w:space="0" w:color="auto"/>
        <w:bottom w:val="none" w:sz="0" w:space="0" w:color="auto"/>
        <w:right w:val="none" w:sz="0" w:space="0" w:color="auto"/>
      </w:divBdr>
    </w:div>
    <w:div w:id="466363469">
      <w:bodyDiv w:val="1"/>
      <w:marLeft w:val="0"/>
      <w:marRight w:val="0"/>
      <w:marTop w:val="0"/>
      <w:marBottom w:val="0"/>
      <w:divBdr>
        <w:top w:val="none" w:sz="0" w:space="0" w:color="auto"/>
        <w:left w:val="none" w:sz="0" w:space="0" w:color="auto"/>
        <w:bottom w:val="none" w:sz="0" w:space="0" w:color="auto"/>
        <w:right w:val="none" w:sz="0" w:space="0" w:color="auto"/>
      </w:divBdr>
    </w:div>
    <w:div w:id="473252167">
      <w:bodyDiv w:val="1"/>
      <w:marLeft w:val="0"/>
      <w:marRight w:val="0"/>
      <w:marTop w:val="0"/>
      <w:marBottom w:val="0"/>
      <w:divBdr>
        <w:top w:val="none" w:sz="0" w:space="0" w:color="auto"/>
        <w:left w:val="none" w:sz="0" w:space="0" w:color="auto"/>
        <w:bottom w:val="none" w:sz="0" w:space="0" w:color="auto"/>
        <w:right w:val="none" w:sz="0" w:space="0" w:color="auto"/>
      </w:divBdr>
      <w:divsChild>
        <w:div w:id="1939944833">
          <w:marLeft w:val="-720"/>
          <w:marRight w:val="0"/>
          <w:marTop w:val="0"/>
          <w:marBottom w:val="0"/>
          <w:divBdr>
            <w:top w:val="none" w:sz="0" w:space="0" w:color="auto"/>
            <w:left w:val="none" w:sz="0" w:space="0" w:color="auto"/>
            <w:bottom w:val="none" w:sz="0" w:space="0" w:color="auto"/>
            <w:right w:val="none" w:sz="0" w:space="0" w:color="auto"/>
          </w:divBdr>
        </w:div>
      </w:divsChild>
    </w:div>
    <w:div w:id="538124302">
      <w:bodyDiv w:val="1"/>
      <w:marLeft w:val="0"/>
      <w:marRight w:val="0"/>
      <w:marTop w:val="0"/>
      <w:marBottom w:val="0"/>
      <w:divBdr>
        <w:top w:val="none" w:sz="0" w:space="0" w:color="auto"/>
        <w:left w:val="none" w:sz="0" w:space="0" w:color="auto"/>
        <w:bottom w:val="none" w:sz="0" w:space="0" w:color="auto"/>
        <w:right w:val="none" w:sz="0" w:space="0" w:color="auto"/>
      </w:divBdr>
    </w:div>
    <w:div w:id="567114489">
      <w:bodyDiv w:val="1"/>
      <w:marLeft w:val="0"/>
      <w:marRight w:val="0"/>
      <w:marTop w:val="0"/>
      <w:marBottom w:val="0"/>
      <w:divBdr>
        <w:top w:val="none" w:sz="0" w:space="0" w:color="auto"/>
        <w:left w:val="none" w:sz="0" w:space="0" w:color="auto"/>
        <w:bottom w:val="none" w:sz="0" w:space="0" w:color="auto"/>
        <w:right w:val="none" w:sz="0" w:space="0" w:color="auto"/>
      </w:divBdr>
    </w:div>
    <w:div w:id="629016038">
      <w:bodyDiv w:val="1"/>
      <w:marLeft w:val="0"/>
      <w:marRight w:val="0"/>
      <w:marTop w:val="0"/>
      <w:marBottom w:val="0"/>
      <w:divBdr>
        <w:top w:val="none" w:sz="0" w:space="0" w:color="auto"/>
        <w:left w:val="none" w:sz="0" w:space="0" w:color="auto"/>
        <w:bottom w:val="none" w:sz="0" w:space="0" w:color="auto"/>
        <w:right w:val="none" w:sz="0" w:space="0" w:color="auto"/>
      </w:divBdr>
    </w:div>
    <w:div w:id="640578656">
      <w:bodyDiv w:val="1"/>
      <w:marLeft w:val="0"/>
      <w:marRight w:val="0"/>
      <w:marTop w:val="0"/>
      <w:marBottom w:val="0"/>
      <w:divBdr>
        <w:top w:val="none" w:sz="0" w:space="0" w:color="auto"/>
        <w:left w:val="none" w:sz="0" w:space="0" w:color="auto"/>
        <w:bottom w:val="none" w:sz="0" w:space="0" w:color="auto"/>
        <w:right w:val="none" w:sz="0" w:space="0" w:color="auto"/>
      </w:divBdr>
    </w:div>
    <w:div w:id="675766861">
      <w:bodyDiv w:val="1"/>
      <w:marLeft w:val="0"/>
      <w:marRight w:val="0"/>
      <w:marTop w:val="0"/>
      <w:marBottom w:val="0"/>
      <w:divBdr>
        <w:top w:val="none" w:sz="0" w:space="0" w:color="auto"/>
        <w:left w:val="none" w:sz="0" w:space="0" w:color="auto"/>
        <w:bottom w:val="none" w:sz="0" w:space="0" w:color="auto"/>
        <w:right w:val="none" w:sz="0" w:space="0" w:color="auto"/>
      </w:divBdr>
    </w:div>
    <w:div w:id="688415165">
      <w:bodyDiv w:val="1"/>
      <w:marLeft w:val="0"/>
      <w:marRight w:val="0"/>
      <w:marTop w:val="0"/>
      <w:marBottom w:val="0"/>
      <w:divBdr>
        <w:top w:val="none" w:sz="0" w:space="0" w:color="auto"/>
        <w:left w:val="none" w:sz="0" w:space="0" w:color="auto"/>
        <w:bottom w:val="none" w:sz="0" w:space="0" w:color="auto"/>
        <w:right w:val="none" w:sz="0" w:space="0" w:color="auto"/>
      </w:divBdr>
    </w:div>
    <w:div w:id="696664038">
      <w:bodyDiv w:val="1"/>
      <w:marLeft w:val="0"/>
      <w:marRight w:val="0"/>
      <w:marTop w:val="0"/>
      <w:marBottom w:val="0"/>
      <w:divBdr>
        <w:top w:val="none" w:sz="0" w:space="0" w:color="auto"/>
        <w:left w:val="none" w:sz="0" w:space="0" w:color="auto"/>
        <w:bottom w:val="none" w:sz="0" w:space="0" w:color="auto"/>
        <w:right w:val="none" w:sz="0" w:space="0" w:color="auto"/>
      </w:divBdr>
    </w:div>
    <w:div w:id="742801052">
      <w:bodyDiv w:val="1"/>
      <w:marLeft w:val="0"/>
      <w:marRight w:val="0"/>
      <w:marTop w:val="0"/>
      <w:marBottom w:val="0"/>
      <w:divBdr>
        <w:top w:val="none" w:sz="0" w:space="0" w:color="auto"/>
        <w:left w:val="none" w:sz="0" w:space="0" w:color="auto"/>
        <w:bottom w:val="none" w:sz="0" w:space="0" w:color="auto"/>
        <w:right w:val="none" w:sz="0" w:space="0" w:color="auto"/>
      </w:divBdr>
    </w:div>
    <w:div w:id="751778893">
      <w:bodyDiv w:val="1"/>
      <w:marLeft w:val="0"/>
      <w:marRight w:val="0"/>
      <w:marTop w:val="0"/>
      <w:marBottom w:val="0"/>
      <w:divBdr>
        <w:top w:val="none" w:sz="0" w:space="0" w:color="auto"/>
        <w:left w:val="none" w:sz="0" w:space="0" w:color="auto"/>
        <w:bottom w:val="none" w:sz="0" w:space="0" w:color="auto"/>
        <w:right w:val="none" w:sz="0" w:space="0" w:color="auto"/>
      </w:divBdr>
    </w:div>
    <w:div w:id="758916479">
      <w:bodyDiv w:val="1"/>
      <w:marLeft w:val="0"/>
      <w:marRight w:val="0"/>
      <w:marTop w:val="0"/>
      <w:marBottom w:val="0"/>
      <w:divBdr>
        <w:top w:val="none" w:sz="0" w:space="0" w:color="auto"/>
        <w:left w:val="none" w:sz="0" w:space="0" w:color="auto"/>
        <w:bottom w:val="none" w:sz="0" w:space="0" w:color="auto"/>
        <w:right w:val="none" w:sz="0" w:space="0" w:color="auto"/>
      </w:divBdr>
    </w:div>
    <w:div w:id="816650330">
      <w:bodyDiv w:val="1"/>
      <w:marLeft w:val="0"/>
      <w:marRight w:val="0"/>
      <w:marTop w:val="0"/>
      <w:marBottom w:val="0"/>
      <w:divBdr>
        <w:top w:val="none" w:sz="0" w:space="0" w:color="auto"/>
        <w:left w:val="none" w:sz="0" w:space="0" w:color="auto"/>
        <w:bottom w:val="none" w:sz="0" w:space="0" w:color="auto"/>
        <w:right w:val="none" w:sz="0" w:space="0" w:color="auto"/>
      </w:divBdr>
    </w:div>
    <w:div w:id="876046050">
      <w:bodyDiv w:val="1"/>
      <w:marLeft w:val="0"/>
      <w:marRight w:val="0"/>
      <w:marTop w:val="0"/>
      <w:marBottom w:val="0"/>
      <w:divBdr>
        <w:top w:val="none" w:sz="0" w:space="0" w:color="auto"/>
        <w:left w:val="none" w:sz="0" w:space="0" w:color="auto"/>
        <w:bottom w:val="none" w:sz="0" w:space="0" w:color="auto"/>
        <w:right w:val="none" w:sz="0" w:space="0" w:color="auto"/>
      </w:divBdr>
    </w:div>
    <w:div w:id="1012493513">
      <w:bodyDiv w:val="1"/>
      <w:marLeft w:val="0"/>
      <w:marRight w:val="0"/>
      <w:marTop w:val="0"/>
      <w:marBottom w:val="0"/>
      <w:divBdr>
        <w:top w:val="none" w:sz="0" w:space="0" w:color="auto"/>
        <w:left w:val="none" w:sz="0" w:space="0" w:color="auto"/>
        <w:bottom w:val="none" w:sz="0" w:space="0" w:color="auto"/>
        <w:right w:val="none" w:sz="0" w:space="0" w:color="auto"/>
      </w:divBdr>
      <w:divsChild>
        <w:div w:id="1293439013">
          <w:marLeft w:val="-720"/>
          <w:marRight w:val="0"/>
          <w:marTop w:val="0"/>
          <w:marBottom w:val="0"/>
          <w:divBdr>
            <w:top w:val="none" w:sz="0" w:space="0" w:color="auto"/>
            <w:left w:val="none" w:sz="0" w:space="0" w:color="auto"/>
            <w:bottom w:val="none" w:sz="0" w:space="0" w:color="auto"/>
            <w:right w:val="none" w:sz="0" w:space="0" w:color="auto"/>
          </w:divBdr>
        </w:div>
      </w:divsChild>
    </w:div>
    <w:div w:id="1058699868">
      <w:bodyDiv w:val="1"/>
      <w:marLeft w:val="0"/>
      <w:marRight w:val="0"/>
      <w:marTop w:val="0"/>
      <w:marBottom w:val="0"/>
      <w:divBdr>
        <w:top w:val="none" w:sz="0" w:space="0" w:color="auto"/>
        <w:left w:val="none" w:sz="0" w:space="0" w:color="auto"/>
        <w:bottom w:val="none" w:sz="0" w:space="0" w:color="auto"/>
        <w:right w:val="none" w:sz="0" w:space="0" w:color="auto"/>
      </w:divBdr>
    </w:div>
    <w:div w:id="1060179549">
      <w:bodyDiv w:val="1"/>
      <w:marLeft w:val="0"/>
      <w:marRight w:val="0"/>
      <w:marTop w:val="0"/>
      <w:marBottom w:val="0"/>
      <w:divBdr>
        <w:top w:val="none" w:sz="0" w:space="0" w:color="auto"/>
        <w:left w:val="none" w:sz="0" w:space="0" w:color="auto"/>
        <w:bottom w:val="none" w:sz="0" w:space="0" w:color="auto"/>
        <w:right w:val="none" w:sz="0" w:space="0" w:color="auto"/>
      </w:divBdr>
    </w:div>
    <w:div w:id="1074352160">
      <w:bodyDiv w:val="1"/>
      <w:marLeft w:val="0"/>
      <w:marRight w:val="0"/>
      <w:marTop w:val="0"/>
      <w:marBottom w:val="0"/>
      <w:divBdr>
        <w:top w:val="none" w:sz="0" w:space="0" w:color="auto"/>
        <w:left w:val="none" w:sz="0" w:space="0" w:color="auto"/>
        <w:bottom w:val="none" w:sz="0" w:space="0" w:color="auto"/>
        <w:right w:val="none" w:sz="0" w:space="0" w:color="auto"/>
      </w:divBdr>
    </w:div>
    <w:div w:id="1082139045">
      <w:bodyDiv w:val="1"/>
      <w:marLeft w:val="0"/>
      <w:marRight w:val="0"/>
      <w:marTop w:val="0"/>
      <w:marBottom w:val="0"/>
      <w:divBdr>
        <w:top w:val="none" w:sz="0" w:space="0" w:color="auto"/>
        <w:left w:val="none" w:sz="0" w:space="0" w:color="auto"/>
        <w:bottom w:val="none" w:sz="0" w:space="0" w:color="auto"/>
        <w:right w:val="none" w:sz="0" w:space="0" w:color="auto"/>
      </w:divBdr>
    </w:div>
    <w:div w:id="1096555463">
      <w:bodyDiv w:val="1"/>
      <w:marLeft w:val="0"/>
      <w:marRight w:val="0"/>
      <w:marTop w:val="0"/>
      <w:marBottom w:val="0"/>
      <w:divBdr>
        <w:top w:val="none" w:sz="0" w:space="0" w:color="auto"/>
        <w:left w:val="none" w:sz="0" w:space="0" w:color="auto"/>
        <w:bottom w:val="none" w:sz="0" w:space="0" w:color="auto"/>
        <w:right w:val="none" w:sz="0" w:space="0" w:color="auto"/>
      </w:divBdr>
    </w:div>
    <w:div w:id="1098986794">
      <w:bodyDiv w:val="1"/>
      <w:marLeft w:val="0"/>
      <w:marRight w:val="0"/>
      <w:marTop w:val="0"/>
      <w:marBottom w:val="0"/>
      <w:divBdr>
        <w:top w:val="none" w:sz="0" w:space="0" w:color="auto"/>
        <w:left w:val="none" w:sz="0" w:space="0" w:color="auto"/>
        <w:bottom w:val="none" w:sz="0" w:space="0" w:color="auto"/>
        <w:right w:val="none" w:sz="0" w:space="0" w:color="auto"/>
      </w:divBdr>
    </w:div>
    <w:div w:id="1125272495">
      <w:bodyDiv w:val="1"/>
      <w:marLeft w:val="0"/>
      <w:marRight w:val="0"/>
      <w:marTop w:val="0"/>
      <w:marBottom w:val="0"/>
      <w:divBdr>
        <w:top w:val="none" w:sz="0" w:space="0" w:color="auto"/>
        <w:left w:val="none" w:sz="0" w:space="0" w:color="auto"/>
        <w:bottom w:val="none" w:sz="0" w:space="0" w:color="auto"/>
        <w:right w:val="none" w:sz="0" w:space="0" w:color="auto"/>
      </w:divBdr>
    </w:div>
    <w:div w:id="1211185741">
      <w:bodyDiv w:val="1"/>
      <w:marLeft w:val="0"/>
      <w:marRight w:val="0"/>
      <w:marTop w:val="0"/>
      <w:marBottom w:val="0"/>
      <w:divBdr>
        <w:top w:val="none" w:sz="0" w:space="0" w:color="auto"/>
        <w:left w:val="none" w:sz="0" w:space="0" w:color="auto"/>
        <w:bottom w:val="none" w:sz="0" w:space="0" w:color="auto"/>
        <w:right w:val="none" w:sz="0" w:space="0" w:color="auto"/>
      </w:divBdr>
    </w:div>
    <w:div w:id="1236010410">
      <w:bodyDiv w:val="1"/>
      <w:marLeft w:val="0"/>
      <w:marRight w:val="0"/>
      <w:marTop w:val="0"/>
      <w:marBottom w:val="0"/>
      <w:divBdr>
        <w:top w:val="none" w:sz="0" w:space="0" w:color="auto"/>
        <w:left w:val="none" w:sz="0" w:space="0" w:color="auto"/>
        <w:bottom w:val="none" w:sz="0" w:space="0" w:color="auto"/>
        <w:right w:val="none" w:sz="0" w:space="0" w:color="auto"/>
      </w:divBdr>
    </w:div>
    <w:div w:id="1252659407">
      <w:bodyDiv w:val="1"/>
      <w:marLeft w:val="0"/>
      <w:marRight w:val="0"/>
      <w:marTop w:val="0"/>
      <w:marBottom w:val="0"/>
      <w:divBdr>
        <w:top w:val="none" w:sz="0" w:space="0" w:color="auto"/>
        <w:left w:val="none" w:sz="0" w:space="0" w:color="auto"/>
        <w:bottom w:val="none" w:sz="0" w:space="0" w:color="auto"/>
        <w:right w:val="none" w:sz="0" w:space="0" w:color="auto"/>
      </w:divBdr>
    </w:div>
    <w:div w:id="1293318629">
      <w:bodyDiv w:val="1"/>
      <w:marLeft w:val="0"/>
      <w:marRight w:val="0"/>
      <w:marTop w:val="0"/>
      <w:marBottom w:val="0"/>
      <w:divBdr>
        <w:top w:val="none" w:sz="0" w:space="0" w:color="auto"/>
        <w:left w:val="none" w:sz="0" w:space="0" w:color="auto"/>
        <w:bottom w:val="none" w:sz="0" w:space="0" w:color="auto"/>
        <w:right w:val="none" w:sz="0" w:space="0" w:color="auto"/>
      </w:divBdr>
    </w:div>
    <w:div w:id="1329207788">
      <w:bodyDiv w:val="1"/>
      <w:marLeft w:val="0"/>
      <w:marRight w:val="0"/>
      <w:marTop w:val="0"/>
      <w:marBottom w:val="0"/>
      <w:divBdr>
        <w:top w:val="none" w:sz="0" w:space="0" w:color="auto"/>
        <w:left w:val="none" w:sz="0" w:space="0" w:color="auto"/>
        <w:bottom w:val="none" w:sz="0" w:space="0" w:color="auto"/>
        <w:right w:val="none" w:sz="0" w:space="0" w:color="auto"/>
      </w:divBdr>
      <w:divsChild>
        <w:div w:id="90202464">
          <w:marLeft w:val="-720"/>
          <w:marRight w:val="0"/>
          <w:marTop w:val="0"/>
          <w:marBottom w:val="0"/>
          <w:divBdr>
            <w:top w:val="none" w:sz="0" w:space="0" w:color="auto"/>
            <w:left w:val="none" w:sz="0" w:space="0" w:color="auto"/>
            <w:bottom w:val="none" w:sz="0" w:space="0" w:color="auto"/>
            <w:right w:val="none" w:sz="0" w:space="0" w:color="auto"/>
          </w:divBdr>
        </w:div>
      </w:divsChild>
    </w:div>
    <w:div w:id="1360468512">
      <w:bodyDiv w:val="1"/>
      <w:marLeft w:val="0"/>
      <w:marRight w:val="0"/>
      <w:marTop w:val="0"/>
      <w:marBottom w:val="0"/>
      <w:divBdr>
        <w:top w:val="none" w:sz="0" w:space="0" w:color="auto"/>
        <w:left w:val="none" w:sz="0" w:space="0" w:color="auto"/>
        <w:bottom w:val="none" w:sz="0" w:space="0" w:color="auto"/>
        <w:right w:val="none" w:sz="0" w:space="0" w:color="auto"/>
      </w:divBdr>
    </w:div>
    <w:div w:id="1435320594">
      <w:bodyDiv w:val="1"/>
      <w:marLeft w:val="0"/>
      <w:marRight w:val="0"/>
      <w:marTop w:val="0"/>
      <w:marBottom w:val="0"/>
      <w:divBdr>
        <w:top w:val="none" w:sz="0" w:space="0" w:color="auto"/>
        <w:left w:val="none" w:sz="0" w:space="0" w:color="auto"/>
        <w:bottom w:val="none" w:sz="0" w:space="0" w:color="auto"/>
        <w:right w:val="none" w:sz="0" w:space="0" w:color="auto"/>
      </w:divBdr>
    </w:div>
    <w:div w:id="1468014079">
      <w:bodyDiv w:val="1"/>
      <w:marLeft w:val="0"/>
      <w:marRight w:val="0"/>
      <w:marTop w:val="0"/>
      <w:marBottom w:val="0"/>
      <w:divBdr>
        <w:top w:val="none" w:sz="0" w:space="0" w:color="auto"/>
        <w:left w:val="none" w:sz="0" w:space="0" w:color="auto"/>
        <w:bottom w:val="none" w:sz="0" w:space="0" w:color="auto"/>
        <w:right w:val="none" w:sz="0" w:space="0" w:color="auto"/>
      </w:divBdr>
    </w:div>
    <w:div w:id="1530214435">
      <w:bodyDiv w:val="1"/>
      <w:marLeft w:val="0"/>
      <w:marRight w:val="0"/>
      <w:marTop w:val="0"/>
      <w:marBottom w:val="0"/>
      <w:divBdr>
        <w:top w:val="none" w:sz="0" w:space="0" w:color="auto"/>
        <w:left w:val="none" w:sz="0" w:space="0" w:color="auto"/>
        <w:bottom w:val="none" w:sz="0" w:space="0" w:color="auto"/>
        <w:right w:val="none" w:sz="0" w:space="0" w:color="auto"/>
      </w:divBdr>
    </w:div>
    <w:div w:id="1617518336">
      <w:bodyDiv w:val="1"/>
      <w:marLeft w:val="0"/>
      <w:marRight w:val="0"/>
      <w:marTop w:val="0"/>
      <w:marBottom w:val="0"/>
      <w:divBdr>
        <w:top w:val="none" w:sz="0" w:space="0" w:color="auto"/>
        <w:left w:val="none" w:sz="0" w:space="0" w:color="auto"/>
        <w:bottom w:val="none" w:sz="0" w:space="0" w:color="auto"/>
        <w:right w:val="none" w:sz="0" w:space="0" w:color="auto"/>
      </w:divBdr>
    </w:div>
    <w:div w:id="1690642180">
      <w:bodyDiv w:val="1"/>
      <w:marLeft w:val="0"/>
      <w:marRight w:val="0"/>
      <w:marTop w:val="0"/>
      <w:marBottom w:val="0"/>
      <w:divBdr>
        <w:top w:val="none" w:sz="0" w:space="0" w:color="auto"/>
        <w:left w:val="none" w:sz="0" w:space="0" w:color="auto"/>
        <w:bottom w:val="none" w:sz="0" w:space="0" w:color="auto"/>
        <w:right w:val="none" w:sz="0" w:space="0" w:color="auto"/>
      </w:divBdr>
    </w:div>
    <w:div w:id="1697268591">
      <w:bodyDiv w:val="1"/>
      <w:marLeft w:val="0"/>
      <w:marRight w:val="0"/>
      <w:marTop w:val="0"/>
      <w:marBottom w:val="0"/>
      <w:divBdr>
        <w:top w:val="none" w:sz="0" w:space="0" w:color="auto"/>
        <w:left w:val="none" w:sz="0" w:space="0" w:color="auto"/>
        <w:bottom w:val="none" w:sz="0" w:space="0" w:color="auto"/>
        <w:right w:val="none" w:sz="0" w:space="0" w:color="auto"/>
      </w:divBdr>
    </w:div>
    <w:div w:id="1753575706">
      <w:bodyDiv w:val="1"/>
      <w:marLeft w:val="0"/>
      <w:marRight w:val="0"/>
      <w:marTop w:val="0"/>
      <w:marBottom w:val="0"/>
      <w:divBdr>
        <w:top w:val="none" w:sz="0" w:space="0" w:color="auto"/>
        <w:left w:val="none" w:sz="0" w:space="0" w:color="auto"/>
        <w:bottom w:val="none" w:sz="0" w:space="0" w:color="auto"/>
        <w:right w:val="none" w:sz="0" w:space="0" w:color="auto"/>
      </w:divBdr>
    </w:div>
    <w:div w:id="1861237619">
      <w:bodyDiv w:val="1"/>
      <w:marLeft w:val="0"/>
      <w:marRight w:val="0"/>
      <w:marTop w:val="0"/>
      <w:marBottom w:val="0"/>
      <w:divBdr>
        <w:top w:val="none" w:sz="0" w:space="0" w:color="auto"/>
        <w:left w:val="none" w:sz="0" w:space="0" w:color="auto"/>
        <w:bottom w:val="none" w:sz="0" w:space="0" w:color="auto"/>
        <w:right w:val="none" w:sz="0" w:space="0" w:color="auto"/>
      </w:divBdr>
    </w:div>
    <w:div w:id="1862863861">
      <w:bodyDiv w:val="1"/>
      <w:marLeft w:val="0"/>
      <w:marRight w:val="0"/>
      <w:marTop w:val="0"/>
      <w:marBottom w:val="0"/>
      <w:divBdr>
        <w:top w:val="none" w:sz="0" w:space="0" w:color="auto"/>
        <w:left w:val="none" w:sz="0" w:space="0" w:color="auto"/>
        <w:bottom w:val="none" w:sz="0" w:space="0" w:color="auto"/>
        <w:right w:val="none" w:sz="0" w:space="0" w:color="auto"/>
      </w:divBdr>
    </w:div>
    <w:div w:id="1952280537">
      <w:bodyDiv w:val="1"/>
      <w:marLeft w:val="0"/>
      <w:marRight w:val="0"/>
      <w:marTop w:val="0"/>
      <w:marBottom w:val="0"/>
      <w:divBdr>
        <w:top w:val="none" w:sz="0" w:space="0" w:color="auto"/>
        <w:left w:val="none" w:sz="0" w:space="0" w:color="auto"/>
        <w:bottom w:val="none" w:sz="0" w:space="0" w:color="auto"/>
        <w:right w:val="none" w:sz="0" w:space="0" w:color="auto"/>
      </w:divBdr>
    </w:div>
    <w:div w:id="1953321928">
      <w:bodyDiv w:val="1"/>
      <w:marLeft w:val="0"/>
      <w:marRight w:val="0"/>
      <w:marTop w:val="0"/>
      <w:marBottom w:val="0"/>
      <w:divBdr>
        <w:top w:val="none" w:sz="0" w:space="0" w:color="auto"/>
        <w:left w:val="none" w:sz="0" w:space="0" w:color="auto"/>
        <w:bottom w:val="none" w:sz="0" w:space="0" w:color="auto"/>
        <w:right w:val="none" w:sz="0" w:space="0" w:color="auto"/>
      </w:divBdr>
    </w:div>
    <w:div w:id="1978299795">
      <w:bodyDiv w:val="1"/>
      <w:marLeft w:val="0"/>
      <w:marRight w:val="0"/>
      <w:marTop w:val="0"/>
      <w:marBottom w:val="0"/>
      <w:divBdr>
        <w:top w:val="none" w:sz="0" w:space="0" w:color="auto"/>
        <w:left w:val="none" w:sz="0" w:space="0" w:color="auto"/>
        <w:bottom w:val="none" w:sz="0" w:space="0" w:color="auto"/>
        <w:right w:val="none" w:sz="0" w:space="0" w:color="auto"/>
      </w:divBdr>
    </w:div>
    <w:div w:id="2014600517">
      <w:bodyDiv w:val="1"/>
      <w:marLeft w:val="0"/>
      <w:marRight w:val="0"/>
      <w:marTop w:val="0"/>
      <w:marBottom w:val="0"/>
      <w:divBdr>
        <w:top w:val="none" w:sz="0" w:space="0" w:color="auto"/>
        <w:left w:val="none" w:sz="0" w:space="0" w:color="auto"/>
        <w:bottom w:val="none" w:sz="0" w:space="0" w:color="auto"/>
        <w:right w:val="none" w:sz="0" w:space="0" w:color="auto"/>
      </w:divBdr>
    </w:div>
    <w:div w:id="2046058390">
      <w:bodyDiv w:val="1"/>
      <w:marLeft w:val="0"/>
      <w:marRight w:val="0"/>
      <w:marTop w:val="0"/>
      <w:marBottom w:val="0"/>
      <w:divBdr>
        <w:top w:val="none" w:sz="0" w:space="0" w:color="auto"/>
        <w:left w:val="none" w:sz="0" w:space="0" w:color="auto"/>
        <w:bottom w:val="none" w:sz="0" w:space="0" w:color="auto"/>
        <w:right w:val="none" w:sz="0" w:space="0" w:color="auto"/>
      </w:divBdr>
    </w:div>
    <w:div w:id="2070029013">
      <w:bodyDiv w:val="1"/>
      <w:marLeft w:val="0"/>
      <w:marRight w:val="0"/>
      <w:marTop w:val="0"/>
      <w:marBottom w:val="0"/>
      <w:divBdr>
        <w:top w:val="none" w:sz="0" w:space="0" w:color="auto"/>
        <w:left w:val="none" w:sz="0" w:space="0" w:color="auto"/>
        <w:bottom w:val="none" w:sz="0" w:space="0" w:color="auto"/>
        <w:right w:val="none" w:sz="0" w:space="0" w:color="auto"/>
      </w:divBdr>
    </w:div>
    <w:div w:id="209762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udylib.net/doc/28254621/donaldson-stakeholdertheorycorporation-1995" TargetMode="External"/><Relationship Id="rId18" Type="http://schemas.openxmlformats.org/officeDocument/2006/relationships/hyperlink" Target="https://swotanalytica.com/hbr/innocent-drinks.php" TargetMode="External"/><Relationship Id="rId26" Type="http://schemas.openxmlformats.org/officeDocument/2006/relationships/hyperlink" Target="https://upcommons.upc.edu/server/api/core/bitstreams/6f21c426-4cec-47f2-a9ab-d66336f6e60e/content" TargetMode="External"/><Relationship Id="rId3" Type="http://schemas.openxmlformats.org/officeDocument/2006/relationships/styles" Target="styles.xml"/><Relationship Id="rId21" Type="http://schemas.openxmlformats.org/officeDocument/2006/relationships/hyperlink" Target="https://www.jstor.org/stable/40929378" TargetMode="External"/><Relationship Id="rId7" Type="http://schemas.openxmlformats.org/officeDocument/2006/relationships/endnotes" Target="endnotes.xml"/><Relationship Id="rId12" Type="http://schemas.openxmlformats.org/officeDocument/2006/relationships/hyperlink" Target="https://www.scirp.org/reference/referencespapers?referenceid=3441903" TargetMode="External"/><Relationship Id="rId17" Type="http://schemas.openxmlformats.org/officeDocument/2006/relationships/hyperlink" Target="https://europa.eu/eurobarometer/surveys/detail/3173" TargetMode="External"/><Relationship Id="rId25" Type="http://schemas.openxmlformats.org/officeDocument/2006/relationships/hyperlink" Target="https://d1wqtxts1xzle7.cloudfront.net/43857184/Competitive_Advantage-_creative_and_sustaining-libre.pdf?1458309931=&amp;response-content-disposition=inline%3B+filename%3DCompetitive_Advantage_creative_and_susta.pdf&amp;Expires=1771981343&amp;Signature=NaS6w8OvThLJ8rpS7IlfvSg~Xlw24QI8Sw3RzqNP2TBsQcaxkYNAcVNg2uNDiwY2P9nxuwLi6xiMW943QCMTMqogpFks~677ZZiHs1XvtFNiHHDAafJl9ZuVkRW2gDAM0esRqOzOeAcsQ3uRvfOfv06Koy0D-KPYIORYRHX7lkb3FXsCFIi-BykENzb2WYkDmQibHInursS30haFqR1WJSOXHFEKGF6I1sHalMd0CvIO7NFVD9UvcPp8NEHiCFY~VcjkQf35hv9m7W0BmZJHSZkwES7ksPzmJaMMmBDiuYDUoog0Q0VatUx97ZLOS1aZ~TzN60xXP~EJmnJel5G~Ag__&amp;Key-Pair-Id=APKAJLOHF5GGSLRBV4ZA" TargetMode="External"/><Relationship Id="rId2" Type="http://schemas.openxmlformats.org/officeDocument/2006/relationships/numbering" Target="numbering.xml"/><Relationship Id="rId16" Type="http://schemas.openxmlformats.org/officeDocument/2006/relationships/hyperlink" Target="https://commission.europa.eu/energy-climate-change-environment/standards-tools-and-labels/products-labelling-rules-and-requirements/ecodesign-sustainable-products-regulation_en" TargetMode="External"/><Relationship Id="rId20" Type="http://schemas.openxmlformats.org/officeDocument/2006/relationships/hyperlink" Target="https://www.brimco.io/food/food-industry-statist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i-global.com/chapter/the-importance-of-pestel-analysis-for-environmental-scanning-process/241707" TargetMode="External"/><Relationship Id="rId24" Type="http://schemas.openxmlformats.org/officeDocument/2006/relationships/hyperlink" Target="https://onlinelibrary.wiley.com/doi/full/10.1002/joe.22250" TargetMode="External"/><Relationship Id="rId5" Type="http://schemas.openxmlformats.org/officeDocument/2006/relationships/webSettings" Target="webSettings.xml"/><Relationship Id="rId15" Type="http://schemas.openxmlformats.org/officeDocument/2006/relationships/hyperlink" Target="https://www.euromonitor.com/newsroom/press-releases/june-2025/innovation-and-functionality-drive-global-soft-drinks-market-to-usd1.1-trillion" TargetMode="External"/><Relationship Id="rId23" Type="http://schemas.openxmlformats.org/officeDocument/2006/relationships/hyperlink" Target="https://www.oecd.org/en/publications/oecd-economic-outlook/volume-2023/issue-1_ce188438-en.html" TargetMode="External"/><Relationship Id="rId28" Type="http://schemas.openxmlformats.org/officeDocument/2006/relationships/fontTable" Target="fontTable.xml"/><Relationship Id="rId10" Type="http://schemas.openxmlformats.org/officeDocument/2006/relationships/hyperlink" Target="https://www.scirp.org/reference/referencespapers?referenceid=1654329" TargetMode="External"/><Relationship Id="rId19" Type="http://schemas.openxmlformats.org/officeDocument/2006/relationships/hyperlink" Target="https://www.ipcc.ch/report/ar6/syr/downloads/report/IPCC_AR6_SYR_LongerReport.pdf" TargetMode="External"/><Relationship Id="rId4" Type="http://schemas.openxmlformats.org/officeDocument/2006/relationships/settings" Target="settings.xml"/><Relationship Id="rId9" Type="http://schemas.openxmlformats.org/officeDocument/2006/relationships/hyperlink" Target="https://www.scirp.org/reference/ReferencesPapers?ReferenceID=2431794" TargetMode="External"/><Relationship Id="rId14" Type="http://schemas.openxmlformats.org/officeDocument/2006/relationships/hyperlink" Target="https://www.singh.gg/20-literature-notes/doran1981/" TargetMode="External"/><Relationship Id="rId22" Type="http://schemas.openxmlformats.org/officeDocument/2006/relationships/hyperlink" Target="https://www.mckinsey.com/industries/agriculture/our-insights/alternative-protein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6ABC2-5B71-44D6-AFF8-D338F6D3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4399</TotalTime>
  <Pages>1</Pages>
  <Words>5177</Words>
  <Characters>29513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18</cp:revision>
  <dcterms:created xsi:type="dcterms:W3CDTF">2026-02-12T12:30:00Z</dcterms:created>
  <dcterms:modified xsi:type="dcterms:W3CDTF">2026-03-04T11:20:00Z</dcterms:modified>
</cp:coreProperties>
</file>