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6BECC" w14:textId="607E1F88" w:rsidR="003B1E38" w:rsidRDefault="003B1E38" w:rsidP="003B1E38">
      <w:pPr>
        <w:jc w:val="center"/>
        <w:rPr>
          <w:rFonts w:ascii="Arial" w:eastAsia="Arial" w:hAnsi="Arial" w:cs="Arial"/>
          <w:b/>
          <w:bCs/>
          <w:sz w:val="28"/>
          <w:szCs w:val="28"/>
        </w:rPr>
      </w:pPr>
      <w:r>
        <w:rPr>
          <w:rStyle w:val="normaltextrun"/>
          <w:rFonts w:ascii="Arial" w:hAnsi="Arial" w:cs="Arial"/>
          <w:b/>
          <w:bCs/>
          <w:color w:val="000000"/>
          <w:shd w:val="clear" w:color="auto" w:fill="FFFFFF"/>
        </w:rPr>
        <w:t>Essay</w:t>
      </w:r>
    </w:p>
    <w:p w14:paraId="1C525AB9" w14:textId="77777777" w:rsidR="003B1E38" w:rsidRDefault="003B1E38" w:rsidP="003B1E38">
      <w:pPr>
        <w:jc w:val="center"/>
      </w:pPr>
      <w:r>
        <w:rPr>
          <w:rFonts w:ascii="Arial" w:eastAsia="Arial" w:hAnsi="Arial" w:cs="Arial"/>
          <w:b/>
          <w:bCs/>
          <w:lang w:val="en-GB"/>
        </w:rPr>
        <w:t xml:space="preserve"> </w:t>
      </w:r>
    </w:p>
    <w:p w14:paraId="1E6F310B" w14:textId="77777777" w:rsidR="003B1E38" w:rsidRDefault="003B1E38" w:rsidP="003B1E38">
      <w:pPr>
        <w:jc w:val="center"/>
      </w:pPr>
      <w:r>
        <w:rPr>
          <w:rFonts w:ascii="Arial" w:eastAsia="Arial" w:hAnsi="Arial" w:cs="Arial"/>
          <w:b/>
          <w:bCs/>
          <w:lang w:val="en-GB"/>
        </w:rPr>
        <w:t>Student Name</w:t>
      </w:r>
    </w:p>
    <w:p w14:paraId="2AB93190" w14:textId="77777777" w:rsidR="003B1E38" w:rsidRDefault="003B1E38" w:rsidP="003B1E38">
      <w:pPr>
        <w:jc w:val="center"/>
      </w:pPr>
      <w:r>
        <w:rPr>
          <w:rFonts w:ascii="Arial" w:eastAsia="Arial" w:hAnsi="Arial" w:cs="Arial"/>
          <w:b/>
          <w:bCs/>
          <w:lang w:val="en-GB"/>
        </w:rPr>
        <w:t>Catalina Denisa Bobe</w:t>
      </w:r>
    </w:p>
    <w:p w14:paraId="1DAF2E7E" w14:textId="77777777" w:rsidR="003B1E38" w:rsidRDefault="003B1E38" w:rsidP="003B1E38">
      <w:pPr>
        <w:jc w:val="center"/>
      </w:pPr>
      <w:r>
        <w:rPr>
          <w:rFonts w:ascii="Arial" w:eastAsia="Arial" w:hAnsi="Arial" w:cs="Arial"/>
          <w:b/>
          <w:bCs/>
          <w:lang w:val="en-GB"/>
        </w:rPr>
        <w:t xml:space="preserve"> </w:t>
      </w:r>
      <w:r>
        <w:rPr>
          <w:rFonts w:ascii="Arial" w:eastAsia="Arial" w:hAnsi="Arial" w:cs="Arial"/>
          <w:b/>
          <w:bCs/>
        </w:rPr>
        <w:t xml:space="preserve"> </w:t>
      </w:r>
    </w:p>
    <w:p w14:paraId="64974EB2" w14:textId="77777777" w:rsidR="003B1E38" w:rsidRDefault="003B1E38" w:rsidP="003B1E38">
      <w:pPr>
        <w:jc w:val="center"/>
      </w:pPr>
      <w:r>
        <w:rPr>
          <w:rFonts w:ascii="Arial" w:eastAsia="Arial" w:hAnsi="Arial" w:cs="Arial"/>
          <w:b/>
          <w:bCs/>
          <w:lang w:val="en-GB"/>
        </w:rPr>
        <w:t>Student ID number</w:t>
      </w:r>
    </w:p>
    <w:p w14:paraId="1BB2E1FA" w14:textId="77777777" w:rsidR="003B1E38" w:rsidRDefault="003B1E38" w:rsidP="003B1E38">
      <w:pPr>
        <w:jc w:val="center"/>
      </w:pPr>
      <w:r>
        <w:rPr>
          <w:rFonts w:ascii="Arial" w:eastAsia="Arial" w:hAnsi="Arial" w:cs="Arial"/>
          <w:b/>
          <w:bCs/>
          <w:lang w:val="en-GB"/>
        </w:rPr>
        <w:t>2126723</w:t>
      </w:r>
    </w:p>
    <w:p w14:paraId="3893E918" w14:textId="77777777" w:rsidR="003B1E38" w:rsidRDefault="003B1E38" w:rsidP="003B1E38">
      <w:pPr>
        <w:jc w:val="center"/>
      </w:pPr>
      <w:r>
        <w:rPr>
          <w:rFonts w:ascii="Arial" w:eastAsia="Arial" w:hAnsi="Arial" w:cs="Arial"/>
          <w:b/>
          <w:bCs/>
        </w:rPr>
        <w:t xml:space="preserve"> </w:t>
      </w:r>
    </w:p>
    <w:p w14:paraId="1D621D2E" w14:textId="6071304E" w:rsidR="003B1E38" w:rsidRDefault="003B1E38" w:rsidP="003B1E38">
      <w:pPr>
        <w:jc w:val="center"/>
      </w:pPr>
      <w:r>
        <w:rPr>
          <w:rFonts w:ascii="Arial" w:eastAsia="Arial" w:hAnsi="Arial" w:cs="Arial"/>
          <w:b/>
          <w:bCs/>
        </w:rPr>
        <w:t xml:space="preserve"> Number of words:  1987</w:t>
      </w:r>
    </w:p>
    <w:p w14:paraId="580630EC" w14:textId="77777777" w:rsidR="003B1E38" w:rsidRDefault="003B1E38" w:rsidP="003B1E38">
      <w:pPr>
        <w:jc w:val="center"/>
      </w:pPr>
      <w:r>
        <w:rPr>
          <w:rFonts w:ascii="Arial" w:eastAsia="Arial" w:hAnsi="Arial" w:cs="Arial"/>
          <w:b/>
          <w:bCs/>
        </w:rPr>
        <w:t xml:space="preserve"> </w:t>
      </w:r>
    </w:p>
    <w:p w14:paraId="008FA4F5" w14:textId="77777777" w:rsidR="003B1E38" w:rsidRDefault="003B1E38" w:rsidP="003B1E38">
      <w:pPr>
        <w:jc w:val="center"/>
      </w:pPr>
      <w:r>
        <w:rPr>
          <w:rFonts w:ascii="Arial" w:eastAsia="Arial" w:hAnsi="Arial" w:cs="Arial"/>
          <w:b/>
          <w:bCs/>
        </w:rPr>
        <w:t xml:space="preserve"> </w:t>
      </w:r>
    </w:p>
    <w:p w14:paraId="21B7E89A" w14:textId="1707380A" w:rsidR="003B1E38" w:rsidRDefault="003B1E38" w:rsidP="003B1E38">
      <w:pPr>
        <w:jc w:val="center"/>
        <w:rPr>
          <w:rFonts w:ascii="Arial" w:eastAsia="Arial" w:hAnsi="Arial" w:cs="Arial"/>
          <w:b/>
          <w:bCs/>
          <w:lang w:val="en-GB"/>
        </w:rPr>
      </w:pPr>
      <w:r w:rsidRPr="007A186E">
        <w:rPr>
          <w:rFonts w:ascii="Arial" w:eastAsia="Arial" w:hAnsi="Arial" w:cs="Arial"/>
          <w:b/>
          <w:bCs/>
        </w:rPr>
        <w:t>BMIH500</w:t>
      </w:r>
      <w:r>
        <w:rPr>
          <w:rFonts w:ascii="Arial" w:eastAsia="Arial" w:hAnsi="Arial" w:cs="Arial"/>
          <w:b/>
          <w:bCs/>
        </w:rPr>
        <w:t>6</w:t>
      </w:r>
      <w:r>
        <w:rPr>
          <w:rFonts w:ascii="Arial" w:eastAsia="Arial" w:hAnsi="Arial" w:cs="Arial"/>
          <w:b/>
          <w:bCs/>
          <w:lang w:val="en-GB"/>
        </w:rPr>
        <w:t xml:space="preserve"> </w:t>
      </w:r>
      <w:r w:rsidRPr="003B1E38">
        <w:rPr>
          <w:rFonts w:ascii="Arial" w:eastAsia="Arial" w:hAnsi="Arial" w:cs="Arial"/>
          <w:b/>
          <w:bCs/>
        </w:rPr>
        <w:t>Sustainable Hospitality &amp; Tourism Management</w:t>
      </w:r>
    </w:p>
    <w:p w14:paraId="27632C1F" w14:textId="77777777" w:rsidR="003B1E38" w:rsidRDefault="003B1E38" w:rsidP="003B1E38">
      <w:pPr>
        <w:jc w:val="center"/>
      </w:pPr>
      <w:r>
        <w:rPr>
          <w:rFonts w:ascii="Arial" w:eastAsia="Arial" w:hAnsi="Arial" w:cs="Arial"/>
          <w:b/>
          <w:bCs/>
          <w:lang w:val="en-GB"/>
        </w:rPr>
        <w:t xml:space="preserve"> </w:t>
      </w:r>
    </w:p>
    <w:p w14:paraId="22A06DE1" w14:textId="77777777" w:rsidR="003B1E38" w:rsidRDefault="003B1E38" w:rsidP="003B1E38">
      <w:pPr>
        <w:jc w:val="center"/>
      </w:pPr>
      <w:r>
        <w:rPr>
          <w:rFonts w:ascii="Arial" w:eastAsia="Arial" w:hAnsi="Arial" w:cs="Arial"/>
          <w:b/>
          <w:bCs/>
        </w:rPr>
        <w:t xml:space="preserve"> </w:t>
      </w:r>
    </w:p>
    <w:p w14:paraId="7FA40CF1" w14:textId="77777777" w:rsidR="003B1E38" w:rsidRDefault="003B1E38" w:rsidP="003B1E38">
      <w:pPr>
        <w:jc w:val="center"/>
      </w:pPr>
      <w:r>
        <w:rPr>
          <w:rFonts w:ascii="Arial" w:eastAsia="Arial" w:hAnsi="Arial" w:cs="Arial"/>
          <w:b/>
          <w:bCs/>
          <w:lang w:val="en-GB"/>
        </w:rPr>
        <w:t>Lecturer</w:t>
      </w:r>
    </w:p>
    <w:p w14:paraId="53916496" w14:textId="77777777" w:rsidR="003B1E38" w:rsidRDefault="003B1E38" w:rsidP="003B1E38">
      <w:pPr>
        <w:jc w:val="center"/>
      </w:pPr>
      <w:r>
        <w:rPr>
          <w:rFonts w:ascii="Arial" w:eastAsia="Arial" w:hAnsi="Arial" w:cs="Arial"/>
          <w:b/>
          <w:bCs/>
        </w:rPr>
        <w:t xml:space="preserve"> </w:t>
      </w:r>
    </w:p>
    <w:p w14:paraId="6F2DD24E" w14:textId="0BDCD563" w:rsidR="003B1E38" w:rsidRDefault="003B1E38" w:rsidP="2D776D8F">
      <w:pPr>
        <w:spacing w:line="360" w:lineRule="auto"/>
        <w:jc w:val="both"/>
        <w:rPr>
          <w:rFonts w:ascii="Arial" w:eastAsia="Arial" w:hAnsi="Arial" w:cs="Arial"/>
          <w:b/>
          <w:bCs/>
          <w:sz w:val="24"/>
          <w:szCs w:val="24"/>
        </w:rPr>
      </w:pPr>
      <w:r>
        <w:rPr>
          <w:rFonts w:ascii="Arial" w:eastAsia="Arial" w:hAnsi="Arial" w:cs="Arial"/>
          <w:b/>
          <w:bCs/>
          <w:sz w:val="24"/>
          <w:szCs w:val="24"/>
        </w:rPr>
        <w:t xml:space="preserve">                                                        </w:t>
      </w:r>
      <w:r w:rsidRPr="003B1E38">
        <w:rPr>
          <w:rFonts w:ascii="Arial" w:eastAsia="Arial" w:hAnsi="Arial" w:cs="Arial"/>
          <w:b/>
          <w:bCs/>
          <w:sz w:val="24"/>
          <w:szCs w:val="24"/>
        </w:rPr>
        <w:t>Dr Huw Thomas</w:t>
      </w:r>
    </w:p>
    <w:p w14:paraId="54CAE86C" w14:textId="77777777" w:rsidR="003B1E38" w:rsidRDefault="003B1E38" w:rsidP="2D776D8F">
      <w:pPr>
        <w:spacing w:line="360" w:lineRule="auto"/>
        <w:jc w:val="both"/>
        <w:rPr>
          <w:rFonts w:ascii="Arial" w:eastAsia="Arial" w:hAnsi="Arial" w:cs="Arial"/>
          <w:b/>
          <w:bCs/>
          <w:sz w:val="24"/>
          <w:szCs w:val="24"/>
        </w:rPr>
      </w:pPr>
    </w:p>
    <w:p w14:paraId="3B73441F" w14:textId="77777777" w:rsidR="003B1E38" w:rsidRDefault="003B1E38" w:rsidP="2D776D8F">
      <w:pPr>
        <w:spacing w:line="360" w:lineRule="auto"/>
        <w:jc w:val="both"/>
        <w:rPr>
          <w:rFonts w:ascii="Arial" w:eastAsia="Arial" w:hAnsi="Arial" w:cs="Arial"/>
          <w:b/>
          <w:bCs/>
          <w:sz w:val="24"/>
          <w:szCs w:val="24"/>
        </w:rPr>
      </w:pPr>
    </w:p>
    <w:p w14:paraId="0893454E" w14:textId="77777777" w:rsidR="003B1E38" w:rsidRDefault="003B1E38" w:rsidP="2D776D8F">
      <w:pPr>
        <w:spacing w:line="360" w:lineRule="auto"/>
        <w:jc w:val="both"/>
        <w:rPr>
          <w:rFonts w:ascii="Arial" w:eastAsia="Arial" w:hAnsi="Arial" w:cs="Arial"/>
          <w:b/>
          <w:bCs/>
          <w:sz w:val="24"/>
          <w:szCs w:val="24"/>
        </w:rPr>
      </w:pPr>
    </w:p>
    <w:p w14:paraId="05629DAC" w14:textId="77777777" w:rsidR="003B1E38" w:rsidRDefault="003B1E38" w:rsidP="2D776D8F">
      <w:pPr>
        <w:spacing w:line="360" w:lineRule="auto"/>
        <w:jc w:val="both"/>
        <w:rPr>
          <w:rFonts w:ascii="Arial" w:eastAsia="Arial" w:hAnsi="Arial" w:cs="Arial"/>
          <w:b/>
          <w:bCs/>
          <w:sz w:val="24"/>
          <w:szCs w:val="24"/>
        </w:rPr>
      </w:pPr>
    </w:p>
    <w:p w14:paraId="5C0A2B6C" w14:textId="77777777" w:rsidR="003B1E38" w:rsidRDefault="003B1E38" w:rsidP="2D776D8F">
      <w:pPr>
        <w:spacing w:line="360" w:lineRule="auto"/>
        <w:jc w:val="both"/>
        <w:rPr>
          <w:rFonts w:ascii="Arial" w:eastAsia="Arial" w:hAnsi="Arial" w:cs="Arial"/>
          <w:b/>
          <w:bCs/>
          <w:sz w:val="24"/>
          <w:szCs w:val="24"/>
        </w:rPr>
      </w:pPr>
    </w:p>
    <w:p w14:paraId="20E8B8D7" w14:textId="77777777" w:rsidR="003B1E38" w:rsidRDefault="003B1E38" w:rsidP="2D776D8F">
      <w:pPr>
        <w:spacing w:line="360" w:lineRule="auto"/>
        <w:jc w:val="both"/>
        <w:rPr>
          <w:rFonts w:ascii="Arial" w:eastAsia="Arial" w:hAnsi="Arial" w:cs="Arial"/>
          <w:b/>
          <w:bCs/>
          <w:sz w:val="24"/>
          <w:szCs w:val="24"/>
        </w:rPr>
      </w:pPr>
    </w:p>
    <w:p w14:paraId="4F10231C" w14:textId="77777777" w:rsidR="003B1E38" w:rsidRDefault="003B1E38" w:rsidP="2D776D8F">
      <w:pPr>
        <w:spacing w:line="360" w:lineRule="auto"/>
        <w:jc w:val="both"/>
        <w:rPr>
          <w:rFonts w:ascii="Arial" w:eastAsia="Arial" w:hAnsi="Arial" w:cs="Arial"/>
          <w:b/>
          <w:bCs/>
          <w:sz w:val="24"/>
          <w:szCs w:val="24"/>
        </w:rPr>
      </w:pPr>
    </w:p>
    <w:p w14:paraId="14522734" w14:textId="77777777" w:rsidR="003B1E38" w:rsidRDefault="003B1E38" w:rsidP="2D776D8F">
      <w:pPr>
        <w:spacing w:line="360" w:lineRule="auto"/>
        <w:jc w:val="both"/>
        <w:rPr>
          <w:rFonts w:ascii="Arial" w:eastAsia="Arial" w:hAnsi="Arial" w:cs="Arial"/>
          <w:b/>
          <w:bCs/>
          <w:sz w:val="24"/>
          <w:szCs w:val="24"/>
        </w:rPr>
      </w:pPr>
    </w:p>
    <w:p w14:paraId="67A26FE2" w14:textId="77777777" w:rsidR="003B1E38" w:rsidRDefault="003B1E38" w:rsidP="2D776D8F">
      <w:pPr>
        <w:spacing w:line="360" w:lineRule="auto"/>
        <w:jc w:val="both"/>
        <w:rPr>
          <w:rFonts w:ascii="Arial" w:eastAsia="Arial" w:hAnsi="Arial" w:cs="Arial"/>
          <w:b/>
          <w:bCs/>
          <w:sz w:val="24"/>
          <w:szCs w:val="24"/>
        </w:rPr>
      </w:pPr>
    </w:p>
    <w:p w14:paraId="0656AB26" w14:textId="77777777" w:rsidR="003B1E38" w:rsidRDefault="003B1E38" w:rsidP="2D776D8F">
      <w:pPr>
        <w:spacing w:line="360" w:lineRule="auto"/>
        <w:jc w:val="both"/>
        <w:rPr>
          <w:rFonts w:ascii="Arial" w:eastAsia="Arial" w:hAnsi="Arial" w:cs="Arial"/>
          <w:b/>
          <w:bCs/>
          <w:sz w:val="24"/>
          <w:szCs w:val="24"/>
        </w:rPr>
      </w:pPr>
    </w:p>
    <w:p w14:paraId="36B673D7" w14:textId="283D4241" w:rsidR="003B1E38" w:rsidRDefault="003B1E38" w:rsidP="003B1E38">
      <w:pPr>
        <w:spacing w:line="360" w:lineRule="auto"/>
        <w:jc w:val="center"/>
        <w:rPr>
          <w:rFonts w:ascii="Arial" w:eastAsia="Arial" w:hAnsi="Arial" w:cs="Arial"/>
          <w:b/>
          <w:bCs/>
          <w:sz w:val="24"/>
          <w:szCs w:val="24"/>
        </w:rPr>
      </w:pPr>
      <w:r w:rsidRPr="003B1E38">
        <w:rPr>
          <w:rFonts w:ascii="Arial" w:eastAsia="Arial" w:hAnsi="Arial" w:cs="Arial"/>
          <w:b/>
          <w:bCs/>
          <w:sz w:val="24"/>
          <w:szCs w:val="24"/>
        </w:rPr>
        <w:t>Sustainable Hospitality: A Circular Economy Approach in Marriott's CSR Policy</w:t>
      </w:r>
    </w:p>
    <w:p w14:paraId="67BB9DE8" w14:textId="45F081F5" w:rsidR="008A6874" w:rsidRDefault="6216C313" w:rsidP="2D776D8F">
      <w:pPr>
        <w:spacing w:line="360" w:lineRule="auto"/>
        <w:jc w:val="both"/>
        <w:rPr>
          <w:rFonts w:ascii="Arial" w:eastAsia="Arial" w:hAnsi="Arial" w:cs="Arial"/>
          <w:b/>
          <w:bCs/>
          <w:sz w:val="24"/>
          <w:szCs w:val="24"/>
        </w:rPr>
      </w:pPr>
      <w:r w:rsidRPr="2D776D8F">
        <w:rPr>
          <w:rFonts w:ascii="Arial" w:eastAsia="Arial" w:hAnsi="Arial" w:cs="Arial"/>
          <w:b/>
          <w:bCs/>
          <w:sz w:val="24"/>
          <w:szCs w:val="24"/>
        </w:rPr>
        <w:t>Introduction</w:t>
      </w:r>
    </w:p>
    <w:p w14:paraId="0778A323" w14:textId="7BE36350"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In the face of challenges</w:t>
      </w:r>
      <w:r w:rsidR="003B1E38">
        <w:rPr>
          <w:rFonts w:ascii="Arial" w:eastAsia="Arial" w:hAnsi="Arial" w:cs="Arial"/>
          <w:sz w:val="24"/>
          <w:szCs w:val="24"/>
        </w:rPr>
        <w:t>,</w:t>
      </w:r>
      <w:r w:rsidRPr="2D776D8F">
        <w:rPr>
          <w:rFonts w:ascii="Arial" w:eastAsia="Arial" w:hAnsi="Arial" w:cs="Arial"/>
          <w:sz w:val="24"/>
          <w:szCs w:val="24"/>
        </w:rPr>
        <w:t xml:space="preserve"> the hospitality industry is currently, at a crucial point where it must adopt sustainable practices beyond traditional business models. Corporate Social Responsibility (CSR) has become an aspect for organizations navigating this paradigm shift with a growing focus on integrating circular economy principles. The core of this shift lies in recognizing that the linear approach of "take, make dispose" is not sustainable. Instead</w:t>
      </w:r>
      <w:r w:rsidR="003B1E38">
        <w:rPr>
          <w:rFonts w:ascii="Arial" w:eastAsia="Arial" w:hAnsi="Arial" w:cs="Arial"/>
          <w:sz w:val="24"/>
          <w:szCs w:val="24"/>
        </w:rPr>
        <w:t>,</w:t>
      </w:r>
      <w:r w:rsidRPr="2D776D8F">
        <w:rPr>
          <w:rFonts w:ascii="Arial" w:eastAsia="Arial" w:hAnsi="Arial" w:cs="Arial"/>
          <w:sz w:val="24"/>
          <w:szCs w:val="24"/>
        </w:rPr>
        <w:t xml:space="preserve"> a circular economy model that prioritizes waste reduction efficient use of resources and responsible consumption has emerged (Ellen MacArthur Foundation, 2017). This essay examines Marriott </w:t>
      </w:r>
      <w:r w:rsidR="003B1E38">
        <w:rPr>
          <w:rFonts w:ascii="Arial" w:eastAsia="Arial" w:hAnsi="Arial" w:cs="Arial"/>
          <w:sz w:val="24"/>
          <w:szCs w:val="24"/>
        </w:rPr>
        <w:t>International’s</w:t>
      </w:r>
      <w:r w:rsidRPr="2D776D8F">
        <w:rPr>
          <w:rFonts w:ascii="Arial" w:eastAsia="Arial" w:hAnsi="Arial" w:cs="Arial"/>
          <w:sz w:val="24"/>
          <w:szCs w:val="24"/>
        </w:rPr>
        <w:t xml:space="preserve"> CSR policy as it relates to the principles of the economy. While exploring </w:t>
      </w:r>
      <w:r w:rsidR="003B1E38">
        <w:rPr>
          <w:rFonts w:ascii="Arial" w:eastAsia="Arial" w:hAnsi="Arial" w:cs="Arial"/>
          <w:sz w:val="24"/>
          <w:szCs w:val="24"/>
        </w:rPr>
        <w:t>Marriott’s</w:t>
      </w:r>
      <w:r w:rsidRPr="2D776D8F">
        <w:rPr>
          <w:rFonts w:ascii="Arial" w:eastAsia="Arial" w:hAnsi="Arial" w:cs="Arial"/>
          <w:sz w:val="24"/>
          <w:szCs w:val="24"/>
        </w:rPr>
        <w:t xml:space="preserve"> commitment to sustainability we will also highlight examples from the industry to underscore the importance of embracing circular economy practices in creating a responsible and socially conscious hospitality sector.</w:t>
      </w:r>
    </w:p>
    <w:p w14:paraId="6FF7A95A" w14:textId="7BE5728A"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 </w:t>
      </w:r>
    </w:p>
    <w:p w14:paraId="35A7B934" w14:textId="5D719358" w:rsidR="008A6874" w:rsidRDefault="6216C313" w:rsidP="2D776D8F">
      <w:pPr>
        <w:spacing w:line="360" w:lineRule="auto"/>
        <w:jc w:val="both"/>
        <w:rPr>
          <w:rFonts w:ascii="Arial" w:eastAsia="Arial" w:hAnsi="Arial" w:cs="Arial"/>
          <w:b/>
          <w:bCs/>
          <w:sz w:val="24"/>
          <w:szCs w:val="24"/>
        </w:rPr>
      </w:pPr>
      <w:r w:rsidRPr="2D776D8F">
        <w:rPr>
          <w:rFonts w:ascii="Arial" w:eastAsia="Arial" w:hAnsi="Arial" w:cs="Arial"/>
          <w:b/>
          <w:bCs/>
          <w:sz w:val="24"/>
          <w:szCs w:val="24"/>
        </w:rPr>
        <w:t>Circular Economy and CSR</w:t>
      </w:r>
    </w:p>
    <w:p w14:paraId="4BC51A38" w14:textId="0CCF1A92"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The concept of an economy—focused on maximizing resource utilization—has gained recognition as a transformative force, in sustainable business practices (Kirchherr et al., 2017).In contrast, to the economy, which follows a "take make, dispose" model the circular economy aims to establish a </w:t>
      </w:r>
      <w:r w:rsidR="003B1E38">
        <w:rPr>
          <w:rFonts w:ascii="Arial" w:eastAsia="Arial" w:hAnsi="Arial" w:cs="Arial"/>
          <w:sz w:val="24"/>
          <w:szCs w:val="24"/>
        </w:rPr>
        <w:t>closed-loop</w:t>
      </w:r>
      <w:r w:rsidRPr="2D776D8F">
        <w:rPr>
          <w:rFonts w:ascii="Arial" w:eastAsia="Arial" w:hAnsi="Arial" w:cs="Arial"/>
          <w:sz w:val="24"/>
          <w:szCs w:val="24"/>
        </w:rPr>
        <w:t xml:space="preserve"> system that reduces waste and enhances resource efficiency (Ellen MacArthur Foundation, 2017). As companies grapple with their impact on the environment and society incorporating circular economy principles into Corporate Social Responsibility (CSR) has become crucial. </w:t>
      </w:r>
      <w:r w:rsidR="354D88CB" w:rsidRPr="2D776D8F">
        <w:rPr>
          <w:rFonts w:ascii="Arial" w:eastAsia="Arial" w:hAnsi="Arial" w:cs="Arial"/>
          <w:color w:val="374151"/>
          <w:sz w:val="24"/>
          <w:szCs w:val="24"/>
        </w:rPr>
        <w:t>World Economic Forum. (2017)</w:t>
      </w:r>
    </w:p>
    <w:p w14:paraId="62CD3564" w14:textId="0FFFFB31" w:rsidR="008A6874" w:rsidRDefault="6216C313" w:rsidP="2D776D8F">
      <w:pPr>
        <w:spacing w:line="360" w:lineRule="auto"/>
        <w:jc w:val="both"/>
        <w:rPr>
          <w:rFonts w:ascii="Arial" w:eastAsia="Arial" w:hAnsi="Arial" w:cs="Arial"/>
          <w:color w:val="374151"/>
          <w:sz w:val="24"/>
          <w:szCs w:val="24"/>
        </w:rPr>
      </w:pPr>
      <w:r w:rsidRPr="2D776D8F">
        <w:rPr>
          <w:rFonts w:ascii="Arial" w:eastAsia="Arial" w:hAnsi="Arial" w:cs="Arial"/>
          <w:sz w:val="24"/>
          <w:szCs w:val="24"/>
        </w:rPr>
        <w:t xml:space="preserve">CSR is no longer an </w:t>
      </w:r>
      <w:proofErr w:type="spellStart"/>
      <w:r w:rsidR="003B1E38">
        <w:rPr>
          <w:rFonts w:ascii="Arial" w:eastAsia="Arial" w:hAnsi="Arial" w:cs="Arial"/>
          <w:sz w:val="24"/>
          <w:szCs w:val="24"/>
        </w:rPr>
        <w:t>endeavour</w:t>
      </w:r>
      <w:proofErr w:type="spellEnd"/>
      <w:r w:rsidRPr="2D776D8F">
        <w:rPr>
          <w:rFonts w:ascii="Arial" w:eastAsia="Arial" w:hAnsi="Arial" w:cs="Arial"/>
          <w:sz w:val="24"/>
          <w:szCs w:val="24"/>
        </w:rPr>
        <w:t xml:space="preserve">; it has evolved into a strategic imperative for </w:t>
      </w:r>
      <w:proofErr w:type="spellStart"/>
      <w:r w:rsidR="003B1E38">
        <w:rPr>
          <w:rFonts w:ascii="Arial" w:eastAsia="Arial" w:hAnsi="Arial" w:cs="Arial"/>
          <w:sz w:val="24"/>
          <w:szCs w:val="24"/>
        </w:rPr>
        <w:t>organisations</w:t>
      </w:r>
      <w:proofErr w:type="spellEnd"/>
      <w:r w:rsidRPr="2D776D8F">
        <w:rPr>
          <w:rFonts w:ascii="Arial" w:eastAsia="Arial" w:hAnsi="Arial" w:cs="Arial"/>
          <w:sz w:val="24"/>
          <w:szCs w:val="24"/>
        </w:rPr>
        <w:t xml:space="preserve"> across various industries, including hospitality. CSR involves integrating social and ethical considerations into business operations with an emphasis on practices that go beyond </w:t>
      </w:r>
      <w:r w:rsidRPr="2D776D8F">
        <w:rPr>
          <w:rFonts w:ascii="Arial" w:eastAsia="Arial" w:hAnsi="Arial" w:cs="Arial"/>
          <w:sz w:val="24"/>
          <w:szCs w:val="24"/>
        </w:rPr>
        <w:lastRenderedPageBreak/>
        <w:t>regulatory requirements (Carroll, 1979). Within the context of the economy</w:t>
      </w:r>
      <w:r w:rsidR="003B1E38">
        <w:rPr>
          <w:rFonts w:ascii="Arial" w:eastAsia="Arial" w:hAnsi="Arial" w:cs="Arial"/>
          <w:sz w:val="24"/>
          <w:szCs w:val="24"/>
        </w:rPr>
        <w:t>,</w:t>
      </w:r>
      <w:r w:rsidRPr="2D776D8F">
        <w:rPr>
          <w:rFonts w:ascii="Arial" w:eastAsia="Arial" w:hAnsi="Arial" w:cs="Arial"/>
          <w:sz w:val="24"/>
          <w:szCs w:val="24"/>
        </w:rPr>
        <w:t xml:space="preserve"> CSR becomes a means through which companies commit to shrinking their footprint promoting responsible consumption and contributing to a more sustainable future. </w:t>
      </w:r>
      <w:r w:rsidR="56D28695" w:rsidRPr="2D776D8F">
        <w:rPr>
          <w:rFonts w:ascii="Arial" w:eastAsia="Arial" w:hAnsi="Arial" w:cs="Arial"/>
          <w:sz w:val="24"/>
          <w:szCs w:val="24"/>
        </w:rPr>
        <w:t>(</w:t>
      </w:r>
      <w:proofErr w:type="spellStart"/>
      <w:r w:rsidR="56D28695" w:rsidRPr="2D776D8F">
        <w:rPr>
          <w:rFonts w:ascii="Arial" w:eastAsia="Arial" w:hAnsi="Arial" w:cs="Arial"/>
          <w:color w:val="374151"/>
          <w:sz w:val="24"/>
          <w:szCs w:val="24"/>
        </w:rPr>
        <w:t>Shishime</w:t>
      </w:r>
      <w:proofErr w:type="spellEnd"/>
      <w:r w:rsidR="56D28695" w:rsidRPr="2D776D8F">
        <w:rPr>
          <w:rFonts w:ascii="Arial" w:eastAsia="Arial" w:hAnsi="Arial" w:cs="Arial"/>
          <w:color w:val="374151"/>
          <w:sz w:val="24"/>
          <w:szCs w:val="24"/>
        </w:rPr>
        <w:t>, T., &amp; Fukuda, K.,2017)</w:t>
      </w:r>
    </w:p>
    <w:p w14:paraId="76E4B827" w14:textId="1991ECD1"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Marriott International serves as an example of how the circular economy and CSR intersect through their dedication to practices (Marriott International, 2022). The company recognizes that embracing circular economy principles is not morally right but strategically essential, in an era where consumers increasingly value environmentally conscious businesses.</w:t>
      </w:r>
      <w:r w:rsidR="003B1E38">
        <w:rPr>
          <w:rFonts w:ascii="Arial" w:eastAsia="Arial" w:hAnsi="Arial" w:cs="Arial"/>
          <w:sz w:val="24"/>
          <w:szCs w:val="24"/>
        </w:rPr>
        <w:t xml:space="preserve"> </w:t>
      </w:r>
      <w:r w:rsidRPr="2D776D8F">
        <w:rPr>
          <w:rFonts w:ascii="Arial" w:eastAsia="Arial" w:hAnsi="Arial" w:cs="Arial"/>
          <w:sz w:val="24"/>
          <w:szCs w:val="24"/>
        </w:rPr>
        <w:t xml:space="preserve">By integrating the concept of economy into their Corporate Social Responsibility (CSR) initiatives companies, like Marriott aim to have an impact on both the environment and their financial performance. This integration reflects a shift in how corporate </w:t>
      </w:r>
      <w:r w:rsidR="003B1E38">
        <w:rPr>
          <w:rFonts w:ascii="Arial" w:eastAsia="Arial" w:hAnsi="Arial" w:cs="Arial"/>
          <w:sz w:val="24"/>
          <w:szCs w:val="24"/>
        </w:rPr>
        <w:t>responsibility is</w:t>
      </w:r>
      <w:r w:rsidRPr="2D776D8F">
        <w:rPr>
          <w:rFonts w:ascii="Arial" w:eastAsia="Arial" w:hAnsi="Arial" w:cs="Arial"/>
          <w:sz w:val="24"/>
          <w:szCs w:val="24"/>
        </w:rPr>
        <w:t xml:space="preserve"> understood moving beyond compliance to a proactive approach where organizations actively seek innovative solutions to minimize their environmental footprint and contribute to the </w:t>
      </w:r>
      <w:r w:rsidR="003B1E38">
        <w:rPr>
          <w:rFonts w:ascii="Arial" w:eastAsia="Arial" w:hAnsi="Arial" w:cs="Arial"/>
          <w:sz w:val="24"/>
          <w:szCs w:val="24"/>
        </w:rPr>
        <w:t>well-being</w:t>
      </w:r>
      <w:r w:rsidRPr="2D776D8F">
        <w:rPr>
          <w:rFonts w:ascii="Arial" w:eastAsia="Arial" w:hAnsi="Arial" w:cs="Arial"/>
          <w:sz w:val="24"/>
          <w:szCs w:val="24"/>
        </w:rPr>
        <w:t xml:space="preserve"> of the communities they serve. As the hospitality industry navigates the complexities of practices combining circular economy principles with CSR emerges as a strategy for building resilience enhancing brand reputation and ensuring a future where economic growth is not detrimental to the environment. </w:t>
      </w:r>
      <w:r w:rsidR="03C90EA3" w:rsidRPr="2D776D8F">
        <w:rPr>
          <w:rFonts w:ascii="Arial" w:eastAsia="Arial" w:hAnsi="Arial" w:cs="Arial"/>
          <w:sz w:val="24"/>
          <w:szCs w:val="24"/>
        </w:rPr>
        <w:t>(Geng et al 2012)</w:t>
      </w:r>
    </w:p>
    <w:p w14:paraId="0C28599E" w14:textId="58052B32" w:rsidR="008A6874" w:rsidRDefault="008A6874" w:rsidP="2D776D8F">
      <w:pPr>
        <w:spacing w:line="360" w:lineRule="auto"/>
        <w:jc w:val="both"/>
        <w:rPr>
          <w:rFonts w:ascii="Arial" w:eastAsia="Arial" w:hAnsi="Arial" w:cs="Arial"/>
          <w:sz w:val="24"/>
          <w:szCs w:val="24"/>
        </w:rPr>
      </w:pPr>
    </w:p>
    <w:p w14:paraId="4C0FEFCB" w14:textId="6044BF31" w:rsidR="008A6874" w:rsidRDefault="729F88FB" w:rsidP="2D776D8F">
      <w:pPr>
        <w:spacing w:line="360" w:lineRule="auto"/>
        <w:jc w:val="both"/>
        <w:rPr>
          <w:rFonts w:ascii="Arial" w:eastAsia="Arial" w:hAnsi="Arial" w:cs="Arial"/>
          <w:b/>
          <w:bCs/>
          <w:sz w:val="24"/>
          <w:szCs w:val="24"/>
        </w:rPr>
      </w:pPr>
      <w:r w:rsidRPr="2D776D8F">
        <w:rPr>
          <w:rFonts w:ascii="Arial" w:eastAsia="Arial" w:hAnsi="Arial" w:cs="Arial"/>
          <w:b/>
          <w:bCs/>
          <w:sz w:val="24"/>
          <w:szCs w:val="24"/>
        </w:rPr>
        <w:t>Marriott's CSR Policy and Circular Economy</w:t>
      </w:r>
    </w:p>
    <w:p w14:paraId="600F0696" w14:textId="5A15D90A"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Marriott International, known for its leadership in the hospitality sector has embedded circular economy principles into its Corporate Social Responsibility (CSR) policy. The </w:t>
      </w:r>
      <w:r w:rsidR="003B1E38">
        <w:rPr>
          <w:rFonts w:ascii="Arial" w:eastAsia="Arial" w:hAnsi="Arial" w:cs="Arial"/>
          <w:sz w:val="24"/>
          <w:szCs w:val="24"/>
        </w:rPr>
        <w:t>company’s</w:t>
      </w:r>
      <w:r w:rsidRPr="2D776D8F">
        <w:rPr>
          <w:rFonts w:ascii="Arial" w:eastAsia="Arial" w:hAnsi="Arial" w:cs="Arial"/>
          <w:sz w:val="24"/>
          <w:szCs w:val="24"/>
        </w:rPr>
        <w:t xml:space="preserve"> commitment revolves around aspects such, as waste reduction, responsible consumption and sustainable sourcing (Marriott International, 2022).</w:t>
      </w:r>
      <w:r w:rsidR="003B1E38">
        <w:rPr>
          <w:rFonts w:ascii="Arial" w:eastAsia="Arial" w:hAnsi="Arial" w:cs="Arial"/>
          <w:sz w:val="24"/>
          <w:szCs w:val="24"/>
        </w:rPr>
        <w:t xml:space="preserve"> </w:t>
      </w:r>
      <w:r w:rsidRPr="2D776D8F">
        <w:rPr>
          <w:rFonts w:ascii="Arial" w:eastAsia="Arial" w:hAnsi="Arial" w:cs="Arial"/>
          <w:sz w:val="24"/>
          <w:szCs w:val="24"/>
        </w:rPr>
        <w:t>Marriott has implemented a strategy to reduce its impact by focusing on waste reduction. They are taking measures, such, as minimizing the use o</w:t>
      </w:r>
      <w:r w:rsidR="003B1E38">
        <w:rPr>
          <w:rFonts w:ascii="Arial" w:eastAsia="Arial" w:hAnsi="Arial" w:cs="Arial"/>
          <w:sz w:val="24"/>
          <w:szCs w:val="24"/>
        </w:rPr>
        <w:t>f single-use</w:t>
      </w:r>
      <w:r w:rsidRPr="2D776D8F">
        <w:rPr>
          <w:rFonts w:ascii="Arial" w:eastAsia="Arial" w:hAnsi="Arial" w:cs="Arial"/>
          <w:sz w:val="24"/>
          <w:szCs w:val="24"/>
        </w:rPr>
        <w:t xml:space="preserve"> plastics implementing recycling programs and collaborating with suppliers who prioritize sustainable materials. </w:t>
      </w:r>
    </w:p>
    <w:p w14:paraId="687FB324" w14:textId="782284ED" w:rsidR="008A6874" w:rsidRDefault="003B1E38" w:rsidP="2D776D8F">
      <w:pPr>
        <w:spacing w:line="360" w:lineRule="auto"/>
        <w:jc w:val="both"/>
        <w:rPr>
          <w:rFonts w:ascii="Arial" w:eastAsia="Arial" w:hAnsi="Arial" w:cs="Arial"/>
          <w:sz w:val="24"/>
          <w:szCs w:val="24"/>
        </w:rPr>
      </w:pPr>
      <w:r>
        <w:rPr>
          <w:rFonts w:ascii="Arial" w:eastAsia="Arial" w:hAnsi="Arial" w:cs="Arial"/>
          <w:sz w:val="24"/>
          <w:szCs w:val="24"/>
        </w:rPr>
        <w:t>Marriott’s</w:t>
      </w:r>
      <w:r w:rsidR="6216C313" w:rsidRPr="2D776D8F">
        <w:rPr>
          <w:rFonts w:ascii="Arial" w:eastAsia="Arial" w:hAnsi="Arial" w:cs="Arial"/>
          <w:sz w:val="24"/>
          <w:szCs w:val="24"/>
        </w:rPr>
        <w:t xml:space="preserve"> commitment to responsibility (CSR) goes beyond waste reduction. They also </w:t>
      </w:r>
      <w:proofErr w:type="spellStart"/>
      <w:r>
        <w:rPr>
          <w:rFonts w:ascii="Arial" w:eastAsia="Arial" w:hAnsi="Arial" w:cs="Arial"/>
          <w:sz w:val="24"/>
          <w:szCs w:val="24"/>
        </w:rPr>
        <w:t>prioritise</w:t>
      </w:r>
      <w:proofErr w:type="spellEnd"/>
      <w:r w:rsidR="6216C313" w:rsidRPr="2D776D8F">
        <w:rPr>
          <w:rFonts w:ascii="Arial" w:eastAsia="Arial" w:hAnsi="Arial" w:cs="Arial"/>
          <w:sz w:val="24"/>
          <w:szCs w:val="24"/>
        </w:rPr>
        <w:t xml:space="preserve"> energy efficiency. Utilize energy sources. This aligns closely with the principles </w:t>
      </w:r>
      <w:r w:rsidR="6216C313" w:rsidRPr="2D776D8F">
        <w:rPr>
          <w:rFonts w:ascii="Arial" w:eastAsia="Arial" w:hAnsi="Arial" w:cs="Arial"/>
          <w:sz w:val="24"/>
          <w:szCs w:val="24"/>
        </w:rPr>
        <w:lastRenderedPageBreak/>
        <w:t xml:space="preserve">of the economy as Marriott actively invests in </w:t>
      </w:r>
      <w:r>
        <w:rPr>
          <w:rFonts w:ascii="Arial" w:eastAsia="Arial" w:hAnsi="Arial" w:cs="Arial"/>
          <w:sz w:val="24"/>
          <w:szCs w:val="24"/>
        </w:rPr>
        <w:t>eco-technologies</w:t>
      </w:r>
      <w:r w:rsidR="6216C313" w:rsidRPr="2D776D8F">
        <w:rPr>
          <w:rFonts w:ascii="Arial" w:eastAsia="Arial" w:hAnsi="Arial" w:cs="Arial"/>
          <w:sz w:val="24"/>
          <w:szCs w:val="24"/>
        </w:rPr>
        <w:t xml:space="preserve"> and implements energy conservation measures across their wide range of properties. Their goal is not to reduce their carbon footprint but to maximize resource value through sustainable practices. </w:t>
      </w:r>
    </w:p>
    <w:p w14:paraId="511FFBE8" w14:textId="3768D7E5"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In line with their circular economy efforts</w:t>
      </w:r>
      <w:r w:rsidR="003B1E38">
        <w:rPr>
          <w:rFonts w:ascii="Arial" w:eastAsia="Arial" w:hAnsi="Arial" w:cs="Arial"/>
          <w:sz w:val="24"/>
          <w:szCs w:val="24"/>
        </w:rPr>
        <w:t>,</w:t>
      </w:r>
      <w:r w:rsidRPr="2D776D8F">
        <w:rPr>
          <w:rFonts w:ascii="Arial" w:eastAsia="Arial" w:hAnsi="Arial" w:cs="Arial"/>
          <w:sz w:val="24"/>
          <w:szCs w:val="24"/>
        </w:rPr>
        <w:t xml:space="preserve"> Marriott places importance on sourcing. They actively work with suppliers to ensure that goods and services meet environmental and social sustainability standards. This commitment is not just symbolic; it is an initiative aimed at creating a </w:t>
      </w:r>
      <w:r w:rsidR="003B1E38">
        <w:rPr>
          <w:rFonts w:ascii="Arial" w:eastAsia="Arial" w:hAnsi="Arial" w:cs="Arial"/>
          <w:sz w:val="24"/>
          <w:szCs w:val="24"/>
        </w:rPr>
        <w:t>closed-loop</w:t>
      </w:r>
      <w:r w:rsidRPr="2D776D8F">
        <w:rPr>
          <w:rFonts w:ascii="Arial" w:eastAsia="Arial" w:hAnsi="Arial" w:cs="Arial"/>
          <w:sz w:val="24"/>
          <w:szCs w:val="24"/>
        </w:rPr>
        <w:t xml:space="preserve"> system where materials are responsibly sourced used efficiently and repurposed. This reflects </w:t>
      </w:r>
      <w:r w:rsidR="003B1E38">
        <w:rPr>
          <w:rFonts w:ascii="Arial" w:eastAsia="Arial" w:hAnsi="Arial" w:cs="Arial"/>
          <w:sz w:val="24"/>
          <w:szCs w:val="24"/>
        </w:rPr>
        <w:t>Marriott’s</w:t>
      </w:r>
      <w:r w:rsidRPr="2D776D8F">
        <w:rPr>
          <w:rFonts w:ascii="Arial" w:eastAsia="Arial" w:hAnsi="Arial" w:cs="Arial"/>
          <w:sz w:val="24"/>
          <w:szCs w:val="24"/>
        </w:rPr>
        <w:t xml:space="preserve"> dedication to </w:t>
      </w:r>
      <w:r w:rsidR="003B1E38">
        <w:rPr>
          <w:rFonts w:ascii="Arial" w:eastAsia="Arial" w:hAnsi="Arial" w:cs="Arial"/>
          <w:sz w:val="24"/>
          <w:szCs w:val="24"/>
        </w:rPr>
        <w:t>economic</w:t>
      </w:r>
      <w:r w:rsidRPr="2D776D8F">
        <w:rPr>
          <w:rFonts w:ascii="Arial" w:eastAsia="Arial" w:hAnsi="Arial" w:cs="Arial"/>
          <w:sz w:val="24"/>
          <w:szCs w:val="24"/>
        </w:rPr>
        <w:t xml:space="preserve"> principles. </w:t>
      </w:r>
    </w:p>
    <w:p w14:paraId="025A4E0F" w14:textId="5155DEB8"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Throughout their pursuit of an economy within CSR initiatives</w:t>
      </w:r>
      <w:r w:rsidR="003B1E38">
        <w:rPr>
          <w:rFonts w:ascii="Arial" w:eastAsia="Arial" w:hAnsi="Arial" w:cs="Arial"/>
          <w:sz w:val="24"/>
          <w:szCs w:val="24"/>
        </w:rPr>
        <w:t>,</w:t>
      </w:r>
      <w:r w:rsidRPr="2D776D8F">
        <w:rPr>
          <w:rFonts w:ascii="Arial" w:eastAsia="Arial" w:hAnsi="Arial" w:cs="Arial"/>
          <w:sz w:val="24"/>
          <w:szCs w:val="24"/>
        </w:rPr>
        <w:t xml:space="preserve"> Marriott emphasizes transparency and accountability, as core values.</w:t>
      </w:r>
      <w:r w:rsidR="003B1E38">
        <w:rPr>
          <w:rFonts w:ascii="Arial" w:eastAsia="Arial" w:hAnsi="Arial" w:cs="Arial"/>
          <w:sz w:val="24"/>
          <w:szCs w:val="24"/>
        </w:rPr>
        <w:t xml:space="preserve"> </w:t>
      </w:r>
      <w:r w:rsidRPr="2D776D8F">
        <w:rPr>
          <w:rFonts w:ascii="Arial" w:eastAsia="Arial" w:hAnsi="Arial" w:cs="Arial"/>
          <w:sz w:val="24"/>
          <w:szCs w:val="24"/>
        </w:rPr>
        <w:t xml:space="preserve">Marriott International in its pursuit of a future sets clear goals and regularly updates its progress to demonstrate its dedication, to stakeholders. This proactive approach not </w:t>
      </w:r>
      <w:r w:rsidR="003B1E38">
        <w:rPr>
          <w:rFonts w:ascii="Arial" w:eastAsia="Arial" w:hAnsi="Arial" w:cs="Arial"/>
          <w:sz w:val="24"/>
          <w:szCs w:val="24"/>
        </w:rPr>
        <w:t xml:space="preserve">only </w:t>
      </w:r>
      <w:r w:rsidRPr="2D776D8F">
        <w:rPr>
          <w:rFonts w:ascii="Arial" w:eastAsia="Arial" w:hAnsi="Arial" w:cs="Arial"/>
          <w:sz w:val="24"/>
          <w:szCs w:val="24"/>
        </w:rPr>
        <w:t xml:space="preserve">aligns with the principles of the economy but also establishes a benchmark for responsible business practices in the hospitality industry. </w:t>
      </w:r>
    </w:p>
    <w:p w14:paraId="22C18F0C" w14:textId="27F440BC"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By incorporating circular economy principles into their responsibility (CSR) Marriott ensures that they consider the entire lifecycle of their products and services from sourcing to disposal. This comprehensive and responsible approach resonates with consumers who value businesses that prioritize sustainability.</w:t>
      </w:r>
      <w:r w:rsidR="55FB1632" w:rsidRPr="2D776D8F">
        <w:rPr>
          <w:rFonts w:ascii="Arial" w:eastAsia="Arial" w:hAnsi="Arial" w:cs="Arial"/>
          <w:sz w:val="24"/>
          <w:szCs w:val="24"/>
        </w:rPr>
        <w:t xml:space="preserve"> (Vezzoli, C., &amp; Manzini, E. 2008)</w:t>
      </w:r>
    </w:p>
    <w:p w14:paraId="03F98134" w14:textId="300532E6" w:rsidR="008A6874" w:rsidRDefault="6216C313" w:rsidP="2D776D8F">
      <w:pPr>
        <w:spacing w:line="360" w:lineRule="auto"/>
        <w:jc w:val="both"/>
        <w:rPr>
          <w:rFonts w:ascii="Arial" w:eastAsia="Arial" w:hAnsi="Arial" w:cs="Arial"/>
          <w:color w:val="374151"/>
          <w:sz w:val="24"/>
          <w:szCs w:val="24"/>
        </w:rPr>
      </w:pPr>
      <w:r w:rsidRPr="2D776D8F">
        <w:rPr>
          <w:rFonts w:ascii="Arial" w:eastAsia="Arial" w:hAnsi="Arial" w:cs="Arial"/>
          <w:sz w:val="24"/>
          <w:szCs w:val="24"/>
        </w:rPr>
        <w:t xml:space="preserve">The seamless integration of circular economy principles into </w:t>
      </w:r>
      <w:r w:rsidR="003B1E38">
        <w:rPr>
          <w:rFonts w:ascii="Arial" w:eastAsia="Arial" w:hAnsi="Arial" w:cs="Arial"/>
          <w:sz w:val="24"/>
          <w:szCs w:val="24"/>
        </w:rPr>
        <w:t>Marriott’s</w:t>
      </w:r>
      <w:r w:rsidRPr="2D776D8F">
        <w:rPr>
          <w:rFonts w:ascii="Arial" w:eastAsia="Arial" w:hAnsi="Arial" w:cs="Arial"/>
          <w:sz w:val="24"/>
          <w:szCs w:val="24"/>
        </w:rPr>
        <w:t xml:space="preserve"> CSR policy showcases how embracing sustainability can be transformative for an industry leader. </w:t>
      </w:r>
      <w:r w:rsidR="003B1E38">
        <w:rPr>
          <w:rFonts w:ascii="Arial" w:eastAsia="Arial" w:hAnsi="Arial" w:cs="Arial"/>
          <w:sz w:val="24"/>
          <w:szCs w:val="24"/>
        </w:rPr>
        <w:t>Then</w:t>
      </w:r>
      <w:r w:rsidRPr="2D776D8F">
        <w:rPr>
          <w:rFonts w:ascii="Arial" w:eastAsia="Arial" w:hAnsi="Arial" w:cs="Arial"/>
          <w:sz w:val="24"/>
          <w:szCs w:val="24"/>
        </w:rPr>
        <w:t xml:space="preserve"> seeing it as a burden Marriott embraces sustainability as an aspect of their identity and business strategy. As consumer demand for choices continues to grow </w:t>
      </w:r>
      <w:r w:rsidR="003B1E38">
        <w:rPr>
          <w:rFonts w:ascii="Arial" w:eastAsia="Arial" w:hAnsi="Arial" w:cs="Arial"/>
          <w:sz w:val="24"/>
          <w:szCs w:val="24"/>
        </w:rPr>
        <w:t>Marriott’s</w:t>
      </w:r>
      <w:r w:rsidRPr="2D776D8F">
        <w:rPr>
          <w:rFonts w:ascii="Arial" w:eastAsia="Arial" w:hAnsi="Arial" w:cs="Arial"/>
          <w:sz w:val="24"/>
          <w:szCs w:val="24"/>
        </w:rPr>
        <w:t xml:space="preserve"> commitment, to circular economy principles not only meets these expectations but also positions them as leaders driving positive change in the hospitality sector.</w:t>
      </w:r>
      <w:r w:rsidR="3693C1D8" w:rsidRPr="2D776D8F">
        <w:rPr>
          <w:rFonts w:ascii="Arial" w:eastAsia="Arial" w:hAnsi="Arial" w:cs="Arial"/>
          <w:color w:val="374151"/>
          <w:sz w:val="24"/>
          <w:szCs w:val="24"/>
        </w:rPr>
        <w:t xml:space="preserve"> (</w:t>
      </w:r>
      <w:proofErr w:type="spellStart"/>
      <w:r w:rsidR="3693C1D8" w:rsidRPr="2D776D8F">
        <w:rPr>
          <w:rFonts w:ascii="Arial" w:eastAsia="Arial" w:hAnsi="Arial" w:cs="Arial"/>
          <w:color w:val="374151"/>
          <w:sz w:val="24"/>
          <w:szCs w:val="24"/>
        </w:rPr>
        <w:t>Bocken</w:t>
      </w:r>
      <w:proofErr w:type="spellEnd"/>
      <w:r w:rsidR="3693C1D8" w:rsidRPr="2D776D8F">
        <w:rPr>
          <w:rFonts w:ascii="Arial" w:eastAsia="Arial" w:hAnsi="Arial" w:cs="Arial"/>
          <w:color w:val="374151"/>
          <w:sz w:val="24"/>
          <w:szCs w:val="24"/>
        </w:rPr>
        <w:t>,</w:t>
      </w:r>
      <w:r w:rsidR="003B1E38">
        <w:rPr>
          <w:rFonts w:ascii="Arial" w:eastAsia="Arial" w:hAnsi="Arial" w:cs="Arial"/>
          <w:color w:val="374151"/>
          <w:sz w:val="24"/>
          <w:szCs w:val="24"/>
        </w:rPr>
        <w:t xml:space="preserve"> </w:t>
      </w:r>
      <w:r w:rsidR="3693C1D8" w:rsidRPr="2D776D8F">
        <w:rPr>
          <w:rFonts w:ascii="Arial" w:eastAsia="Arial" w:hAnsi="Arial" w:cs="Arial"/>
          <w:color w:val="374151"/>
          <w:sz w:val="24"/>
          <w:szCs w:val="24"/>
        </w:rPr>
        <w:t>et al 2016)</w:t>
      </w:r>
    </w:p>
    <w:p w14:paraId="58AD53BC" w14:textId="6F8EC3AA" w:rsidR="008A6874" w:rsidRDefault="6216C313" w:rsidP="2D776D8F">
      <w:pPr>
        <w:spacing w:line="360" w:lineRule="auto"/>
        <w:jc w:val="both"/>
        <w:rPr>
          <w:rFonts w:ascii="Arial" w:eastAsia="Arial" w:hAnsi="Arial" w:cs="Arial"/>
          <w:b/>
          <w:bCs/>
          <w:sz w:val="24"/>
          <w:szCs w:val="24"/>
        </w:rPr>
      </w:pPr>
      <w:r w:rsidRPr="2D776D8F">
        <w:rPr>
          <w:rFonts w:ascii="Arial" w:eastAsia="Arial" w:hAnsi="Arial" w:cs="Arial"/>
          <w:b/>
          <w:bCs/>
          <w:sz w:val="24"/>
          <w:szCs w:val="24"/>
        </w:rPr>
        <w:t xml:space="preserve">Evaluation of </w:t>
      </w:r>
      <w:r w:rsidR="003B1E38">
        <w:rPr>
          <w:rFonts w:ascii="Arial" w:eastAsia="Arial" w:hAnsi="Arial" w:cs="Arial"/>
          <w:b/>
          <w:bCs/>
          <w:sz w:val="24"/>
          <w:szCs w:val="24"/>
        </w:rPr>
        <w:t>Marriott</w:t>
      </w:r>
      <w:r w:rsidRPr="2D776D8F">
        <w:rPr>
          <w:rFonts w:ascii="Arial" w:eastAsia="Arial" w:hAnsi="Arial" w:cs="Arial"/>
          <w:b/>
          <w:bCs/>
          <w:sz w:val="24"/>
          <w:szCs w:val="24"/>
        </w:rPr>
        <w:t xml:space="preserve"> CSR Policy</w:t>
      </w:r>
    </w:p>
    <w:p w14:paraId="698BD7FB" w14:textId="364B8A67"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Marriott International deserves an evaluation, for its commitment to circular economy principles in its Corporate Social Responsibility (CSR) policy. It's not a gesture but a </w:t>
      </w:r>
      <w:r w:rsidRPr="2D776D8F">
        <w:rPr>
          <w:rFonts w:ascii="Arial" w:eastAsia="Arial" w:hAnsi="Arial" w:cs="Arial"/>
          <w:sz w:val="24"/>
          <w:szCs w:val="24"/>
        </w:rPr>
        <w:lastRenderedPageBreak/>
        <w:t xml:space="preserve">strategic imperative that aligns with global sustainability goals (Marriott International, 2022). </w:t>
      </w:r>
    </w:p>
    <w:p w14:paraId="75A61837" w14:textId="527E7CD1"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One aspect that stands out is </w:t>
      </w:r>
      <w:r w:rsidR="003B1E38">
        <w:rPr>
          <w:rFonts w:ascii="Arial" w:eastAsia="Arial" w:hAnsi="Arial" w:cs="Arial"/>
          <w:sz w:val="24"/>
          <w:szCs w:val="24"/>
        </w:rPr>
        <w:t>Marriott’s</w:t>
      </w:r>
      <w:r w:rsidRPr="2D776D8F">
        <w:rPr>
          <w:rFonts w:ascii="Arial" w:eastAsia="Arial" w:hAnsi="Arial" w:cs="Arial"/>
          <w:sz w:val="24"/>
          <w:szCs w:val="24"/>
        </w:rPr>
        <w:t xml:space="preserve"> focus on reducing waste. They actively participate in initiatives to minimiz</w:t>
      </w:r>
      <w:r w:rsidR="003B1E38">
        <w:rPr>
          <w:rFonts w:ascii="Arial" w:eastAsia="Arial" w:hAnsi="Arial" w:cs="Arial"/>
          <w:sz w:val="24"/>
          <w:szCs w:val="24"/>
        </w:rPr>
        <w:t>e single-use p</w:t>
      </w:r>
      <w:r w:rsidRPr="2D776D8F">
        <w:rPr>
          <w:rFonts w:ascii="Arial" w:eastAsia="Arial" w:hAnsi="Arial" w:cs="Arial"/>
          <w:sz w:val="24"/>
          <w:szCs w:val="24"/>
        </w:rPr>
        <w:t xml:space="preserve">lastics and have recycling programs showcasing their dedication to reducing their impact (Marriott International, 2022). This commitment aligns with circular economy principles by promoting </w:t>
      </w:r>
      <w:r w:rsidR="003B1E38">
        <w:rPr>
          <w:rFonts w:ascii="Arial" w:eastAsia="Arial" w:hAnsi="Arial" w:cs="Arial"/>
          <w:sz w:val="24"/>
          <w:szCs w:val="24"/>
        </w:rPr>
        <w:t>a closed-loop</w:t>
      </w:r>
      <w:r w:rsidRPr="2D776D8F">
        <w:rPr>
          <w:rFonts w:ascii="Arial" w:eastAsia="Arial" w:hAnsi="Arial" w:cs="Arial"/>
          <w:sz w:val="24"/>
          <w:szCs w:val="24"/>
        </w:rPr>
        <w:t xml:space="preserve"> system </w:t>
      </w:r>
      <w:r w:rsidR="003B1E38">
        <w:rPr>
          <w:rFonts w:ascii="Arial" w:eastAsia="Arial" w:hAnsi="Arial" w:cs="Arial"/>
          <w:sz w:val="24"/>
          <w:szCs w:val="24"/>
        </w:rPr>
        <w:t xml:space="preserve">where materials are e </w:t>
      </w:r>
      <w:r w:rsidRPr="2D776D8F">
        <w:rPr>
          <w:rFonts w:ascii="Arial" w:eastAsia="Arial" w:hAnsi="Arial" w:cs="Arial"/>
          <w:sz w:val="24"/>
          <w:szCs w:val="24"/>
        </w:rPr>
        <w:t xml:space="preserve">repurposed and recycled contributing to sustainable resource management (Ellen MacArthur Foundation, 2017). </w:t>
      </w:r>
    </w:p>
    <w:p w14:paraId="503F0ADD" w14:textId="27E24D14"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Marriott also emphasizes energy efficiency and renewable energy sources as part of their circular economy practices (Marriott International, 2022). Their investments in </w:t>
      </w:r>
      <w:r w:rsidR="003B1E38">
        <w:rPr>
          <w:rFonts w:ascii="Arial" w:eastAsia="Arial" w:hAnsi="Arial" w:cs="Arial"/>
          <w:sz w:val="24"/>
          <w:szCs w:val="24"/>
        </w:rPr>
        <w:t>eco-technologies</w:t>
      </w:r>
      <w:r w:rsidRPr="2D776D8F">
        <w:rPr>
          <w:rFonts w:ascii="Arial" w:eastAsia="Arial" w:hAnsi="Arial" w:cs="Arial"/>
          <w:sz w:val="24"/>
          <w:szCs w:val="24"/>
        </w:rPr>
        <w:t xml:space="preserve"> and energy conservation measures demonstrate their commitment to stewardship while aligning with circular economy principles of maximizing resource value and minimizing waste throughout the product lifecycle (Kirchherr et al., 2017). </w:t>
      </w:r>
    </w:p>
    <w:p w14:paraId="2A95AC14" w14:textId="571FB458"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Furthermore</w:t>
      </w:r>
      <w:r w:rsidR="003B1E38">
        <w:rPr>
          <w:rFonts w:ascii="Arial" w:eastAsia="Arial" w:hAnsi="Arial" w:cs="Arial"/>
          <w:sz w:val="24"/>
          <w:szCs w:val="24"/>
        </w:rPr>
        <w:t>, Marriott’s</w:t>
      </w:r>
      <w:r w:rsidRPr="2D776D8F">
        <w:rPr>
          <w:rFonts w:ascii="Arial" w:eastAsia="Arial" w:hAnsi="Arial" w:cs="Arial"/>
          <w:sz w:val="24"/>
          <w:szCs w:val="24"/>
        </w:rPr>
        <w:t xml:space="preserve"> dedication to sourcing adds another layer to the circular economy narrative, within their CSR </w:t>
      </w:r>
      <w:r w:rsidR="003B1E38">
        <w:rPr>
          <w:rFonts w:ascii="Arial" w:eastAsia="Arial" w:hAnsi="Arial" w:cs="Arial"/>
          <w:sz w:val="24"/>
          <w:szCs w:val="24"/>
        </w:rPr>
        <w:t>framework</w:t>
      </w:r>
      <w:r w:rsidRPr="2D776D8F">
        <w:rPr>
          <w:rFonts w:ascii="Arial" w:eastAsia="Arial" w:hAnsi="Arial" w:cs="Arial"/>
          <w:sz w:val="24"/>
          <w:szCs w:val="24"/>
        </w:rPr>
        <w:t>.</w:t>
      </w:r>
      <w:r w:rsidR="003B1E38">
        <w:rPr>
          <w:rFonts w:ascii="Arial" w:eastAsia="Arial" w:hAnsi="Arial" w:cs="Arial"/>
          <w:sz w:val="24"/>
          <w:szCs w:val="24"/>
        </w:rPr>
        <w:t xml:space="preserve"> </w:t>
      </w:r>
      <w:r w:rsidR="003B1E38" w:rsidRPr="2D776D8F">
        <w:rPr>
          <w:rFonts w:ascii="Arial" w:eastAsia="Arial" w:hAnsi="Arial" w:cs="Arial"/>
          <w:sz w:val="24"/>
          <w:szCs w:val="24"/>
        </w:rPr>
        <w:t>Marriott International</w:t>
      </w:r>
      <w:r w:rsidR="003B1E38">
        <w:rPr>
          <w:rFonts w:ascii="Arial" w:eastAsia="Arial" w:hAnsi="Arial" w:cs="Arial"/>
          <w:sz w:val="24"/>
          <w:szCs w:val="24"/>
        </w:rPr>
        <w:t>’s</w:t>
      </w:r>
      <w:r w:rsidRPr="2D776D8F">
        <w:rPr>
          <w:rFonts w:ascii="Arial" w:eastAsia="Arial" w:hAnsi="Arial" w:cs="Arial"/>
          <w:sz w:val="24"/>
          <w:szCs w:val="24"/>
        </w:rPr>
        <w:t xml:space="preserve"> dedication, to collaborating with suppliers to uphold environmental and social sustainability standards </w:t>
      </w:r>
      <w:r w:rsidR="003B1E38">
        <w:rPr>
          <w:rFonts w:ascii="Arial" w:eastAsia="Arial" w:hAnsi="Arial" w:cs="Arial"/>
          <w:sz w:val="24"/>
          <w:szCs w:val="24"/>
        </w:rPr>
        <w:t>demonstrates</w:t>
      </w:r>
      <w:r w:rsidRPr="2D776D8F">
        <w:rPr>
          <w:rFonts w:ascii="Arial" w:eastAsia="Arial" w:hAnsi="Arial" w:cs="Arial"/>
          <w:sz w:val="24"/>
          <w:szCs w:val="24"/>
        </w:rPr>
        <w:t xml:space="preserve"> </w:t>
      </w:r>
      <w:r w:rsidR="003B1E38">
        <w:rPr>
          <w:rFonts w:ascii="Arial" w:eastAsia="Arial" w:hAnsi="Arial" w:cs="Arial"/>
          <w:sz w:val="24"/>
          <w:szCs w:val="24"/>
        </w:rPr>
        <w:t>its</w:t>
      </w:r>
      <w:r w:rsidRPr="2D776D8F">
        <w:rPr>
          <w:rFonts w:ascii="Arial" w:eastAsia="Arial" w:hAnsi="Arial" w:cs="Arial"/>
          <w:sz w:val="24"/>
          <w:szCs w:val="24"/>
        </w:rPr>
        <w:t xml:space="preserve"> commitment to creating a supply chain. This approach aligns with the principles of the economy, where </w:t>
      </w:r>
      <w:r w:rsidR="003B1E38">
        <w:rPr>
          <w:rFonts w:ascii="Arial" w:eastAsia="Arial" w:hAnsi="Arial" w:cs="Arial"/>
          <w:sz w:val="24"/>
          <w:szCs w:val="24"/>
        </w:rPr>
        <w:t>responsible sourcing is</w:t>
      </w:r>
      <w:r w:rsidRPr="2D776D8F">
        <w:rPr>
          <w:rFonts w:ascii="Arial" w:eastAsia="Arial" w:hAnsi="Arial" w:cs="Arial"/>
          <w:sz w:val="24"/>
          <w:szCs w:val="24"/>
        </w:rPr>
        <w:t xml:space="preserve"> crucial (Marriott International, 2022). </w:t>
      </w:r>
    </w:p>
    <w:p w14:paraId="514E02B1" w14:textId="7ECBAEB9"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The transparency and accountability exhibited by Marriott in establishing goals and regularly reporting on their progress are components of an effective corporate social responsibility (CSR) policy (Marriott International, 2022). This commitment to accountability is in line with circular economy principles as it fosters a culture of improvement and encourages stakeholders to participate in the journey towards sustainability (Carroll, 1979). </w:t>
      </w:r>
    </w:p>
    <w:p w14:paraId="26864D61" w14:textId="3F71D4B7"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To assess the impact and success of </w:t>
      </w:r>
      <w:r w:rsidR="003B1E38">
        <w:rPr>
          <w:rFonts w:ascii="Arial" w:eastAsia="Arial" w:hAnsi="Arial" w:cs="Arial"/>
          <w:sz w:val="24"/>
          <w:szCs w:val="24"/>
        </w:rPr>
        <w:t>Marriott’s</w:t>
      </w:r>
      <w:r w:rsidRPr="2D776D8F">
        <w:rPr>
          <w:rFonts w:ascii="Arial" w:eastAsia="Arial" w:hAnsi="Arial" w:cs="Arial"/>
          <w:sz w:val="24"/>
          <w:szCs w:val="24"/>
        </w:rPr>
        <w:t xml:space="preserve"> circular economy initiatives it is important to go beyond the </w:t>
      </w:r>
      <w:r w:rsidR="003B1E38">
        <w:rPr>
          <w:rFonts w:ascii="Arial" w:eastAsia="Arial" w:hAnsi="Arial" w:cs="Arial"/>
          <w:sz w:val="24"/>
          <w:szCs w:val="24"/>
        </w:rPr>
        <w:t>company’s</w:t>
      </w:r>
      <w:r w:rsidRPr="2D776D8F">
        <w:rPr>
          <w:rFonts w:ascii="Arial" w:eastAsia="Arial" w:hAnsi="Arial" w:cs="Arial"/>
          <w:sz w:val="24"/>
          <w:szCs w:val="24"/>
        </w:rPr>
        <w:t xml:space="preserve"> </w:t>
      </w:r>
      <w:r w:rsidR="003B1E38">
        <w:rPr>
          <w:rFonts w:ascii="Arial" w:eastAsia="Arial" w:hAnsi="Arial" w:cs="Arial"/>
          <w:sz w:val="24"/>
          <w:szCs w:val="24"/>
        </w:rPr>
        <w:t>self-assessment</w:t>
      </w:r>
      <w:r w:rsidRPr="2D776D8F">
        <w:rPr>
          <w:rFonts w:ascii="Arial" w:eastAsia="Arial" w:hAnsi="Arial" w:cs="Arial"/>
          <w:sz w:val="24"/>
          <w:szCs w:val="24"/>
        </w:rPr>
        <w:t xml:space="preserve">. Independent </w:t>
      </w:r>
      <w:r w:rsidR="003B1E38">
        <w:rPr>
          <w:rFonts w:ascii="Arial" w:eastAsia="Arial" w:hAnsi="Arial" w:cs="Arial"/>
          <w:sz w:val="24"/>
          <w:szCs w:val="24"/>
        </w:rPr>
        <w:t>third-party</w:t>
      </w:r>
      <w:r w:rsidRPr="2D776D8F">
        <w:rPr>
          <w:rFonts w:ascii="Arial" w:eastAsia="Arial" w:hAnsi="Arial" w:cs="Arial"/>
          <w:sz w:val="24"/>
          <w:szCs w:val="24"/>
        </w:rPr>
        <w:t xml:space="preserve"> evaluations and industry </w:t>
      </w:r>
      <w:r w:rsidR="003B1E38">
        <w:rPr>
          <w:rFonts w:ascii="Arial" w:eastAsia="Arial" w:hAnsi="Arial" w:cs="Arial"/>
          <w:sz w:val="24"/>
          <w:szCs w:val="24"/>
        </w:rPr>
        <w:t>acknowledgements</w:t>
      </w:r>
      <w:r w:rsidRPr="2D776D8F">
        <w:rPr>
          <w:rFonts w:ascii="Arial" w:eastAsia="Arial" w:hAnsi="Arial" w:cs="Arial"/>
          <w:sz w:val="24"/>
          <w:szCs w:val="24"/>
        </w:rPr>
        <w:t xml:space="preserve"> serve as benchmarks for evaluating CSR </w:t>
      </w:r>
      <w:r w:rsidR="003B1E38">
        <w:rPr>
          <w:rFonts w:ascii="Arial" w:eastAsia="Arial" w:hAnsi="Arial" w:cs="Arial"/>
          <w:sz w:val="24"/>
          <w:szCs w:val="24"/>
        </w:rPr>
        <w:t>initiative’s</w:t>
      </w:r>
      <w:r w:rsidRPr="2D776D8F">
        <w:rPr>
          <w:rFonts w:ascii="Arial" w:eastAsia="Arial" w:hAnsi="Arial" w:cs="Arial"/>
          <w:sz w:val="24"/>
          <w:szCs w:val="24"/>
        </w:rPr>
        <w:t xml:space="preserve"> effectiveness. For instance</w:t>
      </w:r>
      <w:r w:rsidR="003B1E38">
        <w:rPr>
          <w:rFonts w:ascii="Arial" w:eastAsia="Arial" w:hAnsi="Arial" w:cs="Arial"/>
          <w:sz w:val="24"/>
          <w:szCs w:val="24"/>
        </w:rPr>
        <w:t>,</w:t>
      </w:r>
      <w:r w:rsidRPr="2D776D8F">
        <w:rPr>
          <w:rFonts w:ascii="Arial" w:eastAsia="Arial" w:hAnsi="Arial" w:cs="Arial"/>
          <w:sz w:val="24"/>
          <w:szCs w:val="24"/>
        </w:rPr>
        <w:t xml:space="preserve"> certifications like ISO 14001 for environmental management </w:t>
      </w:r>
      <w:r w:rsidRPr="2D776D8F">
        <w:rPr>
          <w:rFonts w:ascii="Arial" w:eastAsia="Arial" w:hAnsi="Arial" w:cs="Arial"/>
          <w:sz w:val="24"/>
          <w:szCs w:val="24"/>
        </w:rPr>
        <w:lastRenderedPageBreak/>
        <w:t xml:space="preserve">systems or recognition in sustainability indices provide proof of a </w:t>
      </w:r>
      <w:r w:rsidR="003B1E38">
        <w:rPr>
          <w:rFonts w:ascii="Arial" w:eastAsia="Arial" w:hAnsi="Arial" w:cs="Arial"/>
          <w:sz w:val="24"/>
          <w:szCs w:val="24"/>
        </w:rPr>
        <w:t>company’s</w:t>
      </w:r>
      <w:r w:rsidRPr="2D776D8F">
        <w:rPr>
          <w:rFonts w:ascii="Arial" w:eastAsia="Arial" w:hAnsi="Arial" w:cs="Arial"/>
          <w:sz w:val="24"/>
          <w:szCs w:val="24"/>
        </w:rPr>
        <w:t xml:space="preserve"> dedication to </w:t>
      </w:r>
      <w:r w:rsidR="003B1E38">
        <w:rPr>
          <w:rFonts w:ascii="Arial" w:eastAsia="Arial" w:hAnsi="Arial" w:cs="Arial"/>
          <w:sz w:val="24"/>
          <w:szCs w:val="24"/>
        </w:rPr>
        <w:t>economic</w:t>
      </w:r>
      <w:r w:rsidRPr="2D776D8F">
        <w:rPr>
          <w:rFonts w:ascii="Arial" w:eastAsia="Arial" w:hAnsi="Arial" w:cs="Arial"/>
          <w:sz w:val="24"/>
          <w:szCs w:val="24"/>
        </w:rPr>
        <w:t xml:space="preserve"> principles (ISO, n.d.). </w:t>
      </w:r>
    </w:p>
    <w:p w14:paraId="6BC82CC1" w14:textId="2B2B894A"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In summary</w:t>
      </w:r>
      <w:r w:rsidR="003B1E38">
        <w:rPr>
          <w:rFonts w:ascii="Arial" w:eastAsia="Arial" w:hAnsi="Arial" w:cs="Arial"/>
          <w:sz w:val="24"/>
          <w:szCs w:val="24"/>
        </w:rPr>
        <w:t>,</w:t>
      </w:r>
      <w:r w:rsidRPr="2D776D8F">
        <w:rPr>
          <w:rFonts w:ascii="Arial" w:eastAsia="Arial" w:hAnsi="Arial" w:cs="Arial"/>
          <w:sz w:val="24"/>
          <w:szCs w:val="24"/>
        </w:rPr>
        <w:t xml:space="preserve"> Marriott </w:t>
      </w:r>
      <w:r w:rsidR="003B1E38">
        <w:rPr>
          <w:rFonts w:ascii="Arial" w:eastAsia="Arial" w:hAnsi="Arial" w:cs="Arial"/>
          <w:sz w:val="24"/>
          <w:szCs w:val="24"/>
        </w:rPr>
        <w:t>International’s</w:t>
      </w:r>
      <w:r w:rsidRPr="2D776D8F">
        <w:rPr>
          <w:rFonts w:ascii="Arial" w:eastAsia="Arial" w:hAnsi="Arial" w:cs="Arial"/>
          <w:sz w:val="24"/>
          <w:szCs w:val="24"/>
        </w:rPr>
        <w:t xml:space="preserve"> CSR policy exemplifies an approach to integrating circular economy principles within the hospitality sector. The evaluation not </w:t>
      </w:r>
      <w:r w:rsidR="003B1E38">
        <w:rPr>
          <w:rFonts w:ascii="Arial" w:eastAsia="Arial" w:hAnsi="Arial" w:cs="Arial"/>
          <w:sz w:val="24"/>
          <w:szCs w:val="24"/>
        </w:rPr>
        <w:t xml:space="preserve">only </w:t>
      </w:r>
      <w:r w:rsidRPr="2D776D8F">
        <w:rPr>
          <w:rFonts w:ascii="Arial" w:eastAsia="Arial" w:hAnsi="Arial" w:cs="Arial"/>
          <w:sz w:val="24"/>
          <w:szCs w:val="24"/>
        </w:rPr>
        <w:t xml:space="preserve">showcases their commitment to sustainability but also highlights strategic alignment, with circular economy practices that can foster </w:t>
      </w:r>
      <w:r w:rsidR="003B1E38">
        <w:rPr>
          <w:rFonts w:ascii="Arial" w:eastAsia="Arial" w:hAnsi="Arial" w:cs="Arial"/>
          <w:sz w:val="24"/>
          <w:szCs w:val="24"/>
        </w:rPr>
        <w:t>long-term</w:t>
      </w:r>
      <w:r w:rsidRPr="2D776D8F">
        <w:rPr>
          <w:rFonts w:ascii="Arial" w:eastAsia="Arial" w:hAnsi="Arial" w:cs="Arial"/>
          <w:sz w:val="24"/>
          <w:szCs w:val="24"/>
        </w:rPr>
        <w:t xml:space="preserve"> business resilience and positive stakeholder relationships.</w:t>
      </w:r>
    </w:p>
    <w:p w14:paraId="75B03CAF" w14:textId="620934B5"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 </w:t>
      </w:r>
    </w:p>
    <w:p w14:paraId="6B8A955C" w14:textId="674F9DCE" w:rsidR="008A6874" w:rsidRDefault="18C0B1FB" w:rsidP="2D776D8F">
      <w:pPr>
        <w:spacing w:line="360" w:lineRule="auto"/>
        <w:jc w:val="both"/>
        <w:rPr>
          <w:rFonts w:ascii="Arial" w:eastAsia="Arial" w:hAnsi="Arial" w:cs="Arial"/>
          <w:b/>
          <w:bCs/>
          <w:sz w:val="24"/>
          <w:szCs w:val="24"/>
        </w:rPr>
      </w:pPr>
      <w:r w:rsidRPr="2D776D8F">
        <w:rPr>
          <w:rFonts w:ascii="Arial" w:eastAsia="Arial" w:hAnsi="Arial" w:cs="Arial"/>
          <w:b/>
          <w:bCs/>
          <w:sz w:val="24"/>
          <w:szCs w:val="24"/>
        </w:rPr>
        <w:t>Industry Examples of Circular Economy Practices</w:t>
      </w:r>
    </w:p>
    <w:p w14:paraId="7B839F98" w14:textId="13708B57"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As Marriott continues its journey, towards sustainability it recognizes the importance of assessment and adaptation to ensure the effectiveness and relevance of its circular economy initiatives in meeting sustainability expectations. </w:t>
      </w:r>
    </w:p>
    <w:p w14:paraId="0618D557" w14:textId="403EB739"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The hospitality industry, including Marriott International</w:t>
      </w:r>
      <w:r w:rsidR="003B1E38">
        <w:rPr>
          <w:rFonts w:ascii="Arial" w:eastAsia="Arial" w:hAnsi="Arial" w:cs="Arial"/>
          <w:sz w:val="24"/>
          <w:szCs w:val="24"/>
        </w:rPr>
        <w:t>,</w:t>
      </w:r>
      <w:r w:rsidRPr="2D776D8F">
        <w:rPr>
          <w:rFonts w:ascii="Arial" w:eastAsia="Arial" w:hAnsi="Arial" w:cs="Arial"/>
          <w:sz w:val="24"/>
          <w:szCs w:val="24"/>
        </w:rPr>
        <w:t xml:space="preserve"> demonstrates a commitment to adopting circular economy practices. Various examples highlight how the sector is making strides towards sustainability. </w:t>
      </w:r>
      <w:r w:rsidR="76A8A399" w:rsidRPr="2D776D8F">
        <w:rPr>
          <w:rFonts w:ascii="Arial" w:eastAsia="Arial" w:hAnsi="Arial" w:cs="Arial"/>
          <w:sz w:val="24"/>
          <w:szCs w:val="24"/>
        </w:rPr>
        <w:t>UNWTO. (2019)</w:t>
      </w:r>
    </w:p>
    <w:p w14:paraId="71BD530C" w14:textId="581431EB"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Premier Inn, </w:t>
      </w:r>
      <w:r w:rsidR="02B08BDC" w:rsidRPr="2D776D8F">
        <w:rPr>
          <w:rFonts w:ascii="Arial" w:eastAsia="Arial" w:hAnsi="Arial" w:cs="Arial"/>
          <w:sz w:val="24"/>
          <w:szCs w:val="24"/>
        </w:rPr>
        <w:t>an immense</w:t>
      </w:r>
      <w:r w:rsidRPr="2D776D8F">
        <w:rPr>
          <w:rFonts w:ascii="Arial" w:eastAsia="Arial" w:hAnsi="Arial" w:cs="Arial"/>
          <w:sz w:val="24"/>
          <w:szCs w:val="24"/>
        </w:rPr>
        <w:t xml:space="preserve"> hotel </w:t>
      </w:r>
      <w:r w:rsidR="1EA3163D" w:rsidRPr="2D776D8F">
        <w:rPr>
          <w:rFonts w:ascii="Arial" w:eastAsia="Arial" w:hAnsi="Arial" w:cs="Arial"/>
          <w:sz w:val="24"/>
          <w:szCs w:val="24"/>
        </w:rPr>
        <w:t>chain,</w:t>
      </w:r>
      <w:r w:rsidRPr="2D776D8F">
        <w:rPr>
          <w:rFonts w:ascii="Arial" w:eastAsia="Arial" w:hAnsi="Arial" w:cs="Arial"/>
          <w:sz w:val="24"/>
          <w:szCs w:val="24"/>
        </w:rPr>
        <w:t xml:space="preserve"> has implemented initiatives that embody the principles of the economy. By focusing on reducing food waste through solutions like surplus food redistribution and composting (Whitbread, 2022) they are effectively minimizing waste and optimizing resource utilization by repurposing food waste into products. </w:t>
      </w:r>
    </w:p>
    <w:p w14:paraId="77C7A720" w14:textId="169F98EA"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Accor, a hospitality group stands at the forefront of circular economy adoption. The company has </w:t>
      </w:r>
      <w:r w:rsidR="003B1E38">
        <w:rPr>
          <w:rFonts w:ascii="Arial" w:eastAsia="Arial" w:hAnsi="Arial" w:cs="Arial"/>
          <w:sz w:val="24"/>
          <w:szCs w:val="24"/>
        </w:rPr>
        <w:t>committed</w:t>
      </w:r>
      <w:r w:rsidRPr="2D776D8F">
        <w:rPr>
          <w:rFonts w:ascii="Arial" w:eastAsia="Arial" w:hAnsi="Arial" w:cs="Arial"/>
          <w:sz w:val="24"/>
          <w:szCs w:val="24"/>
        </w:rPr>
        <w:t xml:space="preserve"> to </w:t>
      </w:r>
      <w:r w:rsidR="003B1E38">
        <w:rPr>
          <w:rFonts w:ascii="Arial" w:eastAsia="Arial" w:hAnsi="Arial" w:cs="Arial"/>
          <w:sz w:val="24"/>
          <w:szCs w:val="24"/>
        </w:rPr>
        <w:t>eliminating</w:t>
      </w:r>
      <w:r w:rsidRPr="2D776D8F">
        <w:rPr>
          <w:rFonts w:ascii="Arial" w:eastAsia="Arial" w:hAnsi="Arial" w:cs="Arial"/>
          <w:sz w:val="24"/>
          <w:szCs w:val="24"/>
        </w:rPr>
        <w:t xml:space="preserve"> </w:t>
      </w:r>
      <w:r w:rsidR="003B1E38">
        <w:rPr>
          <w:rFonts w:ascii="Arial" w:eastAsia="Arial" w:hAnsi="Arial" w:cs="Arial"/>
          <w:sz w:val="24"/>
          <w:szCs w:val="24"/>
        </w:rPr>
        <w:t>single-use</w:t>
      </w:r>
      <w:r w:rsidRPr="2D776D8F">
        <w:rPr>
          <w:rFonts w:ascii="Arial" w:eastAsia="Arial" w:hAnsi="Arial" w:cs="Arial"/>
          <w:sz w:val="24"/>
          <w:szCs w:val="24"/>
        </w:rPr>
        <w:t xml:space="preserve"> plastics from its operations (Accor, 2022). Their initiative addresses the issue of waste by seeking alternatives and promoting responsible consumption. This aligns with the </w:t>
      </w:r>
      <w:r w:rsidR="003B1E38">
        <w:rPr>
          <w:rFonts w:ascii="Arial" w:eastAsia="Arial" w:hAnsi="Arial" w:cs="Arial"/>
          <w:sz w:val="24"/>
          <w:szCs w:val="24"/>
        </w:rPr>
        <w:t>economy’s</w:t>
      </w:r>
      <w:r w:rsidRPr="2D776D8F">
        <w:rPr>
          <w:rFonts w:ascii="Arial" w:eastAsia="Arial" w:hAnsi="Arial" w:cs="Arial"/>
          <w:sz w:val="24"/>
          <w:szCs w:val="24"/>
        </w:rPr>
        <w:t xml:space="preserve"> objective of reducing reliance, on resources and mitigating the environmental impact of disposable materials. </w:t>
      </w:r>
    </w:p>
    <w:p w14:paraId="5D6B6596" w14:textId="774ABB11"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InterContinental Hotels Group (IHG) integrates building practices that resonate with circular economy principles.</w:t>
      </w:r>
      <w:r w:rsidR="003B1E38">
        <w:rPr>
          <w:rFonts w:ascii="Arial" w:eastAsia="Arial" w:hAnsi="Arial" w:cs="Arial"/>
          <w:sz w:val="24"/>
          <w:szCs w:val="24"/>
        </w:rPr>
        <w:t xml:space="preserve"> </w:t>
      </w:r>
      <w:r w:rsidRPr="2D776D8F">
        <w:rPr>
          <w:rFonts w:ascii="Arial" w:eastAsia="Arial" w:hAnsi="Arial" w:cs="Arial"/>
          <w:sz w:val="24"/>
          <w:szCs w:val="24"/>
        </w:rPr>
        <w:t xml:space="preserve">IHG places an emphasis, on incorporating eco designs and construction materials in its properties ensuring that they adhere to rigorous </w:t>
      </w:r>
      <w:r w:rsidRPr="2D776D8F">
        <w:rPr>
          <w:rFonts w:ascii="Arial" w:eastAsia="Arial" w:hAnsi="Arial" w:cs="Arial"/>
          <w:sz w:val="24"/>
          <w:szCs w:val="24"/>
        </w:rPr>
        <w:lastRenderedPageBreak/>
        <w:t xml:space="preserve">environmental standards (IHG, 2022). This approach reflects their commitment to minimizing the impact hotels have on the environment aligning with the principles of resource use and waste reduction in the economy. </w:t>
      </w:r>
    </w:p>
    <w:p w14:paraId="0950C483" w14:textId="77D17AE5"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These </w:t>
      </w:r>
      <w:r w:rsidR="003B1E38">
        <w:rPr>
          <w:rFonts w:ascii="Arial" w:eastAsia="Arial" w:hAnsi="Arial" w:cs="Arial"/>
          <w:sz w:val="24"/>
          <w:szCs w:val="24"/>
        </w:rPr>
        <w:t>real-life</w:t>
      </w:r>
      <w:r w:rsidRPr="2D776D8F">
        <w:rPr>
          <w:rFonts w:ascii="Arial" w:eastAsia="Arial" w:hAnsi="Arial" w:cs="Arial"/>
          <w:sz w:val="24"/>
          <w:szCs w:val="24"/>
        </w:rPr>
        <w:t xml:space="preserve"> examples not </w:t>
      </w:r>
      <w:r w:rsidR="003B1E38">
        <w:rPr>
          <w:rFonts w:ascii="Arial" w:eastAsia="Arial" w:hAnsi="Arial" w:cs="Arial"/>
          <w:sz w:val="24"/>
          <w:szCs w:val="24"/>
        </w:rPr>
        <w:t xml:space="preserve">only </w:t>
      </w:r>
      <w:r w:rsidRPr="2D776D8F">
        <w:rPr>
          <w:rFonts w:ascii="Arial" w:eastAsia="Arial" w:hAnsi="Arial" w:cs="Arial"/>
          <w:sz w:val="24"/>
          <w:szCs w:val="24"/>
        </w:rPr>
        <w:t xml:space="preserve">showcase </w:t>
      </w:r>
      <w:r w:rsidR="003B1E38">
        <w:rPr>
          <w:rFonts w:ascii="Arial" w:eastAsia="Arial" w:hAnsi="Arial" w:cs="Arial"/>
          <w:sz w:val="24"/>
          <w:szCs w:val="24"/>
        </w:rPr>
        <w:t>how</w:t>
      </w:r>
      <w:r w:rsidRPr="2D776D8F">
        <w:rPr>
          <w:rFonts w:ascii="Arial" w:eastAsia="Arial" w:hAnsi="Arial" w:cs="Arial"/>
          <w:sz w:val="24"/>
          <w:szCs w:val="24"/>
        </w:rPr>
        <w:t xml:space="preserve"> principles are being put into practice but also highlight the importance of collaboration in driving sustainability within the hospitality sector. By adopting </w:t>
      </w:r>
      <w:r w:rsidR="003B1E38">
        <w:rPr>
          <w:rFonts w:ascii="Arial" w:eastAsia="Arial" w:hAnsi="Arial" w:cs="Arial"/>
          <w:sz w:val="24"/>
          <w:szCs w:val="24"/>
        </w:rPr>
        <w:t>economic</w:t>
      </w:r>
      <w:r w:rsidRPr="2D776D8F">
        <w:rPr>
          <w:rFonts w:ascii="Arial" w:eastAsia="Arial" w:hAnsi="Arial" w:cs="Arial"/>
          <w:sz w:val="24"/>
          <w:szCs w:val="24"/>
        </w:rPr>
        <w:t xml:space="preserve"> practices these companies not </w:t>
      </w:r>
      <w:r w:rsidR="003B1E38">
        <w:rPr>
          <w:rFonts w:ascii="Arial" w:eastAsia="Arial" w:hAnsi="Arial" w:cs="Arial"/>
          <w:sz w:val="24"/>
          <w:szCs w:val="24"/>
        </w:rPr>
        <w:t xml:space="preserve">only </w:t>
      </w:r>
      <w:r w:rsidRPr="2D776D8F">
        <w:rPr>
          <w:rFonts w:ascii="Arial" w:eastAsia="Arial" w:hAnsi="Arial" w:cs="Arial"/>
          <w:sz w:val="24"/>
          <w:szCs w:val="24"/>
        </w:rPr>
        <w:t xml:space="preserve">contribute to environmental preservation but also position themselves as leaders in sustainable business practices meeting the evolving expectations of environmentally conscious consumers. </w:t>
      </w:r>
    </w:p>
    <w:p w14:paraId="16E7196E" w14:textId="15148AA1"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Moreover</w:t>
      </w:r>
      <w:r w:rsidR="003B1E38">
        <w:rPr>
          <w:rFonts w:ascii="Arial" w:eastAsia="Arial" w:hAnsi="Arial" w:cs="Arial"/>
          <w:sz w:val="24"/>
          <w:szCs w:val="24"/>
        </w:rPr>
        <w:t>,</w:t>
      </w:r>
      <w:r w:rsidRPr="2D776D8F">
        <w:rPr>
          <w:rFonts w:ascii="Arial" w:eastAsia="Arial" w:hAnsi="Arial" w:cs="Arial"/>
          <w:sz w:val="24"/>
          <w:szCs w:val="24"/>
        </w:rPr>
        <w:t xml:space="preserve"> these initiatives demonstrate how adaptable circular economy principles can be across aspects of the hospitality industry. Whether </w:t>
      </w:r>
      <w:r w:rsidR="003B1E38">
        <w:rPr>
          <w:rFonts w:ascii="Arial" w:eastAsia="Arial" w:hAnsi="Arial" w:cs="Arial"/>
          <w:sz w:val="24"/>
          <w:szCs w:val="24"/>
        </w:rPr>
        <w:t>it is</w:t>
      </w:r>
      <w:r w:rsidRPr="2D776D8F">
        <w:rPr>
          <w:rFonts w:ascii="Arial" w:eastAsia="Arial" w:hAnsi="Arial" w:cs="Arial"/>
          <w:sz w:val="24"/>
          <w:szCs w:val="24"/>
        </w:rPr>
        <w:t xml:space="preserve"> implementing strategies to reduce waste </w:t>
      </w:r>
      <w:r w:rsidR="003B1E38">
        <w:rPr>
          <w:rFonts w:ascii="Arial" w:eastAsia="Arial" w:hAnsi="Arial" w:cs="Arial"/>
          <w:sz w:val="24"/>
          <w:szCs w:val="24"/>
        </w:rPr>
        <w:t xml:space="preserve">by </w:t>
      </w:r>
      <w:r w:rsidRPr="2D776D8F">
        <w:rPr>
          <w:rFonts w:ascii="Arial" w:eastAsia="Arial" w:hAnsi="Arial" w:cs="Arial"/>
          <w:sz w:val="24"/>
          <w:szCs w:val="24"/>
        </w:rPr>
        <w:t>sourcing materials sustainably or promoting consumption these examples illustrate that circular economy practices can be tailored to suit operational needs. They serve as a guide for companies seeking to embrace sustainability in a way (Kirchherr et al., 2017).</w:t>
      </w:r>
    </w:p>
    <w:p w14:paraId="7953B3E2" w14:textId="26036003"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 </w:t>
      </w:r>
    </w:p>
    <w:p w14:paraId="5A4E5BDD" w14:textId="0DAE302C"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As the hospitality industry continues its journey towards sustainability these </w:t>
      </w:r>
      <w:r w:rsidR="003B1E38">
        <w:rPr>
          <w:rFonts w:ascii="Arial" w:eastAsia="Arial" w:hAnsi="Arial" w:cs="Arial"/>
          <w:sz w:val="24"/>
          <w:szCs w:val="24"/>
        </w:rPr>
        <w:t>real-world</w:t>
      </w:r>
      <w:r w:rsidRPr="2D776D8F">
        <w:rPr>
          <w:rFonts w:ascii="Arial" w:eastAsia="Arial" w:hAnsi="Arial" w:cs="Arial"/>
          <w:sz w:val="24"/>
          <w:szCs w:val="24"/>
        </w:rPr>
        <w:t xml:space="preserve"> examples offer inspiration and guidance for others who wish to follow suit.</w:t>
      </w:r>
      <w:r w:rsidR="32F8CA89" w:rsidRPr="2D776D8F">
        <w:rPr>
          <w:rFonts w:ascii="Arial" w:eastAsia="Arial" w:hAnsi="Arial" w:cs="Arial"/>
          <w:color w:val="374151"/>
          <w:sz w:val="24"/>
          <w:szCs w:val="24"/>
        </w:rPr>
        <w:t xml:space="preserve"> (</w:t>
      </w:r>
      <w:proofErr w:type="spellStart"/>
      <w:r w:rsidR="32F8CA89" w:rsidRPr="2D776D8F">
        <w:rPr>
          <w:rFonts w:ascii="Arial" w:eastAsia="Arial" w:hAnsi="Arial" w:cs="Arial"/>
          <w:color w:val="374151"/>
          <w:sz w:val="24"/>
          <w:szCs w:val="24"/>
        </w:rPr>
        <w:t>Gössling</w:t>
      </w:r>
      <w:proofErr w:type="spellEnd"/>
      <w:r w:rsidR="32F8CA89" w:rsidRPr="2D776D8F">
        <w:rPr>
          <w:rFonts w:ascii="Arial" w:eastAsia="Arial" w:hAnsi="Arial" w:cs="Arial"/>
          <w:color w:val="374151"/>
          <w:sz w:val="24"/>
          <w:szCs w:val="24"/>
        </w:rPr>
        <w:t xml:space="preserve">, et al 2020). </w:t>
      </w:r>
      <w:r w:rsidRPr="2D776D8F">
        <w:rPr>
          <w:rFonts w:ascii="Arial" w:eastAsia="Arial" w:hAnsi="Arial" w:cs="Arial"/>
          <w:sz w:val="24"/>
          <w:szCs w:val="24"/>
        </w:rPr>
        <w:t>The collaborative and flexible nature of these circular economy initiatives exemplifies the potential for change within the industry while setting a precedent, for environmentally conscious business practices.</w:t>
      </w:r>
      <w:r w:rsidR="003B1E38">
        <w:rPr>
          <w:rFonts w:ascii="Arial" w:eastAsia="Arial" w:hAnsi="Arial" w:cs="Arial"/>
          <w:sz w:val="24"/>
          <w:szCs w:val="24"/>
        </w:rPr>
        <w:t xml:space="preserve"> In today’s</w:t>
      </w:r>
      <w:r w:rsidRPr="2D776D8F">
        <w:rPr>
          <w:rFonts w:ascii="Arial" w:eastAsia="Arial" w:hAnsi="Arial" w:cs="Arial"/>
          <w:sz w:val="24"/>
          <w:szCs w:val="24"/>
        </w:rPr>
        <w:t xml:space="preserve"> changing world of </w:t>
      </w:r>
      <w:r w:rsidR="003B1E38">
        <w:rPr>
          <w:rFonts w:ascii="Arial" w:eastAsia="Arial" w:hAnsi="Arial" w:cs="Arial"/>
          <w:sz w:val="24"/>
          <w:szCs w:val="24"/>
        </w:rPr>
        <w:t xml:space="preserve">sustainability, </w:t>
      </w:r>
      <w:r w:rsidRPr="2D776D8F">
        <w:rPr>
          <w:rFonts w:ascii="Arial" w:eastAsia="Arial" w:hAnsi="Arial" w:cs="Arial"/>
          <w:sz w:val="24"/>
          <w:szCs w:val="24"/>
        </w:rPr>
        <w:t xml:space="preserve">ty the hospitality industry finds itself at a point where Corporate Social Responsibility (CSR) and circular economy principles converge to shape a more resilient and responsible future. </w:t>
      </w:r>
    </w:p>
    <w:p w14:paraId="74B55E8E" w14:textId="77C3495B" w:rsidR="008A6874" w:rsidRDefault="008A6874" w:rsidP="2D776D8F">
      <w:pPr>
        <w:spacing w:line="360" w:lineRule="auto"/>
        <w:jc w:val="both"/>
        <w:rPr>
          <w:rFonts w:ascii="Arial" w:eastAsia="Arial" w:hAnsi="Arial" w:cs="Arial"/>
          <w:sz w:val="24"/>
          <w:szCs w:val="24"/>
        </w:rPr>
      </w:pPr>
    </w:p>
    <w:p w14:paraId="27CF6DF2" w14:textId="23FDC4E4" w:rsidR="008A6874" w:rsidRDefault="4548715E" w:rsidP="2D776D8F">
      <w:pPr>
        <w:spacing w:line="360" w:lineRule="auto"/>
        <w:jc w:val="both"/>
        <w:rPr>
          <w:rFonts w:ascii="Arial" w:eastAsia="Arial" w:hAnsi="Arial" w:cs="Arial"/>
          <w:b/>
          <w:bCs/>
          <w:sz w:val="24"/>
          <w:szCs w:val="24"/>
        </w:rPr>
      </w:pPr>
      <w:r w:rsidRPr="2D776D8F">
        <w:rPr>
          <w:rFonts w:ascii="Arial" w:eastAsia="Arial" w:hAnsi="Arial" w:cs="Arial"/>
          <w:b/>
          <w:bCs/>
          <w:sz w:val="24"/>
          <w:szCs w:val="24"/>
        </w:rPr>
        <w:t>Conclusion</w:t>
      </w:r>
    </w:p>
    <w:p w14:paraId="5E7B3220" w14:textId="3A648905"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The case study of Marriott International, which is discussed in this essay highlights their dedication to incorporating circular economy practices into their CSR policies. By </w:t>
      </w:r>
      <w:r w:rsidRPr="2D776D8F">
        <w:rPr>
          <w:rFonts w:ascii="Arial" w:eastAsia="Arial" w:hAnsi="Arial" w:cs="Arial"/>
          <w:sz w:val="24"/>
          <w:szCs w:val="24"/>
        </w:rPr>
        <w:lastRenderedPageBreak/>
        <w:t xml:space="preserve">addressing waste reduction, responsible consumption and sustainable sourcing Marriott not </w:t>
      </w:r>
      <w:r w:rsidR="003B1E38">
        <w:rPr>
          <w:rFonts w:ascii="Arial" w:eastAsia="Arial" w:hAnsi="Arial" w:cs="Arial"/>
          <w:sz w:val="24"/>
          <w:szCs w:val="24"/>
        </w:rPr>
        <w:t xml:space="preserve">only </w:t>
      </w:r>
      <w:r w:rsidRPr="2D776D8F">
        <w:rPr>
          <w:rFonts w:ascii="Arial" w:eastAsia="Arial" w:hAnsi="Arial" w:cs="Arial"/>
          <w:sz w:val="24"/>
          <w:szCs w:val="24"/>
        </w:rPr>
        <w:t xml:space="preserve">minimizes its environmental impact but also sets a noteworthy example, for sustainability within the hospitality sector (Marriott International, 2022). </w:t>
      </w:r>
    </w:p>
    <w:p w14:paraId="0FD1641C" w14:textId="6BE0D457" w:rsidR="008A6874" w:rsidRDefault="6216C313"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The assessment of </w:t>
      </w:r>
      <w:r w:rsidR="003B1E38">
        <w:rPr>
          <w:rFonts w:ascii="Arial" w:eastAsia="Arial" w:hAnsi="Arial" w:cs="Arial"/>
          <w:sz w:val="24"/>
          <w:szCs w:val="24"/>
        </w:rPr>
        <w:t>Marriott’s</w:t>
      </w:r>
      <w:r w:rsidRPr="2D776D8F">
        <w:rPr>
          <w:rFonts w:ascii="Arial" w:eastAsia="Arial" w:hAnsi="Arial" w:cs="Arial"/>
          <w:sz w:val="24"/>
          <w:szCs w:val="24"/>
        </w:rPr>
        <w:t xml:space="preserve"> CSR initiatives demonstrates an integration of circular economy principles that prioritize transparency, accountability and a proactive approach towards sustainability. This proactive stance is crucial as circular economy practices continue to evolve and adapt to the changing landscape (Carroll, 1979)</w:t>
      </w:r>
      <w:r w:rsidR="003B1E38">
        <w:rPr>
          <w:rFonts w:ascii="Arial" w:eastAsia="Arial" w:hAnsi="Arial" w:cs="Arial"/>
          <w:sz w:val="24"/>
          <w:szCs w:val="24"/>
        </w:rPr>
        <w:t xml:space="preserve"> Marriott’s</w:t>
      </w:r>
      <w:r w:rsidRPr="2D776D8F">
        <w:rPr>
          <w:rFonts w:ascii="Arial" w:eastAsia="Arial" w:hAnsi="Arial" w:cs="Arial"/>
          <w:sz w:val="24"/>
          <w:szCs w:val="24"/>
        </w:rPr>
        <w:t xml:space="preserve"> efforts exceed compliance. Showcase an authentic commitment towards driving positive change, in the industry.</w:t>
      </w:r>
    </w:p>
    <w:p w14:paraId="7AEBC98D" w14:textId="228C3144" w:rsidR="008A6874" w:rsidRDefault="21DD7DFC" w:rsidP="2D776D8F">
      <w:pPr>
        <w:spacing w:line="360" w:lineRule="auto"/>
        <w:jc w:val="both"/>
        <w:rPr>
          <w:rFonts w:ascii="Arial" w:eastAsia="Arial" w:hAnsi="Arial" w:cs="Arial"/>
          <w:sz w:val="24"/>
          <w:szCs w:val="24"/>
        </w:rPr>
      </w:pPr>
      <w:r w:rsidRPr="2D776D8F">
        <w:rPr>
          <w:rFonts w:ascii="Arial" w:eastAsia="Arial" w:hAnsi="Arial" w:cs="Arial"/>
          <w:sz w:val="24"/>
          <w:szCs w:val="24"/>
        </w:rPr>
        <w:t>Furthermore</w:t>
      </w:r>
      <w:r w:rsidR="003B1E38">
        <w:rPr>
          <w:rFonts w:ascii="Arial" w:eastAsia="Arial" w:hAnsi="Arial" w:cs="Arial"/>
          <w:sz w:val="24"/>
          <w:szCs w:val="24"/>
        </w:rPr>
        <w:t>,</w:t>
      </w:r>
      <w:r w:rsidRPr="2D776D8F">
        <w:rPr>
          <w:rFonts w:ascii="Arial" w:eastAsia="Arial" w:hAnsi="Arial" w:cs="Arial"/>
          <w:sz w:val="24"/>
          <w:szCs w:val="24"/>
        </w:rPr>
        <w:t xml:space="preserve"> examining </w:t>
      </w:r>
      <w:r w:rsidR="003B1E38">
        <w:rPr>
          <w:rFonts w:ascii="Arial" w:eastAsia="Arial" w:hAnsi="Arial" w:cs="Arial"/>
          <w:sz w:val="24"/>
          <w:szCs w:val="24"/>
        </w:rPr>
        <w:t>real-life</w:t>
      </w:r>
      <w:r w:rsidRPr="2D776D8F">
        <w:rPr>
          <w:rFonts w:ascii="Arial" w:eastAsia="Arial" w:hAnsi="Arial" w:cs="Arial"/>
          <w:sz w:val="24"/>
          <w:szCs w:val="24"/>
        </w:rPr>
        <w:t xml:space="preserve"> cases in the hospitality sector, such, as Premier Inn, Accor and InterContinental Hotels Group (IHG) demonstrates </w:t>
      </w:r>
      <w:r w:rsidR="003B1E38">
        <w:rPr>
          <w:rFonts w:ascii="Arial" w:eastAsia="Arial" w:hAnsi="Arial" w:cs="Arial"/>
          <w:sz w:val="24"/>
          <w:szCs w:val="24"/>
        </w:rPr>
        <w:t>how</w:t>
      </w:r>
      <w:r w:rsidRPr="2D776D8F">
        <w:rPr>
          <w:rFonts w:ascii="Arial" w:eastAsia="Arial" w:hAnsi="Arial" w:cs="Arial"/>
          <w:sz w:val="24"/>
          <w:szCs w:val="24"/>
        </w:rPr>
        <w:t xml:space="preserve"> principles can be put into action. These companies showcase the flexibility and adaptability of circular economy practices by tackling issues like reducing food waste eliminating </w:t>
      </w:r>
      <w:r w:rsidR="003B1E38">
        <w:rPr>
          <w:rFonts w:ascii="Arial" w:eastAsia="Arial" w:hAnsi="Arial" w:cs="Arial"/>
          <w:sz w:val="24"/>
          <w:szCs w:val="24"/>
        </w:rPr>
        <w:t>single-use</w:t>
      </w:r>
      <w:r w:rsidRPr="2D776D8F">
        <w:rPr>
          <w:rFonts w:ascii="Arial" w:eastAsia="Arial" w:hAnsi="Arial" w:cs="Arial"/>
          <w:sz w:val="24"/>
          <w:szCs w:val="24"/>
        </w:rPr>
        <w:t xml:space="preserve"> plastics and </w:t>
      </w:r>
      <w:r w:rsidR="003B1E38">
        <w:rPr>
          <w:rFonts w:ascii="Arial" w:eastAsia="Arial" w:hAnsi="Arial" w:cs="Arial"/>
          <w:sz w:val="24"/>
          <w:szCs w:val="24"/>
        </w:rPr>
        <w:t>adopting sustainable</w:t>
      </w:r>
      <w:r w:rsidRPr="2D776D8F">
        <w:rPr>
          <w:rFonts w:ascii="Arial" w:eastAsia="Arial" w:hAnsi="Arial" w:cs="Arial"/>
          <w:sz w:val="24"/>
          <w:szCs w:val="24"/>
        </w:rPr>
        <w:t xml:space="preserve"> methods. Their success stories serve as sources of inspiration that offer insights for organizations looking to embark on their sustainability journey.</w:t>
      </w:r>
    </w:p>
    <w:p w14:paraId="72C36A2A" w14:textId="62EB6F81" w:rsidR="008A6874" w:rsidRDefault="21DD7DFC" w:rsidP="2D776D8F">
      <w:pPr>
        <w:spacing w:line="360" w:lineRule="auto"/>
        <w:jc w:val="both"/>
        <w:rPr>
          <w:rFonts w:ascii="Arial" w:eastAsia="Arial" w:hAnsi="Arial" w:cs="Arial"/>
          <w:sz w:val="24"/>
          <w:szCs w:val="24"/>
        </w:rPr>
      </w:pPr>
      <w:r w:rsidRPr="2D776D8F">
        <w:rPr>
          <w:rFonts w:ascii="Arial" w:eastAsia="Arial" w:hAnsi="Arial" w:cs="Arial"/>
          <w:sz w:val="24"/>
          <w:szCs w:val="24"/>
        </w:rPr>
        <w:t xml:space="preserve"> </w:t>
      </w:r>
    </w:p>
    <w:p w14:paraId="25D263FC" w14:textId="6C94C666" w:rsidR="008A6874" w:rsidRDefault="21DD7DFC" w:rsidP="2D776D8F">
      <w:pPr>
        <w:spacing w:line="360" w:lineRule="auto"/>
        <w:jc w:val="both"/>
        <w:rPr>
          <w:rFonts w:ascii="Arial" w:eastAsia="Arial" w:hAnsi="Arial" w:cs="Arial"/>
          <w:sz w:val="24"/>
          <w:szCs w:val="24"/>
        </w:rPr>
      </w:pPr>
      <w:r w:rsidRPr="2D776D8F">
        <w:rPr>
          <w:rFonts w:ascii="Arial" w:eastAsia="Arial" w:hAnsi="Arial" w:cs="Arial"/>
          <w:sz w:val="24"/>
          <w:szCs w:val="24"/>
        </w:rPr>
        <w:t>To sum up</w:t>
      </w:r>
      <w:r w:rsidR="003B1E38">
        <w:rPr>
          <w:rFonts w:ascii="Arial" w:eastAsia="Arial" w:hAnsi="Arial" w:cs="Arial"/>
          <w:sz w:val="24"/>
          <w:szCs w:val="24"/>
        </w:rPr>
        <w:t>,</w:t>
      </w:r>
      <w:r w:rsidRPr="2D776D8F">
        <w:rPr>
          <w:rFonts w:ascii="Arial" w:eastAsia="Arial" w:hAnsi="Arial" w:cs="Arial"/>
          <w:sz w:val="24"/>
          <w:szCs w:val="24"/>
        </w:rPr>
        <w:t xml:space="preserve"> integrating circular economy principles into responsibility (CSR) policies not only aligns with environmental stewardship but also enhances </w:t>
      </w:r>
      <w:r w:rsidR="003B1E38">
        <w:rPr>
          <w:rFonts w:ascii="Arial" w:eastAsia="Arial" w:hAnsi="Arial" w:cs="Arial"/>
          <w:sz w:val="24"/>
          <w:szCs w:val="24"/>
        </w:rPr>
        <w:t>a company’s</w:t>
      </w:r>
      <w:r w:rsidRPr="2D776D8F">
        <w:rPr>
          <w:rFonts w:ascii="Arial" w:eastAsia="Arial" w:hAnsi="Arial" w:cs="Arial"/>
          <w:sz w:val="24"/>
          <w:szCs w:val="24"/>
        </w:rPr>
        <w:t xml:space="preserve"> reputation, </w:t>
      </w:r>
      <w:r w:rsidR="003B1E38">
        <w:rPr>
          <w:rFonts w:ascii="Arial" w:eastAsia="Arial" w:hAnsi="Arial" w:cs="Arial"/>
          <w:sz w:val="24"/>
          <w:szCs w:val="24"/>
        </w:rPr>
        <w:t xml:space="preserve">and </w:t>
      </w:r>
      <w:r w:rsidRPr="2D776D8F">
        <w:rPr>
          <w:rFonts w:ascii="Arial" w:eastAsia="Arial" w:hAnsi="Arial" w:cs="Arial"/>
          <w:sz w:val="24"/>
          <w:szCs w:val="24"/>
        </w:rPr>
        <w:t xml:space="preserve">relationships with </w:t>
      </w:r>
      <w:r w:rsidR="003B1E38">
        <w:rPr>
          <w:rFonts w:ascii="Arial" w:eastAsia="Arial" w:hAnsi="Arial" w:cs="Arial"/>
          <w:sz w:val="24"/>
          <w:szCs w:val="24"/>
        </w:rPr>
        <w:t>stakeholders’</w:t>
      </w:r>
      <w:r w:rsidRPr="2D776D8F">
        <w:rPr>
          <w:rFonts w:ascii="Arial" w:eastAsia="Arial" w:hAnsi="Arial" w:cs="Arial"/>
          <w:sz w:val="24"/>
          <w:szCs w:val="24"/>
        </w:rPr>
        <w:t xml:space="preserve"> </w:t>
      </w:r>
      <w:r w:rsidR="003B1E38">
        <w:rPr>
          <w:rFonts w:ascii="Arial" w:eastAsia="Arial" w:hAnsi="Arial" w:cs="Arial"/>
          <w:sz w:val="24"/>
          <w:szCs w:val="24"/>
        </w:rPr>
        <w:t>long-term term</w:t>
      </w:r>
      <w:r w:rsidRPr="2D776D8F">
        <w:rPr>
          <w:rFonts w:ascii="Arial" w:eastAsia="Arial" w:hAnsi="Arial" w:cs="Arial"/>
          <w:sz w:val="24"/>
          <w:szCs w:val="24"/>
        </w:rPr>
        <w:t xml:space="preserve"> profitability (Kirchherr et al. 2017). As conscious consumers continue to raise their expectations for the hospitality industry embracing circular economy practices becomes a necessity, for companies aiming to thrive in the futu</w:t>
      </w:r>
      <w:r w:rsidR="003B1E38">
        <w:rPr>
          <w:rFonts w:ascii="Arial" w:eastAsia="Arial" w:hAnsi="Arial" w:cs="Arial"/>
          <w:sz w:val="24"/>
          <w:szCs w:val="24"/>
        </w:rPr>
        <w:t>re. Marriott’s</w:t>
      </w:r>
      <w:r w:rsidRPr="2D776D8F">
        <w:rPr>
          <w:rFonts w:ascii="Arial" w:eastAsia="Arial" w:hAnsi="Arial" w:cs="Arial"/>
          <w:sz w:val="24"/>
          <w:szCs w:val="24"/>
        </w:rPr>
        <w:t xml:space="preserve"> commitment and the examples discussed in this context highlight that sustainability is not a checkbox but an ongoing journey that requires continuous innovation and collaboration to foster a more sustainable and responsible hospitality sector. Ultimately the seamless fusion of CSR and circular economy practices is not merely a passing trend; it represents a power that will shape the future of business within the hospitality industry.</w:t>
      </w:r>
    </w:p>
    <w:p w14:paraId="2C078E63" w14:textId="5E0224D4" w:rsidR="008A6874" w:rsidRDefault="008A6874" w:rsidP="2D776D8F">
      <w:pPr>
        <w:spacing w:line="360" w:lineRule="auto"/>
        <w:jc w:val="both"/>
        <w:rPr>
          <w:rFonts w:ascii="Arial" w:eastAsia="Arial" w:hAnsi="Arial" w:cs="Arial"/>
          <w:sz w:val="24"/>
          <w:szCs w:val="24"/>
        </w:rPr>
      </w:pPr>
    </w:p>
    <w:p w14:paraId="56F71A5D" w14:textId="43479E1E" w:rsidR="2D776D8F" w:rsidRDefault="2D776D8F" w:rsidP="2D776D8F">
      <w:pPr>
        <w:spacing w:line="360" w:lineRule="auto"/>
        <w:jc w:val="both"/>
        <w:rPr>
          <w:rFonts w:ascii="Arial" w:eastAsia="Arial" w:hAnsi="Arial" w:cs="Arial"/>
          <w:sz w:val="24"/>
          <w:szCs w:val="24"/>
        </w:rPr>
      </w:pPr>
    </w:p>
    <w:p w14:paraId="251D6AFA" w14:textId="619C3C52" w:rsidR="13370790" w:rsidRDefault="13370790" w:rsidP="2D776D8F">
      <w:pPr>
        <w:spacing w:line="360" w:lineRule="auto"/>
        <w:jc w:val="both"/>
        <w:rPr>
          <w:rFonts w:ascii="Arial" w:eastAsia="Arial" w:hAnsi="Arial" w:cs="Arial"/>
          <w:sz w:val="24"/>
          <w:szCs w:val="24"/>
        </w:rPr>
      </w:pPr>
      <w:r w:rsidRPr="2D776D8F">
        <w:rPr>
          <w:rFonts w:ascii="Arial" w:eastAsia="Arial" w:hAnsi="Arial" w:cs="Arial"/>
          <w:sz w:val="24"/>
          <w:szCs w:val="24"/>
        </w:rPr>
        <w:lastRenderedPageBreak/>
        <w:t>Reference List</w:t>
      </w:r>
    </w:p>
    <w:p w14:paraId="5684D884" w14:textId="3178DD6F"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Accor. (2022). </w:t>
      </w:r>
      <w:r w:rsidRPr="2D776D8F">
        <w:rPr>
          <w:rFonts w:ascii="Arial" w:eastAsia="Arial" w:hAnsi="Arial" w:cs="Arial"/>
          <w:i/>
          <w:iCs/>
          <w:color w:val="374151"/>
          <w:sz w:val="24"/>
          <w:szCs w:val="24"/>
        </w:rPr>
        <w:t>Our Environmental Policy.</w:t>
      </w:r>
      <w:r w:rsidRPr="2D776D8F">
        <w:rPr>
          <w:rFonts w:ascii="Arial" w:eastAsia="Arial" w:hAnsi="Arial" w:cs="Arial"/>
          <w:color w:val="374151"/>
          <w:sz w:val="24"/>
          <w:szCs w:val="24"/>
        </w:rPr>
        <w:t xml:space="preserve"> Retrieved from </w:t>
      </w:r>
      <w:hyperlink r:id="rId5">
        <w:r w:rsidRPr="2D776D8F">
          <w:rPr>
            <w:rStyle w:val="Hyperlink"/>
            <w:rFonts w:ascii="Arial" w:eastAsia="Arial" w:hAnsi="Arial" w:cs="Arial"/>
            <w:sz w:val="24"/>
            <w:szCs w:val="24"/>
          </w:rPr>
          <w:t>https://group.accor.com/en/sustainable-development/environmental-responsibility/our-environmental-policy</w:t>
        </w:r>
      </w:hyperlink>
    </w:p>
    <w:p w14:paraId="067D0AB7" w14:textId="14B9EF0C" w:rsidR="75BCD92B" w:rsidRDefault="75BCD92B" w:rsidP="2D776D8F">
      <w:pPr>
        <w:spacing w:before="240" w:after="240"/>
        <w:jc w:val="both"/>
        <w:rPr>
          <w:rFonts w:ascii="Arial" w:eastAsia="Arial" w:hAnsi="Arial" w:cs="Arial"/>
          <w:color w:val="374151"/>
          <w:sz w:val="24"/>
          <w:szCs w:val="24"/>
        </w:rPr>
      </w:pPr>
      <w:proofErr w:type="spellStart"/>
      <w:r w:rsidRPr="2D776D8F">
        <w:rPr>
          <w:rFonts w:ascii="Arial" w:eastAsia="Arial" w:hAnsi="Arial" w:cs="Arial"/>
          <w:color w:val="374151"/>
          <w:sz w:val="24"/>
          <w:szCs w:val="24"/>
        </w:rPr>
        <w:t>Bocken</w:t>
      </w:r>
      <w:proofErr w:type="spellEnd"/>
      <w:r w:rsidRPr="2D776D8F">
        <w:rPr>
          <w:rFonts w:ascii="Arial" w:eastAsia="Arial" w:hAnsi="Arial" w:cs="Arial"/>
          <w:color w:val="374151"/>
          <w:sz w:val="24"/>
          <w:szCs w:val="24"/>
        </w:rPr>
        <w:t xml:space="preserve">, N. M. P., de Pauw, I., Bakker, C., &amp; van der </w:t>
      </w:r>
      <w:proofErr w:type="spellStart"/>
      <w:r w:rsidRPr="2D776D8F">
        <w:rPr>
          <w:rFonts w:ascii="Arial" w:eastAsia="Arial" w:hAnsi="Arial" w:cs="Arial"/>
          <w:color w:val="374151"/>
          <w:sz w:val="24"/>
          <w:szCs w:val="24"/>
        </w:rPr>
        <w:t>Grinten</w:t>
      </w:r>
      <w:proofErr w:type="spellEnd"/>
      <w:r w:rsidRPr="2D776D8F">
        <w:rPr>
          <w:rFonts w:ascii="Arial" w:eastAsia="Arial" w:hAnsi="Arial" w:cs="Arial"/>
          <w:color w:val="374151"/>
          <w:sz w:val="24"/>
          <w:szCs w:val="24"/>
        </w:rPr>
        <w:t xml:space="preserve">, B. (2016). Product design and business model strategies for a circular economy. </w:t>
      </w:r>
      <w:r w:rsidRPr="2D776D8F">
        <w:rPr>
          <w:rFonts w:ascii="Arial" w:eastAsia="Arial" w:hAnsi="Arial" w:cs="Arial"/>
          <w:i/>
          <w:iCs/>
          <w:color w:val="374151"/>
          <w:sz w:val="24"/>
          <w:szCs w:val="24"/>
        </w:rPr>
        <w:t>Journal of Industrial and Production Engineering, 33</w:t>
      </w:r>
      <w:r w:rsidRPr="2D776D8F">
        <w:rPr>
          <w:rFonts w:ascii="Arial" w:eastAsia="Arial" w:hAnsi="Arial" w:cs="Arial"/>
          <w:color w:val="374151"/>
          <w:sz w:val="24"/>
          <w:szCs w:val="24"/>
        </w:rPr>
        <w:t>(5), 308–320.</w:t>
      </w:r>
    </w:p>
    <w:p w14:paraId="4F30757F" w14:textId="4E01FD71"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Carroll, A. B. (1979). A Three-Dimensional Conceptual Model of Corporate Performance. </w:t>
      </w:r>
      <w:r w:rsidRPr="2D776D8F">
        <w:rPr>
          <w:rFonts w:ascii="Arial" w:eastAsia="Arial" w:hAnsi="Arial" w:cs="Arial"/>
          <w:i/>
          <w:iCs/>
          <w:color w:val="374151"/>
          <w:sz w:val="24"/>
          <w:szCs w:val="24"/>
        </w:rPr>
        <w:t>Academy of Management Review, 4</w:t>
      </w:r>
      <w:r w:rsidRPr="2D776D8F">
        <w:rPr>
          <w:rFonts w:ascii="Arial" w:eastAsia="Arial" w:hAnsi="Arial" w:cs="Arial"/>
          <w:color w:val="374151"/>
          <w:sz w:val="24"/>
          <w:szCs w:val="24"/>
        </w:rPr>
        <w:t>(4), 497–505.</w:t>
      </w:r>
    </w:p>
    <w:p w14:paraId="1196D435" w14:textId="7DFE148F"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Ellen MacArthur Foundation. (2017). </w:t>
      </w:r>
      <w:r w:rsidRPr="2D776D8F">
        <w:rPr>
          <w:rFonts w:ascii="Arial" w:eastAsia="Arial" w:hAnsi="Arial" w:cs="Arial"/>
          <w:i/>
          <w:iCs/>
          <w:color w:val="374151"/>
          <w:sz w:val="24"/>
          <w:szCs w:val="24"/>
        </w:rPr>
        <w:t>Circular Economy.</w:t>
      </w:r>
      <w:r w:rsidRPr="2D776D8F">
        <w:rPr>
          <w:rFonts w:ascii="Arial" w:eastAsia="Arial" w:hAnsi="Arial" w:cs="Arial"/>
          <w:color w:val="374151"/>
          <w:sz w:val="24"/>
          <w:szCs w:val="24"/>
        </w:rPr>
        <w:t xml:space="preserve"> Retrieved from </w:t>
      </w:r>
      <w:hyperlink r:id="rId6">
        <w:r w:rsidRPr="2D776D8F">
          <w:rPr>
            <w:rStyle w:val="Hyperlink"/>
            <w:rFonts w:ascii="Arial" w:eastAsia="Arial" w:hAnsi="Arial" w:cs="Arial"/>
            <w:sz w:val="24"/>
            <w:szCs w:val="24"/>
          </w:rPr>
          <w:t>https://www.ellenmacarthurfoundation.org/circular-economy/what-is-the-circular-economy</w:t>
        </w:r>
      </w:hyperlink>
    </w:p>
    <w:p w14:paraId="5F5F4CA2" w14:textId="7E59216A"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European Commission. (2015). </w:t>
      </w:r>
      <w:r w:rsidRPr="2D776D8F">
        <w:rPr>
          <w:rFonts w:ascii="Arial" w:eastAsia="Arial" w:hAnsi="Arial" w:cs="Arial"/>
          <w:i/>
          <w:iCs/>
          <w:color w:val="374151"/>
          <w:sz w:val="24"/>
          <w:szCs w:val="24"/>
        </w:rPr>
        <w:t>Closing the loop - An EU action plan for the Circular Economy.</w:t>
      </w:r>
      <w:r w:rsidRPr="2D776D8F">
        <w:rPr>
          <w:rFonts w:ascii="Arial" w:eastAsia="Arial" w:hAnsi="Arial" w:cs="Arial"/>
          <w:color w:val="374151"/>
          <w:sz w:val="24"/>
          <w:szCs w:val="24"/>
        </w:rPr>
        <w:t xml:space="preserve"> Retrieved from </w:t>
      </w:r>
      <w:hyperlink r:id="rId7">
        <w:r w:rsidRPr="2D776D8F">
          <w:rPr>
            <w:rStyle w:val="Hyperlink"/>
            <w:rFonts w:ascii="Arial" w:eastAsia="Arial" w:hAnsi="Arial" w:cs="Arial"/>
            <w:sz w:val="24"/>
            <w:szCs w:val="24"/>
          </w:rPr>
          <w:t>https://eur-lex.europa.eu/legal-content/EN/TXT/PDF/?uri=CELEX:52015DC0614</w:t>
        </w:r>
      </w:hyperlink>
    </w:p>
    <w:p w14:paraId="7528E3D2" w14:textId="6ADE85F7"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Geng, Y., Fu, J., Sarkis, J., Xue, B., &amp; Fujita, T. (2012). Using the industrial ecology approach to develop the circular economy: A review. </w:t>
      </w:r>
      <w:r w:rsidRPr="2D776D8F">
        <w:rPr>
          <w:rFonts w:ascii="Arial" w:eastAsia="Arial" w:hAnsi="Arial" w:cs="Arial"/>
          <w:i/>
          <w:iCs/>
          <w:color w:val="374151"/>
          <w:sz w:val="24"/>
          <w:szCs w:val="24"/>
        </w:rPr>
        <w:t>Engineering Economics, 23</w:t>
      </w:r>
      <w:r w:rsidRPr="2D776D8F">
        <w:rPr>
          <w:rFonts w:ascii="Arial" w:eastAsia="Arial" w:hAnsi="Arial" w:cs="Arial"/>
          <w:color w:val="374151"/>
          <w:sz w:val="24"/>
          <w:szCs w:val="24"/>
        </w:rPr>
        <w:t>(2), 138–146.</w:t>
      </w:r>
    </w:p>
    <w:p w14:paraId="2B7E7C64" w14:textId="0074C160" w:rsidR="75BCD92B" w:rsidRDefault="75BCD92B" w:rsidP="2D776D8F">
      <w:pPr>
        <w:spacing w:before="240" w:after="240"/>
        <w:jc w:val="both"/>
        <w:rPr>
          <w:rFonts w:ascii="Arial" w:eastAsia="Arial" w:hAnsi="Arial" w:cs="Arial"/>
          <w:color w:val="374151"/>
          <w:sz w:val="24"/>
          <w:szCs w:val="24"/>
        </w:rPr>
      </w:pPr>
      <w:proofErr w:type="spellStart"/>
      <w:r w:rsidRPr="2D776D8F">
        <w:rPr>
          <w:rFonts w:ascii="Arial" w:eastAsia="Arial" w:hAnsi="Arial" w:cs="Arial"/>
          <w:color w:val="374151"/>
          <w:sz w:val="24"/>
          <w:szCs w:val="24"/>
        </w:rPr>
        <w:t>Gössling</w:t>
      </w:r>
      <w:proofErr w:type="spellEnd"/>
      <w:r w:rsidRPr="2D776D8F">
        <w:rPr>
          <w:rFonts w:ascii="Arial" w:eastAsia="Arial" w:hAnsi="Arial" w:cs="Arial"/>
          <w:color w:val="374151"/>
          <w:sz w:val="24"/>
          <w:szCs w:val="24"/>
        </w:rPr>
        <w:t xml:space="preserve">, S., Scott, D., &amp; Hall, C. M. (2020). </w:t>
      </w:r>
      <w:r w:rsidRPr="2D776D8F">
        <w:rPr>
          <w:rFonts w:ascii="Arial" w:eastAsia="Arial" w:hAnsi="Arial" w:cs="Arial"/>
          <w:i/>
          <w:iCs/>
          <w:color w:val="374151"/>
          <w:sz w:val="24"/>
          <w:szCs w:val="24"/>
        </w:rPr>
        <w:t>Tourism and water: Interactions and impacts.</w:t>
      </w:r>
      <w:r w:rsidRPr="2D776D8F">
        <w:rPr>
          <w:rFonts w:ascii="Arial" w:eastAsia="Arial" w:hAnsi="Arial" w:cs="Arial"/>
          <w:color w:val="374151"/>
          <w:sz w:val="24"/>
          <w:szCs w:val="24"/>
        </w:rPr>
        <w:t xml:space="preserve"> Channel View Publications.</w:t>
      </w:r>
    </w:p>
    <w:p w14:paraId="1CB6B36E" w14:textId="4F2C736E"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Grönroos, C., &amp; Voima, P. (2013). Critical service logic: Making sense of value creation and co-creation. </w:t>
      </w:r>
      <w:r w:rsidRPr="2D776D8F">
        <w:rPr>
          <w:rFonts w:ascii="Arial" w:eastAsia="Arial" w:hAnsi="Arial" w:cs="Arial"/>
          <w:i/>
          <w:iCs/>
          <w:color w:val="374151"/>
          <w:sz w:val="24"/>
          <w:szCs w:val="24"/>
        </w:rPr>
        <w:t>Journal of the Academy of Marketing Science, 41</w:t>
      </w:r>
      <w:r w:rsidRPr="2D776D8F">
        <w:rPr>
          <w:rFonts w:ascii="Arial" w:eastAsia="Arial" w:hAnsi="Arial" w:cs="Arial"/>
          <w:color w:val="374151"/>
          <w:sz w:val="24"/>
          <w:szCs w:val="24"/>
        </w:rPr>
        <w:t>(2), 133–150.</w:t>
      </w:r>
    </w:p>
    <w:p w14:paraId="7150DE11" w14:textId="02920C2A"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IHG. (2022). </w:t>
      </w:r>
      <w:r w:rsidRPr="2D776D8F">
        <w:rPr>
          <w:rFonts w:ascii="Arial" w:eastAsia="Arial" w:hAnsi="Arial" w:cs="Arial"/>
          <w:i/>
          <w:iCs/>
          <w:color w:val="374151"/>
          <w:sz w:val="24"/>
          <w:szCs w:val="24"/>
        </w:rPr>
        <w:t>Environment.</w:t>
      </w:r>
      <w:r w:rsidRPr="2D776D8F">
        <w:rPr>
          <w:rFonts w:ascii="Arial" w:eastAsia="Arial" w:hAnsi="Arial" w:cs="Arial"/>
          <w:color w:val="374151"/>
          <w:sz w:val="24"/>
          <w:szCs w:val="24"/>
        </w:rPr>
        <w:t xml:space="preserve"> Retrieved from </w:t>
      </w:r>
      <w:hyperlink r:id="rId8">
        <w:r w:rsidRPr="2D776D8F">
          <w:rPr>
            <w:rStyle w:val="Hyperlink"/>
            <w:rFonts w:ascii="Arial" w:eastAsia="Arial" w:hAnsi="Arial" w:cs="Arial"/>
            <w:sz w:val="24"/>
            <w:szCs w:val="24"/>
          </w:rPr>
          <w:t>https://www.ihgplc.com/en/responsible-business/environment</w:t>
        </w:r>
      </w:hyperlink>
    </w:p>
    <w:p w14:paraId="647DF3F9" w14:textId="107527A6"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ISO. (n.d.). </w:t>
      </w:r>
      <w:r w:rsidRPr="2D776D8F">
        <w:rPr>
          <w:rFonts w:ascii="Arial" w:eastAsia="Arial" w:hAnsi="Arial" w:cs="Arial"/>
          <w:i/>
          <w:iCs/>
          <w:color w:val="374151"/>
          <w:sz w:val="24"/>
          <w:szCs w:val="24"/>
        </w:rPr>
        <w:t>ISO 14001 - Environmental management.</w:t>
      </w:r>
      <w:r w:rsidRPr="2D776D8F">
        <w:rPr>
          <w:rFonts w:ascii="Arial" w:eastAsia="Arial" w:hAnsi="Arial" w:cs="Arial"/>
          <w:color w:val="374151"/>
          <w:sz w:val="24"/>
          <w:szCs w:val="24"/>
        </w:rPr>
        <w:t xml:space="preserve"> Retrieved from </w:t>
      </w:r>
      <w:hyperlink r:id="rId9">
        <w:r w:rsidRPr="2D776D8F">
          <w:rPr>
            <w:rStyle w:val="Hyperlink"/>
            <w:rFonts w:ascii="Arial" w:eastAsia="Arial" w:hAnsi="Arial" w:cs="Arial"/>
            <w:sz w:val="24"/>
            <w:szCs w:val="24"/>
          </w:rPr>
          <w:t>https://www.iso.org/iso-14001-environmental-management.html</w:t>
        </w:r>
      </w:hyperlink>
    </w:p>
    <w:p w14:paraId="1E0EF5E7" w14:textId="0239296D"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Kirchherr, J., </w:t>
      </w:r>
      <w:proofErr w:type="spellStart"/>
      <w:r w:rsidRPr="2D776D8F">
        <w:rPr>
          <w:rFonts w:ascii="Arial" w:eastAsia="Arial" w:hAnsi="Arial" w:cs="Arial"/>
          <w:color w:val="374151"/>
          <w:sz w:val="24"/>
          <w:szCs w:val="24"/>
        </w:rPr>
        <w:t>Reike</w:t>
      </w:r>
      <w:proofErr w:type="spellEnd"/>
      <w:r w:rsidRPr="2D776D8F">
        <w:rPr>
          <w:rFonts w:ascii="Arial" w:eastAsia="Arial" w:hAnsi="Arial" w:cs="Arial"/>
          <w:color w:val="374151"/>
          <w:sz w:val="24"/>
          <w:szCs w:val="24"/>
        </w:rPr>
        <w:t xml:space="preserve">, D., &amp; Hekkert, M. (2017). Conceptualizing the circular economy: An analysis of 114 definitions. </w:t>
      </w:r>
      <w:r w:rsidRPr="2D776D8F">
        <w:rPr>
          <w:rFonts w:ascii="Arial" w:eastAsia="Arial" w:hAnsi="Arial" w:cs="Arial"/>
          <w:i/>
          <w:iCs/>
          <w:color w:val="374151"/>
          <w:sz w:val="24"/>
          <w:szCs w:val="24"/>
        </w:rPr>
        <w:t>Resources, Conservation and Recycling, 127</w:t>
      </w:r>
      <w:r w:rsidRPr="2D776D8F">
        <w:rPr>
          <w:rFonts w:ascii="Arial" w:eastAsia="Arial" w:hAnsi="Arial" w:cs="Arial"/>
          <w:color w:val="374151"/>
          <w:sz w:val="24"/>
          <w:szCs w:val="24"/>
        </w:rPr>
        <w:t>, 221–232.</w:t>
      </w:r>
    </w:p>
    <w:p w14:paraId="66ECF39B" w14:textId="12363459"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Marriott International. (2022). </w:t>
      </w:r>
      <w:r w:rsidRPr="2D776D8F">
        <w:rPr>
          <w:rFonts w:ascii="Arial" w:eastAsia="Arial" w:hAnsi="Arial" w:cs="Arial"/>
          <w:i/>
          <w:iCs/>
          <w:color w:val="374151"/>
          <w:sz w:val="24"/>
          <w:szCs w:val="24"/>
        </w:rPr>
        <w:t>Serve 360: Doing Good in Every Direction.</w:t>
      </w:r>
      <w:r w:rsidRPr="2D776D8F">
        <w:rPr>
          <w:rFonts w:ascii="Arial" w:eastAsia="Arial" w:hAnsi="Arial" w:cs="Arial"/>
          <w:color w:val="374151"/>
          <w:sz w:val="24"/>
          <w:szCs w:val="24"/>
        </w:rPr>
        <w:t xml:space="preserve"> Retrieved from </w:t>
      </w:r>
      <w:hyperlink r:id="rId10">
        <w:r w:rsidRPr="2D776D8F">
          <w:rPr>
            <w:rStyle w:val="Hyperlink"/>
            <w:rFonts w:ascii="Arial" w:eastAsia="Arial" w:hAnsi="Arial" w:cs="Arial"/>
            <w:color w:val="374151"/>
            <w:sz w:val="24"/>
            <w:szCs w:val="24"/>
          </w:rPr>
          <w:t>https://serve360.marriott.com/</w:t>
        </w:r>
      </w:hyperlink>
    </w:p>
    <w:p w14:paraId="38CF4516" w14:textId="342C712B"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Premier Inn. (2022). </w:t>
      </w:r>
      <w:r w:rsidRPr="2D776D8F">
        <w:rPr>
          <w:rFonts w:ascii="Arial" w:eastAsia="Arial" w:hAnsi="Arial" w:cs="Arial"/>
          <w:i/>
          <w:iCs/>
          <w:color w:val="374151"/>
          <w:sz w:val="24"/>
          <w:szCs w:val="24"/>
        </w:rPr>
        <w:t>Food Waste Reduction.</w:t>
      </w:r>
      <w:r w:rsidRPr="2D776D8F">
        <w:rPr>
          <w:rFonts w:ascii="Arial" w:eastAsia="Arial" w:hAnsi="Arial" w:cs="Arial"/>
          <w:color w:val="374151"/>
          <w:sz w:val="24"/>
          <w:szCs w:val="24"/>
        </w:rPr>
        <w:t xml:space="preserve"> Retrieved from </w:t>
      </w:r>
      <w:hyperlink r:id="rId11">
        <w:r w:rsidRPr="2D776D8F">
          <w:rPr>
            <w:rStyle w:val="Hyperlink"/>
            <w:rFonts w:ascii="Arial" w:eastAsia="Arial" w:hAnsi="Arial" w:cs="Arial"/>
            <w:sz w:val="24"/>
            <w:szCs w:val="24"/>
          </w:rPr>
          <w:t>https://www.whitbread.co.uk/responsible-business/environment/food-waste/</w:t>
        </w:r>
      </w:hyperlink>
    </w:p>
    <w:p w14:paraId="11AFFEA2" w14:textId="76CB54A0"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lastRenderedPageBreak/>
        <w:t xml:space="preserve">Rizos, V., Behrens, A., </w:t>
      </w:r>
      <w:proofErr w:type="spellStart"/>
      <w:r w:rsidRPr="2D776D8F">
        <w:rPr>
          <w:rFonts w:ascii="Arial" w:eastAsia="Arial" w:hAnsi="Arial" w:cs="Arial"/>
          <w:color w:val="374151"/>
          <w:sz w:val="24"/>
          <w:szCs w:val="24"/>
        </w:rPr>
        <w:t>Kafyeke</w:t>
      </w:r>
      <w:proofErr w:type="spellEnd"/>
      <w:r w:rsidRPr="2D776D8F">
        <w:rPr>
          <w:rFonts w:ascii="Arial" w:eastAsia="Arial" w:hAnsi="Arial" w:cs="Arial"/>
          <w:color w:val="374151"/>
          <w:sz w:val="24"/>
          <w:szCs w:val="24"/>
        </w:rPr>
        <w:t xml:space="preserve">, T., </w:t>
      </w:r>
      <w:proofErr w:type="spellStart"/>
      <w:r w:rsidRPr="2D776D8F">
        <w:rPr>
          <w:rFonts w:ascii="Arial" w:eastAsia="Arial" w:hAnsi="Arial" w:cs="Arial"/>
          <w:color w:val="374151"/>
          <w:sz w:val="24"/>
          <w:szCs w:val="24"/>
        </w:rPr>
        <w:t>Hirschnitz</w:t>
      </w:r>
      <w:proofErr w:type="spellEnd"/>
      <w:r w:rsidRPr="2D776D8F">
        <w:rPr>
          <w:rFonts w:ascii="Arial" w:eastAsia="Arial" w:hAnsi="Arial" w:cs="Arial"/>
          <w:color w:val="374151"/>
          <w:sz w:val="24"/>
          <w:szCs w:val="24"/>
        </w:rPr>
        <w:t xml:space="preserve">-Garbers, M., &amp; Ioannou, A. (2016). The circular economy: Barriers and opportunities for SMEs. </w:t>
      </w:r>
      <w:r w:rsidRPr="2D776D8F">
        <w:rPr>
          <w:rFonts w:ascii="Arial" w:eastAsia="Arial" w:hAnsi="Arial" w:cs="Arial"/>
          <w:i/>
          <w:iCs/>
          <w:color w:val="374151"/>
          <w:sz w:val="24"/>
          <w:szCs w:val="24"/>
        </w:rPr>
        <w:t>Environment and Innovation, 17</w:t>
      </w:r>
      <w:r w:rsidRPr="2D776D8F">
        <w:rPr>
          <w:rFonts w:ascii="Arial" w:eastAsia="Arial" w:hAnsi="Arial" w:cs="Arial"/>
          <w:color w:val="374151"/>
          <w:sz w:val="24"/>
          <w:szCs w:val="24"/>
        </w:rPr>
        <w:t>, 37–53.</w:t>
      </w:r>
    </w:p>
    <w:p w14:paraId="3BD88454" w14:textId="120BE465" w:rsidR="75BCD92B" w:rsidRDefault="75BCD92B" w:rsidP="2D776D8F">
      <w:pPr>
        <w:spacing w:before="240" w:after="240"/>
        <w:jc w:val="both"/>
        <w:rPr>
          <w:rFonts w:ascii="Arial" w:eastAsia="Arial" w:hAnsi="Arial" w:cs="Arial"/>
          <w:color w:val="374151"/>
          <w:sz w:val="24"/>
          <w:szCs w:val="24"/>
        </w:rPr>
      </w:pPr>
      <w:proofErr w:type="spellStart"/>
      <w:r w:rsidRPr="2D776D8F">
        <w:rPr>
          <w:rFonts w:ascii="Arial" w:eastAsia="Arial" w:hAnsi="Arial" w:cs="Arial"/>
          <w:color w:val="374151"/>
          <w:sz w:val="24"/>
          <w:szCs w:val="24"/>
        </w:rPr>
        <w:t>Shishime</w:t>
      </w:r>
      <w:proofErr w:type="spellEnd"/>
      <w:r w:rsidRPr="2D776D8F">
        <w:rPr>
          <w:rFonts w:ascii="Arial" w:eastAsia="Arial" w:hAnsi="Arial" w:cs="Arial"/>
          <w:color w:val="374151"/>
          <w:sz w:val="24"/>
          <w:szCs w:val="24"/>
        </w:rPr>
        <w:t xml:space="preserve">, T., &amp; Fukuda, K. (2017). Conceptualizing circular economy in the context of industrial ecology. </w:t>
      </w:r>
      <w:r w:rsidRPr="2D776D8F">
        <w:rPr>
          <w:rFonts w:ascii="Arial" w:eastAsia="Arial" w:hAnsi="Arial" w:cs="Arial"/>
          <w:i/>
          <w:iCs/>
          <w:color w:val="374151"/>
          <w:sz w:val="24"/>
          <w:szCs w:val="24"/>
        </w:rPr>
        <w:t>Progress in Industrial Ecology, 11</w:t>
      </w:r>
      <w:r w:rsidRPr="2D776D8F">
        <w:rPr>
          <w:rFonts w:ascii="Arial" w:eastAsia="Arial" w:hAnsi="Arial" w:cs="Arial"/>
          <w:color w:val="374151"/>
          <w:sz w:val="24"/>
          <w:szCs w:val="24"/>
        </w:rPr>
        <w:t>(1-2), 185–207.</w:t>
      </w:r>
    </w:p>
    <w:p w14:paraId="5896DC51" w14:textId="3377FE7E"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UNWTO. (2019). </w:t>
      </w:r>
      <w:r w:rsidRPr="2D776D8F">
        <w:rPr>
          <w:rFonts w:ascii="Arial" w:eastAsia="Arial" w:hAnsi="Arial" w:cs="Arial"/>
          <w:i/>
          <w:iCs/>
          <w:color w:val="374151"/>
          <w:sz w:val="24"/>
          <w:szCs w:val="24"/>
        </w:rPr>
        <w:t>Tourism for SDGs Platform: Sustainable Consumption and Production.</w:t>
      </w:r>
      <w:r w:rsidRPr="2D776D8F">
        <w:rPr>
          <w:rFonts w:ascii="Arial" w:eastAsia="Arial" w:hAnsi="Arial" w:cs="Arial"/>
          <w:color w:val="374151"/>
          <w:sz w:val="24"/>
          <w:szCs w:val="24"/>
        </w:rPr>
        <w:t xml:space="preserve"> Retrieved from </w:t>
      </w:r>
      <w:hyperlink r:id="rId12">
        <w:r w:rsidRPr="2D776D8F">
          <w:rPr>
            <w:rStyle w:val="Hyperlink"/>
            <w:rFonts w:ascii="Arial" w:eastAsia="Arial" w:hAnsi="Arial" w:cs="Arial"/>
            <w:sz w:val="24"/>
            <w:szCs w:val="24"/>
          </w:rPr>
          <w:t>https://www.unwto.org/sustainable-development-goals/sustainable-consumption-production</w:t>
        </w:r>
      </w:hyperlink>
    </w:p>
    <w:p w14:paraId="4443491A" w14:textId="034B095B"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Vezzoli, C., &amp; Manzini, E. (2008). Design for environmental sustainability: A 'strategic' design approach. </w:t>
      </w:r>
      <w:r w:rsidRPr="2D776D8F">
        <w:rPr>
          <w:rFonts w:ascii="Arial" w:eastAsia="Arial" w:hAnsi="Arial" w:cs="Arial"/>
          <w:i/>
          <w:iCs/>
          <w:color w:val="374151"/>
          <w:sz w:val="24"/>
          <w:szCs w:val="24"/>
        </w:rPr>
        <w:t>Sustainable Development, 16</w:t>
      </w:r>
      <w:r w:rsidRPr="2D776D8F">
        <w:rPr>
          <w:rFonts w:ascii="Arial" w:eastAsia="Arial" w:hAnsi="Arial" w:cs="Arial"/>
          <w:color w:val="374151"/>
          <w:sz w:val="24"/>
          <w:szCs w:val="24"/>
        </w:rPr>
        <w:t>(6), 369–380.</w:t>
      </w:r>
    </w:p>
    <w:p w14:paraId="43FEB807" w14:textId="2BB78D56"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Whitbread. (2022). </w:t>
      </w:r>
      <w:r w:rsidRPr="2D776D8F">
        <w:rPr>
          <w:rFonts w:ascii="Arial" w:eastAsia="Arial" w:hAnsi="Arial" w:cs="Arial"/>
          <w:i/>
          <w:iCs/>
          <w:color w:val="374151"/>
          <w:sz w:val="24"/>
          <w:szCs w:val="24"/>
        </w:rPr>
        <w:t>Food Waste Reduction.</w:t>
      </w:r>
      <w:r w:rsidRPr="2D776D8F">
        <w:rPr>
          <w:rFonts w:ascii="Arial" w:eastAsia="Arial" w:hAnsi="Arial" w:cs="Arial"/>
          <w:color w:val="374151"/>
          <w:sz w:val="24"/>
          <w:szCs w:val="24"/>
        </w:rPr>
        <w:t xml:space="preserve"> Retrieved from </w:t>
      </w:r>
      <w:hyperlink r:id="rId13">
        <w:r w:rsidRPr="2D776D8F">
          <w:rPr>
            <w:rStyle w:val="Hyperlink"/>
            <w:rFonts w:ascii="Arial" w:eastAsia="Arial" w:hAnsi="Arial" w:cs="Arial"/>
            <w:sz w:val="24"/>
            <w:szCs w:val="24"/>
          </w:rPr>
          <w:t>https://www.whitbread.co.uk/responsible-business/environment/food-waste/</w:t>
        </w:r>
      </w:hyperlink>
    </w:p>
    <w:p w14:paraId="49F1FB9C" w14:textId="7648A975"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World Economic Forum. (2017). </w:t>
      </w:r>
      <w:r w:rsidRPr="2D776D8F">
        <w:rPr>
          <w:rFonts w:ascii="Arial" w:eastAsia="Arial" w:hAnsi="Arial" w:cs="Arial"/>
          <w:i/>
          <w:iCs/>
          <w:color w:val="374151"/>
          <w:sz w:val="24"/>
          <w:szCs w:val="24"/>
        </w:rPr>
        <w:t>Towards the Circular Economy: Accelerating the scale-up across global supply chains.</w:t>
      </w:r>
      <w:r w:rsidRPr="2D776D8F">
        <w:rPr>
          <w:rFonts w:ascii="Arial" w:eastAsia="Arial" w:hAnsi="Arial" w:cs="Arial"/>
          <w:color w:val="374151"/>
          <w:sz w:val="24"/>
          <w:szCs w:val="24"/>
        </w:rPr>
        <w:t xml:space="preserve"> Retrieved from </w:t>
      </w:r>
      <w:hyperlink r:id="rId14">
        <w:r w:rsidRPr="2D776D8F">
          <w:rPr>
            <w:rStyle w:val="Hyperlink"/>
            <w:rFonts w:ascii="Arial" w:eastAsia="Arial" w:hAnsi="Arial" w:cs="Arial"/>
            <w:sz w:val="24"/>
            <w:szCs w:val="24"/>
          </w:rPr>
          <w:t>http://www3.weforum.org/docs/WEF_ENV_TowardsCircularEconomy_Report_2017.pdf</w:t>
        </w:r>
      </w:hyperlink>
    </w:p>
    <w:p w14:paraId="4A52880C" w14:textId="4525F20A" w:rsidR="75BCD92B" w:rsidRDefault="75BCD92B" w:rsidP="2D776D8F">
      <w:pPr>
        <w:spacing w:before="240" w:after="240"/>
        <w:jc w:val="both"/>
        <w:rPr>
          <w:rFonts w:ascii="Arial" w:eastAsia="Arial" w:hAnsi="Arial" w:cs="Arial"/>
          <w:color w:val="374151"/>
          <w:sz w:val="24"/>
          <w:szCs w:val="24"/>
        </w:rPr>
      </w:pPr>
      <w:r w:rsidRPr="2D776D8F">
        <w:rPr>
          <w:rFonts w:ascii="Arial" w:eastAsia="Arial" w:hAnsi="Arial" w:cs="Arial"/>
          <w:color w:val="374151"/>
          <w:sz w:val="24"/>
          <w:szCs w:val="24"/>
        </w:rPr>
        <w:t xml:space="preserve">Whitbread. (2022). </w:t>
      </w:r>
      <w:r w:rsidRPr="2D776D8F">
        <w:rPr>
          <w:rFonts w:ascii="Arial" w:eastAsia="Arial" w:hAnsi="Arial" w:cs="Arial"/>
          <w:i/>
          <w:iCs/>
          <w:color w:val="374151"/>
          <w:sz w:val="24"/>
          <w:szCs w:val="24"/>
        </w:rPr>
        <w:t>Food Waste Reduction.</w:t>
      </w:r>
      <w:r w:rsidRPr="2D776D8F">
        <w:rPr>
          <w:rFonts w:ascii="Arial" w:eastAsia="Arial" w:hAnsi="Arial" w:cs="Arial"/>
          <w:color w:val="374151"/>
          <w:sz w:val="24"/>
          <w:szCs w:val="24"/>
        </w:rPr>
        <w:t xml:space="preserve"> Retrieved from </w:t>
      </w:r>
      <w:hyperlink r:id="rId15">
        <w:r w:rsidRPr="2D776D8F">
          <w:rPr>
            <w:rStyle w:val="Hyperlink"/>
            <w:rFonts w:ascii="Arial" w:eastAsia="Arial" w:hAnsi="Arial" w:cs="Arial"/>
            <w:sz w:val="24"/>
            <w:szCs w:val="24"/>
          </w:rPr>
          <w:t>https://www.whitbread.co.uk/responsible-business/environment/food-waste/</w:t>
        </w:r>
      </w:hyperlink>
    </w:p>
    <w:p w14:paraId="209CED13" w14:textId="4D76529E" w:rsidR="2D776D8F" w:rsidRDefault="2D776D8F" w:rsidP="2D776D8F">
      <w:pPr>
        <w:spacing w:line="360" w:lineRule="auto"/>
        <w:jc w:val="both"/>
        <w:rPr>
          <w:rFonts w:ascii="Arial" w:eastAsia="Arial" w:hAnsi="Arial" w:cs="Arial"/>
          <w:sz w:val="24"/>
          <w:szCs w:val="24"/>
        </w:rPr>
      </w:pPr>
    </w:p>
    <w:sectPr w:rsidR="2D776D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3A0D9"/>
    <w:multiLevelType w:val="hybridMultilevel"/>
    <w:tmpl w:val="F0AC8B3E"/>
    <w:lvl w:ilvl="0" w:tplc="5FC0E1EC">
      <w:start w:val="1"/>
      <w:numFmt w:val="bullet"/>
      <w:lvlText w:val=""/>
      <w:lvlJc w:val="left"/>
      <w:pPr>
        <w:ind w:left="720" w:hanging="360"/>
      </w:pPr>
      <w:rPr>
        <w:rFonts w:ascii="Symbol" w:hAnsi="Symbol" w:hint="default"/>
      </w:rPr>
    </w:lvl>
    <w:lvl w:ilvl="1" w:tplc="AFCA6EC6">
      <w:start w:val="1"/>
      <w:numFmt w:val="bullet"/>
      <w:lvlText w:val="o"/>
      <w:lvlJc w:val="left"/>
      <w:pPr>
        <w:ind w:left="1440" w:hanging="360"/>
      </w:pPr>
      <w:rPr>
        <w:rFonts w:ascii="Courier New" w:hAnsi="Courier New" w:hint="default"/>
      </w:rPr>
    </w:lvl>
    <w:lvl w:ilvl="2" w:tplc="20E8DA24">
      <w:start w:val="1"/>
      <w:numFmt w:val="bullet"/>
      <w:lvlText w:val=""/>
      <w:lvlJc w:val="left"/>
      <w:pPr>
        <w:ind w:left="2160" w:hanging="360"/>
      </w:pPr>
      <w:rPr>
        <w:rFonts w:ascii="Wingdings" w:hAnsi="Wingdings" w:hint="default"/>
      </w:rPr>
    </w:lvl>
    <w:lvl w:ilvl="3" w:tplc="3DE4C1E4">
      <w:start w:val="1"/>
      <w:numFmt w:val="bullet"/>
      <w:lvlText w:val=""/>
      <w:lvlJc w:val="left"/>
      <w:pPr>
        <w:ind w:left="2880" w:hanging="360"/>
      </w:pPr>
      <w:rPr>
        <w:rFonts w:ascii="Symbol" w:hAnsi="Symbol" w:hint="default"/>
      </w:rPr>
    </w:lvl>
    <w:lvl w:ilvl="4" w:tplc="F474BA36">
      <w:start w:val="1"/>
      <w:numFmt w:val="bullet"/>
      <w:lvlText w:val="o"/>
      <w:lvlJc w:val="left"/>
      <w:pPr>
        <w:ind w:left="3600" w:hanging="360"/>
      </w:pPr>
      <w:rPr>
        <w:rFonts w:ascii="Courier New" w:hAnsi="Courier New" w:hint="default"/>
      </w:rPr>
    </w:lvl>
    <w:lvl w:ilvl="5" w:tplc="45AEB04E">
      <w:start w:val="1"/>
      <w:numFmt w:val="bullet"/>
      <w:lvlText w:val=""/>
      <w:lvlJc w:val="left"/>
      <w:pPr>
        <w:ind w:left="4320" w:hanging="360"/>
      </w:pPr>
      <w:rPr>
        <w:rFonts w:ascii="Wingdings" w:hAnsi="Wingdings" w:hint="default"/>
      </w:rPr>
    </w:lvl>
    <w:lvl w:ilvl="6" w:tplc="205A8FC2">
      <w:start w:val="1"/>
      <w:numFmt w:val="bullet"/>
      <w:lvlText w:val=""/>
      <w:lvlJc w:val="left"/>
      <w:pPr>
        <w:ind w:left="5040" w:hanging="360"/>
      </w:pPr>
      <w:rPr>
        <w:rFonts w:ascii="Symbol" w:hAnsi="Symbol" w:hint="default"/>
      </w:rPr>
    </w:lvl>
    <w:lvl w:ilvl="7" w:tplc="6996365C">
      <w:start w:val="1"/>
      <w:numFmt w:val="bullet"/>
      <w:lvlText w:val="o"/>
      <w:lvlJc w:val="left"/>
      <w:pPr>
        <w:ind w:left="5760" w:hanging="360"/>
      </w:pPr>
      <w:rPr>
        <w:rFonts w:ascii="Courier New" w:hAnsi="Courier New" w:hint="default"/>
      </w:rPr>
    </w:lvl>
    <w:lvl w:ilvl="8" w:tplc="DADCCDBA">
      <w:start w:val="1"/>
      <w:numFmt w:val="bullet"/>
      <w:lvlText w:val=""/>
      <w:lvlJc w:val="left"/>
      <w:pPr>
        <w:ind w:left="6480" w:hanging="360"/>
      </w:pPr>
      <w:rPr>
        <w:rFonts w:ascii="Wingdings" w:hAnsi="Wingdings" w:hint="default"/>
      </w:rPr>
    </w:lvl>
  </w:abstractNum>
  <w:num w:numId="1" w16cid:durableId="1211722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C91246"/>
    <w:rsid w:val="003B1E38"/>
    <w:rsid w:val="008A6874"/>
    <w:rsid w:val="02B08BDC"/>
    <w:rsid w:val="032DEE8E"/>
    <w:rsid w:val="03C90EA3"/>
    <w:rsid w:val="0526AF4B"/>
    <w:rsid w:val="0A111CC1"/>
    <w:rsid w:val="13370790"/>
    <w:rsid w:val="16BF7B19"/>
    <w:rsid w:val="18C0B1FB"/>
    <w:rsid w:val="1B77F3DA"/>
    <w:rsid w:val="1EA3163D"/>
    <w:rsid w:val="21DD7DFC"/>
    <w:rsid w:val="28ED4979"/>
    <w:rsid w:val="2D776D8F"/>
    <w:rsid w:val="30504DF0"/>
    <w:rsid w:val="32F8CA89"/>
    <w:rsid w:val="354D88CB"/>
    <w:rsid w:val="3693C1D8"/>
    <w:rsid w:val="39ACDC72"/>
    <w:rsid w:val="3F6D29B9"/>
    <w:rsid w:val="4108FA1A"/>
    <w:rsid w:val="42A4CA7B"/>
    <w:rsid w:val="4354C56F"/>
    <w:rsid w:val="4548715E"/>
    <w:rsid w:val="4D4EB24D"/>
    <w:rsid w:val="5157301A"/>
    <w:rsid w:val="55FB1632"/>
    <w:rsid w:val="56D28695"/>
    <w:rsid w:val="5A123CF3"/>
    <w:rsid w:val="5EC91246"/>
    <w:rsid w:val="620084DC"/>
    <w:rsid w:val="6216C313"/>
    <w:rsid w:val="64AEB231"/>
    <w:rsid w:val="6A08AC9B"/>
    <w:rsid w:val="6AD2D6A3"/>
    <w:rsid w:val="6E3A9C15"/>
    <w:rsid w:val="729F88FB"/>
    <w:rsid w:val="75BCD92B"/>
    <w:rsid w:val="762C859D"/>
    <w:rsid w:val="76A8A3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C91246"/>
  <w15:chartTrackingRefBased/>
  <w15:docId w15:val="{CB8D1B7E-D2B2-4AE7-8837-3C82B0332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3B1E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responsible-business/environment" TargetMode="External"/><Relationship Id="rId13" Type="http://schemas.openxmlformats.org/officeDocument/2006/relationships/hyperlink" Target="https://www.whitbread.co.uk/responsible-business/environment/food-waste/" TargetMode="External"/><Relationship Id="rId3" Type="http://schemas.openxmlformats.org/officeDocument/2006/relationships/settings" Target="settings.xml"/><Relationship Id="rId7" Type="http://schemas.openxmlformats.org/officeDocument/2006/relationships/hyperlink" Target="https://eur-lex.europa.eu/legal-content/EN/TXT/PDF/?uri=CELEX:52015DC0614" TargetMode="External"/><Relationship Id="rId12" Type="http://schemas.openxmlformats.org/officeDocument/2006/relationships/hyperlink" Target="https://www.unwto.org/sustainable-development-goals/sustainable-consumption-produc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llenmacarthurfoundation.org/circular-economy/what-is-the-circular-economy" TargetMode="External"/><Relationship Id="rId11" Type="http://schemas.openxmlformats.org/officeDocument/2006/relationships/hyperlink" Target="https://www.whitbread.co.uk/responsible-business/environment/food-waste/" TargetMode="External"/><Relationship Id="rId5" Type="http://schemas.openxmlformats.org/officeDocument/2006/relationships/hyperlink" Target="https://group.accor.com/en/sustainable-development/environmental-responsibility/our-environmental-policy" TargetMode="External"/><Relationship Id="rId15" Type="http://schemas.openxmlformats.org/officeDocument/2006/relationships/hyperlink" Target="https://www.whitbread.co.uk/responsible-business/environment/food-waste/" TargetMode="External"/><Relationship Id="rId10" Type="http://schemas.openxmlformats.org/officeDocument/2006/relationships/hyperlink" Target="https://serve360.marriott.com/" TargetMode="External"/><Relationship Id="rId4" Type="http://schemas.openxmlformats.org/officeDocument/2006/relationships/webSettings" Target="webSettings.xml"/><Relationship Id="rId9" Type="http://schemas.openxmlformats.org/officeDocument/2006/relationships/hyperlink" Target="https://www.iso.org/iso-14001-environmental-management.html" TargetMode="External"/><Relationship Id="rId14" Type="http://schemas.openxmlformats.org/officeDocument/2006/relationships/hyperlink" Target="http://www3.weforum.org/docs/WEF_ENV_TowardsCircularEconomy_Report_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10</Pages>
  <Words>2347</Words>
  <Characters>15648</Characters>
  <Application>Microsoft Office Word</Application>
  <DocSecurity>0</DocSecurity>
  <Lines>273</Lines>
  <Paragraphs>66</Paragraphs>
  <ScaleCrop>false</ScaleCrop>
  <Company/>
  <LinksUpToDate>false</LinksUpToDate>
  <CharactersWithSpaces>18007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Cezar</cp:lastModifiedBy>
  <cp:revision>2</cp:revision>
  <dcterms:created xsi:type="dcterms:W3CDTF">2024-01-30T12:18:00Z</dcterms:created>
  <dcterms:modified xsi:type="dcterms:W3CDTF">2024-01-30T12:18:00Z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6a5d0587f1e4b8b42a409cd7ab612a41d620c26374c2d9b07ec77197b637ee0b</vt:lpwstr>
  </property>
</Properties>
</file>