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67DEB8" w14:textId="090412CC" w:rsidR="00A91007" w:rsidRPr="001604D6" w:rsidRDefault="00304854">
      <w:pPr>
        <w:rPr>
          <w:b/>
          <w:bCs/>
          <w:sz w:val="24"/>
          <w:szCs w:val="24"/>
        </w:rPr>
      </w:pPr>
      <w:r w:rsidRPr="001604D6">
        <w:rPr>
          <w:b/>
          <w:bCs/>
          <w:sz w:val="24"/>
          <w:szCs w:val="24"/>
        </w:rPr>
        <w:t xml:space="preserve">Readings for Victims &amp; Victimology </w:t>
      </w:r>
    </w:p>
    <w:p w14:paraId="7BF68632" w14:textId="0A9B3DAE" w:rsidR="00E527DB" w:rsidRPr="006D34CB" w:rsidRDefault="00E527DB" w:rsidP="00E527DB">
      <w:pPr>
        <w:spacing w:before="200" w:after="0" w:line="216" w:lineRule="auto"/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</w:pP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Aitchison, A. (2010) ‘Genocide and ‘Ethnic Cleansing’’. In F. Brookman, M. Maguire, H. </w:t>
      </w:r>
      <w:proofErr w:type="spellStart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Pierpoint</w:t>
      </w:r>
      <w:proofErr w:type="spellEnd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 and T. Bennett. </w:t>
      </w:r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Handbook on Crime</w:t>
      </w: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. Cullompton: Willan Publishing</w:t>
      </w:r>
    </w:p>
    <w:p w14:paraId="2A4E1E7A" w14:textId="77777777" w:rsidR="00E527DB" w:rsidRPr="006D34CB" w:rsidRDefault="00E527DB" w:rsidP="00E527DB">
      <w:pPr>
        <w:pStyle w:val="NormalWeb"/>
        <w:spacing w:before="200" w:beforeAutospacing="0" w:after="0" w:afterAutospacing="0" w:line="216" w:lineRule="auto"/>
        <w:rPr>
          <w:rFonts w:asciiTheme="minorHAnsi" w:hAnsiTheme="minorHAnsi" w:cstheme="minorHAnsi"/>
        </w:rPr>
      </w:pPr>
      <w:r w:rsidRPr="006D34CB">
        <w:rPr>
          <w:rFonts w:asciiTheme="minorHAnsi" w:eastAsiaTheme="minorEastAsia" w:hAnsiTheme="minorHAnsi" w:cstheme="minorHAnsi"/>
          <w:color w:val="000000" w:themeColor="text1"/>
          <w:kern w:val="24"/>
          <w:lang w:val="en-US"/>
        </w:rPr>
        <w:t>Brown, K. J., &amp; Gordon, F. (2018). Older victims of crime: Vulnerability, resilience and access to procedural justice. </w:t>
      </w:r>
      <w:r w:rsidRPr="006D34CB">
        <w:rPr>
          <w:rFonts w:asciiTheme="minorHAnsi" w:eastAsiaTheme="minorEastAsia" w:hAnsiTheme="minorHAnsi" w:cstheme="minorHAnsi"/>
          <w:i/>
          <w:iCs/>
          <w:color w:val="000000" w:themeColor="text1"/>
          <w:kern w:val="24"/>
          <w:lang w:val="en-US"/>
        </w:rPr>
        <w:t>International Review of Victimology</w:t>
      </w:r>
      <w:r w:rsidRPr="006D34CB">
        <w:rPr>
          <w:rFonts w:asciiTheme="minorHAnsi" w:eastAsiaTheme="minorEastAsia" w:hAnsiTheme="minorHAnsi" w:cstheme="minorHAnsi"/>
          <w:color w:val="000000" w:themeColor="text1"/>
          <w:kern w:val="24"/>
          <w:lang w:val="en-US"/>
        </w:rPr>
        <w:t>. </w:t>
      </w:r>
    </w:p>
    <w:p w14:paraId="3B871943" w14:textId="56E1CCFC" w:rsidR="00E527DB" w:rsidRPr="006D34CB" w:rsidRDefault="00E527DB" w:rsidP="00E527DB">
      <w:pPr>
        <w:spacing w:before="200" w:after="0" w:line="216" w:lineRule="auto"/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</w:pP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Case S., Johnson P., </w:t>
      </w:r>
      <w:proofErr w:type="spellStart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Manlow</w:t>
      </w:r>
      <w:proofErr w:type="spellEnd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 D., Smith R., and Williams K. (2017) </w:t>
      </w:r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Criminology</w:t>
      </w: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. Oxford: Oxford University Press</w:t>
      </w:r>
    </w:p>
    <w:p w14:paraId="20D853E9" w14:textId="77777777" w:rsidR="00E527DB" w:rsidRPr="006D34CB" w:rsidRDefault="00E527DB" w:rsidP="00E527DB">
      <w:pPr>
        <w:pStyle w:val="NormalWeb"/>
        <w:spacing w:before="200" w:beforeAutospacing="0" w:after="0" w:afterAutospacing="0" w:line="216" w:lineRule="auto"/>
        <w:rPr>
          <w:rFonts w:asciiTheme="minorHAnsi" w:hAnsiTheme="minorHAnsi" w:cstheme="minorHAnsi"/>
        </w:rPr>
      </w:pPr>
      <w:proofErr w:type="spellStart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>Cawson</w:t>
      </w:r>
      <w:proofErr w:type="spellEnd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, P. et al (2000) </w:t>
      </w:r>
      <w:r w:rsidRPr="006D34CB">
        <w:rPr>
          <w:rFonts w:asciiTheme="minorHAnsi" w:eastAsiaTheme="minorEastAsia" w:hAnsiTheme="minorHAnsi" w:cstheme="minorHAnsi"/>
          <w:i/>
          <w:iCs/>
          <w:color w:val="000000" w:themeColor="text1"/>
          <w:kern w:val="24"/>
        </w:rPr>
        <w:t>Child maltreatment in the United Kingdom: a study of the prevalence of child abuse and neglect</w:t>
      </w:r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>. London: NSPCC.</w:t>
      </w:r>
    </w:p>
    <w:p w14:paraId="44123A65" w14:textId="77777777" w:rsidR="00E527DB" w:rsidRPr="006D34CB" w:rsidRDefault="00E527DB" w:rsidP="00E527DB">
      <w:pPr>
        <w:spacing w:before="200" w:after="0" w:line="216" w:lineRule="auto"/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</w:pP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Christie, N. (1986) </w:t>
      </w:r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Victims, Victimisation and Victimology</w:t>
      </w: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. New York: McGraw-Hill</w:t>
      </w:r>
    </w:p>
    <w:p w14:paraId="6CB2C1FF" w14:textId="66577436" w:rsidR="00E527DB" w:rsidRPr="006D34CB" w:rsidRDefault="00E527DB" w:rsidP="00E527DB">
      <w:pPr>
        <w:spacing w:before="200" w:after="0" w:line="216" w:lineRule="auto"/>
        <w:rPr>
          <w:rFonts w:cstheme="minorHAnsi"/>
          <w:sz w:val="24"/>
          <w:szCs w:val="24"/>
        </w:rPr>
      </w:pPr>
      <w:r w:rsidRPr="006D34CB">
        <w:rPr>
          <w:rFonts w:eastAsiaTheme="minorEastAsia" w:cstheme="minorHAnsi"/>
          <w:color w:val="000000" w:themeColor="text1"/>
          <w:kern w:val="24"/>
          <w:sz w:val="24"/>
          <w:szCs w:val="24"/>
        </w:rPr>
        <w:t xml:space="preserve">Christie, N. (1986). </w:t>
      </w:r>
      <w:r w:rsidRPr="006D34C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</w:rPr>
        <w:t xml:space="preserve">Ideal Victim, </w:t>
      </w:r>
      <w:proofErr w:type="gramStart"/>
      <w:r w:rsidRPr="006D34C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</w:rPr>
        <w:t>From</w:t>
      </w:r>
      <w:proofErr w:type="gramEnd"/>
      <w:r w:rsidRPr="006D34C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</w:rPr>
        <w:t xml:space="preserve"> crime policy to victim policy; reorienting the justice system</w:t>
      </w:r>
      <w:r w:rsidRPr="006D34CB">
        <w:rPr>
          <w:rFonts w:eastAsiaTheme="minorEastAsia" w:cstheme="minorHAnsi"/>
          <w:color w:val="000000" w:themeColor="text1"/>
          <w:kern w:val="24"/>
          <w:sz w:val="24"/>
          <w:szCs w:val="24"/>
        </w:rPr>
        <w:t>.</w:t>
      </w:r>
    </w:p>
    <w:p w14:paraId="76B64E8E" w14:textId="16A2D291" w:rsidR="00E527DB" w:rsidRPr="006D34CB" w:rsidRDefault="00E527DB" w:rsidP="00E527DB">
      <w:pPr>
        <w:spacing w:before="200" w:after="0" w:line="216" w:lineRule="auto"/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</w:pP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Cohen, L. and Felson, M. (1979) ‘Social Change and Crime Rate Trends: A Routine Activity Approach’, </w:t>
      </w:r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American Sociological Review</w:t>
      </w: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, 44(1): 588-608</w:t>
      </w:r>
    </w:p>
    <w:p w14:paraId="4AF0A5BB" w14:textId="3AD80CB4" w:rsidR="00E527DB" w:rsidRPr="006D34CB" w:rsidRDefault="00E527DB" w:rsidP="00E527DB">
      <w:pPr>
        <w:spacing w:before="200" w:after="0" w:line="216" w:lineRule="auto"/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</w:pP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Cohen, S. (2001) </w:t>
      </w:r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States of Denial: Knowing about Atrocities and Suffering</w:t>
      </w: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. Cambridge: Polity</w:t>
      </w:r>
    </w:p>
    <w:p w14:paraId="7FF4EE53" w14:textId="77777777" w:rsidR="00717C9B" w:rsidRPr="00717C9B" w:rsidRDefault="00717C9B" w:rsidP="00717C9B">
      <w:pPr>
        <w:spacing w:before="200" w:after="0" w:line="216" w:lineRule="auto"/>
        <w:rPr>
          <w:rFonts w:eastAsia="Times New Roman" w:cstheme="minorHAnsi"/>
          <w:sz w:val="24"/>
          <w:szCs w:val="24"/>
          <w:lang w:eastAsia="en-GB"/>
        </w:rPr>
      </w:pPr>
      <w:r w:rsidRPr="00717C9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Cops D. and </w:t>
      </w:r>
      <w:proofErr w:type="spellStart"/>
      <w:r w:rsidRPr="00717C9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Pleysier</w:t>
      </w:r>
      <w:proofErr w:type="spellEnd"/>
      <w:r w:rsidRPr="00717C9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 S. (2014) ‘Usual suspects, ideal victims and vice versa: The relationship between youth offending and victimization and the mediating influence of risky lifestyles’, </w:t>
      </w:r>
      <w:r w:rsidRPr="00717C9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European Journal of Criminology</w:t>
      </w:r>
      <w:r w:rsidRPr="00717C9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, Vol. 11(3): 361–378</w:t>
      </w:r>
    </w:p>
    <w:p w14:paraId="0D12D26D" w14:textId="751828F9" w:rsidR="00E527DB" w:rsidRPr="00E527DB" w:rsidRDefault="00E527DB" w:rsidP="00E527DB">
      <w:pPr>
        <w:spacing w:before="200" w:after="0" w:line="216" w:lineRule="auto"/>
        <w:rPr>
          <w:rFonts w:eastAsia="Times New Roman" w:cstheme="minorHAnsi"/>
          <w:sz w:val="24"/>
          <w:szCs w:val="24"/>
          <w:lang w:eastAsia="en-GB"/>
        </w:rPr>
      </w:pP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Crawford, A., Jones, T., Woodhouse, T.  and Young, J. (1990) </w:t>
      </w:r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Second Islington Crime Survey</w:t>
      </w: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. Middlesex: Middlesex Polytechnic</w:t>
      </w:r>
      <w:r w:rsidR="00B814B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.</w:t>
      </w:r>
    </w:p>
    <w:p w14:paraId="261F4AC2" w14:textId="77777777" w:rsidR="00E527DB" w:rsidRPr="00E527DB" w:rsidRDefault="00E527DB" w:rsidP="00E527DB">
      <w:pPr>
        <w:spacing w:before="200" w:after="0" w:line="216" w:lineRule="auto"/>
        <w:rPr>
          <w:rFonts w:eastAsia="Times New Roman" w:cstheme="minorHAnsi"/>
          <w:sz w:val="24"/>
          <w:szCs w:val="24"/>
          <w:lang w:eastAsia="en-GB"/>
        </w:rPr>
      </w:pP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Cressey, D. R. (1988) ‘Research Implications of Conflicting Conceptions of Victimology’ in Z.P. </w:t>
      </w:r>
      <w:proofErr w:type="spellStart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Separovic</w:t>
      </w:r>
      <w:proofErr w:type="spellEnd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 (ed.) </w:t>
      </w:r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Victimology: International Action and Study of Victims</w:t>
      </w: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. </w:t>
      </w:r>
      <w:proofErr w:type="spellStart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Zargreb</w:t>
      </w:r>
      <w:proofErr w:type="spellEnd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: University of </w:t>
      </w:r>
      <w:proofErr w:type="spellStart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Zargreb</w:t>
      </w:r>
      <w:proofErr w:type="spellEnd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. Reprinted in 1992 in E. A. Fattah (ed.). </w:t>
      </w:r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Towards a Critical Victimology</w:t>
      </w: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. London: Macmillan </w:t>
      </w:r>
    </w:p>
    <w:p w14:paraId="1983BFEF" w14:textId="77777777" w:rsidR="00E527DB" w:rsidRPr="00E527DB" w:rsidRDefault="00E527DB" w:rsidP="00E527DB">
      <w:pPr>
        <w:spacing w:before="200" w:after="0" w:line="216" w:lineRule="auto"/>
        <w:rPr>
          <w:rFonts w:eastAsia="Times New Roman" w:cstheme="minorHAnsi"/>
          <w:sz w:val="24"/>
          <w:szCs w:val="24"/>
          <w:lang w:eastAsia="en-GB"/>
        </w:rPr>
      </w:pP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Deadman D. and MacDonald Z. (2004) ‘Offenders as Victims of </w:t>
      </w:r>
      <w:proofErr w:type="gramStart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Crime?:</w:t>
      </w:r>
      <w:proofErr w:type="gramEnd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 An Investigation into the Relationship between Criminal Behaviour and Victimization’, </w:t>
      </w:r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Journal of the Royal Statistical Society. Series A (Statistics in Society)</w:t>
      </w: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, Vol. 167(1): 53-67</w:t>
      </w:r>
    </w:p>
    <w:p w14:paraId="3F0CF8BE" w14:textId="77777777" w:rsidR="00E527DB" w:rsidRPr="006D34CB" w:rsidRDefault="00E527DB" w:rsidP="00E527DB">
      <w:pPr>
        <w:spacing w:before="200" w:after="0" w:line="216" w:lineRule="auto"/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</w:pPr>
      <w:proofErr w:type="spellStart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Dobash</w:t>
      </w:r>
      <w:proofErr w:type="spellEnd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, R. and </w:t>
      </w:r>
      <w:proofErr w:type="spellStart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Dobash</w:t>
      </w:r>
      <w:proofErr w:type="spellEnd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, R. (1979) </w:t>
      </w:r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Violence Against Wives: The Case Against Patriarchy.</w:t>
      </w: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 New York: Free Press.</w:t>
      </w:r>
      <w:r w:rsidRPr="006D34C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 </w:t>
      </w:r>
    </w:p>
    <w:p w14:paraId="6BC53CD1" w14:textId="108DD167" w:rsidR="00E527DB" w:rsidRPr="006D34CB" w:rsidRDefault="00E527DB" w:rsidP="00E527DB">
      <w:pPr>
        <w:spacing w:before="200" w:after="0" w:line="216" w:lineRule="auto"/>
        <w:rPr>
          <w:rFonts w:cstheme="minorHAnsi"/>
          <w:sz w:val="24"/>
          <w:szCs w:val="24"/>
        </w:rPr>
      </w:pPr>
      <w:r w:rsidRPr="006D34CB">
        <w:rPr>
          <w:rFonts w:eastAsiaTheme="minorEastAsia" w:cstheme="minorHAnsi"/>
          <w:color w:val="000000" w:themeColor="text1"/>
          <w:kern w:val="24"/>
          <w:sz w:val="24"/>
          <w:szCs w:val="24"/>
        </w:rPr>
        <w:t xml:space="preserve">Duggan, M. (Ed.). (2018). </w:t>
      </w:r>
      <w:r w:rsidRPr="006D34C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</w:rPr>
        <w:t>Revisiting the 'Ideal Victim': Developments in Critical Victimology</w:t>
      </w:r>
      <w:r w:rsidRPr="006D34CB">
        <w:rPr>
          <w:rFonts w:eastAsiaTheme="minorEastAsia" w:cstheme="minorHAnsi"/>
          <w:color w:val="000000" w:themeColor="text1"/>
          <w:kern w:val="24"/>
          <w:sz w:val="24"/>
          <w:szCs w:val="24"/>
        </w:rPr>
        <w:t xml:space="preserve">. Bristol: Bristol University Press. </w:t>
      </w:r>
    </w:p>
    <w:p w14:paraId="7C42EC76" w14:textId="77777777" w:rsidR="00E527DB" w:rsidRPr="00E527DB" w:rsidRDefault="00E527DB" w:rsidP="00E527DB">
      <w:pPr>
        <w:spacing w:before="200" w:after="0" w:line="216" w:lineRule="auto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Dussich</w:t>
      </w:r>
      <w:proofErr w:type="spellEnd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 J.P.J. (2015) ‘The Evolution of International Victimology and its Current Status in the World Today’, </w:t>
      </w:r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Journal of Victimology</w:t>
      </w: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, Volume 1(1): 37-81</w:t>
      </w:r>
    </w:p>
    <w:p w14:paraId="2E766454" w14:textId="77777777" w:rsidR="00E527DB" w:rsidRPr="00E527DB" w:rsidRDefault="00E527DB" w:rsidP="00E527DB">
      <w:pPr>
        <w:spacing w:before="200" w:after="0" w:line="216" w:lineRule="auto"/>
        <w:rPr>
          <w:rFonts w:eastAsia="Times New Roman" w:cstheme="minorHAnsi"/>
          <w:sz w:val="24"/>
          <w:szCs w:val="24"/>
          <w:lang w:eastAsia="en-GB"/>
        </w:rPr>
      </w:pP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Farrell, G. and Maltby, S. (2003) ‘The Victimisation of Probationers’, </w:t>
      </w:r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The Howard Journal of Criminal Justice</w:t>
      </w: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, 42(1):32-54.</w:t>
      </w:r>
    </w:p>
    <w:p w14:paraId="0EF3AEEE" w14:textId="77777777" w:rsidR="00E527DB" w:rsidRPr="00E527DB" w:rsidRDefault="00E527DB" w:rsidP="00E527DB">
      <w:pPr>
        <w:spacing w:before="200" w:after="0" w:line="216" w:lineRule="auto"/>
        <w:rPr>
          <w:rFonts w:eastAsia="Times New Roman" w:cstheme="minorHAnsi"/>
          <w:sz w:val="24"/>
          <w:szCs w:val="24"/>
          <w:lang w:eastAsia="en-GB"/>
        </w:rPr>
      </w:pP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Fattah, E.A. (1986) </w:t>
      </w:r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From crime policy to victim policy: reorienting the justice system</w:t>
      </w: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. Basingstoke: Macmillan.</w:t>
      </w:r>
    </w:p>
    <w:p w14:paraId="358A8DB8" w14:textId="77777777" w:rsidR="00E527DB" w:rsidRPr="00E527DB" w:rsidRDefault="00E527DB" w:rsidP="00E527DB">
      <w:pPr>
        <w:spacing w:before="200" w:after="0" w:line="216" w:lineRule="auto"/>
        <w:rPr>
          <w:rFonts w:eastAsia="Times New Roman" w:cstheme="minorHAnsi"/>
          <w:sz w:val="24"/>
          <w:szCs w:val="24"/>
          <w:lang w:eastAsia="en-GB"/>
        </w:rPr>
      </w:pP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Fattah, E. (1989) ‘Victims and Victimology: The Facts and the Rhetoric’, </w:t>
      </w:r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International Review of Victimology</w:t>
      </w: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, 1(1): 43-66 </w:t>
      </w:r>
    </w:p>
    <w:p w14:paraId="1F6B9A98" w14:textId="77777777" w:rsidR="00E527DB" w:rsidRPr="00E527DB" w:rsidRDefault="00E527DB" w:rsidP="00E527DB">
      <w:pPr>
        <w:spacing w:before="200" w:after="0" w:line="216" w:lineRule="auto"/>
        <w:rPr>
          <w:rFonts w:eastAsia="Times New Roman" w:cstheme="minorHAnsi"/>
          <w:sz w:val="24"/>
          <w:szCs w:val="24"/>
          <w:lang w:eastAsia="en-GB"/>
        </w:rPr>
      </w:pP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lastRenderedPageBreak/>
        <w:t xml:space="preserve">Fattah, E.A. (1992) </w:t>
      </w:r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Towards a critical victimology</w:t>
      </w: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. London: St. Martin's Press</w:t>
      </w:r>
    </w:p>
    <w:p w14:paraId="7E168F62" w14:textId="77777777" w:rsidR="00E527DB" w:rsidRPr="00E527DB" w:rsidRDefault="00E527DB" w:rsidP="00E527DB">
      <w:pPr>
        <w:spacing w:before="200" w:after="0" w:line="216" w:lineRule="auto"/>
        <w:rPr>
          <w:rFonts w:eastAsia="Times New Roman" w:cstheme="minorHAnsi"/>
          <w:sz w:val="24"/>
          <w:szCs w:val="24"/>
          <w:lang w:eastAsia="en-GB"/>
        </w:rPr>
      </w:pP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Fattah, E.A. (1994) </w:t>
      </w:r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The Interchangeable Roles of Victim and Victimizer</w:t>
      </w: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. Helsinki: The European Institute for Crime Prevention and Control</w:t>
      </w:r>
    </w:p>
    <w:p w14:paraId="42879E75" w14:textId="77777777" w:rsidR="00E527DB" w:rsidRPr="00E527DB" w:rsidRDefault="00E527DB" w:rsidP="00E527DB">
      <w:pPr>
        <w:spacing w:before="200" w:after="0" w:line="216" w:lineRule="auto"/>
        <w:rPr>
          <w:rFonts w:eastAsia="Times New Roman" w:cstheme="minorHAnsi"/>
          <w:sz w:val="24"/>
          <w:szCs w:val="24"/>
          <w:lang w:eastAsia="en-GB"/>
        </w:rPr>
      </w:pP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Fattah, E.A (2000) ‘Victimology: Past Present and Future’, </w:t>
      </w:r>
      <w:proofErr w:type="spellStart"/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Criminologie</w:t>
      </w:r>
      <w:proofErr w:type="spellEnd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, 33(1): 17-46</w:t>
      </w:r>
    </w:p>
    <w:p w14:paraId="60008C1E" w14:textId="77777777" w:rsidR="00E527DB" w:rsidRPr="006D34CB" w:rsidRDefault="00E527DB" w:rsidP="00E527DB">
      <w:pPr>
        <w:pStyle w:val="NormalWeb"/>
        <w:spacing w:before="200" w:beforeAutospacing="0" w:after="0" w:afterAutospacing="0" w:line="216" w:lineRule="auto"/>
        <w:rPr>
          <w:rFonts w:asciiTheme="minorHAnsi" w:hAnsiTheme="minorHAnsi" w:cstheme="minorHAnsi"/>
        </w:rPr>
      </w:pPr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Fenwick H. (1997) ‘Procedural 'Rights' of Victims of Crime: Public or Private Ordering of the Criminal Justice Process?’ </w:t>
      </w:r>
      <w:r w:rsidRPr="006D34CB">
        <w:rPr>
          <w:rFonts w:asciiTheme="minorHAnsi" w:eastAsiaTheme="minorEastAsia" w:hAnsiTheme="minorHAnsi" w:cstheme="minorHAnsi"/>
          <w:i/>
          <w:iCs/>
          <w:color w:val="000000" w:themeColor="text1"/>
          <w:kern w:val="24"/>
        </w:rPr>
        <w:t>The Modern Law Review</w:t>
      </w:r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>, Vol. 60(3): 317-333</w:t>
      </w:r>
    </w:p>
    <w:p w14:paraId="100C4586" w14:textId="77777777" w:rsidR="00E527DB" w:rsidRPr="006D34CB" w:rsidRDefault="00E527DB" w:rsidP="00E527DB">
      <w:pPr>
        <w:pStyle w:val="NormalWeb"/>
        <w:spacing w:before="200" w:beforeAutospacing="0" w:after="0" w:afterAutospacing="0" w:line="216" w:lineRule="auto"/>
        <w:rPr>
          <w:rFonts w:asciiTheme="minorHAnsi" w:hAnsiTheme="minorHAnsi" w:cstheme="minorHAnsi"/>
        </w:rPr>
      </w:pPr>
      <w:proofErr w:type="spellStart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>Finkelhor</w:t>
      </w:r>
      <w:proofErr w:type="spellEnd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D. (2007) ‘Developmental victimology’. In, Davis, R.C., </w:t>
      </w:r>
      <w:proofErr w:type="spellStart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>Luirigio</w:t>
      </w:r>
      <w:proofErr w:type="spellEnd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, A.J., &amp; Herman, S. (Eds.), </w:t>
      </w:r>
      <w:r w:rsidRPr="006D34CB">
        <w:rPr>
          <w:rFonts w:asciiTheme="minorHAnsi" w:eastAsiaTheme="minorEastAsia" w:hAnsiTheme="minorHAnsi" w:cstheme="minorHAnsi"/>
          <w:i/>
          <w:iCs/>
          <w:color w:val="000000" w:themeColor="text1"/>
          <w:kern w:val="24"/>
        </w:rPr>
        <w:t xml:space="preserve">Victims of crime </w:t>
      </w:r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>(3rd ed) (pgs. 9-34). Thousand Oaks, CA: Sage Publications</w:t>
      </w:r>
    </w:p>
    <w:p w14:paraId="41D3EB5D" w14:textId="77777777" w:rsidR="00E527DB" w:rsidRPr="006D34CB" w:rsidRDefault="00E527DB" w:rsidP="00E527DB">
      <w:pPr>
        <w:pStyle w:val="NormalWeb"/>
        <w:spacing w:before="200" w:beforeAutospacing="0" w:after="0" w:afterAutospacing="0" w:line="216" w:lineRule="auto"/>
        <w:rPr>
          <w:rFonts w:asciiTheme="minorHAnsi" w:hAnsiTheme="minorHAnsi" w:cstheme="minorHAnsi"/>
        </w:rPr>
      </w:pPr>
      <w:proofErr w:type="spellStart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>Finkelhor</w:t>
      </w:r>
      <w:proofErr w:type="spellEnd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, D., and </w:t>
      </w:r>
      <w:proofErr w:type="spellStart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>Dziuba</w:t>
      </w:r>
      <w:proofErr w:type="spellEnd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-Leatherman, J. (1994). ‘Victimization of children’, </w:t>
      </w:r>
      <w:r w:rsidRPr="006D34CB">
        <w:rPr>
          <w:rFonts w:asciiTheme="minorHAnsi" w:eastAsiaTheme="minorEastAsia" w:hAnsiTheme="minorHAnsi" w:cstheme="minorHAnsi"/>
          <w:i/>
          <w:iCs/>
          <w:color w:val="000000" w:themeColor="text1"/>
          <w:kern w:val="24"/>
        </w:rPr>
        <w:t>American Psychologist</w:t>
      </w:r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>, 49(3), 173-181</w:t>
      </w:r>
    </w:p>
    <w:p w14:paraId="79F925C6" w14:textId="3AD15A8B" w:rsidR="00E527DB" w:rsidRPr="006D34CB" w:rsidRDefault="00E527DB" w:rsidP="00E527DB">
      <w:pPr>
        <w:pStyle w:val="NormalWeb"/>
        <w:spacing w:before="200" w:beforeAutospacing="0" w:after="0" w:afterAutospacing="0" w:line="216" w:lineRule="auto"/>
        <w:rPr>
          <w:rFonts w:asciiTheme="minorHAnsi" w:hAnsiTheme="minorHAnsi" w:cstheme="minorHAnsi"/>
        </w:rPr>
      </w:pPr>
      <w:proofErr w:type="spellStart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>Finkelhor</w:t>
      </w:r>
      <w:proofErr w:type="spellEnd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, D., Ormrod, R.K., and Turner, H.A.  (2007) Poly-victimization: a neglected component in child victimization, </w:t>
      </w:r>
      <w:r w:rsidRPr="006D34CB">
        <w:rPr>
          <w:rFonts w:asciiTheme="minorHAnsi" w:eastAsiaTheme="minorEastAsia" w:hAnsiTheme="minorHAnsi" w:cstheme="minorHAnsi"/>
          <w:i/>
          <w:iCs/>
          <w:color w:val="000000" w:themeColor="text1"/>
          <w:kern w:val="24"/>
        </w:rPr>
        <w:t>Child Abuse and Neglect</w:t>
      </w:r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, 31 (1): 7–26 </w:t>
      </w:r>
    </w:p>
    <w:p w14:paraId="662B18B6" w14:textId="77777777" w:rsidR="00E527DB" w:rsidRPr="006D34CB" w:rsidRDefault="00E527DB" w:rsidP="00E527DB">
      <w:pPr>
        <w:pStyle w:val="NormalWeb"/>
        <w:spacing w:before="200" w:beforeAutospacing="0" w:after="0" w:afterAutospacing="0" w:line="216" w:lineRule="auto"/>
        <w:rPr>
          <w:rFonts w:asciiTheme="minorHAnsi" w:hAnsiTheme="minorHAnsi" w:cstheme="minorHAnsi"/>
        </w:rPr>
      </w:pPr>
      <w:proofErr w:type="spellStart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>Finkelhor</w:t>
      </w:r>
      <w:proofErr w:type="spellEnd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, D., and </w:t>
      </w:r>
      <w:proofErr w:type="spellStart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>Dziuba</w:t>
      </w:r>
      <w:proofErr w:type="spellEnd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-Leatherman, J. (1994). ‘Victimization of children’, </w:t>
      </w:r>
      <w:r w:rsidRPr="006D34CB">
        <w:rPr>
          <w:rFonts w:asciiTheme="minorHAnsi" w:eastAsiaTheme="minorEastAsia" w:hAnsiTheme="minorHAnsi" w:cstheme="minorHAnsi"/>
          <w:i/>
          <w:iCs/>
          <w:color w:val="000000" w:themeColor="text1"/>
          <w:kern w:val="24"/>
        </w:rPr>
        <w:t>American Psychologist</w:t>
      </w:r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>, 49(3), 173-181</w:t>
      </w:r>
    </w:p>
    <w:p w14:paraId="1E5FDAA8" w14:textId="77777777" w:rsidR="00E527DB" w:rsidRPr="006D34CB" w:rsidRDefault="00E527DB" w:rsidP="00E527DB">
      <w:pPr>
        <w:pStyle w:val="NormalWeb"/>
        <w:spacing w:before="200" w:beforeAutospacing="0" w:after="0" w:afterAutospacing="0" w:line="216" w:lineRule="auto"/>
        <w:rPr>
          <w:rFonts w:asciiTheme="minorHAnsi" w:hAnsiTheme="minorHAnsi" w:cstheme="minorHAnsi"/>
        </w:rPr>
      </w:pPr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Fisher, H. L., Jones, P. B., Fearon, P., Craig, T. K., </w:t>
      </w:r>
      <w:proofErr w:type="spellStart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>Dazzan</w:t>
      </w:r>
      <w:proofErr w:type="spellEnd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, P., Morgan, K., Hutchinson, G., Doody,  G.A.,  McGuffin, P., </w:t>
      </w:r>
      <w:proofErr w:type="spellStart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>Leff</w:t>
      </w:r>
      <w:proofErr w:type="spellEnd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, J., Murray,  R.M., &amp; Morgan, C. (2010). The varying impact of type, timing and frequency of exposure to childhood adversity on its association with adult psychotic disorder, </w:t>
      </w:r>
      <w:r w:rsidRPr="006D34CB">
        <w:rPr>
          <w:rFonts w:asciiTheme="minorHAnsi" w:eastAsiaTheme="minorEastAsia" w:hAnsiTheme="minorHAnsi" w:cstheme="minorHAnsi"/>
          <w:i/>
          <w:iCs/>
          <w:color w:val="000000" w:themeColor="text1"/>
          <w:kern w:val="24"/>
        </w:rPr>
        <w:t>Psychological Medicine</w:t>
      </w:r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>, 40 (12), 1967-1978</w:t>
      </w:r>
    </w:p>
    <w:p w14:paraId="5E541F05" w14:textId="77777777" w:rsidR="00E527DB" w:rsidRPr="006D34CB" w:rsidRDefault="00E527DB" w:rsidP="00E527DB">
      <w:pPr>
        <w:pStyle w:val="NormalWeb"/>
        <w:spacing w:before="200" w:beforeAutospacing="0" w:after="0" w:afterAutospacing="0" w:line="216" w:lineRule="auto"/>
        <w:rPr>
          <w:rFonts w:asciiTheme="minorHAnsi" w:hAnsiTheme="minorHAnsi" w:cstheme="minorHAnsi"/>
        </w:rPr>
      </w:pPr>
      <w:proofErr w:type="spellStart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>Mawby</w:t>
      </w:r>
      <w:proofErr w:type="spellEnd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, R.I. and </w:t>
      </w:r>
      <w:proofErr w:type="spellStart"/>
      <w:proofErr w:type="gramStart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>Walklate,S</w:t>
      </w:r>
      <w:proofErr w:type="spellEnd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>.</w:t>
      </w:r>
      <w:proofErr w:type="gramEnd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(1994) </w:t>
      </w:r>
      <w:r w:rsidRPr="006D34CB">
        <w:rPr>
          <w:rFonts w:asciiTheme="minorHAnsi" w:eastAsiaTheme="minorEastAsia" w:hAnsiTheme="minorHAnsi" w:cstheme="minorHAnsi"/>
          <w:i/>
          <w:iCs/>
          <w:color w:val="000000" w:themeColor="text1"/>
          <w:kern w:val="24"/>
        </w:rPr>
        <w:t xml:space="preserve">Critical Victimology. </w:t>
      </w:r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London: Sage </w:t>
      </w:r>
    </w:p>
    <w:p w14:paraId="5C36E14D" w14:textId="77777777" w:rsidR="00E527DB" w:rsidRPr="006D34CB" w:rsidRDefault="00E527DB" w:rsidP="00E527DB">
      <w:pPr>
        <w:pStyle w:val="NormalWeb"/>
        <w:spacing w:before="200" w:beforeAutospacing="0" w:after="0" w:afterAutospacing="0" w:line="216" w:lineRule="auto"/>
        <w:rPr>
          <w:rFonts w:asciiTheme="minorHAnsi" w:hAnsiTheme="minorHAnsi" w:cstheme="minorHAnsi"/>
        </w:rPr>
      </w:pPr>
      <w:proofErr w:type="spellStart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>Miers</w:t>
      </w:r>
      <w:proofErr w:type="spellEnd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, D. (1982) ‘The Responsibilities and the Rights of Victims of Crime’, </w:t>
      </w:r>
      <w:r w:rsidRPr="006D34CB">
        <w:rPr>
          <w:rFonts w:asciiTheme="minorHAnsi" w:eastAsiaTheme="minorEastAsia" w:hAnsiTheme="minorHAnsi" w:cstheme="minorHAnsi"/>
          <w:i/>
          <w:iCs/>
          <w:color w:val="000000" w:themeColor="text1"/>
          <w:kern w:val="24"/>
        </w:rPr>
        <w:t>The Modern Law Review</w:t>
      </w:r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, 55(4): 482-505 </w:t>
      </w:r>
    </w:p>
    <w:p w14:paraId="406E22AF" w14:textId="77777777" w:rsidR="00E527DB" w:rsidRPr="006D34CB" w:rsidRDefault="00E527DB" w:rsidP="00E527DB">
      <w:pPr>
        <w:pStyle w:val="NormalWeb"/>
        <w:spacing w:before="200" w:beforeAutospacing="0" w:after="0" w:afterAutospacing="0" w:line="216" w:lineRule="auto"/>
        <w:rPr>
          <w:rFonts w:asciiTheme="minorHAnsi" w:hAnsiTheme="minorHAnsi" w:cstheme="minorHAnsi"/>
        </w:rPr>
      </w:pPr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Mowlam, A., Tennant, R., Dixon, J., and </w:t>
      </w:r>
      <w:proofErr w:type="spellStart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>McCreadie</w:t>
      </w:r>
      <w:proofErr w:type="spellEnd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>, C. (2007), “Mistreatment and abuse of older people: Qualitative findings”. Comic Relief and Department of Health, London.</w:t>
      </w:r>
    </w:p>
    <w:p w14:paraId="5C357A00" w14:textId="687AC9F5" w:rsidR="00E527DB" w:rsidRPr="006D34CB" w:rsidRDefault="00E527DB" w:rsidP="00E527DB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Theme="minorHAnsi" w:cstheme="minorHAnsi"/>
          <w:color w:val="000000" w:themeColor="text1"/>
          <w:kern w:val="24"/>
        </w:rPr>
      </w:pPr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Newburn, T. (2007) ‘Youth crime and youth culture’. In Maguire M., Morgan R. &amp; Reiner R. (eds), </w:t>
      </w:r>
      <w:r w:rsidRPr="006D34CB">
        <w:rPr>
          <w:rFonts w:asciiTheme="minorHAnsi" w:eastAsiaTheme="minorEastAsia" w:hAnsiTheme="minorHAnsi" w:cstheme="minorHAnsi"/>
          <w:i/>
          <w:iCs/>
          <w:color w:val="000000" w:themeColor="text1"/>
          <w:kern w:val="24"/>
        </w:rPr>
        <w:t>The Oxford Handbook of Criminology</w:t>
      </w:r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>. 4th Edition. Oxford: Oxford University Press</w:t>
      </w:r>
    </w:p>
    <w:p w14:paraId="24889B31" w14:textId="77777777" w:rsidR="00204821" w:rsidRPr="00204821" w:rsidRDefault="00204821" w:rsidP="00204821">
      <w:pPr>
        <w:spacing w:before="200" w:after="0" w:line="216" w:lineRule="auto"/>
        <w:rPr>
          <w:rFonts w:eastAsia="Times New Roman" w:cstheme="minorHAnsi"/>
          <w:sz w:val="24"/>
          <w:szCs w:val="24"/>
          <w:lang w:eastAsia="en-GB"/>
        </w:rPr>
      </w:pPr>
      <w:r w:rsidRPr="00204821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NSPCC (2016) </w:t>
      </w:r>
      <w:r w:rsidRPr="00204821">
        <w:rPr>
          <w:rFonts w:eastAsiaTheme="minorEastAsia" w:cstheme="minorHAnsi"/>
          <w:i/>
          <w:iCs/>
          <w:color w:val="000000"/>
          <w:kern w:val="24"/>
          <w:sz w:val="24"/>
          <w:szCs w:val="24"/>
          <w:lang w:eastAsia="en-GB"/>
        </w:rPr>
        <w:t xml:space="preserve">What children are telling us about bullying. </w:t>
      </w:r>
      <w:r w:rsidRPr="00204821">
        <w:rPr>
          <w:rFonts w:eastAsiaTheme="minorEastAsia" w:cstheme="minorHAnsi"/>
          <w:color w:val="000000"/>
          <w:kern w:val="24"/>
          <w:sz w:val="24"/>
          <w:szCs w:val="24"/>
          <w:lang w:eastAsia="en-GB"/>
        </w:rPr>
        <w:t xml:space="preserve">Available online at </w:t>
      </w:r>
      <w:hyperlink r:id="rId5" w:history="1">
        <w:r w:rsidRPr="00204821">
          <w:rPr>
            <w:rFonts w:eastAsiaTheme="minorEastAsia" w:cstheme="minorHAnsi"/>
            <w:color w:val="000000"/>
            <w:kern w:val="24"/>
            <w:sz w:val="24"/>
            <w:szCs w:val="24"/>
            <w:u w:val="single"/>
            <w:lang w:eastAsia="en-GB"/>
          </w:rPr>
          <w:t>https://learning.nspcc.org.uk/media/1204/what-children-are-telling-us-about-bullying-childline-bullying-report-2015-16.pdf</w:t>
        </w:r>
      </w:hyperlink>
      <w:r w:rsidRPr="00204821">
        <w:rPr>
          <w:rFonts w:eastAsiaTheme="minorEastAsia" w:cstheme="minorHAnsi"/>
          <w:color w:val="000000"/>
          <w:kern w:val="24"/>
          <w:sz w:val="24"/>
          <w:szCs w:val="24"/>
          <w:lang w:eastAsia="en-GB"/>
        </w:rPr>
        <w:t xml:space="preserve"> </w:t>
      </w:r>
    </w:p>
    <w:p w14:paraId="27B67A93" w14:textId="77777777" w:rsidR="00204821" w:rsidRPr="00204821" w:rsidRDefault="00204821" w:rsidP="00204821">
      <w:pPr>
        <w:spacing w:before="200" w:after="0" w:line="216" w:lineRule="auto"/>
        <w:rPr>
          <w:rFonts w:eastAsia="Times New Roman" w:cstheme="minorHAnsi"/>
          <w:sz w:val="24"/>
          <w:szCs w:val="24"/>
          <w:lang w:eastAsia="en-GB"/>
        </w:rPr>
      </w:pPr>
      <w:r w:rsidRPr="00204821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NSPCC (2018) </w:t>
      </w:r>
      <w:r w:rsidRPr="00204821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The Courage to Talk: Childline Annual Review 2017-18</w:t>
      </w:r>
      <w:r w:rsidRPr="00204821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. Available online at </w:t>
      </w:r>
      <w:hyperlink r:id="rId6" w:history="1">
        <w:r w:rsidRPr="00204821">
          <w:rPr>
            <w:rFonts w:eastAsiaTheme="minorEastAsia" w:cstheme="minorHAnsi"/>
            <w:color w:val="000000" w:themeColor="text1"/>
            <w:kern w:val="24"/>
            <w:sz w:val="24"/>
            <w:szCs w:val="24"/>
            <w:u w:val="single"/>
            <w:lang w:eastAsia="en-GB"/>
          </w:rPr>
          <w:t>https://learning.nspcc.org.uk/media/1596/courage-talk-childline-annual-review-2017-18.pdf</w:t>
        </w:r>
      </w:hyperlink>
      <w:r w:rsidRPr="00204821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 </w:t>
      </w:r>
    </w:p>
    <w:p w14:paraId="0A963775" w14:textId="77777777" w:rsidR="00E527DB" w:rsidRPr="006D34CB" w:rsidRDefault="00E527DB" w:rsidP="00E527DB">
      <w:pPr>
        <w:pStyle w:val="NormalWeb"/>
        <w:spacing w:before="200" w:beforeAutospacing="0" w:after="0" w:afterAutospacing="0" w:line="216" w:lineRule="auto"/>
        <w:rPr>
          <w:rFonts w:asciiTheme="minorHAnsi" w:hAnsiTheme="minorHAnsi" w:cstheme="minorHAnsi"/>
        </w:rPr>
      </w:pPr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>Office for National Statistics (ONS) (2019) Improving crime statistics for England and Wales: progress update July 2019. [Newport]: Office for National Statistics (ONS)</w:t>
      </w:r>
    </w:p>
    <w:p w14:paraId="3FDA34BB" w14:textId="77777777" w:rsidR="00E527DB" w:rsidRPr="006D34CB" w:rsidRDefault="00E527DB" w:rsidP="00E527DB">
      <w:pPr>
        <w:pStyle w:val="NormalWeb"/>
        <w:spacing w:before="200" w:beforeAutospacing="0" w:after="0" w:afterAutospacing="0" w:line="216" w:lineRule="auto"/>
        <w:rPr>
          <w:rFonts w:asciiTheme="minorHAnsi" w:hAnsiTheme="minorHAnsi" w:cstheme="minorHAnsi"/>
        </w:rPr>
      </w:pPr>
      <w:proofErr w:type="spellStart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>Pantazis</w:t>
      </w:r>
      <w:proofErr w:type="spellEnd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, C. (2000) </w:t>
      </w:r>
      <w:r w:rsidRPr="006D34CB">
        <w:rPr>
          <w:rFonts w:asciiTheme="minorHAnsi" w:eastAsiaTheme="minorEastAsia" w:hAnsiTheme="minorHAnsi" w:cstheme="minorHAnsi"/>
          <w:i/>
          <w:iCs/>
          <w:color w:val="000000" w:themeColor="text1"/>
          <w:kern w:val="24"/>
        </w:rPr>
        <w:t xml:space="preserve">‘Fear of Crime’, Vulnerability and Poverty </w:t>
      </w:r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>British Journal of Criminology, 40, 414-436</w:t>
      </w:r>
    </w:p>
    <w:p w14:paraId="3125D0BD" w14:textId="1E890FBA" w:rsidR="00E527DB" w:rsidRPr="006D34CB" w:rsidRDefault="00E527DB" w:rsidP="00E527DB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Theme="minorHAnsi" w:cstheme="minorHAnsi"/>
          <w:color w:val="000000" w:themeColor="text1"/>
          <w:kern w:val="24"/>
        </w:rPr>
      </w:pPr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Radford, L. et al. (2011) </w:t>
      </w:r>
      <w:r w:rsidRPr="006D34CB">
        <w:rPr>
          <w:rFonts w:asciiTheme="minorHAnsi" w:eastAsiaTheme="minorEastAsia" w:hAnsiTheme="minorHAnsi" w:cstheme="minorHAnsi"/>
          <w:i/>
          <w:iCs/>
          <w:color w:val="000000" w:themeColor="text1"/>
          <w:kern w:val="24"/>
        </w:rPr>
        <w:t xml:space="preserve">Child abuse and neglect in the UK today. </w:t>
      </w:r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>London: NSPCC.</w:t>
      </w:r>
    </w:p>
    <w:p w14:paraId="43FB55F1" w14:textId="77777777" w:rsidR="00204821" w:rsidRPr="00204821" w:rsidRDefault="00204821" w:rsidP="00204821">
      <w:pPr>
        <w:spacing w:before="200" w:after="0" w:line="216" w:lineRule="auto"/>
        <w:rPr>
          <w:rFonts w:eastAsia="Times New Roman" w:cstheme="minorHAnsi"/>
          <w:sz w:val="24"/>
          <w:szCs w:val="24"/>
          <w:lang w:eastAsia="en-GB"/>
        </w:rPr>
      </w:pPr>
      <w:r w:rsidRPr="00204821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Sampson R. and Lauritsen J. (1990) ‘Deviant lifestyles, proximity to crime, and the offender-victim link in personal violence’, </w:t>
      </w:r>
      <w:r w:rsidRPr="00204821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 xml:space="preserve">Journal of Research in Crime and Delinquency, </w:t>
      </w:r>
      <w:r w:rsidRPr="00204821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Vol. 27 (2): 110-139</w:t>
      </w:r>
    </w:p>
    <w:p w14:paraId="5277E14D" w14:textId="77777777" w:rsidR="00E527DB" w:rsidRPr="00E527DB" w:rsidRDefault="00E527DB" w:rsidP="00E527DB">
      <w:pPr>
        <w:spacing w:before="200" w:after="0" w:line="216" w:lineRule="auto"/>
        <w:rPr>
          <w:rFonts w:eastAsia="Times New Roman" w:cstheme="minorHAnsi"/>
          <w:sz w:val="24"/>
          <w:szCs w:val="24"/>
          <w:lang w:eastAsia="en-GB"/>
        </w:rPr>
      </w:pP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lastRenderedPageBreak/>
        <w:t xml:space="preserve">Schafer S. (1968) </w:t>
      </w:r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The Victim and his Criminal</w:t>
      </w: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. New York: Random House</w:t>
      </w:r>
    </w:p>
    <w:p w14:paraId="12C59E3B" w14:textId="77777777" w:rsidR="00E527DB" w:rsidRPr="006D34CB" w:rsidRDefault="00E527DB" w:rsidP="00E527DB">
      <w:pPr>
        <w:pStyle w:val="NormalWeb"/>
        <w:spacing w:before="200" w:beforeAutospacing="0" w:after="0" w:afterAutospacing="0" w:line="216" w:lineRule="auto"/>
        <w:rPr>
          <w:rFonts w:asciiTheme="minorHAnsi" w:hAnsiTheme="minorHAnsi" w:cstheme="minorHAnsi"/>
        </w:rPr>
      </w:pPr>
      <w:proofErr w:type="spellStart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>Shapland</w:t>
      </w:r>
      <w:proofErr w:type="spellEnd"/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, J., Willmore, J., and Duff, P. (1985) </w:t>
      </w:r>
      <w:r w:rsidRPr="006D34CB">
        <w:rPr>
          <w:rFonts w:asciiTheme="minorHAnsi" w:eastAsiaTheme="minorEastAsia" w:hAnsiTheme="minorHAnsi" w:cstheme="minorHAnsi"/>
          <w:i/>
          <w:iCs/>
          <w:color w:val="000000" w:themeColor="text1"/>
          <w:kern w:val="24"/>
        </w:rPr>
        <w:t>Victims in the criminal justice system</w:t>
      </w:r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>. Aldershot: Gower</w:t>
      </w:r>
    </w:p>
    <w:p w14:paraId="7BB54341" w14:textId="34973EF9" w:rsidR="00E527DB" w:rsidRPr="006D34CB" w:rsidRDefault="00E527DB" w:rsidP="00E527DB">
      <w:pPr>
        <w:spacing w:before="200" w:after="0" w:line="216" w:lineRule="auto"/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</w:pP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Smart, C. (1979) </w:t>
      </w:r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Feminism and the Power of Law</w:t>
      </w: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. London: Routledge</w:t>
      </w:r>
    </w:p>
    <w:p w14:paraId="2338AF1D" w14:textId="1C1CD240" w:rsidR="00E527DB" w:rsidRPr="006D34CB" w:rsidRDefault="00E527DB" w:rsidP="00E527DB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Theme="minorHAnsi" w:cstheme="minorHAnsi"/>
          <w:color w:val="000000" w:themeColor="text1"/>
          <w:kern w:val="24"/>
        </w:rPr>
      </w:pPr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Smith, D. (2004) </w:t>
      </w:r>
      <w:r w:rsidRPr="006D34CB">
        <w:rPr>
          <w:rFonts w:asciiTheme="minorHAnsi" w:eastAsiaTheme="minorEastAsia" w:hAnsiTheme="minorHAnsi" w:cstheme="minorHAnsi"/>
          <w:i/>
          <w:iCs/>
          <w:color w:val="000000" w:themeColor="text1"/>
          <w:kern w:val="24"/>
        </w:rPr>
        <w:t>The Links Between Victimisation and Offending</w:t>
      </w:r>
      <w:r w:rsidRPr="006D34CB">
        <w:rPr>
          <w:rFonts w:asciiTheme="minorHAnsi" w:eastAsiaTheme="minorEastAsia" w:hAnsiTheme="minorHAnsi" w:cstheme="minorHAnsi"/>
          <w:color w:val="000000" w:themeColor="text1"/>
          <w:kern w:val="24"/>
        </w:rPr>
        <w:t>. Edinburgh: Centre for Law and Society</w:t>
      </w:r>
    </w:p>
    <w:p w14:paraId="7BC59FE4" w14:textId="77777777" w:rsidR="00204821" w:rsidRPr="00204821" w:rsidRDefault="00204821" w:rsidP="00204821">
      <w:pPr>
        <w:spacing w:before="200" w:after="0" w:line="216" w:lineRule="auto"/>
        <w:rPr>
          <w:rFonts w:eastAsia="Times New Roman" w:cstheme="minorHAnsi"/>
          <w:sz w:val="24"/>
          <w:szCs w:val="24"/>
          <w:lang w:eastAsia="en-GB"/>
        </w:rPr>
      </w:pPr>
      <w:r w:rsidRPr="00204821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Smith D and </w:t>
      </w:r>
      <w:proofErr w:type="spellStart"/>
      <w:r w:rsidRPr="00204821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Ecob</w:t>
      </w:r>
      <w:proofErr w:type="spellEnd"/>
      <w:r w:rsidRPr="00204821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 R (2007) ‘An investigation into causal links between victimization and offending in adolescents’, </w:t>
      </w:r>
      <w:r w:rsidRPr="00204821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British Journal of Sociology</w:t>
      </w:r>
      <w:r w:rsidRPr="00204821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, Vol. 58 (4): 633-659</w:t>
      </w:r>
    </w:p>
    <w:p w14:paraId="6793DE85" w14:textId="77777777" w:rsidR="00204821" w:rsidRPr="00204821" w:rsidRDefault="00204821" w:rsidP="00204821">
      <w:pPr>
        <w:spacing w:before="200" w:after="0" w:line="216" w:lineRule="auto"/>
        <w:rPr>
          <w:rFonts w:eastAsia="Times New Roman" w:cstheme="minorHAnsi"/>
          <w:sz w:val="24"/>
          <w:szCs w:val="24"/>
          <w:lang w:eastAsia="en-GB"/>
        </w:rPr>
      </w:pPr>
      <w:r w:rsidRPr="00204821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Smith C. and Thornberry T. (1995) ‘The relationship between childhood maltreatment and adolescent involvement in delinquency’, </w:t>
      </w:r>
      <w:r w:rsidRPr="00204821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 xml:space="preserve">Criminology, </w:t>
      </w:r>
      <w:r w:rsidRPr="00204821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33 (4): 451-481</w:t>
      </w:r>
    </w:p>
    <w:p w14:paraId="73E215F0" w14:textId="77777777" w:rsidR="00E527DB" w:rsidRPr="00E527DB" w:rsidRDefault="00E527DB" w:rsidP="00E527DB">
      <w:pPr>
        <w:spacing w:before="200" w:after="0" w:line="216" w:lineRule="auto"/>
        <w:rPr>
          <w:rFonts w:eastAsia="Times New Roman" w:cstheme="minorHAnsi"/>
          <w:sz w:val="24"/>
          <w:szCs w:val="24"/>
          <w:lang w:eastAsia="en-GB"/>
        </w:rPr>
      </w:pP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Smith, M.D. (1988) ’Women's Fear of Violent Crime: An Exploratory Test of a Feminist Hypothesis’ </w:t>
      </w:r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Journal of Family Violence</w:t>
      </w: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, 3:29-38</w:t>
      </w:r>
    </w:p>
    <w:p w14:paraId="437085CF" w14:textId="77777777" w:rsidR="00E527DB" w:rsidRPr="00E527DB" w:rsidRDefault="00E527DB" w:rsidP="00E527DB">
      <w:pPr>
        <w:spacing w:before="200" w:after="0" w:line="216" w:lineRule="auto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Spalek</w:t>
      </w:r>
      <w:proofErr w:type="spellEnd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, B. (2006) Crime Victims. Basingstoke: Palgrave Macmillan</w:t>
      </w:r>
    </w:p>
    <w:p w14:paraId="4ECA2626" w14:textId="77777777" w:rsidR="00E527DB" w:rsidRPr="00E527DB" w:rsidRDefault="00E527DB" w:rsidP="00E527DB">
      <w:pPr>
        <w:spacing w:before="200" w:after="0" w:line="216" w:lineRule="auto"/>
        <w:rPr>
          <w:rFonts w:eastAsia="Times New Roman" w:cstheme="minorHAnsi"/>
          <w:sz w:val="24"/>
          <w:szCs w:val="24"/>
          <w:lang w:eastAsia="en-GB"/>
        </w:rPr>
      </w:pP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Sparks R.F. (1981) ‘Multiple Victimization: Evidence, Theory, and Future Research’, Journal of </w:t>
      </w:r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Criminal Law and Criminology</w:t>
      </w: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, Vol. 72(2): 762-778</w:t>
      </w:r>
    </w:p>
    <w:p w14:paraId="3C265260" w14:textId="77777777" w:rsidR="00E527DB" w:rsidRPr="00E527DB" w:rsidRDefault="00E527DB" w:rsidP="00E527DB">
      <w:pPr>
        <w:spacing w:before="200" w:after="0" w:line="216" w:lineRule="auto"/>
        <w:rPr>
          <w:rFonts w:eastAsia="Times New Roman" w:cstheme="minorHAnsi"/>
          <w:sz w:val="24"/>
          <w:szCs w:val="24"/>
          <w:lang w:eastAsia="en-GB"/>
        </w:rPr>
      </w:pP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Stanko, E. A. (1985) </w:t>
      </w:r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Intimate Intrusions: Women’s Experience of Male Violence</w:t>
      </w: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. London: Routledge.</w:t>
      </w:r>
    </w:p>
    <w:p w14:paraId="25330D29" w14:textId="77777777" w:rsidR="00E527DB" w:rsidRPr="00E527DB" w:rsidRDefault="00E527DB" w:rsidP="00E527DB">
      <w:pPr>
        <w:spacing w:before="200" w:after="0" w:line="216" w:lineRule="auto"/>
        <w:rPr>
          <w:rFonts w:eastAsia="Times New Roman" w:cstheme="minorHAnsi"/>
          <w:sz w:val="24"/>
          <w:szCs w:val="24"/>
          <w:lang w:eastAsia="en-GB"/>
        </w:rPr>
      </w:pP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Stanko, E. A. (1988) ‘’Hidden Violence against Women’, in M. Maguire and J. Pointing (eds) </w:t>
      </w:r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Victims: A New Deal?</w:t>
      </w: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 Milton Keynes: Open University Press</w:t>
      </w:r>
    </w:p>
    <w:p w14:paraId="328CA108" w14:textId="77777777" w:rsidR="00E527DB" w:rsidRPr="00E527DB" w:rsidRDefault="00E527DB" w:rsidP="00E527DB">
      <w:pPr>
        <w:spacing w:before="200" w:after="0" w:line="216" w:lineRule="auto"/>
        <w:rPr>
          <w:rFonts w:eastAsia="Times New Roman" w:cstheme="minorHAnsi"/>
          <w:sz w:val="24"/>
          <w:szCs w:val="24"/>
          <w:lang w:eastAsia="en-GB"/>
        </w:rPr>
      </w:pP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Stanko, E. A. (1995) ‘Women Crime and Fear’, </w:t>
      </w:r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The Annals of the American Academy of Political and Social Science,</w:t>
      </w: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 539(1): 46-58 </w:t>
      </w:r>
    </w:p>
    <w:p w14:paraId="580A8027" w14:textId="77777777" w:rsidR="00E527DB" w:rsidRPr="00E527DB" w:rsidRDefault="00E527DB" w:rsidP="00E527DB">
      <w:pPr>
        <w:spacing w:before="200" w:after="0" w:line="216" w:lineRule="auto"/>
        <w:rPr>
          <w:rFonts w:eastAsia="Times New Roman" w:cstheme="minorHAnsi"/>
          <w:sz w:val="24"/>
          <w:szCs w:val="24"/>
          <w:lang w:eastAsia="en-GB"/>
        </w:rPr>
      </w:pP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Stanko, E. (ed) (2003) </w:t>
      </w:r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The Meanings of Violence</w:t>
      </w: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. Abingdon: Routledge</w:t>
      </w:r>
    </w:p>
    <w:p w14:paraId="25E3469D" w14:textId="77777777" w:rsidR="00E527DB" w:rsidRPr="00E527DB" w:rsidRDefault="00E527DB" w:rsidP="00E527DB">
      <w:pPr>
        <w:spacing w:before="200" w:after="0" w:line="216" w:lineRule="auto"/>
        <w:rPr>
          <w:rFonts w:eastAsia="Times New Roman" w:cstheme="minorHAnsi"/>
          <w:sz w:val="24"/>
          <w:szCs w:val="24"/>
          <w:lang w:eastAsia="en-GB"/>
        </w:rPr>
      </w:pP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Tombs, Steve and Whyte, Dave (2003) </w:t>
      </w:r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 xml:space="preserve">Unmasking </w:t>
      </w:r>
      <w:proofErr w:type="gramStart"/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The</w:t>
      </w:r>
      <w:proofErr w:type="gramEnd"/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 xml:space="preserve"> Crimes of The Powerful: Scrutinizing States and Corporations.</w:t>
      </w: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 New York: Peter Lang Publishing</w:t>
      </w:r>
    </w:p>
    <w:p w14:paraId="1B18C4D6" w14:textId="77777777" w:rsidR="00E527DB" w:rsidRPr="00E527DB" w:rsidRDefault="00E527DB" w:rsidP="00E527DB">
      <w:pPr>
        <w:spacing w:before="200" w:after="0" w:line="216" w:lineRule="auto"/>
        <w:rPr>
          <w:rFonts w:eastAsia="Times New Roman" w:cstheme="minorHAnsi"/>
          <w:sz w:val="24"/>
          <w:szCs w:val="24"/>
          <w:lang w:eastAsia="en-GB"/>
        </w:rPr>
      </w:pP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UN (1985) </w:t>
      </w:r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Declaration of Basic Principles of Justice for Victims of Crime and Abuse of Power</w:t>
      </w: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. Available online at </w:t>
      </w:r>
      <w:hyperlink r:id="rId7" w:history="1">
        <w:r w:rsidRPr="00E527DB">
          <w:rPr>
            <w:rFonts w:eastAsiaTheme="minorEastAsia" w:cstheme="minorHAnsi"/>
            <w:color w:val="000000" w:themeColor="text1"/>
            <w:kern w:val="24"/>
            <w:sz w:val="24"/>
            <w:szCs w:val="24"/>
            <w:u w:val="single"/>
            <w:lang w:eastAsia="en-GB"/>
          </w:rPr>
          <w:t>www.un.org/documents/ga/res/40/a40r034.htm</w:t>
        </w:r>
      </w:hyperlink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 </w:t>
      </w:r>
    </w:p>
    <w:p w14:paraId="20440A61" w14:textId="77777777" w:rsidR="00E527DB" w:rsidRPr="00E527DB" w:rsidRDefault="00E527DB" w:rsidP="00E527DB">
      <w:pPr>
        <w:spacing w:before="200" w:after="0" w:line="216" w:lineRule="auto"/>
        <w:rPr>
          <w:rFonts w:eastAsia="Times New Roman" w:cstheme="minorHAnsi"/>
          <w:sz w:val="24"/>
          <w:szCs w:val="24"/>
          <w:lang w:eastAsia="en-GB"/>
        </w:rPr>
      </w:pP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van Dijk, J.J.M. (1999) ‘Introducing victimology’. In J. J. M. van Dijk, R. G. H. van </w:t>
      </w:r>
      <w:proofErr w:type="spellStart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Kaam</w:t>
      </w:r>
      <w:proofErr w:type="spellEnd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, &amp; J. </w:t>
      </w:r>
      <w:proofErr w:type="spellStart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Wemmers</w:t>
      </w:r>
      <w:proofErr w:type="spellEnd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 (Eds.) </w:t>
      </w:r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Caring for crime victims: Selected proceedings of the Ninth International Symposium on Victimology</w:t>
      </w: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, Amsterdam, August 25-29, 1997 (pp. 1-12). Monsey, NY: Criminal Justice Press</w:t>
      </w:r>
    </w:p>
    <w:p w14:paraId="6D4EED66" w14:textId="77777777" w:rsidR="00E527DB" w:rsidRPr="00E527DB" w:rsidRDefault="00E527DB" w:rsidP="00E527DB">
      <w:pPr>
        <w:spacing w:before="200" w:after="0" w:line="216" w:lineRule="auto"/>
        <w:rPr>
          <w:rFonts w:eastAsia="Times New Roman" w:cstheme="minorHAnsi"/>
          <w:sz w:val="24"/>
          <w:szCs w:val="24"/>
          <w:lang w:eastAsia="en-GB"/>
        </w:rPr>
      </w:pP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von </w:t>
      </w:r>
      <w:proofErr w:type="spellStart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Hentig</w:t>
      </w:r>
      <w:proofErr w:type="spellEnd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 H. (1948) </w:t>
      </w:r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The Criminal and his Victim</w:t>
      </w: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. New Haven: Yale University Press</w:t>
      </w:r>
    </w:p>
    <w:p w14:paraId="07F64ACF" w14:textId="77777777" w:rsidR="00E527DB" w:rsidRPr="00E527DB" w:rsidRDefault="00E527DB" w:rsidP="00E527DB">
      <w:pPr>
        <w:spacing w:before="200" w:after="0" w:line="216" w:lineRule="auto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Walklate</w:t>
      </w:r>
      <w:proofErr w:type="spellEnd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, S. (1992) ‘Appreciating the Victim: Conventional, Realist or Critical Victimology? In J. Young and R. Matthews (eds) </w:t>
      </w:r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Issues in Realist Criminology</w:t>
      </w: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. London: Sage.</w:t>
      </w:r>
    </w:p>
    <w:p w14:paraId="0EA09848" w14:textId="77777777" w:rsidR="00E527DB" w:rsidRPr="00E527DB" w:rsidRDefault="00E527DB" w:rsidP="00E527DB">
      <w:pPr>
        <w:spacing w:before="200" w:after="0" w:line="216" w:lineRule="auto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Walklate</w:t>
      </w:r>
      <w:proofErr w:type="spellEnd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 S (2007) </w:t>
      </w:r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Imagining the Victim of Crime</w:t>
      </w: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. Maidenhead: Open University</w:t>
      </w:r>
    </w:p>
    <w:p w14:paraId="5B34B323" w14:textId="77777777" w:rsidR="00E527DB" w:rsidRPr="006D34CB" w:rsidRDefault="00E527DB" w:rsidP="00E527DB">
      <w:pPr>
        <w:spacing w:before="200" w:after="0" w:line="216" w:lineRule="auto"/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</w:pPr>
      <w:proofErr w:type="spellStart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Walklate</w:t>
      </w:r>
      <w:proofErr w:type="spellEnd"/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 S (2018) </w:t>
      </w:r>
      <w:r w:rsidRPr="00E527D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Handbook of Victims and Victimology</w:t>
      </w:r>
      <w:r w:rsidRPr="00E527DB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. Abingdon: Routledge</w:t>
      </w:r>
    </w:p>
    <w:p w14:paraId="214B8D42" w14:textId="6F2435E6" w:rsidR="00E527DB" w:rsidRPr="006D34CB" w:rsidRDefault="00E527DB" w:rsidP="00E527DB">
      <w:pPr>
        <w:spacing w:before="200" w:after="0" w:line="216" w:lineRule="auto"/>
        <w:rPr>
          <w:rFonts w:cstheme="minorHAnsi"/>
          <w:sz w:val="24"/>
          <w:szCs w:val="24"/>
        </w:rPr>
      </w:pPr>
      <w:proofErr w:type="spellStart"/>
      <w:r w:rsidRPr="006D34CB">
        <w:rPr>
          <w:rFonts w:eastAsiaTheme="minorEastAsia" w:cstheme="minorHAnsi"/>
          <w:color w:val="000000" w:themeColor="text1"/>
          <w:kern w:val="24"/>
          <w:sz w:val="24"/>
          <w:szCs w:val="24"/>
        </w:rPr>
        <w:lastRenderedPageBreak/>
        <w:t>Wijk</w:t>
      </w:r>
      <w:proofErr w:type="spellEnd"/>
      <w:r w:rsidRPr="006D34CB">
        <w:rPr>
          <w:rFonts w:eastAsiaTheme="minorEastAsia" w:cstheme="minorHAnsi"/>
          <w:color w:val="000000" w:themeColor="text1"/>
          <w:kern w:val="24"/>
          <w:sz w:val="24"/>
          <w:szCs w:val="24"/>
        </w:rPr>
        <w:t xml:space="preserve">, J. V. (2013) Who is the 'little old lady' of international crimes? Nils Christie's concept of the ideal victim reinterpreted, </w:t>
      </w:r>
      <w:r w:rsidRPr="006D34CB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</w:rPr>
        <w:t>International Review of Victimology</w:t>
      </w:r>
      <w:r w:rsidRPr="006D34CB">
        <w:rPr>
          <w:rFonts w:eastAsiaTheme="minorEastAsia" w:cstheme="minorHAnsi"/>
          <w:color w:val="000000" w:themeColor="text1"/>
          <w:kern w:val="24"/>
          <w:sz w:val="24"/>
          <w:szCs w:val="24"/>
        </w:rPr>
        <w:t>, Vol. 19, no. 2, pp. 159-179</w:t>
      </w:r>
    </w:p>
    <w:p w14:paraId="05631E10" w14:textId="77777777" w:rsidR="00E95DCF" w:rsidRPr="00E95DCF" w:rsidRDefault="00E95DCF" w:rsidP="00E95DCF">
      <w:pPr>
        <w:spacing w:before="96"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E95DCF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Welsh Assembly Government (WAG) (2008) All Wales Child Protection Procedures. Available online at </w:t>
      </w:r>
      <w:r w:rsidRPr="00E95DCF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fldChar w:fldCharType="begin"/>
      </w:r>
      <w:r w:rsidRPr="00E95DCF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instrText xml:space="preserve"> HYPERLINK "http://www.childreninwales.org.uk/policy-document/wales-child-protection-procedures-2008/" </w:instrText>
      </w:r>
      <w:r w:rsidRPr="00E95DCF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fldChar w:fldCharType="separate"/>
      </w:r>
      <w:r w:rsidRPr="00E95DCF">
        <w:rPr>
          <w:rFonts w:eastAsiaTheme="minorEastAsia" w:cstheme="minorHAnsi"/>
          <w:color w:val="000000" w:themeColor="text1"/>
          <w:kern w:val="24"/>
          <w:sz w:val="24"/>
          <w:szCs w:val="24"/>
          <w:u w:val="single"/>
          <w:lang w:eastAsia="en-GB"/>
        </w:rPr>
        <w:t>www.childreninwales.org.uk/policy-document/wales-child-protection-procedures-2008/</w:t>
      </w:r>
      <w:r w:rsidRPr="00E95DCF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fldChar w:fldCharType="end"/>
      </w:r>
      <w:r w:rsidRPr="00E95DCF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 </w:t>
      </w:r>
    </w:p>
    <w:p w14:paraId="7476CBC1" w14:textId="77777777" w:rsidR="00E95DCF" w:rsidRPr="00E95DCF" w:rsidRDefault="00E95DCF" w:rsidP="00E95DCF">
      <w:pPr>
        <w:spacing w:before="96"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E95DCF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WHO (2015) </w:t>
      </w:r>
      <w:r w:rsidRPr="00E95DCF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 xml:space="preserve">Child </w:t>
      </w:r>
      <w:proofErr w:type="gramStart"/>
      <w:r w:rsidRPr="00E95DCF">
        <w:rPr>
          <w:rFonts w:eastAsiaTheme="minorEastAsia" w:cstheme="minorHAnsi"/>
          <w:i/>
          <w:iCs/>
          <w:color w:val="000000" w:themeColor="text1"/>
          <w:kern w:val="24"/>
          <w:sz w:val="24"/>
          <w:szCs w:val="24"/>
          <w:lang w:eastAsia="en-GB"/>
        </w:rPr>
        <w:t>Maltreatment</w:t>
      </w:r>
      <w:r w:rsidRPr="00E95DCF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>.</w:t>
      </w:r>
      <w:proofErr w:type="gramEnd"/>
      <w:r w:rsidRPr="00E95DCF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 Available online at </w:t>
      </w:r>
      <w:hyperlink r:id="rId8" w:history="1">
        <w:r w:rsidRPr="00E95DCF">
          <w:rPr>
            <w:rFonts w:eastAsiaTheme="minorEastAsia" w:cstheme="minorHAnsi"/>
            <w:color w:val="000000" w:themeColor="text1"/>
            <w:kern w:val="24"/>
            <w:sz w:val="24"/>
            <w:szCs w:val="24"/>
            <w:u w:val="single"/>
            <w:lang w:eastAsia="en-GB"/>
          </w:rPr>
          <w:t>www.who.int/news-room/fact-sheets/detail/child-maltre</w:t>
        </w:r>
        <w:r w:rsidRPr="00E95DCF">
          <w:rPr>
            <w:rFonts w:eastAsiaTheme="minorEastAsia" w:cstheme="minorHAnsi"/>
            <w:color w:val="000000" w:themeColor="text1"/>
            <w:kern w:val="24"/>
            <w:sz w:val="24"/>
            <w:szCs w:val="24"/>
            <w:u w:val="single"/>
            <w:lang w:eastAsia="en-GB"/>
          </w:rPr>
          <w:t>a</w:t>
        </w:r>
        <w:r w:rsidRPr="00E95DCF">
          <w:rPr>
            <w:rFonts w:eastAsiaTheme="minorEastAsia" w:cstheme="minorHAnsi"/>
            <w:color w:val="000000" w:themeColor="text1"/>
            <w:kern w:val="24"/>
            <w:sz w:val="24"/>
            <w:szCs w:val="24"/>
            <w:u w:val="single"/>
            <w:lang w:eastAsia="en-GB"/>
          </w:rPr>
          <w:t>tment</w:t>
        </w:r>
      </w:hyperlink>
      <w:r w:rsidRPr="00E95DCF">
        <w:rPr>
          <w:rFonts w:eastAsiaTheme="minorEastAsia" w:cstheme="minorHAnsi"/>
          <w:color w:val="000000" w:themeColor="text1"/>
          <w:kern w:val="24"/>
          <w:sz w:val="24"/>
          <w:szCs w:val="24"/>
          <w:lang w:eastAsia="en-GB"/>
        </w:rPr>
        <w:t xml:space="preserve"> </w:t>
      </w:r>
      <w:bookmarkStart w:id="0" w:name="_GoBack"/>
      <w:bookmarkEnd w:id="0"/>
    </w:p>
    <w:sectPr w:rsidR="00E95DCF" w:rsidRPr="00E95D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0215E"/>
    <w:multiLevelType w:val="hybridMultilevel"/>
    <w:tmpl w:val="85FE0132"/>
    <w:lvl w:ilvl="0" w:tplc="4D5AFA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EC6B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0678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FEF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7CD7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5E14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024E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9822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260F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854"/>
    <w:rsid w:val="001604D6"/>
    <w:rsid w:val="00204821"/>
    <w:rsid w:val="002B5A0B"/>
    <w:rsid w:val="00304854"/>
    <w:rsid w:val="003D2039"/>
    <w:rsid w:val="00522C2A"/>
    <w:rsid w:val="005C57D7"/>
    <w:rsid w:val="006D34CB"/>
    <w:rsid w:val="00717C9B"/>
    <w:rsid w:val="00A91007"/>
    <w:rsid w:val="00B23CCA"/>
    <w:rsid w:val="00B814BB"/>
    <w:rsid w:val="00CA696E"/>
    <w:rsid w:val="00D7033B"/>
    <w:rsid w:val="00E527DB"/>
    <w:rsid w:val="00E95DCF"/>
    <w:rsid w:val="00F15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A2661"/>
  <w15:chartTrackingRefBased/>
  <w15:docId w15:val="{03108ADF-54E8-4BB8-8F05-A610553A9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91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A69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527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957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42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778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9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ho.int/news-room/fact-sheets/detail/child-maltreatmen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n.org/documents/ga/res/40/a40r034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ing.nspcc.org.uk/media/1596/courage-talk-childline-annual-review-2017-18.pdf" TargetMode="External"/><Relationship Id="rId5" Type="http://schemas.openxmlformats.org/officeDocument/2006/relationships/hyperlink" Target="https://learning.nspcc.org.uk/media/1204/what-children-are-telling-us-about-bullying-childline-bullying-report-2015-16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1339</Words>
  <Characters>7637</Characters>
  <Application>Microsoft Office Word</Application>
  <DocSecurity>0</DocSecurity>
  <Lines>63</Lines>
  <Paragraphs>17</Paragraphs>
  <ScaleCrop>false</ScaleCrop>
  <Company/>
  <LinksUpToDate>false</LinksUpToDate>
  <CharactersWithSpaces>8959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Claudine Young</dc:creator>
  <cp:keywords/>
  <dc:description/>
  <cp:lastModifiedBy>Claudine Young</cp:lastModifiedBy>
  <cp:revision>3</cp:revision>
  <dcterms:created xsi:type="dcterms:W3CDTF">2020-03-15T21:25:00Z</dcterms:created>
  <dcterms:modified xsi:type="dcterms:W3CDTF">2020-03-15T21:26:00Z</dcterms:modified>
</cp:coreProperties>
</file>