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671653" w14:textId="432E4080" w:rsidR="44446C92" w:rsidRDefault="44446C92" w:rsidP="2415ECC9">
      <w:pPr>
        <w:spacing w:after="0" w:line="362" w:lineRule="auto"/>
        <w:ind w:left="-5"/>
        <w:jc w:val="left"/>
      </w:pPr>
      <w:r>
        <w:rPr>
          <w:noProof/>
        </w:rPr>
        <w:drawing>
          <wp:inline distT="0" distB="0" distL="0" distR="0" wp14:anchorId="0C578A35" wp14:editId="23C89C67">
            <wp:extent cx="1943100" cy="969996"/>
            <wp:effectExtent l="0" t="0" r="0" b="0"/>
            <wp:docPr id="1090619613" name="drawing">
              <a:extLst xmlns:a="http://schemas.openxmlformats.org/drawingml/2006/main">
                <a:ext uri="{FF2B5EF4-FFF2-40B4-BE49-F238E27FC236}">
                  <a16:creationId xmlns:a16="http://schemas.microsoft.com/office/drawing/2014/main" id="{CA4D84D2-E100-4AF4-9BC4-0225C9C31D1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619613" name="Picture 1090619613"/>
                    <pic:cNvPicPr/>
                  </pic:nvPicPr>
                  <pic:blipFill>
                    <a:blip r:embed="rId4">
                      <a:extLst>
                        <a:ext uri="{28A0092B-C50C-407E-A947-70E740481C1C}">
                          <a14:useLocalDpi xmlns:a14="http://schemas.microsoft.com/office/drawing/2010/main"/>
                        </a:ext>
                      </a:extLst>
                    </a:blip>
                    <a:stretch>
                      <a:fillRect/>
                    </a:stretch>
                  </pic:blipFill>
                  <pic:spPr>
                    <a:xfrm>
                      <a:off x="0" y="0"/>
                      <a:ext cx="1943100" cy="969996"/>
                    </a:xfrm>
                    <a:prstGeom prst="rect">
                      <a:avLst/>
                    </a:prstGeom>
                  </pic:spPr>
                </pic:pic>
              </a:graphicData>
            </a:graphic>
          </wp:inline>
        </w:drawing>
      </w:r>
    </w:p>
    <w:p w14:paraId="2F06A077" w14:textId="41CAC3F5" w:rsidR="2415ECC9" w:rsidRDefault="2415ECC9" w:rsidP="2415ECC9">
      <w:pPr>
        <w:spacing w:after="0" w:line="362" w:lineRule="auto"/>
        <w:ind w:left="-5"/>
        <w:jc w:val="left"/>
        <w:rPr>
          <w:b/>
          <w:bCs/>
          <w:sz w:val="28"/>
          <w:szCs w:val="28"/>
        </w:rPr>
      </w:pPr>
    </w:p>
    <w:p w14:paraId="25F61B06" w14:textId="69B4F8D0" w:rsidR="2415ECC9" w:rsidRDefault="2415ECC9" w:rsidP="2415ECC9">
      <w:pPr>
        <w:spacing w:after="0" w:line="362" w:lineRule="auto"/>
        <w:ind w:left="-5"/>
        <w:jc w:val="left"/>
        <w:rPr>
          <w:b/>
          <w:bCs/>
          <w:sz w:val="28"/>
          <w:szCs w:val="28"/>
        </w:rPr>
      </w:pPr>
    </w:p>
    <w:p w14:paraId="46066538" w14:textId="60B21F89" w:rsidR="2415ECC9" w:rsidRDefault="2415ECC9" w:rsidP="2415ECC9">
      <w:pPr>
        <w:spacing w:after="0" w:line="362" w:lineRule="auto"/>
        <w:ind w:left="-5"/>
        <w:jc w:val="left"/>
        <w:rPr>
          <w:b/>
          <w:bCs/>
          <w:sz w:val="28"/>
          <w:szCs w:val="28"/>
        </w:rPr>
      </w:pPr>
    </w:p>
    <w:p w14:paraId="68E1C2E5" w14:textId="75C1A39C" w:rsidR="2415ECC9" w:rsidRDefault="2415ECC9" w:rsidP="2415ECC9">
      <w:pPr>
        <w:spacing w:after="0" w:line="362" w:lineRule="auto"/>
        <w:ind w:left="-5"/>
        <w:jc w:val="left"/>
        <w:rPr>
          <w:b/>
          <w:bCs/>
          <w:sz w:val="28"/>
          <w:szCs w:val="28"/>
        </w:rPr>
      </w:pPr>
    </w:p>
    <w:p w14:paraId="247893E4" w14:textId="2175A377" w:rsidR="003F624C" w:rsidRDefault="00413D3C" w:rsidP="2415ECC9">
      <w:pPr>
        <w:spacing w:after="0" w:line="362" w:lineRule="auto"/>
        <w:ind w:left="-5"/>
        <w:jc w:val="left"/>
      </w:pPr>
      <w:r w:rsidRPr="2415ECC9">
        <w:rPr>
          <w:b/>
          <w:bCs/>
          <w:sz w:val="28"/>
          <w:szCs w:val="28"/>
        </w:rPr>
        <w:t xml:space="preserve">Applying Psychological Theories to Support Older Adults with Dementia in Care Home Settings </w:t>
      </w:r>
    </w:p>
    <w:p w14:paraId="40CE59C2" w14:textId="77777777" w:rsidR="003F624C" w:rsidRDefault="00413D3C">
      <w:pPr>
        <w:spacing w:after="267" w:line="259" w:lineRule="auto"/>
        <w:ind w:left="0" w:firstLine="0"/>
        <w:jc w:val="left"/>
      </w:pPr>
      <w:r>
        <w:t xml:space="preserve"> </w:t>
      </w:r>
    </w:p>
    <w:p w14:paraId="47564FB4" w14:textId="77777777" w:rsidR="003F624C" w:rsidRDefault="00413D3C">
      <w:pPr>
        <w:spacing w:after="267" w:line="259" w:lineRule="auto"/>
        <w:ind w:left="-5"/>
      </w:pPr>
      <w:r>
        <w:t xml:space="preserve">Student Name: Ferdoushi Rahman Monju </w:t>
      </w:r>
    </w:p>
    <w:p w14:paraId="553C7944" w14:textId="724041B8" w:rsidR="003F624C" w:rsidRDefault="00413D3C">
      <w:pPr>
        <w:spacing w:after="262" w:line="259" w:lineRule="auto"/>
        <w:ind w:left="-5"/>
      </w:pPr>
      <w:r>
        <w:t xml:space="preserve">Student Number: </w:t>
      </w:r>
      <w:r w:rsidR="00DA0907">
        <w:t>2430137</w:t>
      </w:r>
    </w:p>
    <w:p w14:paraId="0C050D7B" w14:textId="77777777" w:rsidR="003F624C" w:rsidRDefault="00413D3C">
      <w:pPr>
        <w:spacing w:after="267" w:line="259" w:lineRule="auto"/>
        <w:ind w:left="-5"/>
      </w:pPr>
      <w:r>
        <w:t xml:space="preserve">Module Code: LCHS4010 – Psychology in Health and Social Care   </w:t>
      </w:r>
    </w:p>
    <w:p w14:paraId="38E2F11D" w14:textId="7FB85E75" w:rsidR="003F624C" w:rsidRDefault="00413D3C">
      <w:pPr>
        <w:spacing w:after="267" w:line="259" w:lineRule="auto"/>
        <w:ind w:left="-5"/>
      </w:pPr>
      <w:r>
        <w:t>Lecturer:</w:t>
      </w:r>
      <w:r w:rsidR="00E06DFC">
        <w:t xml:space="preserve"> Peace </w:t>
      </w:r>
      <w:r w:rsidR="006D36B4">
        <w:t>U</w:t>
      </w:r>
      <w:r w:rsidR="00BF70C8">
        <w:t>kachukwu</w:t>
      </w:r>
    </w:p>
    <w:p w14:paraId="02EE1709" w14:textId="4ECAE39C" w:rsidR="003F624C" w:rsidRDefault="0523DD10" w:rsidP="2415ECC9">
      <w:pPr>
        <w:spacing w:after="267" w:line="259" w:lineRule="auto"/>
        <w:ind w:left="-5"/>
      </w:pPr>
      <w:r>
        <w:t xml:space="preserve">Summation </w:t>
      </w:r>
      <w:r w:rsidR="2415ECC9">
        <w:t>D</w:t>
      </w:r>
      <w:r w:rsidR="00413D3C">
        <w:t xml:space="preserve">ate: </w:t>
      </w:r>
      <w:r w:rsidR="5BBA6132">
        <w:t xml:space="preserve"> 18/12/2025</w:t>
      </w:r>
      <w:r w:rsidR="00413D3C">
        <w:t xml:space="preserve"> </w:t>
      </w:r>
    </w:p>
    <w:p w14:paraId="02F656F7" w14:textId="77777777" w:rsidR="003F624C" w:rsidRDefault="00413D3C">
      <w:pPr>
        <w:spacing w:after="267" w:line="259" w:lineRule="auto"/>
        <w:ind w:left="0" w:firstLine="0"/>
        <w:jc w:val="left"/>
      </w:pPr>
      <w:r>
        <w:t xml:space="preserve"> </w:t>
      </w:r>
    </w:p>
    <w:p w14:paraId="3F72F908" w14:textId="77777777" w:rsidR="003F624C" w:rsidRDefault="00413D3C">
      <w:pPr>
        <w:spacing w:after="267" w:line="259" w:lineRule="auto"/>
        <w:ind w:left="0" w:firstLine="0"/>
        <w:jc w:val="left"/>
      </w:pPr>
      <w:r>
        <w:t xml:space="preserve"> </w:t>
      </w:r>
    </w:p>
    <w:p w14:paraId="38C87454" w14:textId="77777777" w:rsidR="003F624C" w:rsidRDefault="00413D3C">
      <w:pPr>
        <w:spacing w:after="267" w:line="259" w:lineRule="auto"/>
        <w:ind w:left="0" w:firstLine="0"/>
        <w:jc w:val="left"/>
      </w:pPr>
      <w:r>
        <w:t xml:space="preserve"> </w:t>
      </w:r>
    </w:p>
    <w:p w14:paraId="7D239733" w14:textId="77777777" w:rsidR="003F624C" w:rsidRDefault="00413D3C">
      <w:pPr>
        <w:spacing w:after="267" w:line="259" w:lineRule="auto"/>
        <w:ind w:left="0" w:firstLine="0"/>
        <w:jc w:val="left"/>
      </w:pPr>
      <w:r>
        <w:t xml:space="preserve"> </w:t>
      </w:r>
    </w:p>
    <w:p w14:paraId="596C73D1" w14:textId="77777777" w:rsidR="003F624C" w:rsidRDefault="00413D3C">
      <w:pPr>
        <w:spacing w:after="262" w:line="259" w:lineRule="auto"/>
        <w:ind w:left="0" w:firstLine="0"/>
        <w:jc w:val="left"/>
      </w:pPr>
      <w:r>
        <w:t xml:space="preserve"> </w:t>
      </w:r>
    </w:p>
    <w:p w14:paraId="30A3EF2B" w14:textId="77777777" w:rsidR="003F624C" w:rsidRDefault="00413D3C">
      <w:pPr>
        <w:spacing w:after="267" w:line="259" w:lineRule="auto"/>
        <w:ind w:left="0" w:firstLine="0"/>
        <w:jc w:val="left"/>
      </w:pPr>
      <w:r>
        <w:t xml:space="preserve"> </w:t>
      </w:r>
    </w:p>
    <w:p w14:paraId="1C1B2116" w14:textId="77777777" w:rsidR="003F624C" w:rsidRDefault="00413D3C">
      <w:pPr>
        <w:spacing w:after="267" w:line="259" w:lineRule="auto"/>
        <w:ind w:left="0" w:firstLine="0"/>
        <w:jc w:val="left"/>
      </w:pPr>
      <w:r>
        <w:t xml:space="preserve"> </w:t>
      </w:r>
    </w:p>
    <w:p w14:paraId="57D10203" w14:textId="77777777" w:rsidR="003F624C" w:rsidRDefault="00413D3C">
      <w:pPr>
        <w:spacing w:after="267" w:line="259" w:lineRule="auto"/>
        <w:ind w:left="0" w:firstLine="0"/>
        <w:jc w:val="left"/>
      </w:pPr>
      <w:r>
        <w:t xml:space="preserve"> </w:t>
      </w:r>
    </w:p>
    <w:p w14:paraId="5D04F5F9" w14:textId="2D02FBFD" w:rsidR="003F624C" w:rsidRDefault="00413D3C">
      <w:pPr>
        <w:spacing w:after="267" w:line="259" w:lineRule="auto"/>
        <w:ind w:left="0" w:firstLine="0"/>
        <w:jc w:val="left"/>
      </w:pPr>
      <w:r>
        <w:t xml:space="preserve"> </w:t>
      </w:r>
    </w:p>
    <w:p w14:paraId="225D2741" w14:textId="77777777" w:rsidR="003F624C" w:rsidRDefault="00413D3C">
      <w:pPr>
        <w:spacing w:after="267" w:line="259" w:lineRule="auto"/>
        <w:ind w:left="0" w:firstLine="0"/>
        <w:jc w:val="left"/>
      </w:pPr>
      <w:r>
        <w:t xml:space="preserve"> </w:t>
      </w:r>
    </w:p>
    <w:p w14:paraId="6AB79B43" w14:textId="77777777" w:rsidR="003F624C" w:rsidRDefault="00413D3C">
      <w:pPr>
        <w:spacing w:after="0" w:line="259" w:lineRule="auto"/>
        <w:ind w:left="0" w:firstLine="0"/>
        <w:jc w:val="left"/>
      </w:pPr>
      <w:r>
        <w:t xml:space="preserve"> </w:t>
      </w:r>
    </w:p>
    <w:p w14:paraId="20CC5174" w14:textId="77777777" w:rsidR="003F624C" w:rsidRDefault="00413D3C">
      <w:pPr>
        <w:pStyle w:val="Heading1"/>
        <w:ind w:left="-5"/>
      </w:pPr>
      <w:r>
        <w:t xml:space="preserve">1. Introduction </w:t>
      </w:r>
    </w:p>
    <w:p w14:paraId="75D1B1FA" w14:textId="34F3A9B7" w:rsidR="00981F81" w:rsidRPr="00C87EA1" w:rsidRDefault="00981F81" w:rsidP="2415ECC9">
      <w:pPr>
        <w:spacing w:before="100" w:beforeAutospacing="1" w:after="100" w:afterAutospacing="1" w:line="360" w:lineRule="auto"/>
        <w:rPr>
          <w:rFonts w:eastAsia="Times New Roman"/>
        </w:rPr>
      </w:pPr>
      <w:r w:rsidRPr="2415ECC9">
        <w:rPr>
          <w:rFonts w:eastAsia="Times New Roman"/>
        </w:rPr>
        <w:t xml:space="preserve">The increasing prevalence of dementia among older adults in the United Kingdom, with around 900,000 affected (Wittenberg et al., 2019), presents significant challenges for care home professionals. This report offers guidance on applying psychological theories to support adults aged 65 and over with dementia in residential care. By integrating these frameworks, professionals can enhance person-centred </w:t>
      </w:r>
      <w:r w:rsidR="16813E49" w:rsidRPr="2415ECC9">
        <w:rPr>
          <w:rFonts w:eastAsia="Times New Roman"/>
        </w:rPr>
        <w:t>care by</w:t>
      </w:r>
      <w:r w:rsidRPr="2415ECC9">
        <w:rPr>
          <w:rFonts w:eastAsia="Times New Roman"/>
        </w:rPr>
        <w:t xml:space="preserve"> addressing psychological well-being and behavio</w:t>
      </w:r>
      <w:r w:rsidR="4253C8F3" w:rsidRPr="2415ECC9">
        <w:rPr>
          <w:rFonts w:eastAsia="Times New Roman"/>
        </w:rPr>
        <w:t>u</w:t>
      </w:r>
      <w:r w:rsidRPr="2415ECC9">
        <w:rPr>
          <w:rFonts w:eastAsia="Times New Roman"/>
        </w:rPr>
        <w:t>ral challenges.</w:t>
      </w:r>
    </w:p>
    <w:p w14:paraId="52357A53" w14:textId="3D633288" w:rsidR="003F624C" w:rsidRDefault="00981F81" w:rsidP="00FA26CD">
      <w:pPr>
        <w:spacing w:before="100" w:beforeAutospacing="1" w:after="100" w:afterAutospacing="1" w:line="360" w:lineRule="auto"/>
      </w:pPr>
      <w:r w:rsidRPr="00C87EA1">
        <w:rPr>
          <w:rFonts w:eastAsia="Times New Roman"/>
        </w:rPr>
        <w:t>This report focuses on two psychological theories relevant to dementia care: Erik Erikson's psychosocial development theory and John Bowlby's attachment theory. These frameworks offer insights into the developmental tasks and emotional needs of older adults with cognitive impairment. Integrating these theories into practice moves beyond physical support to holistic, psychologically informed approaches that respect personhood and improve quality of life.</w:t>
      </w:r>
    </w:p>
    <w:p w14:paraId="68A2B4CA" w14:textId="77777777" w:rsidR="003F624C" w:rsidRDefault="00413D3C">
      <w:pPr>
        <w:pStyle w:val="Heading1"/>
        <w:ind w:left="-5"/>
      </w:pPr>
      <w:r>
        <w:t xml:space="preserve">2. Theoretical Overview </w:t>
      </w:r>
    </w:p>
    <w:p w14:paraId="44FEA623" w14:textId="77777777" w:rsidR="003F624C" w:rsidRDefault="00413D3C">
      <w:pPr>
        <w:pStyle w:val="Heading2"/>
        <w:ind w:left="-5"/>
      </w:pPr>
      <w:r>
        <w:t xml:space="preserve">2.1 Erik Erikson's Psychosocial Development Theory </w:t>
      </w:r>
    </w:p>
    <w:p w14:paraId="329E014D" w14:textId="17D0E05F" w:rsidR="00B42764" w:rsidRPr="00B42764" w:rsidRDefault="00B42764" w:rsidP="00B42764">
      <w:pPr>
        <w:pStyle w:val="NormalWeb"/>
        <w:spacing w:line="360" w:lineRule="auto"/>
        <w:jc w:val="both"/>
        <w:rPr>
          <w:rFonts w:ascii="Arial" w:hAnsi="Arial" w:cs="Arial"/>
          <w:sz w:val="22"/>
          <w:szCs w:val="22"/>
        </w:rPr>
      </w:pPr>
      <w:r w:rsidRPr="2415ECC9">
        <w:rPr>
          <w:rFonts w:ascii="Arial" w:hAnsi="Arial" w:cs="Arial"/>
          <w:sz w:val="22"/>
          <w:szCs w:val="22"/>
        </w:rPr>
        <w:t xml:space="preserve">Erikson's (1959) theory outlines eight developmental stages, each </w:t>
      </w:r>
      <w:r w:rsidR="72070538" w:rsidRPr="2415ECC9">
        <w:rPr>
          <w:rFonts w:ascii="Arial" w:hAnsi="Arial" w:cs="Arial"/>
          <w:sz w:val="22"/>
          <w:szCs w:val="22"/>
        </w:rPr>
        <w:t>characterised</w:t>
      </w:r>
      <w:r w:rsidRPr="2415ECC9">
        <w:rPr>
          <w:rFonts w:ascii="Arial" w:hAnsi="Arial" w:cs="Arial"/>
          <w:sz w:val="22"/>
          <w:szCs w:val="22"/>
        </w:rPr>
        <w:t xml:space="preserve"> by a psychosocial crisis. For older adults, the eighth stage, ‘integrity versus despair’, involves reflecting on life and achieving integrity (acceptance and meaning) or experiencing despair (regret and bitterness). This task remains active for individuals with dementia, </w:t>
      </w:r>
      <w:r w:rsidR="00AA1D54">
        <w:rPr>
          <w:rFonts w:ascii="Arial" w:hAnsi="Arial" w:cs="Arial"/>
          <w:sz w:val="22"/>
          <w:szCs w:val="22"/>
        </w:rPr>
        <w:t>even as their</w:t>
      </w:r>
      <w:r w:rsidRPr="2415ECC9">
        <w:rPr>
          <w:rFonts w:ascii="Arial" w:hAnsi="Arial" w:cs="Arial"/>
          <w:sz w:val="22"/>
          <w:szCs w:val="22"/>
        </w:rPr>
        <w:t xml:space="preserve"> cognitive decline</w:t>
      </w:r>
      <w:r w:rsidR="00AA1D54">
        <w:rPr>
          <w:rFonts w:ascii="Arial" w:hAnsi="Arial" w:cs="Arial"/>
          <w:sz w:val="22"/>
          <w:szCs w:val="22"/>
        </w:rPr>
        <w:t xml:space="preserve"> progresses</w:t>
      </w:r>
      <w:r w:rsidRPr="2415ECC9">
        <w:rPr>
          <w:rFonts w:ascii="Arial" w:hAnsi="Arial" w:cs="Arial"/>
          <w:sz w:val="22"/>
          <w:szCs w:val="22"/>
        </w:rPr>
        <w:t>.</w:t>
      </w:r>
    </w:p>
    <w:p w14:paraId="72A4C36E" w14:textId="57D050B9" w:rsidR="00B42764" w:rsidRPr="00B42764" w:rsidRDefault="00B42764" w:rsidP="00B42764">
      <w:pPr>
        <w:pStyle w:val="NormalWeb"/>
        <w:spacing w:line="360" w:lineRule="auto"/>
        <w:jc w:val="both"/>
        <w:rPr>
          <w:rFonts w:ascii="Arial" w:hAnsi="Arial" w:cs="Arial"/>
          <w:sz w:val="22"/>
          <w:szCs w:val="22"/>
        </w:rPr>
      </w:pPr>
      <w:r w:rsidRPr="2415ECC9">
        <w:rPr>
          <w:rFonts w:ascii="Arial" w:hAnsi="Arial" w:cs="Arial"/>
          <w:sz w:val="22"/>
          <w:szCs w:val="22"/>
        </w:rPr>
        <w:t xml:space="preserve">Research shows that while explicit memory may be impaired, emotional memory and the need for </w:t>
      </w:r>
      <w:r w:rsidR="57BD0E62" w:rsidRPr="2415ECC9">
        <w:rPr>
          <w:rFonts w:ascii="Arial" w:hAnsi="Arial" w:cs="Arial"/>
          <w:sz w:val="22"/>
          <w:szCs w:val="22"/>
        </w:rPr>
        <w:t>meaning-making</w:t>
      </w:r>
      <w:r w:rsidRPr="2415ECC9">
        <w:rPr>
          <w:rFonts w:ascii="Arial" w:hAnsi="Arial" w:cs="Arial"/>
          <w:sz w:val="22"/>
          <w:szCs w:val="22"/>
        </w:rPr>
        <w:t xml:space="preserve"> often persist (Cohen, 2000). This challenges assumptions that individuals with advanced dementia cannot engage in life review or benefit from validation. Erikson's theory </w:t>
      </w:r>
      <w:r w:rsidR="00AA1D54">
        <w:rPr>
          <w:rFonts w:ascii="Arial" w:hAnsi="Arial" w:cs="Arial"/>
          <w:sz w:val="22"/>
          <w:szCs w:val="22"/>
        </w:rPr>
        <w:t>offers</w:t>
      </w:r>
      <w:r w:rsidRPr="2415ECC9">
        <w:rPr>
          <w:rFonts w:ascii="Arial" w:hAnsi="Arial" w:cs="Arial"/>
          <w:sz w:val="22"/>
          <w:szCs w:val="22"/>
        </w:rPr>
        <w:t xml:space="preserve"> a framework for supporting meaning-making and continuity </w:t>
      </w:r>
      <w:r w:rsidR="00AA1D54">
        <w:rPr>
          <w:rFonts w:ascii="Arial" w:hAnsi="Arial" w:cs="Arial"/>
          <w:sz w:val="22"/>
          <w:szCs w:val="22"/>
        </w:rPr>
        <w:t>of identity</w:t>
      </w:r>
      <w:r w:rsidRPr="2415ECC9">
        <w:rPr>
          <w:rFonts w:ascii="Arial" w:hAnsi="Arial" w:cs="Arial"/>
          <w:sz w:val="22"/>
          <w:szCs w:val="22"/>
        </w:rPr>
        <w:t xml:space="preserve"> in dementia care.</w:t>
      </w:r>
    </w:p>
    <w:p w14:paraId="5A8F5247" w14:textId="77777777" w:rsidR="003F624C" w:rsidRDefault="00413D3C">
      <w:pPr>
        <w:spacing w:after="267" w:line="259" w:lineRule="auto"/>
        <w:ind w:left="0" w:firstLine="0"/>
        <w:jc w:val="left"/>
      </w:pPr>
      <w:r>
        <w:t xml:space="preserve"> </w:t>
      </w:r>
    </w:p>
    <w:p w14:paraId="4754490E" w14:textId="77777777" w:rsidR="003F624C" w:rsidRDefault="00413D3C">
      <w:pPr>
        <w:spacing w:after="0" w:line="259" w:lineRule="auto"/>
        <w:ind w:left="0" w:firstLine="0"/>
        <w:jc w:val="left"/>
      </w:pPr>
      <w:r>
        <w:t xml:space="preserve"> </w:t>
      </w:r>
    </w:p>
    <w:p w14:paraId="07838112" w14:textId="77777777" w:rsidR="003F624C" w:rsidRDefault="00413D3C">
      <w:pPr>
        <w:pStyle w:val="Heading2"/>
        <w:ind w:left="-5"/>
      </w:pPr>
      <w:r>
        <w:t xml:space="preserve">2.2 John Bowlby's Attachment Theory </w:t>
      </w:r>
    </w:p>
    <w:p w14:paraId="5AFB40FE" w14:textId="77777777" w:rsidR="003F624C" w:rsidRDefault="00413D3C">
      <w:pPr>
        <w:ind w:left="-5"/>
      </w:pPr>
      <w:r>
        <w:t xml:space="preserve">Bowlby's (1988) attachment theory explains how early emotional bonds influence relationships throughout life. The theory proposes that humans have an innate need for secure attachments, which provide safety and emotional regulation. In dementia care, attachment needs become increasingly significant as cognitive impairment increases vulnerability and dependency. </w:t>
      </w:r>
    </w:p>
    <w:p w14:paraId="73F9259D" w14:textId="67EC9DE3" w:rsidR="003F624C" w:rsidRDefault="00413D3C">
      <w:pPr>
        <w:ind w:left="-5"/>
      </w:pPr>
      <w:r>
        <w:t xml:space="preserve">Individuals with dementia may display attachment </w:t>
      </w:r>
      <w:r w:rsidR="00AA1D54">
        <w:t>behaviours</w:t>
      </w:r>
      <w:r>
        <w:t xml:space="preserve"> such as separation anxiety, following caregivers, or resistance to care when feeling threatened (Browne &amp; Shlosberg, 2006). Understanding these </w:t>
      </w:r>
      <w:r w:rsidR="00AA1D54">
        <w:t>behaviours</w:t>
      </w:r>
      <w:r>
        <w:t xml:space="preserve"> as expressions of attachment needs rather than merely problematic symptoms </w:t>
      </w:r>
      <w:r w:rsidR="00AA1D54">
        <w:t>allows</w:t>
      </w:r>
      <w:r>
        <w:t xml:space="preserve"> for more compassionate and effective responses. Attachment theory</w:t>
      </w:r>
      <w:r w:rsidR="00AA1D54">
        <w:t>,</w:t>
      </w:r>
      <w:r>
        <w:t xml:space="preserve"> therefore</w:t>
      </w:r>
      <w:r w:rsidR="001F448F">
        <w:t>,</w:t>
      </w:r>
      <w:r>
        <w:t xml:space="preserve"> offers practical guidance for creating supportive relationships and environments in care settings. </w:t>
      </w:r>
    </w:p>
    <w:p w14:paraId="3824F3F8" w14:textId="77777777" w:rsidR="003F624C" w:rsidRDefault="00413D3C">
      <w:pPr>
        <w:spacing w:after="267" w:line="259" w:lineRule="auto"/>
        <w:ind w:left="0" w:firstLine="0"/>
        <w:jc w:val="left"/>
      </w:pPr>
      <w:r>
        <w:t xml:space="preserve"> </w:t>
      </w:r>
    </w:p>
    <w:p w14:paraId="7CB0355A" w14:textId="77777777" w:rsidR="003F624C" w:rsidRDefault="00413D3C">
      <w:pPr>
        <w:pStyle w:val="Heading1"/>
        <w:ind w:left="-5"/>
      </w:pPr>
      <w:r>
        <w:t xml:space="preserve">3. Application in Dementia Care Settings </w:t>
      </w:r>
    </w:p>
    <w:p w14:paraId="0EFBA9BF" w14:textId="77777777" w:rsidR="003F624C" w:rsidRDefault="00413D3C">
      <w:pPr>
        <w:pStyle w:val="Heading2"/>
        <w:ind w:left="-5"/>
      </w:pPr>
      <w:r>
        <w:t xml:space="preserve">3.1 Applying Erikson's Theory </w:t>
      </w:r>
    </w:p>
    <w:p w14:paraId="67ABB52A" w14:textId="77777777" w:rsidR="003F624C" w:rsidRDefault="00413D3C">
      <w:pPr>
        <w:spacing w:after="265" w:line="259" w:lineRule="auto"/>
        <w:ind w:left="-5"/>
        <w:jc w:val="left"/>
      </w:pPr>
      <w:r>
        <w:rPr>
          <w:b/>
        </w:rPr>
        <w:t xml:space="preserve">Practical Implementation Strategies:   </w:t>
      </w:r>
    </w:p>
    <w:p w14:paraId="2CA647C9" w14:textId="538FCF86" w:rsidR="2415ECC9" w:rsidRDefault="00981F81" w:rsidP="2415ECC9">
      <w:pPr>
        <w:pStyle w:val="NormalWeb"/>
        <w:spacing w:line="360" w:lineRule="auto"/>
        <w:jc w:val="both"/>
        <w:rPr>
          <w:rFonts w:ascii="Arial" w:hAnsi="Arial" w:cs="Arial"/>
          <w:sz w:val="22"/>
          <w:szCs w:val="22"/>
        </w:rPr>
      </w:pPr>
      <w:r w:rsidRPr="2415ECC9">
        <w:rPr>
          <w:rFonts w:ascii="Arial" w:hAnsi="Arial" w:cs="Arial"/>
          <w:sz w:val="22"/>
          <w:szCs w:val="22"/>
        </w:rPr>
        <w:t>Erikson's emphasis on integrity and life review translates into evidence-based approaches integrated into care home practice. Reminiscence therapy uses multi-sensory triggers such as photographs, music from specific eras, familiar objects, or aromas to stimulate autobiographical memory and facilitate meaningful conversation. Research by Woods et al. (2018) shows that regular reminiscence sessions, individually or in small groups, can improve mood and quality of life for individuals with mild to moderate dementia. The value lies in emotional reconnection to significant life experiences and validation of personal history.</w:t>
      </w:r>
    </w:p>
    <w:p w14:paraId="171B6AE5" w14:textId="7B32F9D4" w:rsidR="00981F81" w:rsidRPr="00981F81" w:rsidRDefault="00981F81" w:rsidP="00981F81">
      <w:pPr>
        <w:pStyle w:val="NormalWeb"/>
        <w:spacing w:line="360" w:lineRule="auto"/>
        <w:jc w:val="both"/>
        <w:rPr>
          <w:rFonts w:ascii="Arial" w:hAnsi="Arial" w:cs="Arial"/>
          <w:sz w:val="22"/>
          <w:szCs w:val="22"/>
        </w:rPr>
      </w:pPr>
      <w:r w:rsidRPr="00981F81">
        <w:rPr>
          <w:rFonts w:ascii="Arial" w:hAnsi="Arial" w:cs="Arial"/>
          <w:sz w:val="22"/>
          <w:szCs w:val="22"/>
        </w:rPr>
        <w:t xml:space="preserve">Life story work offers a comprehensive approach to preserving identity continuity. This involves creating personal narratives, memory books, or digital biographies documenting life events, relationships, and achievements. McKeown et al. (2010) found that this process </w:t>
      </w:r>
      <w:r w:rsidR="00C5096C">
        <w:rPr>
          <w:rFonts w:ascii="Arial" w:hAnsi="Arial" w:cs="Arial"/>
          <w:sz w:val="22"/>
          <w:szCs w:val="22"/>
        </w:rPr>
        <w:t>honours</w:t>
      </w:r>
      <w:r w:rsidRPr="00981F81">
        <w:rPr>
          <w:rFonts w:ascii="Arial" w:hAnsi="Arial" w:cs="Arial"/>
          <w:sz w:val="22"/>
          <w:szCs w:val="22"/>
        </w:rPr>
        <w:t xml:space="preserve"> identity and provides staff with biographical information that informs </w:t>
      </w:r>
      <w:r w:rsidR="00940FC7">
        <w:rPr>
          <w:rFonts w:ascii="Arial" w:hAnsi="Arial" w:cs="Arial"/>
          <w:sz w:val="22"/>
          <w:szCs w:val="22"/>
        </w:rPr>
        <w:t>personalised</w:t>
      </w:r>
      <w:r w:rsidRPr="00981F81">
        <w:rPr>
          <w:rFonts w:ascii="Arial" w:hAnsi="Arial" w:cs="Arial"/>
          <w:sz w:val="22"/>
          <w:szCs w:val="22"/>
        </w:rPr>
        <w:t xml:space="preserve"> care. Knowing a resident was a keen gardener, for example, might inspire staff to involve them in garden activities, while understanding family dynamics helps interpret emotional reactions to visitors. The physical product—whether a book, folder, or digital presentation—serves as a reminder of identity, shared with new staff and family, ensuring continuity of person-</w:t>
      </w:r>
      <w:r w:rsidR="00940FC7">
        <w:rPr>
          <w:rFonts w:ascii="Arial" w:hAnsi="Arial" w:cs="Arial"/>
          <w:sz w:val="22"/>
          <w:szCs w:val="22"/>
        </w:rPr>
        <w:t>centred</w:t>
      </w:r>
      <w:r w:rsidRPr="00981F81">
        <w:rPr>
          <w:rFonts w:ascii="Arial" w:hAnsi="Arial" w:cs="Arial"/>
          <w:sz w:val="22"/>
          <w:szCs w:val="22"/>
        </w:rPr>
        <w:t xml:space="preserve"> care.</w:t>
      </w:r>
    </w:p>
    <w:p w14:paraId="0E010BD8" w14:textId="21F5E673" w:rsidR="003F624C" w:rsidRDefault="00981F81" w:rsidP="00C5096C">
      <w:pPr>
        <w:pStyle w:val="NormalWeb"/>
        <w:spacing w:line="360" w:lineRule="auto"/>
        <w:jc w:val="both"/>
      </w:pPr>
      <w:r w:rsidRPr="00981F81">
        <w:rPr>
          <w:rFonts w:ascii="Arial" w:hAnsi="Arial" w:cs="Arial"/>
          <w:sz w:val="22"/>
          <w:szCs w:val="22"/>
        </w:rPr>
        <w:t xml:space="preserve">Validation therapy, developed by Feil (1992), aligns with Eriksonian principles. Instead of correcting disoriented statements or insisting on present reality, validation accepts the individual’s subjective experience as valid. If a resident </w:t>
      </w:r>
      <w:r w:rsidR="0031532F" w:rsidRPr="00981F81">
        <w:rPr>
          <w:rFonts w:ascii="Arial" w:hAnsi="Arial" w:cs="Arial"/>
          <w:sz w:val="22"/>
          <w:szCs w:val="22"/>
        </w:rPr>
        <w:t>insists,</w:t>
      </w:r>
      <w:r w:rsidRPr="00981F81">
        <w:rPr>
          <w:rFonts w:ascii="Arial" w:hAnsi="Arial" w:cs="Arial"/>
          <w:sz w:val="22"/>
          <w:szCs w:val="22"/>
        </w:rPr>
        <w:t xml:space="preserve"> they need to go home to prepare dinner for their children (who are now adults), validation acknowledges their cherished role ("You were a wonderful mother who always took care of your family") rather than insisting on factual accuracy. This approach </w:t>
      </w:r>
      <w:r w:rsidR="00940FC7">
        <w:rPr>
          <w:rFonts w:ascii="Arial" w:hAnsi="Arial" w:cs="Arial"/>
          <w:sz w:val="22"/>
          <w:szCs w:val="22"/>
        </w:rPr>
        <w:t>recognises</w:t>
      </w:r>
      <w:r w:rsidRPr="00981F81">
        <w:rPr>
          <w:rFonts w:ascii="Arial" w:hAnsi="Arial" w:cs="Arial"/>
          <w:sz w:val="22"/>
          <w:szCs w:val="22"/>
        </w:rPr>
        <w:t xml:space="preserve"> that expressions often represent attempts to resolve unfinished emotional business or articulate enduring values and identities.</w:t>
      </w:r>
    </w:p>
    <w:p w14:paraId="5930100B" w14:textId="77777777" w:rsidR="003F624C" w:rsidRDefault="00413D3C">
      <w:pPr>
        <w:spacing w:after="265" w:line="259" w:lineRule="auto"/>
        <w:ind w:left="-5"/>
        <w:jc w:val="left"/>
      </w:pPr>
      <w:r>
        <w:rPr>
          <w:b/>
        </w:rPr>
        <w:t xml:space="preserve">Case Example:   </w:t>
      </w:r>
    </w:p>
    <w:p w14:paraId="23E46724" w14:textId="7EB2AB1F" w:rsidR="003F624C" w:rsidRDefault="00413D3C">
      <w:pPr>
        <w:ind w:left="-5"/>
      </w:pPr>
      <w:r>
        <w:t xml:space="preserve">Consider Mrs Henderson, an 82-year-old resident with Alzheimer's disease who becomes increasingly agitated each afternoon, pacing </w:t>
      </w:r>
      <w:r w:rsidR="00940FC7">
        <w:t xml:space="preserve">the </w:t>
      </w:r>
      <w:r>
        <w:t xml:space="preserve">corridors while calling for her mother. Traditional reorientation approaches might involve repeated corrections ("Your mother passed away years ago"). An Eriksonian-informed response involves staff engaging her with a family photo album and asking about her childhood memories. They might say, "Tell me about your mother—what was she like?" This validation of her emotional reality often reduces agitation more effectively than reorientation, as it addresses the underlying need for comfort and connection rather than challenging her cognitive disorientation. </w:t>
      </w:r>
    </w:p>
    <w:p w14:paraId="0C558E32" w14:textId="77777777" w:rsidR="003F624C" w:rsidRDefault="00413D3C">
      <w:pPr>
        <w:spacing w:after="265" w:line="259" w:lineRule="auto"/>
        <w:ind w:left="-5"/>
        <w:jc w:val="left"/>
      </w:pPr>
      <w:r>
        <w:rPr>
          <w:b/>
        </w:rPr>
        <w:t xml:space="preserve">Implementation Challenges and Solutions: </w:t>
      </w:r>
    </w:p>
    <w:p w14:paraId="493CDDE5" w14:textId="7B2BE15D" w:rsidR="003F624C" w:rsidRDefault="00413D3C">
      <w:pPr>
        <w:ind w:left="-5"/>
      </w:pPr>
      <w:r>
        <w:t xml:space="preserve">The primary barriers to implementing Eriksonian approaches include time constraints and varying levels of staff training. To address these, care homes can implement brief integrity interventions integrated into daily care routines. During morning care, staff might incorporate reminiscence by asking about past occupations or family life. During meals, conversation can be gently directed toward positive life memories. Training programs should </w:t>
      </w:r>
      <w:r w:rsidR="00940FC7">
        <w:t>emphasise</w:t>
      </w:r>
      <w:r>
        <w:t xml:space="preserve"> that effective emotional communication requires listening for underlying emotional themes rather than focusing on factual accuracy. Staff development should include practical workshops on validation techniques and life story facilitation. </w:t>
      </w:r>
    </w:p>
    <w:p w14:paraId="3F1969D7" w14:textId="77777777" w:rsidR="003F624C" w:rsidRDefault="00413D3C">
      <w:pPr>
        <w:spacing w:after="0" w:line="259" w:lineRule="auto"/>
        <w:ind w:left="0" w:firstLine="0"/>
        <w:jc w:val="left"/>
      </w:pPr>
      <w:r>
        <w:t xml:space="preserve"> </w:t>
      </w:r>
    </w:p>
    <w:p w14:paraId="5E297180" w14:textId="77777777" w:rsidR="00131D5B" w:rsidRDefault="00131D5B">
      <w:pPr>
        <w:spacing w:after="0" w:line="259" w:lineRule="auto"/>
        <w:ind w:left="0" w:firstLine="0"/>
        <w:jc w:val="left"/>
      </w:pPr>
    </w:p>
    <w:p w14:paraId="0F5EBFB3" w14:textId="77777777" w:rsidR="00131D5B" w:rsidRDefault="00131D5B">
      <w:pPr>
        <w:spacing w:after="0" w:line="259" w:lineRule="auto"/>
        <w:ind w:left="0" w:firstLine="0"/>
        <w:jc w:val="left"/>
      </w:pPr>
    </w:p>
    <w:p w14:paraId="5D36BAFB" w14:textId="77777777" w:rsidR="00131D5B" w:rsidRDefault="00131D5B">
      <w:pPr>
        <w:spacing w:after="0" w:line="259" w:lineRule="auto"/>
        <w:ind w:left="0" w:firstLine="0"/>
        <w:jc w:val="left"/>
      </w:pPr>
    </w:p>
    <w:p w14:paraId="58B5AD13" w14:textId="77777777" w:rsidR="00131D5B" w:rsidRDefault="00131D5B">
      <w:pPr>
        <w:spacing w:after="0" w:line="259" w:lineRule="auto"/>
        <w:ind w:left="0" w:firstLine="0"/>
        <w:jc w:val="left"/>
      </w:pPr>
    </w:p>
    <w:p w14:paraId="1DFA5175" w14:textId="77777777" w:rsidR="00131D5B" w:rsidRDefault="00131D5B">
      <w:pPr>
        <w:spacing w:after="0" w:line="259" w:lineRule="auto"/>
        <w:ind w:left="0" w:firstLine="0"/>
        <w:jc w:val="left"/>
      </w:pPr>
    </w:p>
    <w:p w14:paraId="3AC49A25" w14:textId="77777777" w:rsidR="00131D5B" w:rsidRDefault="00131D5B">
      <w:pPr>
        <w:spacing w:after="0" w:line="259" w:lineRule="auto"/>
        <w:ind w:left="0" w:firstLine="0"/>
        <w:jc w:val="left"/>
      </w:pPr>
    </w:p>
    <w:p w14:paraId="74BE2D8D" w14:textId="1A6B7B27" w:rsidR="2415ECC9" w:rsidRDefault="2415ECC9" w:rsidP="2415ECC9">
      <w:pPr>
        <w:spacing w:after="0" w:line="259" w:lineRule="auto"/>
        <w:ind w:left="0" w:firstLine="0"/>
        <w:jc w:val="left"/>
      </w:pPr>
    </w:p>
    <w:p w14:paraId="4CFE3A2A" w14:textId="77777777" w:rsidR="003F624C" w:rsidRDefault="00413D3C">
      <w:pPr>
        <w:pStyle w:val="Heading2"/>
        <w:ind w:left="-5"/>
      </w:pPr>
      <w:r>
        <w:t xml:space="preserve">3.2 Applying Attachment Theory </w:t>
      </w:r>
    </w:p>
    <w:p w14:paraId="500A4E06" w14:textId="77777777" w:rsidR="003F624C" w:rsidRDefault="00413D3C">
      <w:pPr>
        <w:spacing w:after="265" w:line="259" w:lineRule="auto"/>
        <w:ind w:left="-5"/>
        <w:jc w:val="left"/>
      </w:pPr>
      <w:r>
        <w:rPr>
          <w:b/>
        </w:rPr>
        <w:t>Practical Implementation Strategies</w:t>
      </w:r>
      <w:r>
        <w:t xml:space="preserve">:   </w:t>
      </w:r>
    </w:p>
    <w:p w14:paraId="63382B1F" w14:textId="4A9C5B9E" w:rsidR="00981F81" w:rsidRPr="00981F81" w:rsidRDefault="00981F81" w:rsidP="00B42764">
      <w:pPr>
        <w:pStyle w:val="NormalWeb"/>
        <w:spacing w:line="360" w:lineRule="auto"/>
        <w:jc w:val="both"/>
        <w:rPr>
          <w:rFonts w:ascii="Arial" w:hAnsi="Arial" w:cs="Arial"/>
          <w:sz w:val="22"/>
          <w:szCs w:val="22"/>
        </w:rPr>
      </w:pPr>
      <w:r w:rsidRPr="00981F81">
        <w:rPr>
          <w:rFonts w:ascii="Arial" w:hAnsi="Arial" w:cs="Arial"/>
          <w:sz w:val="22"/>
          <w:szCs w:val="22"/>
        </w:rPr>
        <w:t xml:space="preserve">Attachment theory guides </w:t>
      </w:r>
      <w:r w:rsidR="00940FC7">
        <w:rPr>
          <w:rFonts w:ascii="Arial" w:hAnsi="Arial" w:cs="Arial"/>
          <w:sz w:val="22"/>
          <w:szCs w:val="22"/>
        </w:rPr>
        <w:t>the creation</w:t>
      </w:r>
      <w:r w:rsidRPr="00981F81">
        <w:rPr>
          <w:rFonts w:ascii="Arial" w:hAnsi="Arial" w:cs="Arial"/>
          <w:sz w:val="22"/>
          <w:szCs w:val="22"/>
        </w:rPr>
        <w:t xml:space="preserve"> </w:t>
      </w:r>
      <w:r w:rsidR="00940FC7">
        <w:rPr>
          <w:rFonts w:ascii="Arial" w:hAnsi="Arial" w:cs="Arial"/>
          <w:sz w:val="22"/>
          <w:szCs w:val="22"/>
        </w:rPr>
        <w:t>of</w:t>
      </w:r>
      <w:r w:rsidRPr="00981F81">
        <w:rPr>
          <w:rFonts w:ascii="Arial" w:hAnsi="Arial" w:cs="Arial"/>
          <w:sz w:val="22"/>
          <w:szCs w:val="22"/>
        </w:rPr>
        <w:t xml:space="preserve"> emotionally secure care environments. Primary caregiving systems, where designated staff </w:t>
      </w:r>
      <w:r w:rsidR="008474A2" w:rsidRPr="00981F81">
        <w:rPr>
          <w:rFonts w:ascii="Arial" w:hAnsi="Arial" w:cs="Arial"/>
          <w:sz w:val="22"/>
          <w:szCs w:val="22"/>
        </w:rPr>
        <w:t>keep</w:t>
      </w:r>
      <w:r w:rsidRPr="00981F81">
        <w:rPr>
          <w:rFonts w:ascii="Arial" w:hAnsi="Arial" w:cs="Arial"/>
          <w:sz w:val="22"/>
          <w:szCs w:val="22"/>
        </w:rPr>
        <w:t xml:space="preserve"> responsibility for specific residents, are key. Research by Brown Wilson (2007) shows these systems foster secure attachment bonds, reducing anxiety-driven </w:t>
      </w:r>
      <w:r w:rsidR="00940FC7">
        <w:rPr>
          <w:rFonts w:ascii="Arial" w:hAnsi="Arial" w:cs="Arial"/>
          <w:sz w:val="22"/>
          <w:szCs w:val="22"/>
        </w:rPr>
        <w:t>behaviours</w:t>
      </w:r>
      <w:r w:rsidRPr="00981F81">
        <w:rPr>
          <w:rFonts w:ascii="Arial" w:hAnsi="Arial" w:cs="Arial"/>
          <w:sz w:val="22"/>
          <w:szCs w:val="22"/>
        </w:rPr>
        <w:t xml:space="preserve"> in residents with dementia. When residents know which staff will care for them and when routines occur, they experience less uncertainty and increased psychological safety.</w:t>
      </w:r>
    </w:p>
    <w:p w14:paraId="2DCE6817" w14:textId="5C15542C" w:rsidR="2415ECC9" w:rsidRDefault="00981F81" w:rsidP="2415ECC9">
      <w:pPr>
        <w:pStyle w:val="NormalWeb"/>
        <w:spacing w:line="360" w:lineRule="auto"/>
        <w:jc w:val="both"/>
        <w:rPr>
          <w:rFonts w:ascii="Arial" w:hAnsi="Arial" w:cs="Arial"/>
          <w:sz w:val="22"/>
          <w:szCs w:val="22"/>
        </w:rPr>
      </w:pPr>
      <w:r w:rsidRPr="2415ECC9">
        <w:rPr>
          <w:rFonts w:ascii="Arial" w:hAnsi="Arial" w:cs="Arial"/>
          <w:sz w:val="22"/>
          <w:szCs w:val="22"/>
        </w:rPr>
        <w:t>Attachment-informed communication involves techniques for responding to attachment behavio</w:t>
      </w:r>
      <w:r w:rsidR="2324AA51" w:rsidRPr="2415ECC9">
        <w:rPr>
          <w:rFonts w:ascii="Arial" w:hAnsi="Arial" w:cs="Arial"/>
          <w:sz w:val="22"/>
          <w:szCs w:val="22"/>
        </w:rPr>
        <w:t>u</w:t>
      </w:r>
      <w:r w:rsidRPr="2415ECC9">
        <w:rPr>
          <w:rFonts w:ascii="Arial" w:hAnsi="Arial" w:cs="Arial"/>
          <w:sz w:val="22"/>
          <w:szCs w:val="22"/>
        </w:rPr>
        <w:t>rs. When residents display separation anxiety by following staff or resisting care transitions, professionals recogni</w:t>
      </w:r>
      <w:r w:rsidR="0F5CF4F7" w:rsidRPr="2415ECC9">
        <w:rPr>
          <w:rFonts w:ascii="Arial" w:hAnsi="Arial" w:cs="Arial"/>
          <w:sz w:val="22"/>
          <w:szCs w:val="22"/>
        </w:rPr>
        <w:t>s</w:t>
      </w:r>
      <w:r w:rsidRPr="2415ECC9">
        <w:rPr>
          <w:rFonts w:ascii="Arial" w:hAnsi="Arial" w:cs="Arial"/>
          <w:sz w:val="22"/>
          <w:szCs w:val="22"/>
        </w:rPr>
        <w:t xml:space="preserve">e these as attachment needs, not non-compliance. Responsive techniques include clear verbal cues ("I'm going to help you stand up now"), offering limited choices ("Would you like to wear the blue shirt or the green one?"), and using </w:t>
      </w:r>
      <w:r w:rsidR="1D359EFF" w:rsidRPr="2415ECC9">
        <w:rPr>
          <w:rFonts w:ascii="Arial" w:hAnsi="Arial" w:cs="Arial"/>
          <w:sz w:val="22"/>
          <w:szCs w:val="22"/>
        </w:rPr>
        <w:t>a reassuring</w:t>
      </w:r>
      <w:r w:rsidRPr="2415ECC9">
        <w:rPr>
          <w:rFonts w:ascii="Arial" w:hAnsi="Arial" w:cs="Arial"/>
          <w:sz w:val="22"/>
          <w:szCs w:val="22"/>
        </w:rPr>
        <w:t xml:space="preserve"> touch combined with calm verbal reassurances. These approaches communicate availability and responsiveness—the core of secure attachment.</w:t>
      </w:r>
    </w:p>
    <w:p w14:paraId="431CF971" w14:textId="4FFE9130" w:rsidR="004733BC" w:rsidRPr="00496437" w:rsidRDefault="00981F81" w:rsidP="00496437">
      <w:pPr>
        <w:pStyle w:val="NormalWeb"/>
        <w:spacing w:line="360" w:lineRule="auto"/>
        <w:jc w:val="both"/>
        <w:rPr>
          <w:rFonts w:ascii="Arial" w:hAnsi="Arial" w:cs="Arial"/>
          <w:sz w:val="22"/>
          <w:szCs w:val="22"/>
        </w:rPr>
      </w:pPr>
      <w:r w:rsidRPr="00981F81">
        <w:rPr>
          <w:rFonts w:ascii="Arial" w:hAnsi="Arial" w:cs="Arial"/>
          <w:sz w:val="22"/>
          <w:szCs w:val="22"/>
        </w:rPr>
        <w:t xml:space="preserve">Environmental design also supports attachment security. </w:t>
      </w:r>
      <w:r w:rsidR="00940FC7">
        <w:rPr>
          <w:rFonts w:ascii="Arial" w:hAnsi="Arial" w:cs="Arial"/>
          <w:sz w:val="22"/>
          <w:szCs w:val="22"/>
        </w:rPr>
        <w:t>Personalised</w:t>
      </w:r>
      <w:r w:rsidRPr="00981F81">
        <w:rPr>
          <w:rFonts w:ascii="Arial" w:hAnsi="Arial" w:cs="Arial"/>
          <w:sz w:val="22"/>
          <w:szCs w:val="22"/>
        </w:rPr>
        <w:t xml:space="preserve"> spaces with familiar objects, consistent furniture arrangements, and visible personal photos create continuity and psychological safety. Care routines should follow predictable patterns, with changes introduced gradually and explained. </w:t>
      </w:r>
      <w:r w:rsidR="00940FC7">
        <w:rPr>
          <w:rFonts w:ascii="Arial" w:hAnsi="Arial" w:cs="Arial"/>
          <w:sz w:val="22"/>
          <w:szCs w:val="22"/>
        </w:rPr>
        <w:t>Minimising</w:t>
      </w:r>
      <w:r w:rsidRPr="00981F81">
        <w:rPr>
          <w:rFonts w:ascii="Arial" w:hAnsi="Arial" w:cs="Arial"/>
          <w:sz w:val="22"/>
          <w:szCs w:val="22"/>
        </w:rPr>
        <w:t xml:space="preserve"> staff rotations and maintaining consistent assignments reinforces attachment security. For residents with anxiety during shift changes, specific transition rituals, such as a brief handover conversation, can be developed.</w:t>
      </w:r>
    </w:p>
    <w:p w14:paraId="48B7C805" w14:textId="77777777" w:rsidR="003F624C" w:rsidRDefault="00413D3C">
      <w:pPr>
        <w:spacing w:after="265" w:line="259" w:lineRule="auto"/>
        <w:ind w:left="-5"/>
        <w:jc w:val="left"/>
      </w:pPr>
      <w:bookmarkStart w:id="0" w:name="_Hlk216729719"/>
      <w:r>
        <w:rPr>
          <w:b/>
        </w:rPr>
        <w:t xml:space="preserve">Case Example: </w:t>
      </w:r>
    </w:p>
    <w:p w14:paraId="4D814C85" w14:textId="322BA502" w:rsidR="003F624C" w:rsidRPr="004733BC" w:rsidRDefault="004733BC">
      <w:pPr>
        <w:ind w:left="-5"/>
      </w:pPr>
      <w:r w:rsidRPr="00CB6234">
        <w:rPr>
          <w:rFonts w:eastAsia="Times New Roman"/>
        </w:rPr>
        <w:t xml:space="preserve">Mr Johnson, a 78-year-old with vascular dementia, exhibits aggressive resistance during morning care routines, particularly when assistance is offered with washing and dressing. An attachment-informed assessment reveals childhood experiences of abusive restraint. His resistance represents a trauma response triggered by perceived threat. Staff implement a modified approach: his preferred caregiver conducts morning routines after a calming pre-care ritual (perhaps sharing a cup of tea first). Each step is explained before </w:t>
      </w:r>
      <w:r w:rsidR="0054521A" w:rsidRPr="00CB6234">
        <w:rPr>
          <w:rFonts w:eastAsia="Times New Roman"/>
        </w:rPr>
        <w:t>starting</w:t>
      </w:r>
      <w:r w:rsidRPr="00CB6234">
        <w:rPr>
          <w:rFonts w:eastAsia="Times New Roman"/>
        </w:rPr>
        <w:t xml:space="preserve"> ("Now I'm going to help you with your shirt"), and </w:t>
      </w:r>
      <w:r w:rsidR="0054521A" w:rsidRPr="00CB6234">
        <w:rPr>
          <w:rFonts w:eastAsia="Times New Roman"/>
        </w:rPr>
        <w:t>he has</w:t>
      </w:r>
      <w:r w:rsidRPr="00CB6234">
        <w:rPr>
          <w:rFonts w:eastAsia="Times New Roman"/>
        </w:rPr>
        <w:t xml:space="preserve"> offered simple choices. Staff maintain a calm, respectful </w:t>
      </w:r>
      <w:r w:rsidR="00940FC7">
        <w:rPr>
          <w:rFonts w:eastAsia="Times New Roman"/>
        </w:rPr>
        <w:t>demeanour</w:t>
      </w:r>
      <w:r w:rsidRPr="00CB6234">
        <w:rPr>
          <w:rFonts w:eastAsia="Times New Roman"/>
        </w:rPr>
        <w:t xml:space="preserve"> and watch for non-verbal cues of distress. Over several weeks, this attachment-informed approach significantly reduces </w:t>
      </w:r>
      <w:r w:rsidR="00940FC7">
        <w:rPr>
          <w:rFonts w:eastAsia="Times New Roman"/>
        </w:rPr>
        <w:t>resistant</w:t>
      </w:r>
      <w:r w:rsidRPr="00CB6234">
        <w:rPr>
          <w:rFonts w:eastAsia="Times New Roman"/>
        </w:rPr>
        <w:t xml:space="preserve"> </w:t>
      </w:r>
      <w:r w:rsidR="00940FC7">
        <w:rPr>
          <w:rFonts w:eastAsia="Times New Roman"/>
        </w:rPr>
        <w:t>behaviours</w:t>
      </w:r>
      <w:r w:rsidRPr="00CB6234">
        <w:rPr>
          <w:rFonts w:eastAsia="Times New Roman"/>
        </w:rPr>
        <w:t>.</w:t>
      </w:r>
    </w:p>
    <w:p w14:paraId="746168F3" w14:textId="77777777" w:rsidR="003F624C" w:rsidRDefault="00413D3C">
      <w:pPr>
        <w:spacing w:after="265" w:line="259" w:lineRule="auto"/>
        <w:ind w:left="-5"/>
        <w:jc w:val="left"/>
      </w:pPr>
      <w:r>
        <w:rPr>
          <w:b/>
        </w:rPr>
        <w:t xml:space="preserve">Implementation Challenges and Solutions:   </w:t>
      </w:r>
    </w:p>
    <w:p w14:paraId="30B0316F" w14:textId="3BC509EA" w:rsidR="003F624C" w:rsidRDefault="004733BC" w:rsidP="00496437">
      <w:pPr>
        <w:ind w:left="-5"/>
      </w:pPr>
      <w:r w:rsidRPr="00CB6234">
        <w:rPr>
          <w:rFonts w:eastAsia="Times New Roman"/>
        </w:rPr>
        <w:t>High staff turnover is a significant challenge to attachment-informed care. Relationship-</w:t>
      </w:r>
      <w:r w:rsidR="00940FC7">
        <w:rPr>
          <w:rFonts w:eastAsia="Times New Roman"/>
        </w:rPr>
        <w:t>centred</w:t>
      </w:r>
      <w:r w:rsidRPr="00CB6234">
        <w:rPr>
          <w:rFonts w:eastAsia="Times New Roman"/>
        </w:rPr>
        <w:t xml:space="preserve"> handover systems mitigate this by ensuring detailed transfer of clinical information and personal knowledge about residents' preferences, histories, and successful strategies. Team-based continuity models, where small</w:t>
      </w:r>
      <w:r w:rsidR="00940FC7">
        <w:rPr>
          <w:rFonts w:eastAsia="Times New Roman"/>
        </w:rPr>
        <w:t>,</w:t>
      </w:r>
      <w:r w:rsidRPr="00CB6234">
        <w:rPr>
          <w:rFonts w:eastAsia="Times New Roman"/>
        </w:rPr>
        <w:t xml:space="preserve"> consistent teams rather than individual staff provide care, offer protection against disruption from staff changes. Additionally, staff support structures acknowledging the emotional </w:t>
      </w:r>
      <w:r w:rsidR="00940FC7">
        <w:rPr>
          <w:rFonts w:eastAsia="Times New Roman"/>
        </w:rPr>
        <w:t>labour</w:t>
      </w:r>
      <w:r w:rsidRPr="00CB6234">
        <w:rPr>
          <w:rFonts w:eastAsia="Times New Roman"/>
        </w:rPr>
        <w:t xml:space="preserve"> of attachment-based care help prevent burnout. Regular reflective practice sessions</w:t>
      </w:r>
      <w:r w:rsidR="005D3BB0">
        <w:rPr>
          <w:rFonts w:eastAsia="Times New Roman"/>
        </w:rPr>
        <w:t>,</w:t>
      </w:r>
      <w:r w:rsidRPr="00CB6234">
        <w:rPr>
          <w:rFonts w:eastAsia="Times New Roman"/>
        </w:rPr>
        <w:t xml:space="preserve"> where staff process challenging interactions with clinical supervision</w:t>
      </w:r>
      <w:r w:rsidR="005D3BB0">
        <w:rPr>
          <w:rFonts w:eastAsia="Times New Roman"/>
        </w:rPr>
        <w:t>,</w:t>
      </w:r>
      <w:r w:rsidRPr="00CB6234">
        <w:rPr>
          <w:rFonts w:eastAsia="Times New Roman"/>
        </w:rPr>
        <w:t xml:space="preserve"> maintain sustainable, relationship-focused care</w:t>
      </w:r>
      <w:r w:rsidR="00413D3C" w:rsidRPr="004733BC">
        <w:t xml:space="preserve">. </w:t>
      </w:r>
      <w:bookmarkEnd w:id="0"/>
    </w:p>
    <w:p w14:paraId="72653D19" w14:textId="77777777" w:rsidR="003F624C" w:rsidRDefault="00413D3C">
      <w:pPr>
        <w:spacing w:after="1" w:line="512" w:lineRule="auto"/>
        <w:ind w:left="-5" w:right="4230"/>
        <w:jc w:val="left"/>
      </w:pPr>
      <w:r>
        <w:rPr>
          <w:b/>
        </w:rPr>
        <w:t xml:space="preserve">4. Strengths and Limitations in Context Erikson's Theory: </w:t>
      </w:r>
    </w:p>
    <w:p w14:paraId="30E5D6C1" w14:textId="1622E030" w:rsidR="003F624C" w:rsidRDefault="00981F81">
      <w:pPr>
        <w:ind w:left="-5"/>
      </w:pPr>
      <w:r>
        <w:t xml:space="preserve">Strengths include </w:t>
      </w:r>
      <w:r w:rsidR="54C72EE6">
        <w:t>developmental</w:t>
      </w:r>
      <w:r>
        <w:t xml:space="preserve"> optimism and alignment with person-centred care models. The theory’s emphasis on meaning-making and life review </w:t>
      </w:r>
      <w:r w:rsidR="0054521A">
        <w:t>offers</w:t>
      </w:r>
      <w:r>
        <w:t xml:space="preserve"> valuable guidance for supporting identity continuity in dementia. Limitations include cultural specificity and assumptions about autobiographical coherence that may not apply in advanced dementia. Despite these, the </w:t>
      </w:r>
      <w:r w:rsidR="404E16DF">
        <w:t>theory's</w:t>
      </w:r>
      <w:r>
        <w:t xml:space="preserve"> core insight—that humans </w:t>
      </w:r>
      <w:r w:rsidR="00ED3DA4">
        <w:t>keep</w:t>
      </w:r>
      <w:r>
        <w:t xml:space="preserve"> a fundamental need for meaning, regardless of cognitive status—</w:t>
      </w:r>
      <w:r w:rsidR="00ED3DA4">
        <w:t>stays</w:t>
      </w:r>
      <w:r>
        <w:t xml:space="preserve"> valuable for compassionate care</w:t>
      </w:r>
      <w:r w:rsidR="00413D3C">
        <w:t xml:space="preserve">. </w:t>
      </w:r>
    </w:p>
    <w:p w14:paraId="7C6C6886" w14:textId="77777777" w:rsidR="003F624C" w:rsidRDefault="00413D3C">
      <w:pPr>
        <w:spacing w:after="265" w:line="259" w:lineRule="auto"/>
        <w:ind w:left="-5"/>
        <w:jc w:val="left"/>
      </w:pPr>
      <w:r>
        <w:rPr>
          <w:b/>
        </w:rPr>
        <w:t xml:space="preserve">Attachment Theory:   </w:t>
      </w:r>
    </w:p>
    <w:p w14:paraId="452B8D14" w14:textId="7525272C" w:rsidR="00981F81" w:rsidRPr="00981F81" w:rsidRDefault="00981F81" w:rsidP="00981F81">
      <w:pPr>
        <w:pStyle w:val="NormalWeb"/>
        <w:spacing w:line="360" w:lineRule="auto"/>
        <w:jc w:val="both"/>
        <w:rPr>
          <w:rFonts w:ascii="Arial" w:hAnsi="Arial" w:cs="Arial"/>
          <w:sz w:val="22"/>
          <w:szCs w:val="22"/>
        </w:rPr>
      </w:pPr>
      <w:r w:rsidRPr="00981F81">
        <w:rPr>
          <w:rFonts w:ascii="Arial" w:hAnsi="Arial" w:cs="Arial"/>
          <w:sz w:val="22"/>
          <w:szCs w:val="22"/>
        </w:rPr>
        <w:t xml:space="preserve">Strengths include its ability to explain emotional </w:t>
      </w:r>
      <w:r w:rsidR="00940FC7">
        <w:rPr>
          <w:rFonts w:ascii="Arial" w:hAnsi="Arial" w:cs="Arial"/>
          <w:sz w:val="22"/>
          <w:szCs w:val="22"/>
        </w:rPr>
        <w:t>behaviours</w:t>
      </w:r>
      <w:r w:rsidRPr="00981F81">
        <w:rPr>
          <w:rFonts w:ascii="Arial" w:hAnsi="Arial" w:cs="Arial"/>
          <w:sz w:val="22"/>
          <w:szCs w:val="22"/>
        </w:rPr>
        <w:t xml:space="preserve"> and guide relationship-building. It helps professionals understand </w:t>
      </w:r>
      <w:r w:rsidR="00940FC7">
        <w:rPr>
          <w:rFonts w:ascii="Arial" w:hAnsi="Arial" w:cs="Arial"/>
          <w:sz w:val="22"/>
          <w:szCs w:val="22"/>
        </w:rPr>
        <w:t>behaviours</w:t>
      </w:r>
      <w:r w:rsidRPr="00981F81">
        <w:rPr>
          <w:rFonts w:ascii="Arial" w:hAnsi="Arial" w:cs="Arial"/>
          <w:sz w:val="22"/>
          <w:szCs w:val="22"/>
        </w:rPr>
        <w:t xml:space="preserve"> as emotional needs. Limitations involve resource demands and maintaining relationship continuity with high staff turnover. Partial implementation can still improve care quality and well-being.</w:t>
      </w:r>
    </w:p>
    <w:p w14:paraId="32D3E778" w14:textId="7DAC19B8" w:rsidR="003F624C" w:rsidRPr="00981F81" w:rsidRDefault="00981F81" w:rsidP="00981F81">
      <w:pPr>
        <w:pStyle w:val="NormalWeb"/>
        <w:spacing w:line="360" w:lineRule="auto"/>
        <w:jc w:val="both"/>
        <w:rPr>
          <w:rFonts w:ascii="Arial" w:hAnsi="Arial" w:cs="Arial"/>
          <w:sz w:val="22"/>
          <w:szCs w:val="22"/>
        </w:rPr>
      </w:pPr>
      <w:r w:rsidRPr="00981F81">
        <w:rPr>
          <w:rFonts w:ascii="Arial" w:hAnsi="Arial" w:cs="Arial"/>
          <w:sz w:val="22"/>
          <w:szCs w:val="22"/>
        </w:rPr>
        <w:t>Together, these theories complement each other. Attachment theory explains emotional needs, while Erikson’s theory highlights why meaning-making matters. They offer a multidimensional framework for understanding dementia’s psychological experience, balancing emotional states with lifelong development</w:t>
      </w:r>
      <w:r>
        <w:rPr>
          <w:rFonts w:ascii="Arial" w:hAnsi="Arial" w:cs="Arial"/>
          <w:sz w:val="22"/>
          <w:szCs w:val="22"/>
        </w:rPr>
        <w:t>.</w:t>
      </w:r>
    </w:p>
    <w:p w14:paraId="0663C528" w14:textId="77777777" w:rsidR="003F624C" w:rsidRDefault="00413D3C">
      <w:pPr>
        <w:spacing w:after="267" w:line="259" w:lineRule="auto"/>
        <w:ind w:left="0" w:firstLine="0"/>
        <w:jc w:val="left"/>
      </w:pPr>
      <w:r>
        <w:t xml:space="preserve"> </w:t>
      </w:r>
    </w:p>
    <w:p w14:paraId="3C8F4BD9" w14:textId="77777777" w:rsidR="003F624C" w:rsidRDefault="00413D3C">
      <w:pPr>
        <w:pStyle w:val="Heading1"/>
        <w:ind w:left="-5"/>
      </w:pPr>
      <w:r>
        <w:t xml:space="preserve">5. Conclusion </w:t>
      </w:r>
    </w:p>
    <w:p w14:paraId="770A437A" w14:textId="6FC3A0F9" w:rsidR="00981F81" w:rsidRPr="00981F81" w:rsidRDefault="00981F81" w:rsidP="00981F81">
      <w:pPr>
        <w:pStyle w:val="NormalWeb"/>
        <w:spacing w:line="360" w:lineRule="auto"/>
        <w:jc w:val="both"/>
        <w:rPr>
          <w:rFonts w:ascii="Arial" w:hAnsi="Arial" w:cs="Arial"/>
          <w:sz w:val="22"/>
          <w:szCs w:val="22"/>
        </w:rPr>
      </w:pPr>
      <w:r w:rsidRPr="2415ECC9">
        <w:rPr>
          <w:rFonts w:ascii="Arial" w:hAnsi="Arial" w:cs="Arial"/>
          <w:sz w:val="22"/>
          <w:szCs w:val="22"/>
        </w:rPr>
        <w:t>In summary, Erikson's psychosocial theory and Bowlby's attachment theory provide complementary frameworks for enhancing dementia care. Erikson’s focus on meaning-making and integrity supports interventions that hono</w:t>
      </w:r>
      <w:r w:rsidR="60C563DA" w:rsidRPr="2415ECC9">
        <w:rPr>
          <w:rFonts w:ascii="Arial" w:hAnsi="Arial" w:cs="Arial"/>
          <w:sz w:val="22"/>
          <w:szCs w:val="22"/>
        </w:rPr>
        <w:t>u</w:t>
      </w:r>
      <w:r w:rsidRPr="2415ECC9">
        <w:rPr>
          <w:rFonts w:ascii="Arial" w:hAnsi="Arial" w:cs="Arial"/>
          <w:sz w:val="22"/>
          <w:szCs w:val="22"/>
        </w:rPr>
        <w:t>r personal history and identity, while Bowlby’s emphasis on secure attachments guides relationship-building approaches that address emotional security needs. Both theories move dementia care beyond symptom management toward person-centred approaches that respect psychological needs despite cognitive decline.</w:t>
      </w:r>
    </w:p>
    <w:p w14:paraId="5FCBA37E" w14:textId="5A094794" w:rsidR="00981F81" w:rsidRPr="00981F81" w:rsidRDefault="00981F81" w:rsidP="00981F81">
      <w:pPr>
        <w:pStyle w:val="NormalWeb"/>
        <w:spacing w:line="360" w:lineRule="auto"/>
        <w:jc w:val="both"/>
        <w:rPr>
          <w:rFonts w:ascii="Arial" w:hAnsi="Arial" w:cs="Arial"/>
          <w:sz w:val="22"/>
          <w:szCs w:val="22"/>
        </w:rPr>
      </w:pPr>
      <w:r w:rsidRPr="00981F81">
        <w:rPr>
          <w:rFonts w:ascii="Arial" w:hAnsi="Arial" w:cs="Arial"/>
          <w:sz w:val="22"/>
          <w:szCs w:val="22"/>
        </w:rPr>
        <w:t xml:space="preserve">The practical application of these theories involves implementing reminiscence and life story work (Erikson) alongside consistent caregiving relationships and attachment-informed communication (Bowlby). While challenges exist, particularly </w:t>
      </w:r>
      <w:r w:rsidR="00C248FA" w:rsidRPr="00981F81">
        <w:rPr>
          <w:rFonts w:ascii="Arial" w:hAnsi="Arial" w:cs="Arial"/>
          <w:sz w:val="22"/>
          <w:szCs w:val="22"/>
        </w:rPr>
        <w:t>about</w:t>
      </w:r>
      <w:r w:rsidRPr="00981F81">
        <w:rPr>
          <w:rFonts w:ascii="Arial" w:hAnsi="Arial" w:cs="Arial"/>
          <w:sz w:val="22"/>
          <w:szCs w:val="22"/>
        </w:rPr>
        <w:t xml:space="preserve"> staff continuity and training, these frameworks offer valuable guidance for improving care quality. Integrating psychological theory into dementia care is an essential step toward more compassionate, effective practice that supports psychological well-being and quality of life for older adults in care home settings.</w:t>
      </w:r>
    </w:p>
    <w:p w14:paraId="54A316DF" w14:textId="77777777" w:rsidR="003F624C" w:rsidRDefault="00413D3C">
      <w:pPr>
        <w:spacing w:after="267" w:line="259" w:lineRule="auto"/>
        <w:ind w:left="0" w:firstLine="0"/>
        <w:jc w:val="left"/>
      </w:pPr>
      <w:r>
        <w:t xml:space="preserve"> </w:t>
      </w:r>
    </w:p>
    <w:p w14:paraId="0FB14CD2" w14:textId="77777777" w:rsidR="003F624C" w:rsidRDefault="00413D3C">
      <w:pPr>
        <w:spacing w:after="267" w:line="259" w:lineRule="auto"/>
        <w:ind w:left="0" w:firstLine="0"/>
        <w:jc w:val="left"/>
      </w:pPr>
      <w:r>
        <w:rPr>
          <w:b/>
        </w:rPr>
        <w:t xml:space="preserve"> </w:t>
      </w:r>
    </w:p>
    <w:p w14:paraId="1FDCC5AB" w14:textId="77777777" w:rsidR="003F624C" w:rsidRDefault="00413D3C">
      <w:pPr>
        <w:spacing w:after="262" w:line="259" w:lineRule="auto"/>
        <w:ind w:left="0" w:firstLine="0"/>
        <w:jc w:val="left"/>
      </w:pPr>
      <w:r>
        <w:rPr>
          <w:b/>
        </w:rPr>
        <w:t xml:space="preserve"> </w:t>
      </w:r>
    </w:p>
    <w:p w14:paraId="7397FF7E" w14:textId="77777777" w:rsidR="003F624C" w:rsidRDefault="00413D3C">
      <w:pPr>
        <w:spacing w:after="267" w:line="259" w:lineRule="auto"/>
        <w:ind w:left="0" w:firstLine="0"/>
        <w:jc w:val="left"/>
        <w:rPr>
          <w:b/>
        </w:rPr>
      </w:pPr>
      <w:r>
        <w:rPr>
          <w:b/>
        </w:rPr>
        <w:t xml:space="preserve"> </w:t>
      </w:r>
    </w:p>
    <w:p w14:paraId="0793E1FD" w14:textId="77777777" w:rsidR="00413D3C" w:rsidRDefault="00413D3C">
      <w:pPr>
        <w:spacing w:after="267" w:line="259" w:lineRule="auto"/>
        <w:ind w:left="0" w:firstLine="0"/>
        <w:jc w:val="left"/>
        <w:rPr>
          <w:b/>
        </w:rPr>
      </w:pPr>
    </w:p>
    <w:p w14:paraId="7E6460E0" w14:textId="77777777" w:rsidR="00413D3C" w:rsidRDefault="00413D3C">
      <w:pPr>
        <w:spacing w:after="267" w:line="259" w:lineRule="auto"/>
        <w:ind w:left="0" w:firstLine="0"/>
        <w:jc w:val="left"/>
        <w:rPr>
          <w:b/>
        </w:rPr>
      </w:pPr>
    </w:p>
    <w:p w14:paraId="5C48CC41" w14:textId="77777777" w:rsidR="00413D3C" w:rsidRDefault="00413D3C">
      <w:pPr>
        <w:spacing w:after="267" w:line="259" w:lineRule="auto"/>
        <w:ind w:left="0" w:firstLine="0"/>
        <w:jc w:val="left"/>
      </w:pPr>
    </w:p>
    <w:p w14:paraId="293184D4" w14:textId="77777777" w:rsidR="003F624C" w:rsidRDefault="00413D3C">
      <w:pPr>
        <w:spacing w:after="267" w:line="259" w:lineRule="auto"/>
        <w:ind w:left="0" w:firstLine="0"/>
        <w:jc w:val="left"/>
      </w:pPr>
      <w:r>
        <w:rPr>
          <w:b/>
        </w:rPr>
        <w:t xml:space="preserve"> </w:t>
      </w:r>
    </w:p>
    <w:p w14:paraId="6BC17CD3" w14:textId="2B0CC3AF" w:rsidR="003F624C" w:rsidRDefault="00413D3C">
      <w:pPr>
        <w:spacing w:after="267" w:line="259" w:lineRule="auto"/>
        <w:ind w:left="0" w:firstLine="0"/>
        <w:jc w:val="left"/>
        <w:rPr>
          <w:b/>
        </w:rPr>
      </w:pPr>
      <w:r>
        <w:rPr>
          <w:b/>
        </w:rPr>
        <w:t xml:space="preserve"> </w:t>
      </w:r>
    </w:p>
    <w:p w14:paraId="23BBEA91" w14:textId="7B2275EB" w:rsidR="00981F81" w:rsidRDefault="00981F81">
      <w:pPr>
        <w:spacing w:after="267" w:line="259" w:lineRule="auto"/>
        <w:ind w:left="0" w:firstLine="0"/>
        <w:jc w:val="left"/>
        <w:rPr>
          <w:b/>
        </w:rPr>
      </w:pPr>
    </w:p>
    <w:p w14:paraId="7412AFE1" w14:textId="77777777" w:rsidR="00981F81" w:rsidRDefault="00981F81">
      <w:pPr>
        <w:spacing w:after="267" w:line="259" w:lineRule="auto"/>
        <w:ind w:left="0" w:firstLine="0"/>
        <w:jc w:val="left"/>
      </w:pPr>
    </w:p>
    <w:p w14:paraId="78DE9340" w14:textId="77777777" w:rsidR="003F624C" w:rsidRDefault="00413D3C">
      <w:pPr>
        <w:spacing w:after="267" w:line="259" w:lineRule="auto"/>
        <w:ind w:left="0" w:firstLine="0"/>
        <w:jc w:val="left"/>
      </w:pPr>
      <w:r>
        <w:rPr>
          <w:b/>
        </w:rPr>
        <w:t xml:space="preserve"> </w:t>
      </w:r>
    </w:p>
    <w:p w14:paraId="0DC3EDF9" w14:textId="77777777" w:rsidR="003F624C" w:rsidRDefault="00413D3C">
      <w:pPr>
        <w:spacing w:after="0" w:line="259" w:lineRule="auto"/>
        <w:ind w:left="0" w:firstLine="0"/>
        <w:jc w:val="left"/>
      </w:pPr>
      <w:r w:rsidRPr="2415ECC9">
        <w:rPr>
          <w:b/>
          <w:bCs/>
        </w:rPr>
        <w:t xml:space="preserve"> </w:t>
      </w:r>
    </w:p>
    <w:p w14:paraId="07CA9EE4" w14:textId="21565D70" w:rsidR="2415ECC9" w:rsidRDefault="2415ECC9" w:rsidP="2415ECC9">
      <w:pPr>
        <w:spacing w:after="0" w:line="259" w:lineRule="auto"/>
        <w:ind w:left="0" w:firstLine="0"/>
        <w:jc w:val="left"/>
        <w:rPr>
          <w:b/>
          <w:bCs/>
        </w:rPr>
      </w:pPr>
    </w:p>
    <w:p w14:paraId="308D1657" w14:textId="77777777" w:rsidR="003F624C" w:rsidRDefault="00413D3C">
      <w:pPr>
        <w:pStyle w:val="Heading1"/>
        <w:ind w:left="-5"/>
      </w:pPr>
      <w:r>
        <w:t xml:space="preserve">6. References </w:t>
      </w:r>
    </w:p>
    <w:p w14:paraId="2F9ED9E1" w14:textId="77777777" w:rsidR="003F624C" w:rsidRDefault="00413D3C">
      <w:pPr>
        <w:spacing w:after="267" w:line="259" w:lineRule="auto"/>
        <w:ind w:left="-5"/>
      </w:pPr>
      <w:r>
        <w:t xml:space="preserve">Bowlby, J. (1988). A secure base: Clinical applications of attachment theory. Routledge. </w:t>
      </w:r>
    </w:p>
    <w:p w14:paraId="7C195125" w14:textId="77777777" w:rsidR="003F624C" w:rsidRDefault="00413D3C">
      <w:pPr>
        <w:ind w:left="-5"/>
      </w:pPr>
      <w:r>
        <w:t xml:space="preserve">Brown Wilson, C. (2007). Caring for older people: A shared approach. Nursing Standard, 21(20), 47-54. </w:t>
      </w:r>
    </w:p>
    <w:p w14:paraId="724AF26C" w14:textId="78099CEE" w:rsidR="003F624C" w:rsidRDefault="00413D3C">
      <w:pPr>
        <w:ind w:left="-5"/>
      </w:pPr>
      <w:r>
        <w:t xml:space="preserve">Browne, C. J., &amp; Shlosberg, E. (2006). Attachment theory, ageing and dementia: A review of the literature. </w:t>
      </w:r>
      <w:r w:rsidR="00940FC7">
        <w:t>Ageing</w:t>
      </w:r>
      <w:r>
        <w:t xml:space="preserve"> &amp; Mental Health, 10(2), 134-142. </w:t>
      </w:r>
    </w:p>
    <w:p w14:paraId="40430E59" w14:textId="77777777" w:rsidR="003F624C" w:rsidRDefault="00413D3C">
      <w:pPr>
        <w:spacing w:after="107" w:line="259" w:lineRule="auto"/>
        <w:ind w:left="-5"/>
      </w:pPr>
      <w:r>
        <w:t xml:space="preserve">Cohen, G. D. (2000). The creative age: Awakening human potential in the second half of life. </w:t>
      </w:r>
    </w:p>
    <w:p w14:paraId="678A4293" w14:textId="77777777" w:rsidR="003F624C" w:rsidRDefault="00413D3C">
      <w:pPr>
        <w:spacing w:after="267" w:line="259" w:lineRule="auto"/>
        <w:ind w:left="-5"/>
      </w:pPr>
      <w:r>
        <w:t xml:space="preserve">HarperCollins. </w:t>
      </w:r>
    </w:p>
    <w:p w14:paraId="3E28DDDD" w14:textId="77777777" w:rsidR="003F624C" w:rsidRDefault="00413D3C">
      <w:pPr>
        <w:spacing w:after="267" w:line="259" w:lineRule="auto"/>
        <w:ind w:left="-5"/>
      </w:pPr>
      <w:r>
        <w:t xml:space="preserve">Erikson, E. H. (1959). Identity and the life cycle. International Universities Press. </w:t>
      </w:r>
    </w:p>
    <w:p w14:paraId="40D446AB" w14:textId="77777777" w:rsidR="003F624C" w:rsidRDefault="00413D3C">
      <w:pPr>
        <w:spacing w:after="267" w:line="259" w:lineRule="auto"/>
        <w:ind w:left="-5"/>
      </w:pPr>
      <w:r>
        <w:t xml:space="preserve">Feil, N. (1992). Validation therapy: The Feil method. Edward Feil Productions. </w:t>
      </w:r>
    </w:p>
    <w:p w14:paraId="2AA7F0BA" w14:textId="77777777" w:rsidR="003F624C" w:rsidRDefault="00413D3C">
      <w:pPr>
        <w:ind w:left="-5"/>
      </w:pPr>
      <w:r>
        <w:t xml:space="preserve">McKeown, J., Clarke, A., Ingleton, C., Ryan, T., &amp; Repper, J. (2010). The use of life story work with people with dementia to enhance person-centred care. International Journal of Older People Nursing, 5(2), 148-158. </w:t>
      </w:r>
    </w:p>
    <w:p w14:paraId="07CAEAE9" w14:textId="77777777" w:rsidR="003F624C" w:rsidRDefault="00413D3C">
      <w:pPr>
        <w:ind w:left="-5"/>
      </w:pPr>
      <w:r>
        <w:t xml:space="preserve">Wittenberg, R., Hu, B., Barraza-Araiza, L., &amp; Rehill, A. (2019). Projections of older people with dementia and costs of dementia care in the United Kingdom, 2019–2040. Care Policy and Evaluation Centre, London School of Economics and Political Science. </w:t>
      </w:r>
    </w:p>
    <w:p w14:paraId="0EA2B03C" w14:textId="77777777" w:rsidR="003F624C" w:rsidRDefault="00413D3C">
      <w:pPr>
        <w:ind w:left="-5"/>
      </w:pPr>
      <w:r>
        <w:t xml:space="preserve">Woods, B., O'Philbin, L., Farrell, E. M., Spector, A. E., &amp; Orrell, M. (2018). Reminiscence therapy for dementia. Cochrane Database of Systematic Reviews, 3(3), CD001120. </w:t>
      </w:r>
    </w:p>
    <w:sectPr w:rsidR="003F624C">
      <w:pgSz w:w="12240" w:h="15840"/>
      <w:pgMar w:top="1490" w:right="1430" w:bottom="1474" w:left="144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624C"/>
    <w:rsid w:val="000062B1"/>
    <w:rsid w:val="00042514"/>
    <w:rsid w:val="000D33FE"/>
    <w:rsid w:val="00131D5B"/>
    <w:rsid w:val="001F448F"/>
    <w:rsid w:val="00287712"/>
    <w:rsid w:val="003120FB"/>
    <w:rsid w:val="0031532F"/>
    <w:rsid w:val="003F624C"/>
    <w:rsid w:val="00413D3C"/>
    <w:rsid w:val="004733BC"/>
    <w:rsid w:val="00496437"/>
    <w:rsid w:val="004D1623"/>
    <w:rsid w:val="00505F74"/>
    <w:rsid w:val="0054521A"/>
    <w:rsid w:val="005D3BB0"/>
    <w:rsid w:val="006D36B4"/>
    <w:rsid w:val="0082A8AF"/>
    <w:rsid w:val="008474A2"/>
    <w:rsid w:val="00940FC7"/>
    <w:rsid w:val="00981F81"/>
    <w:rsid w:val="00A5577E"/>
    <w:rsid w:val="00AA1D54"/>
    <w:rsid w:val="00B42764"/>
    <w:rsid w:val="00B83558"/>
    <w:rsid w:val="00BF70C8"/>
    <w:rsid w:val="00C248FA"/>
    <w:rsid w:val="00C5096C"/>
    <w:rsid w:val="00DA0907"/>
    <w:rsid w:val="00DA520C"/>
    <w:rsid w:val="00E06DFC"/>
    <w:rsid w:val="00ED3DA4"/>
    <w:rsid w:val="00F65E40"/>
    <w:rsid w:val="00FA26CD"/>
    <w:rsid w:val="00FF7C24"/>
    <w:rsid w:val="0523DD10"/>
    <w:rsid w:val="05BDA093"/>
    <w:rsid w:val="098F0BA6"/>
    <w:rsid w:val="0A682731"/>
    <w:rsid w:val="0E218B03"/>
    <w:rsid w:val="0F5CF4F7"/>
    <w:rsid w:val="16813E49"/>
    <w:rsid w:val="17C27E42"/>
    <w:rsid w:val="1D359EFF"/>
    <w:rsid w:val="2324AA51"/>
    <w:rsid w:val="23B382BF"/>
    <w:rsid w:val="2415ECC9"/>
    <w:rsid w:val="2E67495C"/>
    <w:rsid w:val="32EC471C"/>
    <w:rsid w:val="404E16DF"/>
    <w:rsid w:val="4253C8F3"/>
    <w:rsid w:val="44446C92"/>
    <w:rsid w:val="54C72EE6"/>
    <w:rsid w:val="57BD0E62"/>
    <w:rsid w:val="5BBA6132"/>
    <w:rsid w:val="60C563DA"/>
    <w:rsid w:val="6BE9A98D"/>
    <w:rsid w:val="7138D13F"/>
    <w:rsid w:val="72070538"/>
    <w:rsid w:val="7EEDE22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12FF16B6"/>
  <w15:docId w15:val="{19CC9070-5ACD-4822-AD1B-3BFB4B306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59" w:lineRule="auto"/>
      <w:ind w:left="10" w:hanging="10"/>
      <w:jc w:val="both"/>
    </w:pPr>
    <w:rPr>
      <w:rFonts w:ascii="Arial" w:eastAsia="Arial" w:hAnsi="Arial" w:cs="Arial"/>
      <w:color w:val="000000"/>
    </w:rPr>
  </w:style>
  <w:style w:type="paragraph" w:styleId="Heading1">
    <w:name w:val="heading 1"/>
    <w:next w:val="Normal"/>
    <w:link w:val="Heading1Char"/>
    <w:uiPriority w:val="9"/>
    <w:qFormat/>
    <w:pPr>
      <w:keepNext/>
      <w:keepLines/>
      <w:spacing w:after="265"/>
      <w:ind w:left="10" w:hanging="10"/>
      <w:outlineLvl w:val="0"/>
    </w:pPr>
    <w:rPr>
      <w:rFonts w:ascii="Arial" w:eastAsia="Arial" w:hAnsi="Arial" w:cs="Arial"/>
      <w:b/>
      <w:color w:val="000000"/>
    </w:rPr>
  </w:style>
  <w:style w:type="paragraph" w:styleId="Heading2">
    <w:name w:val="heading 2"/>
    <w:next w:val="Normal"/>
    <w:link w:val="Heading2Char"/>
    <w:uiPriority w:val="9"/>
    <w:unhideWhenUsed/>
    <w:qFormat/>
    <w:pPr>
      <w:keepNext/>
      <w:keepLines/>
      <w:spacing w:after="265"/>
      <w:ind w:left="10" w:hanging="10"/>
      <w:outlineLvl w:val="1"/>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rPr>
  </w:style>
  <w:style w:type="character" w:customStyle="1" w:styleId="Heading2Char">
    <w:name w:val="Heading 2 Char"/>
    <w:link w:val="Heading2"/>
    <w:rPr>
      <w:rFonts w:ascii="Arial" w:eastAsia="Arial" w:hAnsi="Arial" w:cs="Arial"/>
      <w:b/>
      <w:color w:val="000000"/>
      <w:sz w:val="22"/>
    </w:rPr>
  </w:style>
  <w:style w:type="paragraph" w:styleId="NormalWeb">
    <w:name w:val="Normal (Web)"/>
    <w:basedOn w:val="Normal"/>
    <w:uiPriority w:val="99"/>
    <w:unhideWhenUsed/>
    <w:rsid w:val="00981F81"/>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Kazi</dc:creator>
  <cp:keywords/>
  <cp:lastModifiedBy>Ferdoushi Rahman Monju (2430137)</cp:lastModifiedBy>
  <cp:revision>13</cp:revision>
  <dcterms:created xsi:type="dcterms:W3CDTF">2025-12-15T21:26:00Z</dcterms:created>
  <dcterms:modified xsi:type="dcterms:W3CDTF">2025-12-18T22:01:00Z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89ab0596-04d1-415c-9ce1-7639d7891409</vt:lpwstr>
  </property>
</Properties>
</file>